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705AB">
        <w:tblPrEx>
          <w:tblCellMar>
            <w:top w:w="0" w:type="dxa"/>
            <w:bottom w:w="0" w:type="dxa"/>
          </w:tblCellMar>
        </w:tblPrEx>
        <w:tc>
          <w:tcPr>
            <w:tcW w:w="2268" w:type="dxa"/>
          </w:tcPr>
          <w:p w:rsidR="006E4E11" w:rsidRPr="00D705A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705AB" w:rsidRDefault="006E4E11" w:rsidP="007242A3">
            <w:pPr>
              <w:framePr w:w="5035" w:h="1644" w:wrap="notBeside" w:vAnchor="page" w:hAnchor="page" w:x="6573" w:y="721"/>
              <w:rPr>
                <w:rFonts w:ascii="TradeGothic" w:hAnsi="TradeGothic"/>
                <w:i/>
                <w:sz w:val="18"/>
              </w:rPr>
            </w:pPr>
          </w:p>
        </w:tc>
      </w:tr>
      <w:tr w:rsidR="006E4E11" w:rsidRPr="00D705AB">
        <w:tblPrEx>
          <w:tblCellMar>
            <w:top w:w="0" w:type="dxa"/>
            <w:bottom w:w="0" w:type="dxa"/>
          </w:tblCellMar>
        </w:tblPrEx>
        <w:tc>
          <w:tcPr>
            <w:tcW w:w="2268" w:type="dxa"/>
          </w:tcPr>
          <w:p w:rsidR="006E4E11" w:rsidRPr="00D705AB" w:rsidRDefault="006E4E11" w:rsidP="007242A3">
            <w:pPr>
              <w:framePr w:w="5035" w:h="1644" w:wrap="notBeside" w:vAnchor="page" w:hAnchor="page" w:x="6573" w:y="721"/>
              <w:rPr>
                <w:rFonts w:ascii="TradeGothic" w:hAnsi="TradeGothic"/>
                <w:i/>
                <w:sz w:val="18"/>
                <w:szCs w:val="18"/>
              </w:rPr>
            </w:pPr>
          </w:p>
        </w:tc>
        <w:tc>
          <w:tcPr>
            <w:tcW w:w="2999" w:type="dxa"/>
            <w:gridSpan w:val="2"/>
          </w:tcPr>
          <w:p w:rsidR="006E4E11" w:rsidRPr="00D705AB" w:rsidRDefault="006E4E11" w:rsidP="007242A3">
            <w:pPr>
              <w:framePr w:w="5035" w:h="1644" w:wrap="notBeside" w:vAnchor="page" w:hAnchor="page" w:x="6573" w:y="721"/>
              <w:rPr>
                <w:rFonts w:ascii="TradeGothic" w:hAnsi="TradeGothic"/>
                <w:b/>
                <w:sz w:val="22"/>
              </w:rPr>
            </w:pPr>
          </w:p>
        </w:tc>
      </w:tr>
      <w:tr w:rsidR="006E4E11" w:rsidRPr="00D705AB">
        <w:tblPrEx>
          <w:tblCellMar>
            <w:top w:w="0" w:type="dxa"/>
            <w:bottom w:w="0" w:type="dxa"/>
          </w:tblCellMar>
        </w:tblPrEx>
        <w:tc>
          <w:tcPr>
            <w:tcW w:w="3402" w:type="dxa"/>
            <w:gridSpan w:val="2"/>
          </w:tcPr>
          <w:p w:rsidR="006E4E11" w:rsidRPr="00D705AB" w:rsidRDefault="006E4E11" w:rsidP="007242A3">
            <w:pPr>
              <w:framePr w:w="5035" w:h="1644" w:wrap="notBeside" w:vAnchor="page" w:hAnchor="page" w:x="6573" w:y="721"/>
            </w:pPr>
          </w:p>
        </w:tc>
        <w:tc>
          <w:tcPr>
            <w:tcW w:w="1865" w:type="dxa"/>
          </w:tcPr>
          <w:p w:rsidR="006E4E11" w:rsidRPr="00D705AB" w:rsidRDefault="006E4E11" w:rsidP="007242A3">
            <w:pPr>
              <w:framePr w:w="5035" w:h="1644" w:wrap="notBeside" w:vAnchor="page" w:hAnchor="page" w:x="6573" w:y="721"/>
            </w:pPr>
          </w:p>
        </w:tc>
      </w:tr>
      <w:tr w:rsidR="006E4E11" w:rsidRPr="00D705AB">
        <w:tblPrEx>
          <w:tblCellMar>
            <w:top w:w="0" w:type="dxa"/>
            <w:bottom w:w="0" w:type="dxa"/>
          </w:tblCellMar>
        </w:tblPrEx>
        <w:tc>
          <w:tcPr>
            <w:tcW w:w="2268" w:type="dxa"/>
          </w:tcPr>
          <w:p w:rsidR="006E4E11" w:rsidRPr="00D705AB" w:rsidRDefault="00CA5D09" w:rsidP="007242A3">
            <w:pPr>
              <w:framePr w:w="5035" w:h="1644" w:wrap="notBeside" w:vAnchor="page" w:hAnchor="page" w:x="6573" w:y="721"/>
            </w:pPr>
            <w:r w:rsidRPr="00D705AB">
              <w:t>2011-0</w:t>
            </w:r>
            <w:r w:rsidR="00BF5095" w:rsidRPr="00D705AB">
              <w:t>7-0</w:t>
            </w:r>
            <w:r w:rsidR="00C953B7" w:rsidRPr="00D705AB">
              <w:t>8</w:t>
            </w:r>
          </w:p>
        </w:tc>
        <w:tc>
          <w:tcPr>
            <w:tcW w:w="2999" w:type="dxa"/>
            <w:gridSpan w:val="2"/>
          </w:tcPr>
          <w:p w:rsidR="006E4E11" w:rsidRPr="00D705AB" w:rsidRDefault="006E4E11" w:rsidP="007242A3">
            <w:pPr>
              <w:framePr w:w="5035" w:h="1644" w:wrap="notBeside" w:vAnchor="page" w:hAnchor="page" w:x="6573" w:y="721"/>
              <w:rPr>
                <w:sz w:val="20"/>
              </w:rPr>
            </w:pPr>
          </w:p>
        </w:tc>
      </w:tr>
      <w:tr w:rsidR="006E4E11" w:rsidRPr="00D705AB">
        <w:tblPrEx>
          <w:tblCellMar>
            <w:top w:w="0" w:type="dxa"/>
            <w:bottom w:w="0" w:type="dxa"/>
          </w:tblCellMar>
        </w:tblPrEx>
        <w:tc>
          <w:tcPr>
            <w:tcW w:w="2268" w:type="dxa"/>
          </w:tcPr>
          <w:p w:rsidR="006E4E11" w:rsidRPr="00D705AB" w:rsidRDefault="006E4E11" w:rsidP="007242A3">
            <w:pPr>
              <w:framePr w:w="5035" w:h="1644" w:wrap="notBeside" w:vAnchor="page" w:hAnchor="page" w:x="6573" w:y="721"/>
            </w:pPr>
          </w:p>
        </w:tc>
        <w:tc>
          <w:tcPr>
            <w:tcW w:w="2999" w:type="dxa"/>
            <w:gridSpan w:val="2"/>
          </w:tcPr>
          <w:p w:rsidR="006E4E11" w:rsidRPr="00D705A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705AB">
        <w:tblPrEx>
          <w:tblCellMar>
            <w:top w:w="0" w:type="dxa"/>
            <w:bottom w:w="0" w:type="dxa"/>
          </w:tblCellMar>
        </w:tblPrEx>
        <w:trPr>
          <w:trHeight w:val="284"/>
        </w:trPr>
        <w:tc>
          <w:tcPr>
            <w:tcW w:w="4911" w:type="dxa"/>
          </w:tcPr>
          <w:p w:rsidR="006E4E11" w:rsidRPr="00D705AB" w:rsidRDefault="00C31E4A">
            <w:pPr>
              <w:pStyle w:val="Avsndare"/>
              <w:framePr w:h="2483" w:wrap="notBeside" w:x="1504"/>
              <w:rPr>
                <w:b/>
                <w:i w:val="0"/>
                <w:sz w:val="22"/>
              </w:rPr>
            </w:pPr>
            <w:r w:rsidRPr="00D705AB">
              <w:rPr>
                <w:b/>
                <w:i w:val="0"/>
                <w:sz w:val="22"/>
              </w:rPr>
              <w:t>Landsbygdsdepartementet</w:t>
            </w:r>
          </w:p>
        </w:tc>
      </w:tr>
      <w:tr w:rsidR="006E4E11" w:rsidRPr="00D705AB" w:rsidTr="00C31E4A">
        <w:tblPrEx>
          <w:tblCellMar>
            <w:top w:w="0" w:type="dxa"/>
            <w:bottom w:w="0" w:type="dxa"/>
          </w:tblCellMar>
        </w:tblPrEx>
        <w:trPr>
          <w:trHeight w:val="678"/>
        </w:trPr>
        <w:tc>
          <w:tcPr>
            <w:tcW w:w="4911" w:type="dxa"/>
          </w:tcPr>
          <w:p w:rsidR="006E4E11" w:rsidRPr="00D705AB" w:rsidRDefault="006E4E11">
            <w:pPr>
              <w:pStyle w:val="Avsndare"/>
              <w:framePr w:h="2483" w:wrap="notBeside" w:x="1504"/>
              <w:rPr>
                <w:bCs/>
                <w:iCs/>
              </w:rPr>
            </w:pPr>
          </w:p>
        </w:tc>
      </w:tr>
      <w:tr w:rsidR="006E4E11" w:rsidRPr="00D705AB">
        <w:tblPrEx>
          <w:tblCellMar>
            <w:top w:w="0" w:type="dxa"/>
            <w:bottom w:w="0" w:type="dxa"/>
          </w:tblCellMar>
        </w:tblPrEx>
        <w:trPr>
          <w:trHeight w:val="284"/>
        </w:trPr>
        <w:tc>
          <w:tcPr>
            <w:tcW w:w="4911" w:type="dxa"/>
          </w:tcPr>
          <w:p w:rsidR="006E4E11" w:rsidRPr="00D705AB" w:rsidRDefault="006E4E11">
            <w:pPr>
              <w:pStyle w:val="Avsndare"/>
              <w:framePr w:h="2483" w:wrap="notBeside" w:x="1504"/>
              <w:rPr>
                <w:bCs/>
                <w:iCs/>
              </w:rPr>
            </w:pPr>
          </w:p>
        </w:tc>
      </w:tr>
      <w:tr w:rsidR="006E4E11" w:rsidRPr="00D705AB">
        <w:tblPrEx>
          <w:tblCellMar>
            <w:top w:w="0" w:type="dxa"/>
            <w:bottom w:w="0" w:type="dxa"/>
          </w:tblCellMar>
        </w:tblPrEx>
        <w:trPr>
          <w:trHeight w:val="284"/>
        </w:trPr>
        <w:tc>
          <w:tcPr>
            <w:tcW w:w="4911" w:type="dxa"/>
          </w:tcPr>
          <w:p w:rsidR="006E4E11" w:rsidRPr="00D705AB" w:rsidRDefault="006E4E11">
            <w:pPr>
              <w:pStyle w:val="Avsndare"/>
              <w:framePr w:h="2483" w:wrap="notBeside" w:x="1504"/>
              <w:rPr>
                <w:bCs/>
                <w:iCs/>
              </w:rPr>
            </w:pPr>
          </w:p>
        </w:tc>
      </w:tr>
      <w:tr w:rsidR="006E4E11" w:rsidRPr="00D705AB">
        <w:tblPrEx>
          <w:tblCellMar>
            <w:top w:w="0" w:type="dxa"/>
            <w:bottom w:w="0" w:type="dxa"/>
          </w:tblCellMar>
        </w:tblPrEx>
        <w:trPr>
          <w:trHeight w:val="284"/>
        </w:trPr>
        <w:tc>
          <w:tcPr>
            <w:tcW w:w="4911" w:type="dxa"/>
          </w:tcPr>
          <w:p w:rsidR="006E4E11" w:rsidRPr="00D705AB" w:rsidRDefault="006E4E11">
            <w:pPr>
              <w:pStyle w:val="Avsndare"/>
              <w:framePr w:h="2483" w:wrap="notBeside" w:x="1504"/>
              <w:rPr>
                <w:bCs/>
                <w:iCs/>
              </w:rPr>
            </w:pPr>
          </w:p>
        </w:tc>
      </w:tr>
      <w:tr w:rsidR="006E4E11" w:rsidRPr="00D705AB">
        <w:tblPrEx>
          <w:tblCellMar>
            <w:top w:w="0" w:type="dxa"/>
            <w:bottom w:w="0" w:type="dxa"/>
          </w:tblCellMar>
        </w:tblPrEx>
        <w:trPr>
          <w:trHeight w:val="284"/>
        </w:trPr>
        <w:tc>
          <w:tcPr>
            <w:tcW w:w="4911" w:type="dxa"/>
          </w:tcPr>
          <w:p w:rsidR="006E4E11" w:rsidRPr="00D705AB" w:rsidRDefault="006E4E11">
            <w:pPr>
              <w:pStyle w:val="Avsndare"/>
              <w:framePr w:h="2483" w:wrap="notBeside" w:x="1504"/>
              <w:rPr>
                <w:bCs/>
                <w:iCs/>
              </w:rPr>
            </w:pPr>
          </w:p>
        </w:tc>
      </w:tr>
      <w:tr w:rsidR="006E4E11" w:rsidRPr="00D705AB">
        <w:tblPrEx>
          <w:tblCellMar>
            <w:top w:w="0" w:type="dxa"/>
            <w:bottom w:w="0" w:type="dxa"/>
          </w:tblCellMar>
        </w:tblPrEx>
        <w:trPr>
          <w:trHeight w:val="284"/>
        </w:trPr>
        <w:tc>
          <w:tcPr>
            <w:tcW w:w="4911" w:type="dxa"/>
          </w:tcPr>
          <w:p w:rsidR="006E4E11" w:rsidRPr="00D705AB" w:rsidRDefault="006E4E11">
            <w:pPr>
              <w:pStyle w:val="Avsndare"/>
              <w:framePr w:h="2483" w:wrap="notBeside" w:x="1504"/>
              <w:rPr>
                <w:bCs/>
                <w:iCs/>
              </w:rPr>
            </w:pPr>
          </w:p>
        </w:tc>
      </w:tr>
      <w:tr w:rsidR="00C31E4A" w:rsidRPr="00D705AB">
        <w:tblPrEx>
          <w:tblCellMar>
            <w:top w:w="0" w:type="dxa"/>
            <w:bottom w:w="0" w:type="dxa"/>
          </w:tblCellMar>
        </w:tblPrEx>
        <w:trPr>
          <w:trHeight w:val="284"/>
        </w:trPr>
        <w:tc>
          <w:tcPr>
            <w:tcW w:w="4911" w:type="dxa"/>
          </w:tcPr>
          <w:p w:rsidR="00C31E4A" w:rsidRPr="00D705AB" w:rsidRDefault="00C31E4A">
            <w:pPr>
              <w:pStyle w:val="Avsndare"/>
              <w:framePr w:h="2483" w:wrap="notBeside" w:x="1504"/>
              <w:rPr>
                <w:bCs/>
                <w:iCs/>
              </w:rPr>
            </w:pPr>
          </w:p>
        </w:tc>
      </w:tr>
    </w:tbl>
    <w:p w:rsidR="006E4E11" w:rsidRPr="00D705AB" w:rsidRDefault="006E4E11">
      <w:pPr>
        <w:framePr w:w="4400" w:h="2523" w:wrap="notBeside" w:vAnchor="page" w:hAnchor="page" w:x="6453" w:y="2445"/>
        <w:ind w:left="142"/>
      </w:pPr>
    </w:p>
    <w:p w:rsidR="006E4E11" w:rsidRPr="00D705AB" w:rsidRDefault="006E4E11">
      <w:pPr>
        <w:pStyle w:val="RKnormal"/>
      </w:pPr>
    </w:p>
    <w:p w:rsidR="00C31E4A" w:rsidRPr="00D705AB" w:rsidRDefault="00441856" w:rsidP="00C31E4A">
      <w:pPr>
        <w:pStyle w:val="RKrubrik"/>
        <w:pBdr>
          <w:bottom w:val="single" w:sz="4" w:space="1" w:color="000000"/>
        </w:pBdr>
        <w:spacing w:before="0" w:after="0"/>
      </w:pPr>
      <w:r w:rsidRPr="00D705AB">
        <w:t>Kommenterad dagordning inför j</w:t>
      </w:r>
      <w:r w:rsidR="00C31E4A" w:rsidRPr="00D705AB">
        <w:t xml:space="preserve">ordbruks- och fiskerådet den </w:t>
      </w:r>
      <w:r w:rsidR="00BF5095" w:rsidRPr="00D705AB">
        <w:t>19 juli</w:t>
      </w:r>
      <w:r w:rsidR="008E147C" w:rsidRPr="00D705AB">
        <w:t xml:space="preserve"> </w:t>
      </w:r>
      <w:r w:rsidR="00C31E4A" w:rsidRPr="00D705AB">
        <w:t>2011</w:t>
      </w:r>
    </w:p>
    <w:p w:rsidR="00C31E4A" w:rsidRPr="00D705AB" w:rsidRDefault="00C31E4A" w:rsidP="00C31E4A">
      <w:pPr>
        <w:pStyle w:val="RKrubrik"/>
      </w:pPr>
      <w:r w:rsidRPr="00D705AB">
        <w:t>1. Godkännande av dagordningen</w:t>
      </w:r>
    </w:p>
    <w:p w:rsidR="00C31E4A" w:rsidRPr="00D705AB" w:rsidRDefault="00C31E4A" w:rsidP="00C31E4A">
      <w:pPr>
        <w:pStyle w:val="RKrubrik"/>
      </w:pPr>
      <w:r w:rsidRPr="00D705AB">
        <w:t>2. Lagstiftningsöverläggning –</w:t>
      </w:r>
      <w:r w:rsidR="00BF5D6E" w:rsidRPr="00D705AB">
        <w:t xml:space="preserve"> </w:t>
      </w:r>
      <w:r w:rsidRPr="00D705AB">
        <w:t>godkännande av a-punktslistan</w:t>
      </w:r>
    </w:p>
    <w:p w:rsidR="00C31E4A" w:rsidRPr="00D705AB" w:rsidRDefault="00C31E4A" w:rsidP="00C31E4A">
      <w:pPr>
        <w:pStyle w:val="RKrubrik"/>
      </w:pPr>
      <w:r w:rsidRPr="00D705AB">
        <w:t xml:space="preserve">3. Icke lagstiftande verksamhet </w:t>
      </w:r>
      <w:r w:rsidR="00BF5D6E" w:rsidRPr="00D705AB">
        <w:t>–</w:t>
      </w:r>
      <w:r w:rsidRPr="00D705AB">
        <w:t xml:space="preserve"> godkännande av a-punktslistan</w:t>
      </w:r>
    </w:p>
    <w:p w:rsidR="00BF5095" w:rsidRPr="00D705AB" w:rsidRDefault="00BF5095" w:rsidP="00BF5095">
      <w:pPr>
        <w:pStyle w:val="RKnormal"/>
      </w:pPr>
    </w:p>
    <w:p w:rsidR="00BF5095" w:rsidRPr="00D705AB" w:rsidRDefault="00BF5095" w:rsidP="00BF5095"/>
    <w:p w:rsidR="00441856" w:rsidRPr="00D705AB" w:rsidRDefault="00BF5095" w:rsidP="00441856">
      <w:pPr>
        <w:tabs>
          <w:tab w:val="left" w:pos="360"/>
        </w:tabs>
        <w:spacing w:line="240" w:lineRule="auto"/>
        <w:ind w:left="567" w:hanging="567"/>
        <w:rPr>
          <w:b/>
          <w:szCs w:val="24"/>
        </w:rPr>
      </w:pPr>
      <w:r w:rsidRPr="00D705AB">
        <w:rPr>
          <w:b/>
        </w:rPr>
        <w:t>4.</w:t>
      </w:r>
      <w:r w:rsidRPr="00D705AB">
        <w:rPr>
          <w:b/>
        </w:rPr>
        <w:tab/>
      </w:r>
      <w:r w:rsidRPr="00D705AB">
        <w:rPr>
          <w:b/>
        </w:rPr>
        <w:tab/>
      </w:r>
      <w:r w:rsidRPr="00D705AB">
        <w:rPr>
          <w:b/>
          <w:szCs w:val="24"/>
        </w:rPr>
        <w:t>Ordförandeskapets arbetsprogram</w:t>
      </w:r>
    </w:p>
    <w:p w:rsidR="00BF5095" w:rsidRPr="00D705AB" w:rsidRDefault="00441856" w:rsidP="00441856">
      <w:pPr>
        <w:tabs>
          <w:tab w:val="left" w:pos="360"/>
        </w:tabs>
        <w:spacing w:line="240" w:lineRule="auto"/>
        <w:ind w:left="567" w:hanging="567"/>
        <w:rPr>
          <w:b/>
          <w:szCs w:val="24"/>
        </w:rPr>
      </w:pPr>
      <w:r w:rsidRPr="00D705AB">
        <w:rPr>
          <w:b/>
          <w:szCs w:val="24"/>
        </w:rPr>
        <w:t xml:space="preserve">          </w:t>
      </w:r>
      <w:r w:rsidR="00BF5095" w:rsidRPr="00D705AB">
        <w:rPr>
          <w:szCs w:val="24"/>
        </w:rPr>
        <w:t>[offentlig debatt i enlighet med artikel 8.3 i rådets arbetsordning (på förslag av ordförandeskapet)]</w:t>
      </w:r>
    </w:p>
    <w:p w:rsidR="00BF5095" w:rsidRPr="00D705AB" w:rsidRDefault="00BF5095" w:rsidP="00BF5095">
      <w:pPr>
        <w:tabs>
          <w:tab w:val="left" w:pos="360"/>
        </w:tabs>
        <w:spacing w:line="240" w:lineRule="auto"/>
        <w:ind w:left="567"/>
        <w:rPr>
          <w:i/>
          <w:color w:val="000000"/>
          <w:szCs w:val="24"/>
        </w:rPr>
      </w:pPr>
      <w:r w:rsidRPr="00D705AB">
        <w:rPr>
          <w:szCs w:val="24"/>
        </w:rPr>
        <w:t>-</w:t>
      </w:r>
      <w:r w:rsidRPr="00D705AB">
        <w:rPr>
          <w:szCs w:val="24"/>
        </w:rPr>
        <w:tab/>
      </w:r>
      <w:r w:rsidRPr="00D705AB">
        <w:rPr>
          <w:i/>
          <w:szCs w:val="24"/>
        </w:rPr>
        <w:t>Föredragning av ordförandeskapet</w:t>
      </w:r>
    </w:p>
    <w:p w:rsidR="00BF5095" w:rsidRPr="00D705AB" w:rsidRDefault="00BF5095" w:rsidP="00BF5095">
      <w:pPr>
        <w:tabs>
          <w:tab w:val="left" w:pos="360"/>
        </w:tabs>
        <w:spacing w:line="240" w:lineRule="auto"/>
        <w:ind w:left="567"/>
        <w:rPr>
          <w:i/>
          <w:color w:val="000000"/>
          <w:szCs w:val="24"/>
        </w:rPr>
      </w:pPr>
    </w:p>
    <w:p w:rsidR="00994E4E" w:rsidRPr="00D705AB" w:rsidRDefault="00994E4E" w:rsidP="00994E4E">
      <w:pPr>
        <w:pStyle w:val="RKnormal"/>
        <w:rPr>
          <w:i/>
          <w:iCs/>
        </w:rPr>
      </w:pPr>
      <w:r w:rsidRPr="00D705AB">
        <w:rPr>
          <w:i/>
          <w:iCs/>
        </w:rPr>
        <w:t>Dokumentbeteckning</w:t>
      </w:r>
    </w:p>
    <w:p w:rsidR="00994E4E" w:rsidRPr="00D705AB" w:rsidRDefault="00994E4E" w:rsidP="00994E4E">
      <w:pPr>
        <w:pStyle w:val="RKnormal"/>
      </w:pPr>
      <w:r w:rsidRPr="00D705AB">
        <w:t>-</w:t>
      </w:r>
    </w:p>
    <w:p w:rsidR="00994E4E" w:rsidRPr="00D705AB" w:rsidRDefault="00994E4E" w:rsidP="00994E4E">
      <w:pPr>
        <w:pStyle w:val="RKnormal"/>
        <w:rPr>
          <w:i/>
          <w:iCs/>
        </w:rPr>
      </w:pPr>
    </w:p>
    <w:p w:rsidR="00994E4E" w:rsidRPr="00D705AB" w:rsidRDefault="00994E4E" w:rsidP="00994E4E">
      <w:pPr>
        <w:pStyle w:val="RKnormal"/>
        <w:rPr>
          <w:i/>
          <w:iCs/>
        </w:rPr>
      </w:pPr>
      <w:r w:rsidRPr="00D705AB">
        <w:rPr>
          <w:i/>
          <w:iCs/>
        </w:rPr>
        <w:t>Rättslig grund</w:t>
      </w:r>
    </w:p>
    <w:p w:rsidR="00994E4E" w:rsidRPr="00D705AB" w:rsidRDefault="00994E4E" w:rsidP="00994E4E">
      <w:pPr>
        <w:pStyle w:val="RKnormal"/>
      </w:pPr>
      <w:r w:rsidRPr="00D705AB">
        <w:t>-</w:t>
      </w:r>
    </w:p>
    <w:p w:rsidR="00994E4E" w:rsidRPr="00D705AB" w:rsidRDefault="00994E4E" w:rsidP="00994E4E">
      <w:pPr>
        <w:pStyle w:val="RKnormal"/>
        <w:rPr>
          <w:iCs/>
        </w:rPr>
      </w:pPr>
    </w:p>
    <w:p w:rsidR="00994E4E" w:rsidRPr="00D705AB" w:rsidRDefault="00994E4E" w:rsidP="00994E4E">
      <w:pPr>
        <w:pStyle w:val="RKnormal"/>
        <w:rPr>
          <w:i/>
          <w:iCs/>
        </w:rPr>
      </w:pPr>
      <w:r w:rsidRPr="00D705AB">
        <w:rPr>
          <w:i/>
          <w:iCs/>
        </w:rPr>
        <w:t>Bakgrund</w:t>
      </w:r>
    </w:p>
    <w:p w:rsidR="00432ED7" w:rsidRPr="00D705AB" w:rsidRDefault="00994E4E" w:rsidP="00994E4E">
      <w:pPr>
        <w:pStyle w:val="RKnormal"/>
        <w:rPr>
          <w:iCs/>
        </w:rPr>
      </w:pPr>
      <w:r w:rsidRPr="00D705AB">
        <w:rPr>
          <w:iCs/>
        </w:rPr>
        <w:t xml:space="preserve">Det polska ordförandeskapet kommer </w:t>
      </w:r>
      <w:r w:rsidR="00BF5D6E" w:rsidRPr="00D705AB">
        <w:rPr>
          <w:iCs/>
        </w:rPr>
        <w:t xml:space="preserve">som sedvanligt </w:t>
      </w:r>
      <w:r w:rsidRPr="00D705AB">
        <w:rPr>
          <w:iCs/>
        </w:rPr>
        <w:t>att presentera arbetsprogram</w:t>
      </w:r>
      <w:r w:rsidR="00F03F07" w:rsidRPr="00D705AB">
        <w:rPr>
          <w:iCs/>
        </w:rPr>
        <w:t>met för höstens arbete i jordbruks- och fiskerådet. I fokus är rådets arbete med kommissionens lagförslag om framtidens jordbrukspolitik och reformen av den gemensamma fiskeripolitiken. I övrigt nämns också</w:t>
      </w:r>
      <w:r w:rsidR="00F06107" w:rsidRPr="00D705AB">
        <w:rPr>
          <w:iCs/>
        </w:rPr>
        <w:t xml:space="preserve"> bl.a.</w:t>
      </w:r>
      <w:r w:rsidR="00F03F07" w:rsidRPr="00D705AB">
        <w:rPr>
          <w:iCs/>
        </w:rPr>
        <w:t xml:space="preserve"> ordförandeskapets </w:t>
      </w:r>
      <w:r w:rsidR="00F06107" w:rsidRPr="00D705AB">
        <w:rPr>
          <w:iCs/>
        </w:rPr>
        <w:t xml:space="preserve">ambitioner att diskutera frågor kring </w:t>
      </w:r>
      <w:r w:rsidR="009A0E56" w:rsidRPr="00D705AB">
        <w:rPr>
          <w:iCs/>
        </w:rPr>
        <w:t xml:space="preserve">utvecklingen av </w:t>
      </w:r>
      <w:r w:rsidR="00F06107" w:rsidRPr="00D705AB">
        <w:rPr>
          <w:iCs/>
        </w:rPr>
        <w:t>förnybara energier</w:t>
      </w:r>
      <w:r w:rsidR="00BF5D6E" w:rsidRPr="00D705AB">
        <w:rPr>
          <w:iCs/>
        </w:rPr>
        <w:t xml:space="preserve"> på landsbygden</w:t>
      </w:r>
      <w:r w:rsidR="00F06107" w:rsidRPr="00D705AB">
        <w:rPr>
          <w:iCs/>
        </w:rPr>
        <w:t>, framtiden för mjölk</w:t>
      </w:r>
      <w:r w:rsidR="00BF5D6E" w:rsidRPr="00D705AB">
        <w:rPr>
          <w:iCs/>
        </w:rPr>
        <w:t xml:space="preserve"> och mjölk</w:t>
      </w:r>
      <w:r w:rsidR="00F06107" w:rsidRPr="00D705AB">
        <w:rPr>
          <w:iCs/>
        </w:rPr>
        <w:t xml:space="preserve">produkter </w:t>
      </w:r>
      <w:r w:rsidR="00F03F07" w:rsidRPr="00D705AB">
        <w:rPr>
          <w:iCs/>
        </w:rPr>
        <w:t>och</w:t>
      </w:r>
      <w:r w:rsidR="00F06107" w:rsidRPr="00D705AB">
        <w:rPr>
          <w:iCs/>
        </w:rPr>
        <w:t xml:space="preserve"> de årliga förhandlingarna om</w:t>
      </w:r>
      <w:r w:rsidR="00F03F07" w:rsidRPr="00D705AB">
        <w:rPr>
          <w:iCs/>
        </w:rPr>
        <w:t xml:space="preserve"> f</w:t>
      </w:r>
      <w:r w:rsidR="00F06107" w:rsidRPr="00D705AB">
        <w:rPr>
          <w:iCs/>
        </w:rPr>
        <w:t xml:space="preserve">iskekvoter. </w:t>
      </w:r>
    </w:p>
    <w:p w:rsidR="00432ED7" w:rsidRPr="00D705AB" w:rsidRDefault="00432ED7" w:rsidP="00432ED7">
      <w:pPr>
        <w:pStyle w:val="Rubrik4"/>
      </w:pPr>
      <w:r w:rsidRPr="00D705AB">
        <w:t>Förslag till svensk ståndpunkt</w:t>
      </w:r>
    </w:p>
    <w:p w:rsidR="00432ED7" w:rsidRPr="00D705AB" w:rsidRDefault="00432ED7" w:rsidP="00432ED7">
      <w:pPr>
        <w:pStyle w:val="RKnormal"/>
        <w:rPr>
          <w:iCs/>
        </w:rPr>
      </w:pPr>
      <w:r w:rsidRPr="00D705AB">
        <w:rPr>
          <w:iCs/>
        </w:rPr>
        <w:t xml:space="preserve">Regeringen välkomnar ordförandeskapets arbetsprogram. </w:t>
      </w:r>
    </w:p>
    <w:p w:rsidR="00432ED7" w:rsidRPr="00D705AB" w:rsidRDefault="00432ED7" w:rsidP="00432ED7">
      <w:pPr>
        <w:pStyle w:val="Rubrik4"/>
      </w:pPr>
      <w:r w:rsidRPr="00D705AB">
        <w:lastRenderedPageBreak/>
        <w:t>MJU och EU-nämnden</w:t>
      </w:r>
    </w:p>
    <w:p w:rsidR="00432ED7" w:rsidRPr="00D705AB" w:rsidRDefault="00432ED7" w:rsidP="00432ED7">
      <w:pPr>
        <w:pStyle w:val="RKnormal"/>
      </w:pPr>
      <w:r w:rsidRPr="00D705AB">
        <w:t xml:space="preserve">Frågan har inte tidigare varit föremål </w:t>
      </w:r>
      <w:r w:rsidR="0067014E" w:rsidRPr="00D705AB">
        <w:t xml:space="preserve">för </w:t>
      </w:r>
      <w:r w:rsidRPr="00D705AB">
        <w:t xml:space="preserve">samråd med EU-nämnden. </w:t>
      </w:r>
      <w:r w:rsidR="00F06107" w:rsidRPr="00D705AB">
        <w:t xml:space="preserve">Landsbygdsministern </w:t>
      </w:r>
      <w:r w:rsidR="00C953B7" w:rsidRPr="00D705AB">
        <w:t>informerade i MJU den 21 juni 2011</w:t>
      </w:r>
      <w:r w:rsidR="00F06107" w:rsidRPr="00D705AB">
        <w:t xml:space="preserve"> om det </w:t>
      </w:r>
      <w:r w:rsidR="00C953B7" w:rsidRPr="00D705AB">
        <w:t>in</w:t>
      </w:r>
      <w:r w:rsidR="00F06107" w:rsidRPr="00D705AB">
        <w:t>kommande polska ordförandeskapet</w:t>
      </w:r>
      <w:r w:rsidR="00C953B7" w:rsidRPr="00D705AB">
        <w:t>.</w:t>
      </w:r>
    </w:p>
    <w:p w:rsidR="00432ED7" w:rsidRPr="00D705AB" w:rsidRDefault="00432ED7" w:rsidP="00994E4E">
      <w:pPr>
        <w:pStyle w:val="RKnormal"/>
        <w:rPr>
          <w:iCs/>
        </w:rPr>
      </w:pPr>
    </w:p>
    <w:p w:rsidR="00994E4E" w:rsidRPr="00D705AB" w:rsidRDefault="00994E4E" w:rsidP="00BF5095">
      <w:pPr>
        <w:tabs>
          <w:tab w:val="left" w:pos="360"/>
        </w:tabs>
        <w:spacing w:line="240" w:lineRule="auto"/>
        <w:ind w:left="567"/>
        <w:rPr>
          <w:i/>
          <w:color w:val="000000"/>
          <w:szCs w:val="24"/>
        </w:rPr>
      </w:pPr>
    </w:p>
    <w:p w:rsidR="00BF5095" w:rsidRPr="00D705AB" w:rsidRDefault="00BF5095" w:rsidP="00BF5095">
      <w:pPr>
        <w:tabs>
          <w:tab w:val="left" w:pos="360"/>
        </w:tabs>
        <w:spacing w:line="240" w:lineRule="auto"/>
        <w:ind w:left="567"/>
        <w:rPr>
          <w:i/>
          <w:color w:val="000000"/>
          <w:szCs w:val="24"/>
        </w:rPr>
      </w:pPr>
    </w:p>
    <w:p w:rsidR="00BF5095" w:rsidRPr="00D705AB" w:rsidRDefault="00BF5095" w:rsidP="00BF5095">
      <w:pPr>
        <w:spacing w:line="240" w:lineRule="auto"/>
        <w:jc w:val="center"/>
        <w:outlineLvl w:val="0"/>
        <w:rPr>
          <w:b/>
          <w:u w:val="single"/>
        </w:rPr>
      </w:pPr>
    </w:p>
    <w:p w:rsidR="00BF5095" w:rsidRPr="00D705AB" w:rsidRDefault="00BF5095" w:rsidP="00BF5095">
      <w:pPr>
        <w:tabs>
          <w:tab w:val="left" w:pos="360"/>
        </w:tabs>
        <w:spacing w:line="240" w:lineRule="auto"/>
        <w:ind w:left="567"/>
        <w:rPr>
          <w:color w:val="000000"/>
          <w:szCs w:val="24"/>
        </w:rPr>
      </w:pPr>
    </w:p>
    <w:p w:rsidR="00BF5095" w:rsidRPr="00D705AB" w:rsidRDefault="00203852" w:rsidP="00203852">
      <w:pPr>
        <w:pStyle w:val="Normalwebb"/>
        <w:spacing w:before="0" w:beforeAutospacing="0" w:after="0" w:afterAutospacing="0" w:line="360" w:lineRule="auto"/>
        <w:jc w:val="center"/>
        <w:rPr>
          <w:b/>
          <w:u w:val="single"/>
          <w:lang w:val="sv-SE"/>
        </w:rPr>
      </w:pPr>
      <w:r w:rsidRPr="00D705AB">
        <w:rPr>
          <w:b/>
          <w:u w:val="single"/>
          <w:lang w:val="sv-SE"/>
        </w:rPr>
        <w:t>SJK-punkter</w:t>
      </w:r>
    </w:p>
    <w:p w:rsidR="00BF5095" w:rsidRPr="00D705AB" w:rsidRDefault="00BF5095" w:rsidP="00BF5095">
      <w:pPr>
        <w:pStyle w:val="Normalwebb"/>
        <w:spacing w:before="0" w:beforeAutospacing="0" w:after="0" w:afterAutospacing="0" w:line="360" w:lineRule="auto"/>
        <w:rPr>
          <w:b/>
          <w:u w:val="single"/>
          <w:lang w:val="sv-SE"/>
        </w:rPr>
      </w:pPr>
    </w:p>
    <w:p w:rsidR="00C953B7" w:rsidRPr="00D705AB" w:rsidRDefault="00BF5095" w:rsidP="00994E4E">
      <w:pPr>
        <w:tabs>
          <w:tab w:val="left" w:pos="360"/>
        </w:tabs>
        <w:spacing w:line="240" w:lineRule="auto"/>
        <w:ind w:left="567" w:hanging="567"/>
        <w:rPr>
          <w:b/>
        </w:rPr>
      </w:pPr>
      <w:r w:rsidRPr="00D705AB">
        <w:rPr>
          <w:b/>
        </w:rPr>
        <w:t>5.</w:t>
      </w:r>
      <w:r w:rsidRPr="00D705AB">
        <w:rPr>
          <w:b/>
        </w:rPr>
        <w:tab/>
      </w:r>
      <w:r w:rsidR="00C953B7" w:rsidRPr="00D705AB">
        <w:tab/>
      </w:r>
      <w:r w:rsidRPr="00D705AB">
        <w:rPr>
          <w:b/>
        </w:rPr>
        <w:t xml:space="preserve">Grönbok om främjandeåtgärder för och information </w:t>
      </w:r>
      <w:r w:rsidR="00C953B7" w:rsidRPr="00D705AB">
        <w:rPr>
          <w:b/>
        </w:rPr>
        <w:t xml:space="preserve">  </w:t>
      </w:r>
      <w:r w:rsidR="00C953B7" w:rsidRPr="00D705AB">
        <w:rPr>
          <w:b/>
        </w:rPr>
        <w:tab/>
      </w:r>
    </w:p>
    <w:p w:rsidR="00BF5095" w:rsidRPr="00D705AB" w:rsidRDefault="00C953B7" w:rsidP="00994E4E">
      <w:pPr>
        <w:tabs>
          <w:tab w:val="left" w:pos="360"/>
        </w:tabs>
        <w:spacing w:line="240" w:lineRule="auto"/>
        <w:ind w:left="567" w:hanging="567"/>
      </w:pPr>
      <w:r w:rsidRPr="00D705AB">
        <w:rPr>
          <w:b/>
        </w:rPr>
        <w:tab/>
      </w:r>
      <w:r w:rsidRPr="00D705AB">
        <w:rPr>
          <w:b/>
        </w:rPr>
        <w:tab/>
      </w:r>
      <w:r w:rsidR="00BF5095" w:rsidRPr="00D705AB">
        <w:rPr>
          <w:b/>
        </w:rPr>
        <w:t xml:space="preserve">om jordbruksprodukter: en förstärkt europeisk </w:t>
      </w:r>
      <w:r w:rsidRPr="00D705AB">
        <w:rPr>
          <w:b/>
        </w:rPr>
        <w:tab/>
      </w:r>
      <w:r w:rsidRPr="00D705AB">
        <w:rPr>
          <w:b/>
        </w:rPr>
        <w:tab/>
      </w:r>
      <w:r w:rsidRPr="00D705AB">
        <w:rPr>
          <w:b/>
        </w:rPr>
        <w:tab/>
      </w:r>
      <w:r w:rsidR="00BF5095" w:rsidRPr="00D705AB">
        <w:rPr>
          <w:b/>
        </w:rPr>
        <w:t>mervärdesstrategi för att främja Europas smaker</w:t>
      </w:r>
      <w:r w:rsidR="00BF5095" w:rsidRPr="00D705AB">
        <w:t xml:space="preserve"> </w:t>
      </w:r>
    </w:p>
    <w:p w:rsidR="00BF5095" w:rsidRPr="00D705AB" w:rsidRDefault="00994E4E" w:rsidP="00994E4E">
      <w:pPr>
        <w:tabs>
          <w:tab w:val="left" w:pos="360"/>
        </w:tabs>
        <w:spacing w:line="240" w:lineRule="auto"/>
        <w:ind w:left="567" w:hanging="567"/>
        <w:rPr>
          <w:i/>
        </w:rPr>
      </w:pPr>
      <w:r w:rsidRPr="00D705AB">
        <w:tab/>
      </w:r>
      <w:r w:rsidRPr="00D705AB">
        <w:tab/>
      </w:r>
      <w:r w:rsidRPr="00D705AB">
        <w:tab/>
      </w:r>
      <w:r w:rsidRPr="00D705AB">
        <w:tab/>
      </w:r>
      <w:r w:rsidRPr="00D705AB">
        <w:rPr>
          <w:i/>
        </w:rPr>
        <w:t>-</w:t>
      </w:r>
      <w:r w:rsidR="00BF5095" w:rsidRPr="00D705AB">
        <w:rPr>
          <w:i/>
        </w:rPr>
        <w:t>Föredragning av kommissionen</w:t>
      </w:r>
    </w:p>
    <w:p w:rsidR="00BF5095" w:rsidRPr="00D705AB" w:rsidRDefault="00994E4E" w:rsidP="00994E4E">
      <w:pPr>
        <w:tabs>
          <w:tab w:val="left" w:pos="360"/>
        </w:tabs>
        <w:spacing w:line="240" w:lineRule="auto"/>
        <w:ind w:left="567" w:hanging="567"/>
        <w:rPr>
          <w:i/>
        </w:rPr>
      </w:pPr>
      <w:r w:rsidRPr="00D705AB">
        <w:rPr>
          <w:i/>
        </w:rPr>
        <w:tab/>
      </w:r>
      <w:r w:rsidRPr="00D705AB">
        <w:rPr>
          <w:i/>
        </w:rPr>
        <w:tab/>
      </w:r>
      <w:r w:rsidRPr="00D705AB">
        <w:rPr>
          <w:i/>
        </w:rPr>
        <w:tab/>
      </w:r>
      <w:r w:rsidRPr="00D705AB">
        <w:rPr>
          <w:i/>
        </w:rPr>
        <w:tab/>
      </w:r>
      <w:r w:rsidR="00BF5095" w:rsidRPr="00D705AB">
        <w:rPr>
          <w:i/>
        </w:rPr>
        <w:t>-Diskussion</w:t>
      </w:r>
    </w:p>
    <w:p w:rsidR="00994E4E" w:rsidRPr="00D705AB" w:rsidRDefault="00994E4E" w:rsidP="00BF5095">
      <w:pPr>
        <w:pStyle w:val="Normaltindrag"/>
        <w:spacing w:line="240" w:lineRule="auto"/>
        <w:rPr>
          <w:i/>
          <w:szCs w:val="24"/>
          <w:lang w:val="sv-SE"/>
        </w:rPr>
      </w:pPr>
    </w:p>
    <w:p w:rsidR="00994E4E" w:rsidRPr="00D705AB" w:rsidRDefault="00994E4E" w:rsidP="00BF5095">
      <w:pPr>
        <w:pStyle w:val="Normaltindrag"/>
        <w:spacing w:line="240" w:lineRule="auto"/>
        <w:rPr>
          <w:i/>
          <w:szCs w:val="24"/>
          <w:lang w:val="sv-SE"/>
        </w:rPr>
      </w:pPr>
    </w:p>
    <w:p w:rsidR="00636D79" w:rsidRPr="00D705AB" w:rsidRDefault="00636D79" w:rsidP="00636D79">
      <w:pPr>
        <w:tabs>
          <w:tab w:val="left" w:pos="2835"/>
        </w:tabs>
        <w:overflowPunct/>
        <w:spacing w:line="240" w:lineRule="auto"/>
        <w:jc w:val="both"/>
        <w:textAlignment w:val="auto"/>
        <w:rPr>
          <w:rFonts w:cs="OrigGarmnd BT"/>
          <w:i/>
          <w:iCs/>
          <w:color w:val="000000"/>
          <w:szCs w:val="24"/>
          <w:lang w:eastAsia="sv-SE"/>
        </w:rPr>
      </w:pPr>
      <w:r w:rsidRPr="00D705AB">
        <w:rPr>
          <w:rFonts w:cs="OrigGarmnd BT"/>
          <w:i/>
          <w:iCs/>
          <w:color w:val="000000"/>
          <w:szCs w:val="24"/>
          <w:lang w:eastAsia="sv-SE"/>
        </w:rPr>
        <w:t>Dokumentbeteckning</w:t>
      </w:r>
    </w:p>
    <w:p w:rsidR="00636D79" w:rsidRPr="00D705AB" w:rsidRDefault="00BF5D6E" w:rsidP="00636D79">
      <w:pPr>
        <w:tabs>
          <w:tab w:val="left" w:pos="2835"/>
        </w:tabs>
        <w:overflowPunct/>
        <w:spacing w:line="240" w:lineRule="auto"/>
        <w:jc w:val="both"/>
        <w:textAlignment w:val="auto"/>
        <w:rPr>
          <w:rFonts w:cs="OrigGarmnd BT"/>
          <w:color w:val="000000"/>
          <w:szCs w:val="24"/>
          <w:lang w:eastAsia="sv-SE"/>
        </w:rPr>
      </w:pPr>
      <w:r w:rsidRPr="00D705AB">
        <w:rPr>
          <w:rFonts w:cs="OrigGarmnd BT"/>
          <w:color w:val="000000"/>
          <w:szCs w:val="24"/>
          <w:lang w:eastAsia="sv-SE"/>
        </w:rPr>
        <w:t>-</w:t>
      </w:r>
      <w:r w:rsidR="00C953B7" w:rsidRPr="00D705AB">
        <w:rPr>
          <w:rFonts w:cs="OrigGarmnd BT"/>
          <w:color w:val="000000"/>
          <w:szCs w:val="24"/>
          <w:lang w:eastAsia="sv-SE"/>
        </w:rPr>
        <w:t xml:space="preserve"> Dokument ej inkommit 8 juli 2011. </w:t>
      </w: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r w:rsidRPr="00D705AB">
        <w:rPr>
          <w:rFonts w:cs="OrigGarmnd BT"/>
          <w:i/>
          <w:iCs/>
          <w:color w:val="000000"/>
          <w:szCs w:val="24"/>
          <w:lang w:eastAsia="sv-SE"/>
        </w:rPr>
        <w:t>Rättslig grund</w:t>
      </w:r>
    </w:p>
    <w:p w:rsidR="00636D79" w:rsidRPr="00D705AB" w:rsidRDefault="00636D79" w:rsidP="00636D79">
      <w:pPr>
        <w:tabs>
          <w:tab w:val="left" w:pos="2835"/>
        </w:tabs>
        <w:overflowPunct/>
        <w:spacing w:line="240" w:lineRule="auto"/>
        <w:textAlignment w:val="auto"/>
        <w:rPr>
          <w:rFonts w:cs="OrigGarmnd BT"/>
          <w:color w:val="000000"/>
          <w:szCs w:val="24"/>
          <w:lang w:eastAsia="sv-SE"/>
        </w:rPr>
      </w:pPr>
      <w:r w:rsidRPr="00D705AB">
        <w:rPr>
          <w:rFonts w:cs="OrigGarmnd BT"/>
          <w:color w:val="000000"/>
          <w:szCs w:val="24"/>
          <w:lang w:eastAsia="sv-SE"/>
        </w:rPr>
        <w:t>-</w:t>
      </w: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r w:rsidRPr="00D705AB">
        <w:rPr>
          <w:rFonts w:cs="OrigGarmnd BT"/>
          <w:i/>
          <w:iCs/>
          <w:color w:val="000000"/>
          <w:szCs w:val="24"/>
          <w:lang w:eastAsia="sv-SE"/>
        </w:rPr>
        <w:t>Bakgrund</w:t>
      </w:r>
    </w:p>
    <w:p w:rsidR="00636D79" w:rsidRPr="00D705AB" w:rsidRDefault="00636D79" w:rsidP="00636D79">
      <w:pPr>
        <w:tabs>
          <w:tab w:val="left" w:pos="2835"/>
        </w:tabs>
        <w:overflowPunct/>
        <w:spacing w:line="240" w:lineRule="auto"/>
        <w:textAlignment w:val="auto"/>
        <w:rPr>
          <w:rFonts w:cs="OrigGarmnd BT"/>
          <w:color w:val="000000"/>
          <w:szCs w:val="24"/>
          <w:lang w:eastAsia="sv-SE"/>
        </w:rPr>
      </w:pPr>
      <w:r w:rsidRPr="00D705AB">
        <w:rPr>
          <w:rFonts w:cs="OrigGarmnd BT"/>
          <w:color w:val="000000"/>
          <w:szCs w:val="24"/>
          <w:lang w:eastAsia="sv-SE"/>
        </w:rPr>
        <w:t>Kommissionen förväntas presentera en grönbok om en ändrad strategi och organisation för offentligt finansierade informationskampanjer och säljfrämjande åtgärder. Avsikten med grönboken bedöms vara att initiera en diskussion om hur nuvarande system kan vidareutvecklas och stärkas som instrument i den gemensamma jordbrukspolitiken efter 2013.</w:t>
      </w: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r w:rsidRPr="00D705AB">
        <w:rPr>
          <w:rFonts w:cs="OrigGarmnd BT"/>
          <w:i/>
          <w:iCs/>
          <w:color w:val="000000"/>
          <w:szCs w:val="24"/>
          <w:lang w:eastAsia="sv-SE"/>
        </w:rPr>
        <w:t>Förslag till svensk ståndpunkt</w:t>
      </w:r>
    </w:p>
    <w:p w:rsidR="00636D79" w:rsidRPr="00D705AB" w:rsidRDefault="00636D79" w:rsidP="00636D79">
      <w:pPr>
        <w:pStyle w:val="RKnormal"/>
        <w:rPr>
          <w:szCs w:val="24"/>
          <w:lang w:eastAsia="sv-SE"/>
        </w:rPr>
      </w:pPr>
      <w:r w:rsidRPr="00D705AB">
        <w:rPr>
          <w:lang w:eastAsia="sv-SE"/>
        </w:rPr>
        <w:t xml:space="preserve">Regeringens övergripande ståndpunkt är att informationskampanjer och säljfrämjande åtgärder inte ska finansieras med offentliga medel. Företag och organisationer bör själva stå för </w:t>
      </w:r>
      <w:r w:rsidR="00BF5D6E" w:rsidRPr="00D705AB">
        <w:rPr>
          <w:lang w:eastAsia="sv-SE"/>
        </w:rPr>
        <w:t xml:space="preserve">de </w:t>
      </w:r>
      <w:r w:rsidRPr="00D705AB">
        <w:rPr>
          <w:lang w:eastAsia="sv-SE"/>
        </w:rPr>
        <w:t xml:space="preserve">kostnader som uppstår i samband med denna typ av åtgärder. </w:t>
      </w:r>
    </w:p>
    <w:p w:rsidR="00636D79" w:rsidRPr="00D705AB" w:rsidRDefault="00636D79" w:rsidP="00636D79">
      <w:pPr>
        <w:pStyle w:val="RKnormal"/>
        <w:rPr>
          <w:szCs w:val="24"/>
          <w:lang w:eastAsia="sv-SE"/>
        </w:rPr>
      </w:pPr>
    </w:p>
    <w:p w:rsidR="00636D79" w:rsidRPr="00D705AB" w:rsidRDefault="00636D79" w:rsidP="00636D79">
      <w:pPr>
        <w:pStyle w:val="RKnormal"/>
        <w:rPr>
          <w:szCs w:val="24"/>
          <w:lang w:eastAsia="sv-SE"/>
        </w:rPr>
      </w:pPr>
      <w:r w:rsidRPr="00D705AB">
        <w:rPr>
          <w:szCs w:val="24"/>
          <w:lang w:eastAsia="sv-SE"/>
        </w:rPr>
        <w:t>Inför det faktum att sy</w:t>
      </w:r>
      <w:r w:rsidR="00441856" w:rsidRPr="00D705AB">
        <w:rPr>
          <w:szCs w:val="24"/>
          <w:lang w:eastAsia="sv-SE"/>
        </w:rPr>
        <w:t xml:space="preserve">stemet med offentligt stöd till </w:t>
      </w:r>
      <w:r w:rsidRPr="00D705AB">
        <w:rPr>
          <w:szCs w:val="24"/>
          <w:lang w:eastAsia="sv-SE"/>
        </w:rPr>
        <w:t xml:space="preserve">informationskampanjer och säljfrämjande insatser redan existerar ligger det i svenskt intresse att bevaka att gemenskapens medel utnyttjas på ett så effektivt sätt som möjligt samt att regelförenkling eftersträvas. Vidare är det viktigt att </w:t>
      </w:r>
      <w:r w:rsidRPr="00D705AB">
        <w:rPr>
          <w:lang w:eastAsia="sv-SE"/>
        </w:rPr>
        <w:t>medlemsstaternas deltagande med finansiering</w:t>
      </w:r>
      <w:r w:rsidRPr="00D705AB">
        <w:rPr>
          <w:szCs w:val="24"/>
          <w:lang w:eastAsia="sv-SE"/>
        </w:rPr>
        <w:t xml:space="preserve"> förblir </w:t>
      </w:r>
      <w:r w:rsidRPr="00D705AB">
        <w:rPr>
          <w:lang w:eastAsia="sv-SE"/>
        </w:rPr>
        <w:t xml:space="preserve">frivilligt, att </w:t>
      </w:r>
      <w:r w:rsidRPr="00D705AB">
        <w:rPr>
          <w:szCs w:val="24"/>
          <w:lang w:eastAsia="sv-SE"/>
        </w:rPr>
        <w:t>regelverket kan tillämpas på ett sätt som innebär att alla medlemsstater i unionen behandlas lika</w:t>
      </w:r>
      <w:r w:rsidR="00207A53" w:rsidRPr="00D705AB">
        <w:rPr>
          <w:szCs w:val="24"/>
          <w:lang w:eastAsia="sv-SE"/>
        </w:rPr>
        <w:t xml:space="preserve"> </w:t>
      </w:r>
      <w:r w:rsidRPr="00D705AB">
        <w:rPr>
          <w:szCs w:val="24"/>
          <w:lang w:eastAsia="sv-SE"/>
        </w:rPr>
        <w:t>samt att stöd till marknadsföring av produkter som kan vara skadliga för hälsan motverkas.</w:t>
      </w:r>
    </w:p>
    <w:p w:rsidR="00C953B7" w:rsidRPr="00D705AB" w:rsidRDefault="00C953B7" w:rsidP="00636D79">
      <w:pPr>
        <w:pStyle w:val="RKnormal"/>
        <w:rPr>
          <w:szCs w:val="24"/>
          <w:lang w:eastAsia="sv-SE"/>
        </w:rPr>
      </w:pPr>
    </w:p>
    <w:p w:rsidR="00636D79" w:rsidRPr="00D705AB" w:rsidRDefault="00636D79" w:rsidP="00636D79">
      <w:pPr>
        <w:pStyle w:val="RKnormal"/>
        <w:rPr>
          <w:szCs w:val="24"/>
          <w:lang w:eastAsia="sv-SE"/>
        </w:rPr>
      </w:pPr>
    </w:p>
    <w:p w:rsidR="00636D79" w:rsidRPr="00D705AB" w:rsidRDefault="00636D79" w:rsidP="00636D79">
      <w:pPr>
        <w:tabs>
          <w:tab w:val="left" w:pos="2835"/>
        </w:tabs>
        <w:overflowPunct/>
        <w:spacing w:line="240" w:lineRule="auto"/>
        <w:textAlignment w:val="auto"/>
        <w:rPr>
          <w:rFonts w:cs="OrigGarmnd BT"/>
          <w:i/>
          <w:iCs/>
          <w:color w:val="000000"/>
          <w:szCs w:val="24"/>
          <w:lang w:eastAsia="sv-SE"/>
        </w:rPr>
      </w:pPr>
      <w:r w:rsidRPr="00D705AB">
        <w:rPr>
          <w:rFonts w:cs="OrigGarmnd BT"/>
          <w:i/>
          <w:iCs/>
          <w:color w:val="000000"/>
          <w:szCs w:val="24"/>
          <w:lang w:eastAsia="sv-SE"/>
        </w:rPr>
        <w:t>EU-nämnden och MJU</w:t>
      </w:r>
    </w:p>
    <w:p w:rsidR="00636D79" w:rsidRPr="00D705AB" w:rsidRDefault="00636D79" w:rsidP="00636D79">
      <w:pPr>
        <w:pStyle w:val="RKnormal"/>
      </w:pPr>
    </w:p>
    <w:p w:rsidR="00E66018" w:rsidRPr="00D705AB" w:rsidRDefault="00636D79" w:rsidP="00E66018">
      <w:pPr>
        <w:pStyle w:val="RKnormal"/>
      </w:pPr>
      <w:r w:rsidRPr="00D705AB">
        <w:t>Frågan har inte tidigare varit föremål för samråd med EU-nämnden eller information i MJU.</w:t>
      </w:r>
    </w:p>
    <w:p w:rsidR="00E66018" w:rsidRPr="00D705AB" w:rsidRDefault="00E66018" w:rsidP="00E66018">
      <w:pPr>
        <w:pStyle w:val="RKnormal"/>
      </w:pPr>
    </w:p>
    <w:p w:rsidR="00BF5095" w:rsidRPr="00D705AB" w:rsidRDefault="00BF5095" w:rsidP="00E66018">
      <w:pPr>
        <w:pStyle w:val="RKnormal"/>
        <w:jc w:val="center"/>
        <w:rPr>
          <w:sz w:val="28"/>
          <w:szCs w:val="28"/>
        </w:rPr>
      </w:pPr>
      <w:r w:rsidRPr="00D705AB">
        <w:rPr>
          <w:b/>
          <w:sz w:val="28"/>
          <w:szCs w:val="28"/>
          <w:u w:val="single"/>
        </w:rPr>
        <w:t>Coreper-punkter</w:t>
      </w:r>
    </w:p>
    <w:p w:rsidR="00BF5095" w:rsidRPr="00D705AB" w:rsidRDefault="00BF5095" w:rsidP="00BF5095">
      <w:pPr>
        <w:spacing w:line="240" w:lineRule="auto"/>
        <w:rPr>
          <w:b/>
          <w:u w:val="single"/>
        </w:rPr>
      </w:pPr>
    </w:p>
    <w:p w:rsidR="00BF5095" w:rsidRPr="00D705AB" w:rsidRDefault="00BF5095" w:rsidP="00BF5095">
      <w:pPr>
        <w:spacing w:line="240" w:lineRule="auto"/>
        <w:jc w:val="center"/>
        <w:rPr>
          <w:b/>
          <w:u w:val="single"/>
        </w:rPr>
      </w:pPr>
      <w:r w:rsidRPr="00D705AB">
        <w:rPr>
          <w:b/>
          <w:u w:val="single"/>
        </w:rPr>
        <w:t>FISKE</w:t>
      </w:r>
    </w:p>
    <w:p w:rsidR="00BF5095" w:rsidRPr="00D705AB" w:rsidRDefault="00BF5095" w:rsidP="00BF5095">
      <w:pPr>
        <w:spacing w:line="240" w:lineRule="auto"/>
        <w:rPr>
          <w:b/>
          <w:u w:val="single"/>
        </w:rPr>
      </w:pPr>
      <w:r w:rsidRPr="00D705AB">
        <w:rPr>
          <w:b/>
          <w:u w:val="single"/>
        </w:rPr>
        <w:t xml:space="preserve">Lagstiftningsöverläggningar </w:t>
      </w:r>
    </w:p>
    <w:p w:rsidR="00BF5095" w:rsidRPr="00D705AB" w:rsidRDefault="00BF5095" w:rsidP="00BF5095">
      <w:pPr>
        <w:spacing w:line="240" w:lineRule="auto"/>
        <w:rPr>
          <w:bCs/>
          <w:color w:val="000000"/>
        </w:rPr>
      </w:pPr>
      <w:r w:rsidRPr="00D705AB">
        <w:rPr>
          <w:bCs/>
          <w:color w:val="000000"/>
        </w:rPr>
        <w:t>(Offentlig överläggning i enlighet med artikel 16.8 i fördraget om Europeiska unionen)</w:t>
      </w:r>
    </w:p>
    <w:p w:rsidR="00BF5095" w:rsidRPr="00D705AB" w:rsidRDefault="00BF5095" w:rsidP="00BF5095">
      <w:pPr>
        <w:pStyle w:val="Normaltindrag"/>
        <w:spacing w:line="336" w:lineRule="auto"/>
        <w:ind w:left="0"/>
        <w:rPr>
          <w:lang w:val="sv-SE"/>
        </w:rPr>
      </w:pPr>
    </w:p>
    <w:p w:rsidR="00BF5095" w:rsidRPr="00D705AB" w:rsidRDefault="00BF5095" w:rsidP="00BF5095">
      <w:pPr>
        <w:pStyle w:val="Normaltindrag"/>
        <w:spacing w:line="240" w:lineRule="auto"/>
        <w:ind w:left="0"/>
        <w:rPr>
          <w:b/>
          <w:lang w:val="sv-SE"/>
        </w:rPr>
      </w:pPr>
      <w:r w:rsidRPr="00D705AB">
        <w:rPr>
          <w:b/>
          <w:lang w:val="sv-SE"/>
        </w:rPr>
        <w:t>6.</w:t>
      </w:r>
      <w:r w:rsidRPr="00D705AB">
        <w:rPr>
          <w:b/>
          <w:lang w:val="sv-SE"/>
        </w:rPr>
        <w:tab/>
        <w:t>Reformen av den gemensamma fiskeripolitiken</w:t>
      </w:r>
    </w:p>
    <w:p w:rsidR="00BF5095" w:rsidRPr="00D705AB" w:rsidRDefault="00BF5095" w:rsidP="00BF5095">
      <w:pPr>
        <w:spacing w:line="240" w:lineRule="auto"/>
      </w:pPr>
    </w:p>
    <w:p w:rsidR="00415439" w:rsidRPr="00D705AB" w:rsidRDefault="00415439" w:rsidP="00415439">
      <w:pPr>
        <w:spacing w:before="100" w:beforeAutospacing="1" w:after="100" w:afterAutospacing="1" w:line="240" w:lineRule="auto"/>
        <w:ind w:left="1134" w:hanging="567"/>
        <w:rPr>
          <w:b/>
          <w:szCs w:val="24"/>
          <w:lang w:eastAsia="en-GB"/>
        </w:rPr>
      </w:pPr>
      <w:r w:rsidRPr="00D705AB">
        <w:rPr>
          <w:b/>
          <w:szCs w:val="24"/>
          <w:lang w:eastAsia="en-GB"/>
        </w:rPr>
        <w:t>a)</w:t>
      </w:r>
      <w:r w:rsidRPr="00D705AB">
        <w:rPr>
          <w:b/>
          <w:szCs w:val="24"/>
          <w:lang w:eastAsia="en-GB"/>
        </w:rPr>
        <w:tab/>
        <w:t xml:space="preserve">Förslag till Europaparlamentets och rådets förordning om den </w:t>
      </w:r>
      <w:r w:rsidRPr="00D705AB">
        <w:rPr>
          <w:b/>
        </w:rPr>
        <w:t>gemensamma fiskeripolitiken</w:t>
      </w:r>
    </w:p>
    <w:p w:rsidR="00415439" w:rsidRPr="00D705AB" w:rsidRDefault="00415439" w:rsidP="00415439">
      <w:pPr>
        <w:spacing w:before="100" w:beforeAutospacing="1" w:after="100" w:afterAutospacing="1" w:line="240" w:lineRule="auto"/>
        <w:ind w:left="1134" w:hanging="567"/>
        <w:rPr>
          <w:b/>
          <w:bCs/>
          <w:szCs w:val="24"/>
          <w:lang w:eastAsia="en-GB"/>
        </w:rPr>
      </w:pPr>
      <w:r w:rsidRPr="00D705AB">
        <w:rPr>
          <w:b/>
          <w:szCs w:val="24"/>
          <w:lang w:eastAsia="en-GB"/>
        </w:rPr>
        <w:t>b)</w:t>
      </w:r>
      <w:r w:rsidRPr="00D705AB">
        <w:rPr>
          <w:b/>
          <w:szCs w:val="24"/>
          <w:lang w:eastAsia="en-GB"/>
        </w:rPr>
        <w:tab/>
        <w:t xml:space="preserve">Förslag till Europaparlamentets och rådets förordning </w:t>
      </w:r>
      <w:r w:rsidRPr="00D705AB">
        <w:rPr>
          <w:b/>
          <w:bCs/>
          <w:szCs w:val="24"/>
          <w:lang w:eastAsia="en-GB"/>
        </w:rPr>
        <w:t>om den gemensamma organisationen av marknaden för fiskeri- och vattenbruksprodukter</w:t>
      </w:r>
    </w:p>
    <w:p w:rsidR="00415439" w:rsidRPr="00D705AB" w:rsidRDefault="00415439" w:rsidP="00415439">
      <w:pPr>
        <w:spacing w:before="100" w:beforeAutospacing="1" w:after="100" w:afterAutospacing="1" w:line="240" w:lineRule="auto"/>
        <w:ind w:left="1134" w:hanging="567"/>
        <w:rPr>
          <w:b/>
          <w:bCs/>
          <w:szCs w:val="24"/>
          <w:lang w:eastAsia="en-GB"/>
        </w:rPr>
      </w:pPr>
      <w:r w:rsidRPr="00D705AB">
        <w:rPr>
          <w:b/>
          <w:bCs/>
          <w:szCs w:val="24"/>
          <w:lang w:eastAsia="en-GB"/>
        </w:rPr>
        <w:t>c)</w:t>
      </w:r>
      <w:r w:rsidRPr="00D705AB">
        <w:rPr>
          <w:b/>
          <w:bCs/>
          <w:szCs w:val="24"/>
          <w:lang w:eastAsia="en-GB"/>
        </w:rPr>
        <w:tab/>
        <w:t>Meddelande från kommissionen till Europaparlamentet och rådet om den gemensamma fiskeripolitikens externa dimension</w:t>
      </w:r>
    </w:p>
    <w:p w:rsidR="00415439" w:rsidRPr="00D705AB" w:rsidRDefault="00415439" w:rsidP="00415439">
      <w:pPr>
        <w:spacing w:before="100" w:beforeAutospacing="1" w:after="100" w:afterAutospacing="1" w:line="240" w:lineRule="auto"/>
        <w:ind w:left="1134" w:hanging="567"/>
        <w:rPr>
          <w:b/>
          <w:bCs/>
          <w:szCs w:val="24"/>
          <w:lang w:eastAsia="en-GB"/>
        </w:rPr>
      </w:pPr>
      <w:r w:rsidRPr="00D705AB">
        <w:rPr>
          <w:b/>
          <w:bCs/>
          <w:szCs w:val="24"/>
          <w:lang w:eastAsia="en-GB"/>
        </w:rPr>
        <w:t>d)</w:t>
      </w:r>
      <w:r w:rsidRPr="00D705AB">
        <w:rPr>
          <w:b/>
          <w:bCs/>
          <w:szCs w:val="24"/>
          <w:lang w:eastAsia="en-GB"/>
        </w:rPr>
        <w:tab/>
        <w:t>Rapport från kommissionen till Europaparlamentet, rådet, Europeiska ekonomiska och sociala kommittén och Regionkommittén om rapporteringsskyldigheterna i rådets förordning (EG) nr 2371/2002 av den 20 december 2002 om bevarande och hållbart utnyttjande av fiskeresurserna inom ramen för den gemensamma fiskeripolitiken</w:t>
      </w:r>
    </w:p>
    <w:p w:rsidR="00415439" w:rsidRPr="00D705AB" w:rsidRDefault="00415439" w:rsidP="00415439">
      <w:pPr>
        <w:spacing w:before="100" w:beforeAutospacing="1" w:after="100" w:afterAutospacing="1" w:line="240" w:lineRule="auto"/>
        <w:ind w:left="1134" w:hanging="567"/>
        <w:rPr>
          <w:b/>
          <w:szCs w:val="24"/>
          <w:lang w:eastAsia="en-GB"/>
        </w:rPr>
      </w:pPr>
      <w:r w:rsidRPr="00D705AB">
        <w:rPr>
          <w:b/>
          <w:szCs w:val="24"/>
          <w:lang w:eastAsia="en-GB"/>
        </w:rPr>
        <w:t>e)</w:t>
      </w:r>
      <w:r w:rsidRPr="00D705AB">
        <w:rPr>
          <w:b/>
          <w:szCs w:val="24"/>
          <w:lang w:eastAsia="en-GB"/>
        </w:rPr>
        <w:tab/>
      </w:r>
      <w:r w:rsidRPr="00D705AB">
        <w:rPr>
          <w:b/>
          <w:bCs/>
          <w:szCs w:val="24"/>
          <w:lang w:eastAsia="en-GB"/>
        </w:rPr>
        <w:t xml:space="preserve">Meddelande från kommissionen till Europaparlamentet, rådet, Europeiska ekonomiska och sociala kommittén och Regionkommittén - </w:t>
      </w:r>
      <w:r w:rsidRPr="00D705AB">
        <w:rPr>
          <w:b/>
        </w:rPr>
        <w:t>Reformen av den gemensamma fiskeripolitiken</w:t>
      </w:r>
    </w:p>
    <w:p w:rsidR="00415439" w:rsidRPr="00D705AB" w:rsidRDefault="00415439" w:rsidP="00415439">
      <w:pPr>
        <w:pStyle w:val="Normaltindrag"/>
        <w:spacing w:line="240" w:lineRule="auto"/>
        <w:rPr>
          <w:i/>
          <w:szCs w:val="24"/>
          <w:lang w:val="sv-SE"/>
        </w:rPr>
      </w:pPr>
      <w:r w:rsidRPr="00D705AB">
        <w:rPr>
          <w:lang w:val="sv-SE"/>
        </w:rPr>
        <w:tab/>
        <w:t>-</w:t>
      </w:r>
      <w:r w:rsidRPr="00D705AB">
        <w:rPr>
          <w:i/>
          <w:lang w:val="sv-SE"/>
        </w:rPr>
        <w:tab/>
      </w:r>
      <w:r w:rsidRPr="00D705AB">
        <w:rPr>
          <w:i/>
          <w:szCs w:val="24"/>
          <w:lang w:val="sv-SE"/>
        </w:rPr>
        <w:t>Föredragning av kommissionen</w:t>
      </w:r>
    </w:p>
    <w:p w:rsidR="00415439" w:rsidRPr="00D705AB" w:rsidRDefault="00415439" w:rsidP="00415439">
      <w:pPr>
        <w:pStyle w:val="Normaltindrag"/>
        <w:spacing w:line="240" w:lineRule="auto"/>
        <w:rPr>
          <w:i/>
          <w:szCs w:val="24"/>
          <w:lang w:val="sv-SE"/>
        </w:rPr>
      </w:pPr>
      <w:r w:rsidRPr="00D705AB">
        <w:rPr>
          <w:szCs w:val="24"/>
          <w:lang w:val="sv-SE"/>
        </w:rPr>
        <w:tab/>
        <w:t>-</w:t>
      </w:r>
      <w:r w:rsidRPr="00D705AB">
        <w:rPr>
          <w:i/>
          <w:szCs w:val="24"/>
          <w:lang w:val="sv-SE"/>
        </w:rPr>
        <w:tab/>
        <w:t>Diskussion</w:t>
      </w:r>
    </w:p>
    <w:p w:rsidR="00415439" w:rsidRPr="00D705AB" w:rsidRDefault="00415439" w:rsidP="00415439">
      <w:pPr>
        <w:pStyle w:val="Normaltindrag"/>
        <w:spacing w:line="240" w:lineRule="auto"/>
        <w:ind w:left="1134"/>
        <w:rPr>
          <w:lang w:val="sv-SE"/>
        </w:rPr>
      </w:pPr>
    </w:p>
    <w:p w:rsidR="00415439" w:rsidRPr="00D705AB" w:rsidRDefault="00415439" w:rsidP="00415439">
      <w:pPr>
        <w:pStyle w:val="RKnormal"/>
        <w:rPr>
          <w:i/>
          <w:iCs/>
        </w:rPr>
      </w:pPr>
      <w:r w:rsidRPr="00D705AB">
        <w:rPr>
          <w:i/>
          <w:iCs/>
        </w:rPr>
        <w:t>Dokumentbeteckning</w:t>
      </w:r>
    </w:p>
    <w:p w:rsidR="00415439" w:rsidRPr="00D705AB" w:rsidRDefault="00415439" w:rsidP="00415439">
      <w:pPr>
        <w:pStyle w:val="RKnormal"/>
      </w:pPr>
      <w:r w:rsidRPr="00D705AB">
        <w:t>-</w:t>
      </w:r>
      <w:r w:rsidR="00D15CC5" w:rsidRPr="00D705AB">
        <w:t xml:space="preserve"> </w:t>
      </w:r>
      <w:r w:rsidR="00D15CC5" w:rsidRPr="00D705AB">
        <w:rPr>
          <w:rFonts w:cs="OrigGarmnd BT"/>
          <w:color w:val="000000"/>
          <w:szCs w:val="24"/>
          <w:lang w:eastAsia="sv-SE"/>
        </w:rPr>
        <w:t>Dokument ej inkommit 8 juli 2011.</w:t>
      </w:r>
    </w:p>
    <w:p w:rsidR="00415439" w:rsidRPr="00D705AB" w:rsidRDefault="00415439" w:rsidP="00415439">
      <w:pPr>
        <w:pStyle w:val="RKnormal"/>
        <w:rPr>
          <w:i/>
          <w:iCs/>
        </w:rPr>
      </w:pPr>
    </w:p>
    <w:p w:rsidR="00415439" w:rsidRPr="00D705AB" w:rsidRDefault="00415439" w:rsidP="00415439">
      <w:pPr>
        <w:pStyle w:val="RKnormal"/>
        <w:rPr>
          <w:i/>
          <w:iCs/>
        </w:rPr>
      </w:pPr>
      <w:r w:rsidRPr="00D705AB">
        <w:rPr>
          <w:i/>
          <w:iCs/>
        </w:rPr>
        <w:t>Rättslig grund</w:t>
      </w:r>
    </w:p>
    <w:p w:rsidR="00415439" w:rsidRPr="00D705AB" w:rsidRDefault="00415439" w:rsidP="00415439">
      <w:pPr>
        <w:pStyle w:val="RKnormal"/>
      </w:pPr>
      <w:r w:rsidRPr="00D705AB">
        <w:t>Rättslig grund vad gäller för</w:t>
      </w:r>
      <w:r w:rsidR="00441856" w:rsidRPr="00D705AB">
        <w:t>ordningsförslagen är 43.2 EUF. B</w:t>
      </w:r>
      <w:r w:rsidRPr="00D705AB">
        <w:t>eslut fattas av rådet i medbeslutande med Europaparlamentet i enlighet med det ordinarie lagstiftningsförfarandet.</w:t>
      </w:r>
    </w:p>
    <w:p w:rsidR="00415439" w:rsidRPr="00D705AB" w:rsidRDefault="00415439" w:rsidP="00415439">
      <w:pPr>
        <w:pStyle w:val="RKnormal"/>
        <w:rPr>
          <w:iCs/>
        </w:rPr>
      </w:pPr>
      <w:r w:rsidRPr="00D705AB">
        <w:rPr>
          <w:iCs/>
        </w:rPr>
        <w:t>Rättslig grund är inte aktuellt för de två meddelandena eller rapporten. I det fall det kommer antas rådsslutsatser beslutas sådana av rådet med enhällighet.</w:t>
      </w:r>
    </w:p>
    <w:p w:rsidR="00415439" w:rsidRPr="00D705AB" w:rsidRDefault="00415439" w:rsidP="00415439">
      <w:pPr>
        <w:pStyle w:val="RKnormal"/>
        <w:rPr>
          <w:iCs/>
        </w:rPr>
      </w:pPr>
    </w:p>
    <w:p w:rsidR="00415439" w:rsidRPr="00D705AB" w:rsidRDefault="00415439" w:rsidP="00415439">
      <w:pPr>
        <w:pStyle w:val="RKnormal"/>
        <w:rPr>
          <w:i/>
          <w:iCs/>
        </w:rPr>
      </w:pPr>
      <w:r w:rsidRPr="00D705AB">
        <w:rPr>
          <w:i/>
          <w:iCs/>
        </w:rPr>
        <w:t>Bakgrund</w:t>
      </w:r>
    </w:p>
    <w:p w:rsidR="00415439" w:rsidRPr="00D705AB" w:rsidRDefault="00415439" w:rsidP="00415439">
      <w:pPr>
        <w:pStyle w:val="RKnormal"/>
      </w:pPr>
      <w:r w:rsidRPr="00D705AB">
        <w:t xml:space="preserve">Kommissionens grönbok inför reformen av den gemensamma fiskeripolitiken (GFP) presenterades vid jordbruks- och fiskerådet den 23 april 2009 och ett första meningsutbyte om innehållet skedde vid jordbruks- och fiskerådet den 25 maj 2009. Vid konsultationsperiodens slut i januari 2010 hade 382 bidrag inkommit till kommissionen. </w:t>
      </w:r>
    </w:p>
    <w:p w:rsidR="00415439" w:rsidRPr="00D705AB" w:rsidRDefault="00415439" w:rsidP="00415439">
      <w:pPr>
        <w:pStyle w:val="RKnormal"/>
      </w:pPr>
    </w:p>
    <w:p w:rsidR="00415439" w:rsidRPr="00D705AB" w:rsidRDefault="00415439" w:rsidP="00415439">
      <w:pPr>
        <w:pStyle w:val="RKnormal"/>
        <w:rPr>
          <w:lang w:eastAsia="sv-SE"/>
        </w:rPr>
      </w:pPr>
      <w:r w:rsidRPr="00D705AB">
        <w:rPr>
          <w:lang w:eastAsia="sv-SE"/>
        </w:rPr>
        <w:t xml:space="preserve">I det bidrag som den svenska regeringen skickade in till kommissionen som svar på grönboken betonades särskilt behovet av en långsiktighet i förvaltningen och en förvaltning som ser till ekosystemet som helhet. Regeringen lyfte även fram vikten av en beslutsstruktur där beslut fattas på rätt nivå och på ett effektivt sätt. Regeringen framhöll också vikten av att anpassa fiskeflottan till den befintliga resursen, samt behovet av att unionen ser över sin externa fiskeripolitik. Även regelförenkling, kostnadseffektivitet och samhällsekonomiska hänsyn, samt samstämmighet med andra politikområden som miljöpolitiken och utvecklingspolitiken lyftes fram. </w:t>
      </w:r>
    </w:p>
    <w:p w:rsidR="00415439" w:rsidRPr="00D705AB" w:rsidRDefault="00415439" w:rsidP="00415439">
      <w:pPr>
        <w:pStyle w:val="RKnormal"/>
        <w:rPr>
          <w:lang w:eastAsia="sv-SE"/>
        </w:rPr>
      </w:pPr>
    </w:p>
    <w:p w:rsidR="00415439" w:rsidRPr="00D705AB" w:rsidRDefault="00415439" w:rsidP="00415439">
      <w:pPr>
        <w:pStyle w:val="RKnormal"/>
        <w:rPr>
          <w:lang w:eastAsia="sv-SE"/>
        </w:rPr>
      </w:pPr>
      <w:r w:rsidRPr="00D705AB">
        <w:t xml:space="preserve">Reformen diskuterades vid det informella ministermötet i Vigo i juni 2010. I Vigo presenterade kommissionen även den sammanställning som gjorts av de inspel som inkommit angående grönboken (7813/10 PECHE 51). I inspelen finns en mycket stor samsyn om att en reform behövs. </w:t>
      </w:r>
    </w:p>
    <w:p w:rsidR="00415439" w:rsidRPr="00D705AB" w:rsidRDefault="00415439" w:rsidP="00415439">
      <w:pPr>
        <w:pStyle w:val="RKnormal"/>
      </w:pPr>
    </w:p>
    <w:p w:rsidR="00415439" w:rsidRPr="00D705AB" w:rsidRDefault="00415439" w:rsidP="00415439">
      <w:pPr>
        <w:tabs>
          <w:tab w:val="left" w:pos="2835"/>
        </w:tabs>
        <w:overflowPunct/>
        <w:spacing w:line="240" w:lineRule="auto"/>
        <w:textAlignment w:val="auto"/>
      </w:pPr>
      <w:r w:rsidRPr="00D705AB">
        <w:t>Reformen av den gemensamma fiskeri</w:t>
      </w:r>
      <w:r w:rsidR="00441856" w:rsidRPr="00D705AB">
        <w:t>politiken diskuterades även på j</w:t>
      </w:r>
      <w:r w:rsidRPr="00D705AB">
        <w:t>ordbruks- o</w:t>
      </w:r>
      <w:r w:rsidR="00BD47A5" w:rsidRPr="00D705AB">
        <w:t>ch fiskerådet den 29 juni 2010.</w:t>
      </w:r>
      <w:r w:rsidRPr="00D705AB">
        <w:t xml:space="preserve"> Sedan dess har kommissionen, Europaparlamentet och enskilda medlemsländer arranger</w:t>
      </w:r>
      <w:r w:rsidR="00441856" w:rsidRPr="00D705AB">
        <w:t xml:space="preserve">at ett antal möten, seminarier och </w:t>
      </w:r>
      <w:r w:rsidRPr="00D705AB">
        <w:t xml:space="preserve">konferenser avseende olika aspekter av den kommande reformen. Bland annat kan nämnas högnivåmötet om utkastproblematiken som hölls i mars 2011 samt högnivåmötet som arrangeras på temat ”den externa politiken” i maj 2011. </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Kom</w:t>
      </w:r>
      <w:r w:rsidR="0067014E" w:rsidRPr="00D705AB">
        <w:t xml:space="preserve">missionen planerar att anta ett förslag till </w:t>
      </w:r>
      <w:r w:rsidRPr="00D705AB">
        <w:t>reformpaket vad gäller den gemensamma fisk</w:t>
      </w:r>
      <w:r w:rsidR="00BD47A5" w:rsidRPr="00D705AB">
        <w:t xml:space="preserve">eripolitiken den 13 juli 2011. </w:t>
      </w:r>
      <w:r w:rsidRPr="00D705AB">
        <w:t>Avsikten är att kommissionen ska presentera</w:t>
      </w:r>
      <w:r w:rsidR="00BD47A5" w:rsidRPr="00D705AB">
        <w:t xml:space="preserve"> paketet</w:t>
      </w:r>
      <w:r w:rsidRPr="00D705AB">
        <w:t xml:space="preserve"> och medlemsstaterna kommer ges en första möjlighet att</w:t>
      </w:r>
      <w:r w:rsidR="00BD47A5" w:rsidRPr="00D705AB">
        <w:t xml:space="preserve"> kommentera, reformpaketet vid j</w:t>
      </w:r>
      <w:r w:rsidRPr="00D705AB">
        <w:t>ordbruks- och fiskerådet den 19 juli 2011.</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 xml:space="preserve">Reformpaketet består av:  </w:t>
      </w:r>
    </w:p>
    <w:p w:rsidR="00415439" w:rsidRPr="00D705AB" w:rsidRDefault="00415439" w:rsidP="00415439">
      <w:pPr>
        <w:tabs>
          <w:tab w:val="left" w:pos="2835"/>
        </w:tabs>
        <w:overflowPunct/>
        <w:spacing w:line="240" w:lineRule="auto"/>
        <w:textAlignment w:val="auto"/>
      </w:pPr>
      <w:r w:rsidRPr="00D705AB">
        <w:t xml:space="preserve">1) Ett förslag till en ny grundförordning för den gemensamma fiskeripolitiken, </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2) Ett förslag till en ny förordning vad gäller den gemensamma organisationen av marknaden för fiske- och vattenbruksprodukter</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3) Ett övergripande /generellt meddelande vad gäller den gemensamma fiskepolitiken</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4) Ett meddelande om den gemensamma fiskepolitikens externa dimension, samt</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5) En rapport vad gäller rapportskyldigheten enligt nuvarande grundförordning för den gemensamma fiskepolitiken</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6) Ett förslag till nytt finansieringsinstrument vad gäller fiskeprodukter kommer att presenteras av kommissionen under senhösten 2011)</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pPr>
      <w:r w:rsidRPr="00D705AB">
        <w:t>Avsikten är att en reformerad fiskeripolitik ska börja gälla från den 1 januari 2013.</w:t>
      </w:r>
    </w:p>
    <w:p w:rsidR="00415439" w:rsidRPr="00D705AB" w:rsidRDefault="00415439" w:rsidP="00415439">
      <w:pPr>
        <w:tabs>
          <w:tab w:val="left" w:pos="2835"/>
        </w:tabs>
        <w:overflowPunct/>
        <w:spacing w:line="240" w:lineRule="auto"/>
        <w:textAlignment w:val="auto"/>
      </w:pPr>
    </w:p>
    <w:p w:rsidR="00415439" w:rsidRPr="00D705AB" w:rsidRDefault="00415439" w:rsidP="00415439">
      <w:pPr>
        <w:tabs>
          <w:tab w:val="left" w:pos="2835"/>
        </w:tabs>
        <w:overflowPunct/>
        <w:spacing w:line="240" w:lineRule="auto"/>
        <w:textAlignment w:val="auto"/>
        <w:rPr>
          <w:rFonts w:cs="OrigGarmnd BT"/>
          <w:i/>
          <w:iCs/>
          <w:color w:val="000000"/>
          <w:szCs w:val="24"/>
          <w:lang w:eastAsia="sv-SE"/>
        </w:rPr>
      </w:pPr>
      <w:r w:rsidRPr="00D705AB">
        <w:rPr>
          <w:rFonts w:cs="OrigGarmnd BT"/>
          <w:i/>
          <w:iCs/>
          <w:color w:val="000000"/>
          <w:szCs w:val="24"/>
          <w:lang w:eastAsia="sv-SE"/>
        </w:rPr>
        <w:t>Förslag till svensk ståndpunkt</w:t>
      </w:r>
    </w:p>
    <w:p w:rsidR="00415439" w:rsidRPr="00D705AB" w:rsidRDefault="00415439" w:rsidP="00415439">
      <w:pPr>
        <w:pStyle w:val="RKnormal"/>
        <w:rPr>
          <w:lang w:eastAsia="sv-SE"/>
        </w:rPr>
      </w:pPr>
      <w:r w:rsidRPr="00D705AB">
        <w:rPr>
          <w:lang w:eastAsia="sv-SE"/>
        </w:rPr>
        <w:t>Sverige anser att det behövs en genomgripande reform av den gemensamma fiskeripolitiken. Sverige anser vidare att en reformerad fiskeripolitik ska baseras på ekosystemansatsen och en långsiktigt hållbar förvaltning av alla berörda fiskbestånd inom biologiskt säkra gränser. Vidare bör EU införa ett utkastförbud och ett förvaltningssystem som reglerar vad som fångas och inte bara vad som landas. De vetenskapliga rekommendationerna som utfärdas av Internationella Havsforskningsrådet (ICES) måste beaktas.</w:t>
      </w:r>
    </w:p>
    <w:p w:rsidR="00415439" w:rsidRPr="00D705AB" w:rsidRDefault="00415439" w:rsidP="00415439">
      <w:pPr>
        <w:pStyle w:val="RKnormal"/>
        <w:rPr>
          <w:lang w:eastAsia="sv-SE"/>
        </w:rPr>
      </w:pPr>
    </w:p>
    <w:p w:rsidR="00415439" w:rsidRPr="00D705AB" w:rsidRDefault="00415439" w:rsidP="00415439">
      <w:pPr>
        <w:pStyle w:val="RKnormal"/>
        <w:rPr>
          <w:lang w:eastAsia="sv-SE"/>
        </w:rPr>
      </w:pPr>
      <w:r w:rsidRPr="00D705AB">
        <w:rPr>
          <w:lang w:eastAsia="sv-SE"/>
        </w:rPr>
        <w:t>Alltför många detaljbeslut tas på högsta politiska nivå. Beslutsprocessen bör utformas så att principer och riktlinjer beslutas av ministerråd och parlament medan implementering av bestämmelserna sker på en annan nivå.</w:t>
      </w:r>
    </w:p>
    <w:p w:rsidR="00415439" w:rsidRPr="00D705AB" w:rsidRDefault="00415439" w:rsidP="00415439">
      <w:pPr>
        <w:pStyle w:val="RKnormal"/>
        <w:rPr>
          <w:lang w:eastAsia="sv-SE"/>
        </w:rPr>
      </w:pPr>
    </w:p>
    <w:p w:rsidR="00415439" w:rsidRPr="00D705AB" w:rsidRDefault="00415439" w:rsidP="00415439">
      <w:pPr>
        <w:pStyle w:val="RKnormal"/>
        <w:rPr>
          <w:lang w:eastAsia="sv-SE"/>
        </w:rPr>
      </w:pPr>
      <w:r w:rsidRPr="00D705AB">
        <w:rPr>
          <w:lang w:eastAsia="sv-SE"/>
        </w:rPr>
        <w:t>Fiskerinäringen ska kunna tillhandahålla ett viktigt livsmedel till unionens konsumenter utan att bestånden utarmas</w:t>
      </w:r>
      <w:r w:rsidR="0067014E" w:rsidRPr="00D705AB">
        <w:rPr>
          <w:lang w:eastAsia="sv-SE"/>
        </w:rPr>
        <w:t xml:space="preserve">. </w:t>
      </w:r>
      <w:r w:rsidR="00D6742E" w:rsidRPr="00D705AB">
        <w:rPr>
          <w:lang w:eastAsia="sv-SE"/>
        </w:rPr>
        <w:t xml:space="preserve">Ett långsiktigt hållbart fiske </w:t>
      </w:r>
      <w:r w:rsidR="00497582" w:rsidRPr="00D705AB">
        <w:rPr>
          <w:lang w:eastAsia="sv-SE"/>
        </w:rPr>
        <w:t xml:space="preserve">kan i sin tur bidra </w:t>
      </w:r>
      <w:r w:rsidRPr="00D705AB">
        <w:rPr>
          <w:lang w:eastAsia="sv-SE"/>
        </w:rPr>
        <w:t>till  levande kust- och glesbygder. Det är också viktigt att det finns en samstämmighet med andra politikområden, såsom EU:s havs-, miljö- och utvecklingspolitik.</w:t>
      </w:r>
    </w:p>
    <w:p w:rsidR="00415439" w:rsidRPr="00D705AB" w:rsidRDefault="00415439" w:rsidP="00415439">
      <w:pPr>
        <w:pStyle w:val="RKnormal"/>
        <w:rPr>
          <w:lang w:eastAsia="sv-SE"/>
        </w:rPr>
      </w:pPr>
    </w:p>
    <w:p w:rsidR="00415439" w:rsidRPr="00D705AB" w:rsidRDefault="00415439" w:rsidP="00415439">
      <w:pPr>
        <w:pStyle w:val="RKnormal"/>
        <w:rPr>
          <w:lang w:eastAsia="sv-SE"/>
        </w:rPr>
      </w:pPr>
      <w:r w:rsidRPr="00D705AB">
        <w:rPr>
          <w:lang w:eastAsia="sv-SE"/>
        </w:rPr>
        <w:t>Utgifterna för fiskeripolitiken är höga, både på nationell och på unionsnivå. Därför måste en bedömning av vad politiken får kosta göras i samband med utformningen av en ny politik. Detta bör ske med utgångspunkt från samhällsnyttan och den långsiktig</w:t>
      </w:r>
      <w:r w:rsidR="00441856" w:rsidRPr="00D705AB">
        <w:rPr>
          <w:lang w:eastAsia="sv-SE"/>
        </w:rPr>
        <w:t>a</w:t>
      </w:r>
      <w:r w:rsidRPr="00D705AB">
        <w:rPr>
          <w:lang w:eastAsia="sv-SE"/>
        </w:rPr>
        <w:t xml:space="preserve"> hållbarheten. Den svenska ståndpunkten är att kostnaderna ska minska. Handelsstörande element i EU:s fiskeripolitik bör begränsas så att handel i så stor utsträckning som möjligt ska kunna ske på marknadsmässiga villkor.</w:t>
      </w:r>
    </w:p>
    <w:p w:rsidR="00415439" w:rsidRPr="00D705AB" w:rsidRDefault="00415439" w:rsidP="00415439">
      <w:pPr>
        <w:pStyle w:val="RKnormal"/>
        <w:rPr>
          <w:rFonts w:cs="OrigGarmnd BT"/>
          <w:color w:val="000000"/>
          <w:szCs w:val="24"/>
          <w:lang w:eastAsia="sv-SE"/>
        </w:rPr>
      </w:pPr>
    </w:p>
    <w:p w:rsidR="00415439" w:rsidRPr="00D705AB" w:rsidRDefault="00415439" w:rsidP="00415439">
      <w:pPr>
        <w:pStyle w:val="RKnormal"/>
        <w:rPr>
          <w:i/>
          <w:iCs/>
        </w:rPr>
      </w:pPr>
      <w:r w:rsidRPr="00D705AB">
        <w:rPr>
          <w:i/>
          <w:iCs/>
        </w:rPr>
        <w:t>EU-nämnden</w:t>
      </w:r>
    </w:p>
    <w:p w:rsidR="00415439" w:rsidRPr="00D705AB" w:rsidRDefault="00415439" w:rsidP="00415439">
      <w:pPr>
        <w:pStyle w:val="RKnormal"/>
      </w:pPr>
      <w:r w:rsidRPr="00D705AB">
        <w:t>Frågan var senast föremål f</w:t>
      </w:r>
      <w:r w:rsidR="00BD47A5" w:rsidRPr="00D705AB">
        <w:t>ör samråd med EU-nämnden inför j</w:t>
      </w:r>
      <w:r w:rsidRPr="00D705AB">
        <w:t xml:space="preserve">ordbruks- och fiskerådet i juni 2010. </w:t>
      </w:r>
    </w:p>
    <w:p w:rsidR="00BF5095" w:rsidRPr="00D705AB" w:rsidRDefault="00BF5095" w:rsidP="00BF5095">
      <w:pPr>
        <w:ind w:left="567" w:hanging="567"/>
        <w:rPr>
          <w:b/>
          <w:u w:val="single"/>
        </w:rPr>
      </w:pPr>
    </w:p>
    <w:p w:rsidR="00BF5095" w:rsidRPr="00D705AB" w:rsidRDefault="00BF5095" w:rsidP="00BF5095">
      <w:pPr>
        <w:pStyle w:val="Normalwebb"/>
        <w:spacing w:before="0" w:beforeAutospacing="0" w:after="0" w:afterAutospacing="0"/>
        <w:rPr>
          <w:lang w:val="sv-SE"/>
        </w:rPr>
      </w:pPr>
    </w:p>
    <w:p w:rsidR="00BF5095" w:rsidRPr="00D705AB" w:rsidRDefault="00BF5095" w:rsidP="00BF5095">
      <w:pPr>
        <w:pStyle w:val="Normalwebb"/>
        <w:spacing w:before="0" w:beforeAutospacing="0" w:after="0" w:afterAutospacing="0" w:line="360" w:lineRule="auto"/>
        <w:rPr>
          <w:b/>
          <w:u w:val="single"/>
          <w:lang w:val="sv-SE"/>
        </w:rPr>
      </w:pPr>
      <w:r w:rsidRPr="00D705AB">
        <w:rPr>
          <w:b/>
          <w:lang w:val="sv-SE"/>
        </w:rPr>
        <w:t>7.</w:t>
      </w:r>
      <w:r w:rsidRPr="00D705AB">
        <w:rPr>
          <w:b/>
          <w:lang w:val="sv-SE"/>
        </w:rPr>
        <w:tab/>
      </w:r>
      <w:r w:rsidRPr="00D705AB">
        <w:rPr>
          <w:b/>
          <w:u w:val="single"/>
          <w:lang w:val="sv-SE"/>
        </w:rPr>
        <w:t>Övriga frågor</w:t>
      </w:r>
    </w:p>
    <w:p w:rsidR="00BF5095" w:rsidRPr="00D705AB" w:rsidRDefault="00BF5095" w:rsidP="00BF5095">
      <w:pPr>
        <w:pStyle w:val="RKnormal"/>
      </w:pPr>
    </w:p>
    <w:p w:rsidR="00A40BB8" w:rsidRPr="00D705AB" w:rsidRDefault="00A40BB8" w:rsidP="00A40BB8">
      <w:pPr>
        <w:overflowPunct/>
        <w:spacing w:line="240" w:lineRule="auto"/>
        <w:ind w:left="15"/>
        <w:textAlignment w:val="auto"/>
        <w:rPr>
          <w:rFonts w:ascii="TradeGothic" w:hAnsi="TradeGothic" w:cs="TradeGothic"/>
          <w:b/>
          <w:bCs/>
          <w:color w:val="000000"/>
          <w:sz w:val="22"/>
          <w:szCs w:val="22"/>
          <w:lang w:eastAsia="sv-SE"/>
        </w:rPr>
      </w:pPr>
      <w:r w:rsidRPr="00D705AB">
        <w:rPr>
          <w:rFonts w:ascii="TradeGothic" w:hAnsi="TradeGothic" w:cs="TradeGothic"/>
          <w:b/>
          <w:bCs/>
          <w:color w:val="000000"/>
          <w:sz w:val="22"/>
          <w:szCs w:val="22"/>
          <w:lang w:eastAsia="sv-SE"/>
        </w:rPr>
        <w:t>Slutsatser från expertgruppen för nötkött</w:t>
      </w:r>
    </w:p>
    <w:p w:rsidR="00A40BB8" w:rsidRPr="00D705AB" w:rsidRDefault="00A40BB8" w:rsidP="00A40BB8">
      <w:pPr>
        <w:overflowPunct/>
        <w:spacing w:line="240" w:lineRule="auto"/>
        <w:ind w:left="15"/>
        <w:textAlignment w:val="auto"/>
        <w:rPr>
          <w:rFonts w:ascii="TradeGothic" w:hAnsi="TradeGothic" w:cs="TradeGothic"/>
          <w:b/>
          <w:bCs/>
          <w:color w:val="000000"/>
          <w:sz w:val="22"/>
          <w:szCs w:val="22"/>
          <w:lang w:eastAsia="sv-SE"/>
        </w:rPr>
      </w:pPr>
    </w:p>
    <w:p w:rsidR="00A40BB8" w:rsidRPr="00D705AB" w:rsidRDefault="00A5462B" w:rsidP="00A40BB8">
      <w:pPr>
        <w:tabs>
          <w:tab w:val="left" w:pos="2835"/>
        </w:tabs>
        <w:overflowPunct/>
        <w:spacing w:line="240" w:lineRule="auto"/>
        <w:jc w:val="both"/>
        <w:textAlignment w:val="auto"/>
        <w:rPr>
          <w:rFonts w:cs="OrigGarmnd BT"/>
          <w:bCs/>
          <w:i/>
          <w:iCs/>
          <w:color w:val="000000"/>
          <w:szCs w:val="24"/>
          <w:lang w:eastAsia="sv-SE"/>
        </w:rPr>
      </w:pPr>
      <w:r w:rsidRPr="00D705AB">
        <w:rPr>
          <w:rFonts w:cs="OrigGarmnd BT"/>
          <w:bCs/>
          <w:i/>
          <w:iCs/>
          <w:color w:val="000000"/>
          <w:szCs w:val="24"/>
          <w:lang w:eastAsia="sv-SE"/>
        </w:rPr>
        <w:t>- Presentation av kommissionen</w:t>
      </w:r>
    </w:p>
    <w:p w:rsidR="00A40BB8" w:rsidRPr="00D705AB" w:rsidRDefault="00A40BB8" w:rsidP="00A40BB8">
      <w:pPr>
        <w:tabs>
          <w:tab w:val="left" w:pos="2835"/>
        </w:tabs>
        <w:overflowPunct/>
        <w:spacing w:line="240" w:lineRule="auto"/>
        <w:jc w:val="both"/>
        <w:textAlignment w:val="auto"/>
        <w:rPr>
          <w:rFonts w:cs="OrigGarmnd BT"/>
          <w:b/>
          <w:bCs/>
          <w:i/>
          <w:iCs/>
          <w:color w:val="000000"/>
          <w:szCs w:val="24"/>
          <w:lang w:eastAsia="sv-SE"/>
        </w:rPr>
      </w:pPr>
    </w:p>
    <w:p w:rsidR="00C953B7" w:rsidRPr="00D705AB" w:rsidRDefault="00C953B7" w:rsidP="00C953B7">
      <w:pPr>
        <w:pStyle w:val="RKnormal"/>
        <w:rPr>
          <w:i/>
          <w:iCs/>
        </w:rPr>
      </w:pPr>
      <w:r w:rsidRPr="00D705AB">
        <w:rPr>
          <w:i/>
          <w:iCs/>
        </w:rPr>
        <w:t>Dokumentbeteckning</w:t>
      </w:r>
    </w:p>
    <w:p w:rsidR="00C953B7" w:rsidRPr="00D705AB" w:rsidRDefault="00C953B7" w:rsidP="00A40BB8">
      <w:pPr>
        <w:tabs>
          <w:tab w:val="left" w:pos="2835"/>
        </w:tabs>
        <w:overflowPunct/>
        <w:spacing w:line="240" w:lineRule="auto"/>
        <w:jc w:val="both"/>
        <w:textAlignment w:val="auto"/>
        <w:rPr>
          <w:rFonts w:cs="OrigGarmnd BT"/>
          <w:color w:val="000000"/>
          <w:szCs w:val="24"/>
          <w:lang w:eastAsia="sv-SE"/>
        </w:rPr>
      </w:pPr>
      <w:r w:rsidRPr="00D705AB">
        <w:rPr>
          <w:iCs/>
        </w:rPr>
        <w:t xml:space="preserve">- </w:t>
      </w:r>
      <w:r w:rsidRPr="00D705AB">
        <w:rPr>
          <w:rFonts w:cs="OrigGarmnd BT"/>
          <w:color w:val="000000"/>
          <w:szCs w:val="24"/>
          <w:lang w:eastAsia="sv-SE"/>
        </w:rPr>
        <w:t xml:space="preserve">Dokument ej inkommit 8 juli 2011. </w:t>
      </w:r>
    </w:p>
    <w:p w:rsidR="00A40BB8" w:rsidRPr="00D705AB" w:rsidRDefault="00A40BB8" w:rsidP="00A40BB8">
      <w:pPr>
        <w:tabs>
          <w:tab w:val="left" w:pos="2835"/>
        </w:tabs>
        <w:overflowPunct/>
        <w:spacing w:line="240" w:lineRule="auto"/>
        <w:textAlignment w:val="auto"/>
        <w:rPr>
          <w:rFonts w:cs="OrigGarmnd BT"/>
          <w:i/>
          <w:iCs/>
          <w:color w:val="000000"/>
          <w:szCs w:val="24"/>
          <w:lang w:eastAsia="sv-SE"/>
        </w:rPr>
      </w:pPr>
    </w:p>
    <w:p w:rsidR="00A40BB8" w:rsidRPr="00D705AB" w:rsidRDefault="00A40BB8" w:rsidP="00A40BB8">
      <w:pPr>
        <w:tabs>
          <w:tab w:val="left" w:pos="2835"/>
        </w:tabs>
        <w:overflowPunct/>
        <w:spacing w:line="240" w:lineRule="auto"/>
        <w:textAlignment w:val="auto"/>
        <w:rPr>
          <w:rFonts w:cs="OrigGarmnd BT"/>
          <w:i/>
          <w:iCs/>
          <w:color w:val="000000"/>
          <w:szCs w:val="24"/>
          <w:lang w:eastAsia="sv-SE"/>
        </w:rPr>
      </w:pPr>
      <w:r w:rsidRPr="00D705AB">
        <w:rPr>
          <w:rFonts w:cs="OrigGarmnd BT"/>
          <w:i/>
          <w:iCs/>
          <w:color w:val="000000"/>
          <w:szCs w:val="24"/>
          <w:lang w:eastAsia="sv-SE"/>
        </w:rPr>
        <w:t>Bakgrund</w:t>
      </w:r>
    </w:p>
    <w:p w:rsidR="00A40BB8" w:rsidRPr="00D705AB" w:rsidRDefault="00A40BB8" w:rsidP="00A40BB8">
      <w:pPr>
        <w:pStyle w:val="RKnormal"/>
        <w:rPr>
          <w:lang w:eastAsia="sv-SE"/>
        </w:rPr>
      </w:pPr>
      <w:r w:rsidRPr="00D705AB">
        <w:rPr>
          <w:lang w:eastAsia="sv-SE"/>
        </w:rPr>
        <w:t xml:space="preserve">I anslutning till det informella Jordbruks- och fiskerådet den 29-31 maj 2011 beslutade EU:s jordbrukskommissionär att sammankalla en expertgrupp för nötköttsektorn med anledning av det ansträngda läget inom europeisk animalieproduktion. Syftet med gruppen har, i likhet med tidigare grupper för mjölk- och grissektorn, varit att inventera möjligheterna att bättre kunna stödja näringen. Sammantaget har tre möten hållits under juni månad med företrädare för branschen och medlemsstaterna. Såväl branschföreträdare som medlemsstater har under mötena beskrivit sektorns situation som mycket allvarlig samt rest krav på konkreta åtgärder inom ramen för den gemensamma jordbrukspolitiken. Gruppens arbete är nu avslutat och på kommande rådsmöte förväntas kommissionen presentera </w:t>
      </w:r>
      <w:r w:rsidR="006767F4" w:rsidRPr="00D705AB">
        <w:rPr>
          <w:lang w:eastAsia="sv-SE"/>
        </w:rPr>
        <w:t>en sammanfattning av arbetet</w:t>
      </w:r>
      <w:r w:rsidRPr="00D705AB">
        <w:rPr>
          <w:lang w:eastAsia="sv-SE"/>
        </w:rPr>
        <w:t>.</w:t>
      </w:r>
    </w:p>
    <w:p w:rsidR="00A40BB8" w:rsidRPr="00D705AB" w:rsidRDefault="00A40BB8" w:rsidP="00BF5095">
      <w:pPr>
        <w:pStyle w:val="RKnormal"/>
      </w:pPr>
    </w:p>
    <w:p w:rsidR="008E147C" w:rsidRPr="00D705AB" w:rsidRDefault="006767F4" w:rsidP="00A5462B">
      <w:pPr>
        <w:pStyle w:val="RKnormal"/>
        <w:jc w:val="center"/>
        <w:rPr>
          <w:b/>
          <w:i/>
          <w:sz w:val="28"/>
          <w:szCs w:val="28"/>
        </w:rPr>
      </w:pPr>
      <w:r w:rsidRPr="00D705AB">
        <w:rPr>
          <w:b/>
          <w:i/>
          <w:sz w:val="28"/>
          <w:szCs w:val="28"/>
        </w:rPr>
        <w:t>Övrigt – Lunchdiskussion</w:t>
      </w:r>
    </w:p>
    <w:p w:rsidR="00636D79" w:rsidRPr="00D705AB" w:rsidRDefault="00636D79" w:rsidP="00C31E4A">
      <w:pPr>
        <w:pStyle w:val="RKnormal"/>
      </w:pPr>
    </w:p>
    <w:p w:rsidR="002703B7" w:rsidRPr="00D705AB" w:rsidRDefault="003860E7" w:rsidP="003860E7">
      <w:pPr>
        <w:pStyle w:val="RKrubrik"/>
      </w:pPr>
      <w:r w:rsidRPr="00D705AB">
        <w:rPr>
          <w:lang w:eastAsia="sv-SE"/>
        </w:rPr>
        <w:t>Energi från jordbruket som ett viktigt element i den gemensamma jordbrukspolitiken – sammanfattning från ministerkonferensen den 16 juli i Sopot</w:t>
      </w:r>
      <w:r w:rsidR="00BD47A5" w:rsidRPr="00D705AB">
        <w:rPr>
          <w:lang w:eastAsia="sv-SE"/>
        </w:rPr>
        <w:t xml:space="preserve"> (Polen).</w:t>
      </w:r>
    </w:p>
    <w:p w:rsidR="002703B7" w:rsidRPr="00D705AB" w:rsidRDefault="002703B7" w:rsidP="002703B7">
      <w:pPr>
        <w:pStyle w:val="RKnormal"/>
      </w:pPr>
    </w:p>
    <w:p w:rsidR="002703B7" w:rsidRPr="00D705AB" w:rsidRDefault="002703B7" w:rsidP="002703B7">
      <w:pPr>
        <w:pStyle w:val="RKnormal"/>
        <w:rPr>
          <w:b/>
          <w:bCs/>
          <w:i/>
          <w:iCs/>
        </w:rPr>
      </w:pPr>
      <w:r w:rsidRPr="00D705AB">
        <w:rPr>
          <w:b/>
          <w:bCs/>
          <w:i/>
          <w:iCs/>
        </w:rPr>
        <w:t>- Lunchdiskussion</w:t>
      </w:r>
    </w:p>
    <w:p w:rsidR="002703B7" w:rsidRPr="00D705AB" w:rsidRDefault="002703B7" w:rsidP="002703B7">
      <w:pPr>
        <w:pStyle w:val="RKnormal"/>
        <w:rPr>
          <w:i/>
          <w:iCs/>
        </w:rPr>
      </w:pPr>
    </w:p>
    <w:p w:rsidR="002703B7" w:rsidRPr="00D705AB" w:rsidRDefault="002703B7" w:rsidP="002703B7">
      <w:pPr>
        <w:pStyle w:val="RKnormal"/>
        <w:rPr>
          <w:i/>
          <w:iCs/>
        </w:rPr>
      </w:pPr>
      <w:r w:rsidRPr="00D705AB">
        <w:rPr>
          <w:i/>
          <w:iCs/>
        </w:rPr>
        <w:t>Dokumentbeteckning</w:t>
      </w:r>
    </w:p>
    <w:p w:rsidR="00C953B7" w:rsidRPr="00D705AB" w:rsidRDefault="002703B7" w:rsidP="00C953B7">
      <w:pPr>
        <w:tabs>
          <w:tab w:val="left" w:pos="2835"/>
        </w:tabs>
        <w:overflowPunct/>
        <w:spacing w:line="240" w:lineRule="auto"/>
        <w:jc w:val="both"/>
        <w:textAlignment w:val="auto"/>
        <w:rPr>
          <w:rFonts w:cs="OrigGarmnd BT"/>
          <w:color w:val="000000"/>
          <w:szCs w:val="24"/>
          <w:lang w:eastAsia="sv-SE"/>
        </w:rPr>
      </w:pPr>
      <w:r w:rsidRPr="00D705AB">
        <w:rPr>
          <w:iCs/>
        </w:rPr>
        <w:t xml:space="preserve">- </w:t>
      </w:r>
      <w:r w:rsidR="00C953B7" w:rsidRPr="00D705AB">
        <w:rPr>
          <w:rFonts w:cs="OrigGarmnd BT"/>
          <w:color w:val="000000"/>
          <w:szCs w:val="24"/>
          <w:lang w:eastAsia="sv-SE"/>
        </w:rPr>
        <w:t xml:space="preserve">Dokument ej inkommit 8 juli 2011. </w:t>
      </w:r>
    </w:p>
    <w:p w:rsidR="002703B7" w:rsidRPr="00D705AB" w:rsidRDefault="002703B7" w:rsidP="002703B7">
      <w:pPr>
        <w:pStyle w:val="RKnormal"/>
        <w:rPr>
          <w:i/>
          <w:iCs/>
        </w:rPr>
      </w:pPr>
    </w:p>
    <w:p w:rsidR="002703B7" w:rsidRPr="00D705AB" w:rsidRDefault="002703B7" w:rsidP="002703B7">
      <w:pPr>
        <w:pStyle w:val="RKnormal"/>
        <w:rPr>
          <w:i/>
          <w:iCs/>
        </w:rPr>
      </w:pPr>
      <w:r w:rsidRPr="00D705AB">
        <w:rPr>
          <w:i/>
          <w:iCs/>
        </w:rPr>
        <w:t>Bakgrund</w:t>
      </w:r>
    </w:p>
    <w:p w:rsidR="002703B7" w:rsidRPr="00D705AB" w:rsidRDefault="002703B7" w:rsidP="002703B7">
      <w:pPr>
        <w:pStyle w:val="RKnormal"/>
        <w:rPr>
          <w:iCs/>
        </w:rPr>
      </w:pPr>
      <w:r w:rsidRPr="00D705AB">
        <w:rPr>
          <w:iCs/>
        </w:rPr>
        <w:t xml:space="preserve">Det polska ordförandeskapet har aviserat </w:t>
      </w:r>
      <w:r w:rsidR="003860E7" w:rsidRPr="00D705AB">
        <w:rPr>
          <w:iCs/>
        </w:rPr>
        <w:t>en</w:t>
      </w:r>
      <w:r w:rsidRPr="00D705AB">
        <w:rPr>
          <w:iCs/>
        </w:rPr>
        <w:t xml:space="preserve"> lunchdiskussionen </w:t>
      </w:r>
      <w:r w:rsidR="003860E7" w:rsidRPr="00D705AB">
        <w:rPr>
          <w:iCs/>
        </w:rPr>
        <w:t xml:space="preserve">som </w:t>
      </w:r>
      <w:r w:rsidRPr="00D705AB">
        <w:rPr>
          <w:iCs/>
        </w:rPr>
        <w:t>kommer att ägnas åt frågor kring biomassa</w:t>
      </w:r>
      <w:r w:rsidR="003860E7" w:rsidRPr="00D705AB">
        <w:rPr>
          <w:iCs/>
        </w:rPr>
        <w:t xml:space="preserve"> som en del av jordbrukspolitiken</w:t>
      </w:r>
      <w:r w:rsidRPr="00D705AB">
        <w:rPr>
          <w:iCs/>
        </w:rPr>
        <w:t xml:space="preserve">. Inledningsvis förväntas ordförandeskapet göra en presentation av resultatet </w:t>
      </w:r>
      <w:r w:rsidR="00BD47A5" w:rsidRPr="00D705AB">
        <w:rPr>
          <w:iCs/>
        </w:rPr>
        <w:t xml:space="preserve">av ministerkonferensen i Sopot </w:t>
      </w:r>
      <w:r w:rsidRPr="00D705AB">
        <w:rPr>
          <w:iCs/>
        </w:rPr>
        <w:t xml:space="preserve">den 16 juli. Temat på </w:t>
      </w:r>
      <w:r w:rsidR="006767F4" w:rsidRPr="00D705AB">
        <w:rPr>
          <w:iCs/>
        </w:rPr>
        <w:t xml:space="preserve">den </w:t>
      </w:r>
      <w:r w:rsidRPr="00D705AB">
        <w:rPr>
          <w:iCs/>
        </w:rPr>
        <w:t xml:space="preserve">konferensen </w:t>
      </w:r>
      <w:r w:rsidR="006767F4" w:rsidRPr="00D705AB">
        <w:rPr>
          <w:iCs/>
        </w:rPr>
        <w:t>kommer att vara</w:t>
      </w:r>
      <w:r w:rsidRPr="00D705AB">
        <w:rPr>
          <w:iCs/>
        </w:rPr>
        <w:t xml:space="preserve"> ”</w:t>
      </w:r>
      <w:r w:rsidRPr="00D705AB">
        <w:rPr>
          <w:i/>
          <w:iCs/>
        </w:rPr>
        <w:t>Energy use of biomass from agriculture as an important element of Common Agricultural Policy</w:t>
      </w:r>
      <w:r w:rsidRPr="00D705AB">
        <w:rPr>
          <w:iCs/>
        </w:rPr>
        <w:t xml:space="preserve">”. </w:t>
      </w:r>
    </w:p>
    <w:p w:rsidR="002703B7" w:rsidRPr="00D705AB" w:rsidRDefault="002703B7" w:rsidP="002703B7">
      <w:pPr>
        <w:pStyle w:val="RKnormal"/>
        <w:rPr>
          <w:iCs/>
        </w:rPr>
      </w:pPr>
    </w:p>
    <w:p w:rsidR="002703B7" w:rsidRPr="00D705AB" w:rsidRDefault="002703B7" w:rsidP="002703B7">
      <w:pPr>
        <w:pStyle w:val="RKnormal"/>
        <w:rPr>
          <w:iCs/>
        </w:rPr>
      </w:pPr>
      <w:r w:rsidRPr="00D705AB">
        <w:rPr>
          <w:iCs/>
        </w:rPr>
        <w:t xml:space="preserve">Det polska ordförandeskapet förväntas presentera mer information kring lunchdiskussionen </w:t>
      </w:r>
      <w:r w:rsidR="009A0E56" w:rsidRPr="00D705AB">
        <w:rPr>
          <w:iCs/>
        </w:rPr>
        <w:t>närmare rådsmötet den 19</w:t>
      </w:r>
      <w:r w:rsidRPr="00D705AB">
        <w:rPr>
          <w:iCs/>
        </w:rPr>
        <w:t xml:space="preserve"> juli.</w:t>
      </w:r>
    </w:p>
    <w:p w:rsidR="00636D79" w:rsidRPr="00D705AB" w:rsidRDefault="00636D79" w:rsidP="00C31E4A">
      <w:pPr>
        <w:pStyle w:val="RKnormal"/>
      </w:pPr>
    </w:p>
    <w:sectPr w:rsidR="00636D79" w:rsidRPr="00D705AB" w:rsidSect="00C31E4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BB0" w:rsidRPr="00D705AB" w:rsidRDefault="00B33BB0">
      <w:r w:rsidRPr="00D705AB">
        <w:separator/>
      </w:r>
    </w:p>
  </w:endnote>
  <w:endnote w:type="continuationSeparator" w:id="0">
    <w:p w:rsidR="00B33BB0" w:rsidRPr="00D705AB" w:rsidRDefault="00B33BB0">
      <w:r w:rsidRPr="00D70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BB0" w:rsidRPr="00D705AB" w:rsidRDefault="00B33BB0">
      <w:r w:rsidRPr="00D705AB">
        <w:separator/>
      </w:r>
    </w:p>
  </w:footnote>
  <w:footnote w:type="continuationSeparator" w:id="0">
    <w:p w:rsidR="00B33BB0" w:rsidRPr="00D705AB" w:rsidRDefault="00B33BB0">
      <w:r w:rsidRPr="00D70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A53" w:rsidRPr="00D705AB" w:rsidRDefault="00207A53" w:rsidP="00C31E4A">
    <w:pPr>
      <w:pStyle w:val="Sidhuvud"/>
      <w:framePr w:wrap="around" w:vAnchor="text" w:hAnchor="margin" w:xAlign="outside" w:y="1"/>
      <w:rPr>
        <w:rStyle w:val="Sidnummer"/>
        <w:rPrChange w:id="0" w:author="Lars Brink" w:date="2025-12-18T05:01:00Z" w16du:dateUtc="2025-12-18T04:01:00Z">
          <w:rPr>
            <w:rStyle w:val="Sidnummer"/>
          </w:rPr>
        </w:rPrChange>
      </w:rPr>
    </w:pPr>
    <w:r w:rsidRPr="00D705AB">
      <w:rPr>
        <w:rStyle w:val="Sidnummer"/>
      </w:rPr>
      <w:fldChar w:fldCharType="begin" w:fldLock="1"/>
    </w:r>
    <w:r w:rsidRPr="00D705AB">
      <w:rPr>
        <w:rStyle w:val="Sidnummer"/>
      </w:rPr>
      <w:instrText xml:space="preserve">PAGE  </w:instrText>
    </w:r>
    <w:r w:rsidRPr="00D705AB">
      <w:rPr>
        <w:rStyle w:val="Sidnummer"/>
      </w:rPr>
      <w:fldChar w:fldCharType="separate"/>
    </w:r>
    <w:r w:rsidR="006B37CC" w:rsidRPr="00D705AB">
      <w:rPr>
        <w:rStyle w:val="Sidnummer"/>
        <w:rPrChange w:id="1" w:author="Lars Brink" w:date="2025-12-18T05:01:00Z" w16du:dateUtc="2025-12-18T04:01:00Z">
          <w:rPr>
            <w:rStyle w:val="Sidnummer"/>
            <w:noProof/>
          </w:rPr>
        </w:rPrChange>
      </w:rPr>
      <w:t>6</w:t>
    </w:r>
    <w:r w:rsidRPr="00D705AB">
      <w:rPr>
        <w:rStyle w:val="Sidnummer"/>
        <w:rPrChange w:id="2" w:author="Lars Brink" w:date="2025-12-18T05:01:00Z" w16du:dateUtc="2025-12-18T04:0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07A53" w:rsidRPr="00D705AB">
      <w:tblPrEx>
        <w:tblCellMar>
          <w:top w:w="0" w:type="dxa"/>
          <w:bottom w:w="0" w:type="dxa"/>
        </w:tblCellMar>
      </w:tblPrEx>
      <w:trPr>
        <w:cantSplit/>
      </w:trPr>
      <w:tc>
        <w:tcPr>
          <w:tcW w:w="3119" w:type="dxa"/>
        </w:tcPr>
        <w:p w:rsidR="00207A53" w:rsidRPr="00D705AB" w:rsidRDefault="00207A53" w:rsidP="00C31E4A">
          <w:pPr>
            <w:pStyle w:val="Sidhuvud"/>
            <w:spacing w:line="200" w:lineRule="atLeast"/>
            <w:ind w:right="360" w:firstLine="360"/>
            <w:rPr>
              <w:rFonts w:ascii="TradeGothic" w:hAnsi="TradeGothic"/>
              <w:b/>
              <w:bCs/>
              <w:sz w:val="16"/>
              <w:rPrChange w:id="3" w:author="Lars Brink" w:date="2025-12-18T05:01:00Z" w16du:dateUtc="2025-12-18T04:01:00Z">
                <w:rPr>
                  <w:rFonts w:ascii="TradeGothic" w:hAnsi="TradeGothic"/>
                  <w:b/>
                  <w:bCs/>
                  <w:sz w:val="16"/>
                </w:rPr>
              </w:rPrChange>
            </w:rPr>
          </w:pPr>
        </w:p>
      </w:tc>
      <w:tc>
        <w:tcPr>
          <w:tcW w:w="4111" w:type="dxa"/>
          <w:tcMar>
            <w:left w:w="567" w:type="dxa"/>
          </w:tcMar>
        </w:tcPr>
        <w:p w:rsidR="00207A53" w:rsidRPr="00D705AB" w:rsidRDefault="00207A53">
          <w:pPr>
            <w:pStyle w:val="Sidhuvud"/>
            <w:ind w:right="360"/>
            <w:rPr>
              <w:rPrChange w:id="4" w:author="Lars Brink" w:date="2025-12-18T05:01:00Z" w16du:dateUtc="2025-12-18T04:01:00Z">
                <w:rPr/>
              </w:rPrChange>
            </w:rPr>
          </w:pPr>
        </w:p>
      </w:tc>
      <w:tc>
        <w:tcPr>
          <w:tcW w:w="1525" w:type="dxa"/>
        </w:tcPr>
        <w:p w:rsidR="00207A53" w:rsidRPr="00D705AB" w:rsidRDefault="00207A53">
          <w:pPr>
            <w:pStyle w:val="Sidhuvud"/>
            <w:ind w:right="360"/>
            <w:rPr>
              <w:rPrChange w:id="5" w:author="Lars Brink" w:date="2025-12-18T05:01:00Z" w16du:dateUtc="2025-12-18T04:01:00Z">
                <w:rPr/>
              </w:rPrChange>
            </w:rPr>
          </w:pPr>
        </w:p>
      </w:tc>
    </w:tr>
  </w:tbl>
  <w:p w:rsidR="00207A53" w:rsidRPr="00D705AB" w:rsidRDefault="00207A53">
    <w:pPr>
      <w:pStyle w:val="Sidhuvud"/>
      <w:ind w:right="357" w:firstLine="357"/>
      <w:rPr>
        <w:rPrChange w:id="6" w:author="Lars Brink" w:date="2025-12-18T05:01:00Z" w16du:dateUtc="2025-12-18T04:0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A53" w:rsidRPr="00D705AB" w:rsidRDefault="00207A53" w:rsidP="00C31E4A">
    <w:pPr>
      <w:pStyle w:val="Sidhuvud"/>
      <w:framePr w:wrap="around" w:vAnchor="text" w:hAnchor="margin" w:xAlign="outside" w:y="1"/>
      <w:rPr>
        <w:rStyle w:val="Sidnummer"/>
        <w:rPrChange w:id="7" w:author="Lars Brink" w:date="2025-12-18T05:01:00Z" w16du:dateUtc="2025-12-18T04:01:00Z">
          <w:rPr>
            <w:rStyle w:val="Sidnummer"/>
          </w:rPr>
        </w:rPrChange>
      </w:rPr>
    </w:pPr>
    <w:r w:rsidRPr="00D705AB">
      <w:rPr>
        <w:rStyle w:val="Sidnummer"/>
      </w:rPr>
      <w:fldChar w:fldCharType="begin" w:fldLock="1"/>
    </w:r>
    <w:r w:rsidRPr="00D705AB">
      <w:rPr>
        <w:rStyle w:val="Sidnummer"/>
      </w:rPr>
      <w:instrText xml:space="preserve">PAGE  </w:instrText>
    </w:r>
    <w:r w:rsidRPr="00D705AB">
      <w:rPr>
        <w:rStyle w:val="Sidnummer"/>
      </w:rPr>
      <w:fldChar w:fldCharType="separate"/>
    </w:r>
    <w:r w:rsidR="006B37CC" w:rsidRPr="00D705AB">
      <w:rPr>
        <w:rStyle w:val="Sidnummer"/>
        <w:rPrChange w:id="8" w:author="Lars Brink" w:date="2025-12-18T05:01:00Z" w16du:dateUtc="2025-12-18T04:01:00Z">
          <w:rPr>
            <w:rStyle w:val="Sidnummer"/>
            <w:noProof/>
          </w:rPr>
        </w:rPrChange>
      </w:rPr>
      <w:t>7</w:t>
    </w:r>
    <w:r w:rsidRPr="00D705AB">
      <w:rPr>
        <w:rStyle w:val="Sidnummer"/>
        <w:rPrChange w:id="9" w:author="Lars Brink" w:date="2025-12-18T05:01:00Z" w16du:dateUtc="2025-12-18T04:0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07A53" w:rsidRPr="00D705AB">
      <w:tblPrEx>
        <w:tblCellMar>
          <w:top w:w="0" w:type="dxa"/>
          <w:bottom w:w="0" w:type="dxa"/>
        </w:tblCellMar>
      </w:tblPrEx>
      <w:trPr>
        <w:cantSplit/>
      </w:trPr>
      <w:tc>
        <w:tcPr>
          <w:tcW w:w="3119" w:type="dxa"/>
        </w:tcPr>
        <w:p w:rsidR="00207A53" w:rsidRPr="00D705AB" w:rsidRDefault="00207A53" w:rsidP="00C31E4A">
          <w:pPr>
            <w:pStyle w:val="Sidhuvud"/>
            <w:spacing w:line="200" w:lineRule="atLeast"/>
            <w:ind w:right="360" w:firstLine="360"/>
            <w:rPr>
              <w:rFonts w:ascii="TradeGothic" w:hAnsi="TradeGothic"/>
              <w:b/>
              <w:bCs/>
              <w:sz w:val="16"/>
              <w:rPrChange w:id="10" w:author="Lars Brink" w:date="2025-12-18T05:01:00Z" w16du:dateUtc="2025-12-18T04:01:00Z">
                <w:rPr>
                  <w:rFonts w:ascii="TradeGothic" w:hAnsi="TradeGothic"/>
                  <w:b/>
                  <w:bCs/>
                  <w:sz w:val="16"/>
                </w:rPr>
              </w:rPrChange>
            </w:rPr>
          </w:pPr>
        </w:p>
      </w:tc>
      <w:tc>
        <w:tcPr>
          <w:tcW w:w="4111" w:type="dxa"/>
          <w:tcMar>
            <w:left w:w="567" w:type="dxa"/>
          </w:tcMar>
        </w:tcPr>
        <w:p w:rsidR="00207A53" w:rsidRPr="00D705AB" w:rsidRDefault="00207A53">
          <w:pPr>
            <w:pStyle w:val="Sidhuvud"/>
            <w:ind w:right="360"/>
            <w:rPr>
              <w:rPrChange w:id="11" w:author="Lars Brink" w:date="2025-12-18T05:01:00Z" w16du:dateUtc="2025-12-18T04:01:00Z">
                <w:rPr/>
              </w:rPrChange>
            </w:rPr>
          </w:pPr>
        </w:p>
      </w:tc>
      <w:tc>
        <w:tcPr>
          <w:tcW w:w="1525" w:type="dxa"/>
        </w:tcPr>
        <w:p w:rsidR="00207A53" w:rsidRPr="00D705AB" w:rsidRDefault="00207A53">
          <w:pPr>
            <w:pStyle w:val="Sidhuvud"/>
            <w:ind w:right="360"/>
            <w:rPr>
              <w:rPrChange w:id="12" w:author="Lars Brink" w:date="2025-12-18T05:01:00Z" w16du:dateUtc="2025-12-18T04:01:00Z">
                <w:rPr/>
              </w:rPrChange>
            </w:rPr>
          </w:pPr>
        </w:p>
      </w:tc>
    </w:tr>
  </w:tbl>
  <w:p w:rsidR="00207A53" w:rsidRPr="00D705AB" w:rsidRDefault="00207A53">
    <w:pPr>
      <w:pStyle w:val="Sidhuvud"/>
      <w:ind w:right="357" w:firstLine="357"/>
      <w:rPr>
        <w:rPrChange w:id="13" w:author="Lars Brink" w:date="2025-12-18T05:01:00Z" w16du:dateUtc="2025-12-18T04:0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A53" w:rsidRPr="00D705AB" w:rsidRDefault="00D705AB">
    <w:pPr>
      <w:framePr w:w="2948" w:h="1321" w:hRule="exact" w:wrap="notBeside" w:vAnchor="page" w:hAnchor="page" w:x="1362" w:y="653"/>
    </w:pPr>
    <w:r w:rsidRPr="00D705A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07A53" w:rsidRPr="00D705AB" w:rsidRDefault="00207A53">
    <w:pPr>
      <w:pStyle w:val="RKrubrik"/>
      <w:keepNext w:val="0"/>
      <w:tabs>
        <w:tab w:val="clear" w:pos="1134"/>
        <w:tab w:val="clear" w:pos="2835"/>
      </w:tabs>
      <w:spacing w:before="0" w:after="0" w:line="320" w:lineRule="atLeast"/>
      <w:rPr>
        <w:bCs/>
      </w:rPr>
    </w:pPr>
  </w:p>
  <w:p w:rsidR="00207A53" w:rsidRPr="00D705AB" w:rsidRDefault="00207A53">
    <w:pPr>
      <w:rPr>
        <w:rFonts w:ascii="TradeGothic" w:hAnsi="TradeGothic"/>
        <w:b/>
        <w:bCs/>
        <w:spacing w:val="12"/>
        <w:sz w:val="22"/>
      </w:rPr>
    </w:pPr>
  </w:p>
  <w:p w:rsidR="00207A53" w:rsidRPr="00D705AB" w:rsidRDefault="00207A53">
    <w:pPr>
      <w:pStyle w:val="RKrubrik"/>
      <w:keepNext w:val="0"/>
      <w:tabs>
        <w:tab w:val="clear" w:pos="1134"/>
        <w:tab w:val="clear" w:pos="2835"/>
      </w:tabs>
      <w:spacing w:before="0" w:after="0" w:line="320" w:lineRule="atLeast"/>
      <w:rPr>
        <w:bCs/>
      </w:rPr>
    </w:pPr>
  </w:p>
  <w:p w:rsidR="00207A53" w:rsidRPr="00D705AB" w:rsidRDefault="00207A5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9"/>
    <w:multiLevelType w:val="hybridMultilevel"/>
    <w:tmpl w:val="818E98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1C0A20"/>
    <w:multiLevelType w:val="hybridMultilevel"/>
    <w:tmpl w:val="1F821946"/>
    <w:lvl w:ilvl="0" w:tplc="041D000F">
      <w:start w:val="1"/>
      <w:numFmt w:val="decimal"/>
      <w:lvlText w:val="%1."/>
      <w:lvlJc w:val="left"/>
      <w:pPr>
        <w:tabs>
          <w:tab w:val="num" w:pos="720"/>
        </w:tabs>
        <w:ind w:left="720" w:hanging="360"/>
      </w:pPr>
    </w:lvl>
    <w:lvl w:ilvl="1" w:tplc="041D0003">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3582381">
    <w:abstractNumId w:val="0"/>
  </w:num>
  <w:num w:numId="2" w16cid:durableId="8282474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C31E4A"/>
    <w:rsid w:val="0003330B"/>
    <w:rsid w:val="0009002E"/>
    <w:rsid w:val="000D3685"/>
    <w:rsid w:val="00150384"/>
    <w:rsid w:val="00153547"/>
    <w:rsid w:val="001805B7"/>
    <w:rsid w:val="00203852"/>
    <w:rsid w:val="00207593"/>
    <w:rsid w:val="00207A53"/>
    <w:rsid w:val="002574EC"/>
    <w:rsid w:val="002703B7"/>
    <w:rsid w:val="002D21A9"/>
    <w:rsid w:val="002E7E1A"/>
    <w:rsid w:val="003010E3"/>
    <w:rsid w:val="0033048A"/>
    <w:rsid w:val="00363E81"/>
    <w:rsid w:val="00367DDA"/>
    <w:rsid w:val="003860E7"/>
    <w:rsid w:val="003C6343"/>
    <w:rsid w:val="003E1BDA"/>
    <w:rsid w:val="00415439"/>
    <w:rsid w:val="00430783"/>
    <w:rsid w:val="00430EDA"/>
    <w:rsid w:val="00432ED7"/>
    <w:rsid w:val="00441856"/>
    <w:rsid w:val="0045134C"/>
    <w:rsid w:val="00497582"/>
    <w:rsid w:val="004A328D"/>
    <w:rsid w:val="004B7D61"/>
    <w:rsid w:val="00577999"/>
    <w:rsid w:val="0058762B"/>
    <w:rsid w:val="0059011A"/>
    <w:rsid w:val="005A5EA6"/>
    <w:rsid w:val="005C60FD"/>
    <w:rsid w:val="005D02D0"/>
    <w:rsid w:val="00636D79"/>
    <w:rsid w:val="0067014E"/>
    <w:rsid w:val="006767F4"/>
    <w:rsid w:val="006B37CC"/>
    <w:rsid w:val="006C65C7"/>
    <w:rsid w:val="006E4E11"/>
    <w:rsid w:val="006F0F75"/>
    <w:rsid w:val="007242A3"/>
    <w:rsid w:val="00742D97"/>
    <w:rsid w:val="007458F7"/>
    <w:rsid w:val="00773E25"/>
    <w:rsid w:val="007A6855"/>
    <w:rsid w:val="00814C83"/>
    <w:rsid w:val="008348E6"/>
    <w:rsid w:val="00897823"/>
    <w:rsid w:val="008B6710"/>
    <w:rsid w:val="008B73B0"/>
    <w:rsid w:val="008C368F"/>
    <w:rsid w:val="008D65D1"/>
    <w:rsid w:val="008E147C"/>
    <w:rsid w:val="0091091E"/>
    <w:rsid w:val="009314AD"/>
    <w:rsid w:val="00942A6E"/>
    <w:rsid w:val="00983F02"/>
    <w:rsid w:val="00994E4E"/>
    <w:rsid w:val="009A0E56"/>
    <w:rsid w:val="00A00861"/>
    <w:rsid w:val="00A02A78"/>
    <w:rsid w:val="00A40BB8"/>
    <w:rsid w:val="00A5462B"/>
    <w:rsid w:val="00A81E41"/>
    <w:rsid w:val="00A9308F"/>
    <w:rsid w:val="00A96AC5"/>
    <w:rsid w:val="00AA60BE"/>
    <w:rsid w:val="00AC7DDB"/>
    <w:rsid w:val="00B20FEA"/>
    <w:rsid w:val="00B33BB0"/>
    <w:rsid w:val="00B91457"/>
    <w:rsid w:val="00BD47A5"/>
    <w:rsid w:val="00BF2752"/>
    <w:rsid w:val="00BF5095"/>
    <w:rsid w:val="00BF5D6E"/>
    <w:rsid w:val="00BF680C"/>
    <w:rsid w:val="00C31E4A"/>
    <w:rsid w:val="00C75B80"/>
    <w:rsid w:val="00C77193"/>
    <w:rsid w:val="00C953B7"/>
    <w:rsid w:val="00CA5D09"/>
    <w:rsid w:val="00CD4A59"/>
    <w:rsid w:val="00CE5F43"/>
    <w:rsid w:val="00D133D7"/>
    <w:rsid w:val="00D15CC5"/>
    <w:rsid w:val="00D41159"/>
    <w:rsid w:val="00D57796"/>
    <w:rsid w:val="00D6742E"/>
    <w:rsid w:val="00D705AB"/>
    <w:rsid w:val="00D869C1"/>
    <w:rsid w:val="00DA6762"/>
    <w:rsid w:val="00DC6A07"/>
    <w:rsid w:val="00DD5E60"/>
    <w:rsid w:val="00DE1F1C"/>
    <w:rsid w:val="00E23A14"/>
    <w:rsid w:val="00E242B9"/>
    <w:rsid w:val="00E4221C"/>
    <w:rsid w:val="00E66018"/>
    <w:rsid w:val="00E67E85"/>
    <w:rsid w:val="00E82981"/>
    <w:rsid w:val="00EB2FFD"/>
    <w:rsid w:val="00EC25F9"/>
    <w:rsid w:val="00EC2DB8"/>
    <w:rsid w:val="00ED0919"/>
    <w:rsid w:val="00ED583F"/>
    <w:rsid w:val="00F03F07"/>
    <w:rsid w:val="00F06107"/>
    <w:rsid w:val="00F724EE"/>
    <w:rsid w:val="00F85FC8"/>
    <w:rsid w:val="00FC5C2A"/>
    <w:rsid w:val="00FE1A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CD960F-E2AC-45CC-B601-5D95C091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31E4A"/>
    <w:rPr>
      <w:rFonts w:ascii="OrigGarmnd BT" w:hAnsi="OrigGarmnd BT"/>
      <w:sz w:val="24"/>
      <w:lang w:val="sv-SE" w:eastAsia="en-US" w:bidi="ar-SA"/>
    </w:rPr>
  </w:style>
  <w:style w:type="character" w:customStyle="1" w:styleId="RKrubrikChar">
    <w:name w:val="RKrubrik Char"/>
    <w:basedOn w:val="Standardstycketeckensnitt"/>
    <w:link w:val="RKrubrik"/>
    <w:locked/>
    <w:rsid w:val="00C31E4A"/>
    <w:rPr>
      <w:rFonts w:ascii="TradeGothic" w:hAnsi="TradeGothic"/>
      <w:b/>
      <w:sz w:val="22"/>
      <w:lang w:val="sv-SE" w:eastAsia="en-US" w:bidi="ar-SA"/>
    </w:rPr>
  </w:style>
  <w:style w:type="paragraph" w:styleId="Fotnotstext">
    <w:name w:val="footnote text"/>
    <w:basedOn w:val="Normal"/>
    <w:semiHidden/>
    <w:rsid w:val="00C31E4A"/>
    <w:rPr>
      <w:sz w:val="20"/>
    </w:rPr>
  </w:style>
  <w:style w:type="character" w:styleId="Fotnotsreferens">
    <w:name w:val="footnote reference"/>
    <w:basedOn w:val="Standardstycketeckensnitt"/>
    <w:semiHidden/>
    <w:rsid w:val="00C31E4A"/>
    <w:rPr>
      <w:vertAlign w:val="superscript"/>
    </w:rPr>
  </w:style>
  <w:style w:type="paragraph" w:customStyle="1" w:styleId="EntRefer">
    <w:name w:val="EntRefer"/>
    <w:basedOn w:val="Normal"/>
    <w:rsid w:val="00BF5095"/>
    <w:pPr>
      <w:widowControl w:val="0"/>
      <w:overflowPunct/>
      <w:autoSpaceDE/>
      <w:autoSpaceDN/>
      <w:adjustRightInd/>
      <w:spacing w:line="240" w:lineRule="auto"/>
      <w:textAlignment w:val="auto"/>
    </w:pPr>
    <w:rPr>
      <w:rFonts w:ascii="Times New Roman" w:hAnsi="Times New Roman"/>
      <w:b/>
      <w:lang w:eastAsia="fr-BE"/>
    </w:rPr>
  </w:style>
  <w:style w:type="paragraph" w:styleId="Normalwebb">
    <w:name w:val="Normal (Web)"/>
    <w:basedOn w:val="Normal"/>
    <w:rsid w:val="00BF5095"/>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 w:type="paragraph" w:styleId="Normaltindrag">
    <w:name w:val="Normal Indent"/>
    <w:basedOn w:val="Normal"/>
    <w:rsid w:val="00BF5095"/>
    <w:pPr>
      <w:widowControl w:val="0"/>
      <w:overflowPunct/>
      <w:autoSpaceDE/>
      <w:autoSpaceDN/>
      <w:adjustRightInd/>
      <w:spacing w:line="360" w:lineRule="auto"/>
      <w:ind w:left="567"/>
      <w:textAlignment w:val="auto"/>
    </w:pPr>
    <w:rPr>
      <w:rFonts w:ascii="Times New Roman" w:hAnsi="Times New Roman"/>
      <w:lang w:val="en-GB" w:eastAsia="fr-BE"/>
    </w:rPr>
  </w:style>
  <w:style w:type="paragraph" w:styleId="Ballongtext">
    <w:name w:val="Balloon Text"/>
    <w:basedOn w:val="Normal"/>
    <w:semiHidden/>
    <w:rsid w:val="00D15CC5"/>
    <w:rPr>
      <w:rFonts w:ascii="Tahoma" w:hAnsi="Tahoma" w:cs="Tahoma"/>
      <w:sz w:val="16"/>
      <w:szCs w:val="16"/>
    </w:rPr>
  </w:style>
  <w:style w:type="paragraph" w:styleId="Revision">
    <w:name w:val="Revision"/>
    <w:hidden/>
    <w:uiPriority w:val="99"/>
    <w:semiHidden/>
    <w:rsid w:val="00D705A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1405</Words>
  <Characters>9151</Characters>
  <Application>Microsoft Office Word</Application>
  <DocSecurity>4</DocSecurity>
  <Lines>285</Lines>
  <Paragraphs>102</Paragraphs>
  <ScaleCrop>false</ScaleCrop>
  <HeadingPairs>
    <vt:vector size="2" baseType="variant">
      <vt:variant>
        <vt:lpstr>Rubrik</vt:lpstr>
      </vt:variant>
      <vt:variant>
        <vt:i4>1</vt:i4>
      </vt:variant>
    </vt:vector>
  </HeadingPairs>
  <TitlesOfParts>
    <vt:vector size="1" baseType="lpstr">
      <vt:lpstr>aa</vt:lpstr>
    </vt:vector>
  </TitlesOfParts>
  <Company>Regeringskansliet</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subject>aa</dc:subject>
  <dc:creator>Riksdagen</dc:creator>
  <cp:keywords>Riksdagen</cp:keywords>
  <dc:description/>
  <cp:lastModifiedBy>Lars Brink</cp:lastModifiedBy>
  <cp:revision>2</cp:revision>
  <cp:lastPrinted>2011-07-08T10:32:00Z</cp:lastPrinted>
  <dcterms:created xsi:type="dcterms:W3CDTF">2025-12-18T04:01:00Z</dcterms:created>
  <dcterms:modified xsi:type="dcterms:W3CDTF">2025-12-18T04:01:00Z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Landsbygdsdepartementet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