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08CA" w:rsidRPr="006E2475" w:rsidRDefault="008308CA">
      <w:pPr>
        <w:pStyle w:val="Hemstlrubrik"/>
      </w:pPr>
      <w:r w:rsidRPr="006E2475">
        <w:t>Förslag till riksdagsbeslut</w:t>
      </w:r>
    </w:p>
    <w:p w:rsidR="008308CA" w:rsidRPr="006E2475" w:rsidRDefault="008308CA">
      <w:pPr>
        <w:pStyle w:val="Hemstlatt"/>
        <w:numPr>
          <w:ilvl w:val="0"/>
          <w:numId w:val="1"/>
        </w:numPr>
      </w:pPr>
      <w:r w:rsidRPr="006E2475">
        <w:t>Riksdagen tillkännager för regeringen som sin mening vad som anförs i motionen om att avskaffa personvalsspärren i valet till Europaparlamentet 2009.</w:t>
      </w:r>
    </w:p>
    <w:p w:rsidR="008308CA" w:rsidRPr="006E2475" w:rsidRDefault="008308CA">
      <w:pPr>
        <w:pStyle w:val="Hemstlatt"/>
        <w:numPr>
          <w:ilvl w:val="0"/>
          <w:numId w:val="1"/>
        </w:numPr>
      </w:pPr>
      <w:r w:rsidRPr="006E2475">
        <w:t>Riksdagen tillkännager för regeringen som sin mening vad som anförs i motionen om att avskaffa personvalsspärren i kommun-, landstings- och riksdagsvalen.</w:t>
      </w:r>
    </w:p>
    <w:p w:rsidR="008308CA" w:rsidRPr="006E2475" w:rsidRDefault="008308CA">
      <w:pPr>
        <w:pStyle w:val="Rubrik1"/>
      </w:pPr>
      <w:r w:rsidRPr="006E2475">
        <w:t>Motivering</w:t>
      </w:r>
    </w:p>
    <w:p w:rsidR="008308CA" w:rsidRPr="006E2475" w:rsidRDefault="008308CA">
      <w:r w:rsidRPr="006E2475">
        <w:t>Idag krävs minst åtta procent av partiets röster i valkretsen för att en kandidat skall bli personvald till riksdagen. För val till kommun, landsting och Eur</w:t>
      </w:r>
      <w:r w:rsidRPr="006E2475">
        <w:t>o</w:t>
      </w:r>
      <w:r w:rsidRPr="006E2475">
        <w:t>paparlament är motsvarande andel fem procent av partiets röstetal. Det gör att många av de valhandlingar som svenska medborgare väljer att göra på vald</w:t>
      </w:r>
      <w:r w:rsidRPr="006E2475">
        <w:t>a</w:t>
      </w:r>
      <w:r w:rsidRPr="006E2475">
        <w:t>gen inte får någon som helst praktiskt betydelse. Med den nuvarande ordnin</w:t>
      </w:r>
      <w:r w:rsidRPr="006E2475">
        <w:t>g</w:t>
      </w:r>
      <w:r w:rsidRPr="006E2475">
        <w:t>en valdes sex ledamöter in i riksdagen 2006 till följd av väljarnas kryss. En undersökning gjord av riksdagens utredningstjänst visar att med en ordning utan personvalsspärr skulle totalt 78 ledamöter ha valts med personröster. Förändringen av vilka kandidater som utses skulle ha påv</w:t>
      </w:r>
      <w:r w:rsidRPr="006E2475">
        <w:t>erkat alla partier utom Centerpartiet. Men istället fick de val som väljarna gjorde inte något genomslag. Det är enligt vår mening odemokratiskt.</w:t>
      </w:r>
    </w:p>
    <w:p w:rsidR="008308CA" w:rsidRPr="006E2475" w:rsidRDefault="008308CA">
      <w:pPr>
        <w:pStyle w:val="Normaltindrag"/>
      </w:pPr>
      <w:r w:rsidRPr="006E2475">
        <w:t>Grundlagskommittén har låtit fil.dr. Peder Nielsen göra en forskningsra</w:t>
      </w:r>
      <w:r w:rsidRPr="006E2475">
        <w:t>p</w:t>
      </w:r>
      <w:r w:rsidRPr="006E2475">
        <w:t>port med titeln ”Ett decennium med personval” som överlämnades till utre</w:t>
      </w:r>
      <w:r w:rsidRPr="006E2475">
        <w:t>d</w:t>
      </w:r>
      <w:r w:rsidRPr="006E2475">
        <w:t>ningen i maj 2007. Där konstaterar Nielsen att kandidater med utländsk ba</w:t>
      </w:r>
      <w:r w:rsidRPr="006E2475">
        <w:t>k</w:t>
      </w:r>
      <w:r w:rsidRPr="006E2475">
        <w:t>grund hör till dem som skulle gynnas mest om personvalsspärren togs bort. Antalet ledamöter med utländsk bakgrund skulle närapå ha fördubblats, från dagens 6,0 procent (21 personer) till 11,2 procent (39 personer). Med utländsk ba</w:t>
      </w:r>
      <w:r w:rsidRPr="006E2475">
        <w:t>k</w:t>
      </w:r>
      <w:r w:rsidRPr="006E2475">
        <w:t>grund menas här att båda föräldrarna är födda utomlands.</w:t>
      </w:r>
    </w:p>
    <w:p w:rsidR="008308CA" w:rsidRPr="006E2475" w:rsidRDefault="008308CA">
      <w:pPr>
        <w:pStyle w:val="Normaltindrag"/>
      </w:pPr>
      <w:r w:rsidRPr="006E2475">
        <w:lastRenderedPageBreak/>
        <w:t>Efter det senaste valet är 47,3 procent av riksdagsledamöterna kvinnor och 5</w:t>
      </w:r>
      <w:r w:rsidRPr="006E2475">
        <w:t>3,7 procent män. Genom att avskaffa spärren skulle detta förhållande inte förändras signifikant, enligt Nielsen, även om antalet kvinnor skulle minska något.</w:t>
      </w:r>
    </w:p>
    <w:p w:rsidR="008308CA" w:rsidRPr="006E2475" w:rsidRDefault="008308CA">
      <w:pPr>
        <w:pStyle w:val="Normaltindrag"/>
      </w:pPr>
      <w:r w:rsidRPr="006E2475">
        <w:t>Däremot skulle riksdagen föryngras något med en ordning utan perso</w:t>
      </w:r>
      <w:r w:rsidRPr="006E2475">
        <w:t>n</w:t>
      </w:r>
      <w:r w:rsidRPr="006E2475">
        <w:t>valsspärr. Nedanstående tabell visar åldersfördelningen totalt efter 2006 års val och hur åldersfördelningen skulle ha varit om inga spärrar hade funnits.</w:t>
      </w:r>
    </w:p>
    <w:p w:rsidR="008308CA" w:rsidRPr="006E2475" w:rsidRDefault="008308CA">
      <w:pPr>
        <w:rPr>
          <w:b/>
        </w:rPr>
      </w:pPr>
      <w:r w:rsidRPr="006E2475">
        <w:rPr>
          <w:b/>
        </w:rPr>
        <w:t>Åldersfördelning i riksdagen med och utan personvalsspärr</w:t>
      </w:r>
    </w:p>
    <w:tbl>
      <w:tblPr>
        <w:tblStyle w:val="Enkeltabell1"/>
        <w:tblW w:w="0" w:type="auto"/>
        <w:tblLook w:val="0180" w:firstRow="0" w:lastRow="0" w:firstColumn="1" w:lastColumn="1" w:noHBand="0" w:noVBand="0"/>
      </w:tblPr>
      <w:tblGrid>
        <w:gridCol w:w="1382"/>
        <w:gridCol w:w="2312"/>
        <w:gridCol w:w="2259"/>
      </w:tblGrid>
      <w:tr w:rsidR="00000000" w:rsidRPr="006E2475">
        <w:tc>
          <w:tcPr>
            <w:tcW w:w="1428" w:type="dxa"/>
            <w:tcBorders>
              <w:top w:val="single" w:sz="4" w:space="0" w:color="auto"/>
              <w:bottom w:val="single" w:sz="4" w:space="0" w:color="auto"/>
            </w:tcBorders>
          </w:tcPr>
          <w:p w:rsidR="008308CA" w:rsidRPr="006E2475" w:rsidRDefault="008308CA">
            <w:pPr>
              <w:rPr>
                <w:b/>
              </w:rPr>
            </w:pPr>
            <w:r w:rsidRPr="006E2475">
              <w:rPr>
                <w:b/>
              </w:rPr>
              <w:t>Ålder</w:t>
            </w:r>
          </w:p>
        </w:tc>
        <w:tc>
          <w:tcPr>
            <w:tcW w:w="2400" w:type="dxa"/>
            <w:tcBorders>
              <w:top w:val="single" w:sz="4" w:space="0" w:color="auto"/>
              <w:bottom w:val="single" w:sz="4" w:space="0" w:color="auto"/>
            </w:tcBorders>
          </w:tcPr>
          <w:p w:rsidR="008308CA" w:rsidRPr="006E2475" w:rsidRDefault="008308CA">
            <w:pPr>
              <w:jc w:val="right"/>
              <w:rPr>
                <w:b/>
              </w:rPr>
            </w:pPr>
            <w:r w:rsidRPr="006E2475">
              <w:rPr>
                <w:b/>
              </w:rPr>
              <w:t>Andel i procent efter valet 2006</w:t>
            </w:r>
          </w:p>
        </w:tc>
        <w:tc>
          <w:tcPr>
            <w:tcW w:w="2341" w:type="dxa"/>
            <w:tcBorders>
              <w:top w:val="single" w:sz="4" w:space="0" w:color="auto"/>
              <w:bottom w:val="single" w:sz="4" w:space="0" w:color="auto"/>
            </w:tcBorders>
          </w:tcPr>
          <w:p w:rsidR="008308CA" w:rsidRPr="006E2475" w:rsidRDefault="008308CA">
            <w:pPr>
              <w:jc w:val="right"/>
              <w:rPr>
                <w:b/>
              </w:rPr>
            </w:pPr>
            <w:r w:rsidRPr="006E2475">
              <w:rPr>
                <w:b/>
              </w:rPr>
              <w:t xml:space="preserve">Andel i procent utan </w:t>
            </w:r>
            <w:r w:rsidRPr="006E2475">
              <w:rPr>
                <w:b/>
              </w:rPr>
              <w:br/>
              <w:t>personval</w:t>
            </w:r>
            <w:r w:rsidRPr="006E2475">
              <w:rPr>
                <w:b/>
              </w:rPr>
              <w:t>s</w:t>
            </w:r>
            <w:r w:rsidRPr="006E2475">
              <w:rPr>
                <w:b/>
              </w:rPr>
              <w:t>spärr</w:t>
            </w:r>
          </w:p>
        </w:tc>
      </w:tr>
      <w:tr w:rsidR="00000000" w:rsidRPr="006E2475">
        <w:tc>
          <w:tcPr>
            <w:tcW w:w="1428" w:type="dxa"/>
            <w:tcBorders>
              <w:top w:val="single" w:sz="4" w:space="0" w:color="auto"/>
            </w:tcBorders>
          </w:tcPr>
          <w:p w:rsidR="008308CA" w:rsidRPr="006E2475" w:rsidRDefault="008308CA">
            <w:pPr>
              <w:spacing w:before="60" w:line="240" w:lineRule="exact"/>
            </w:pPr>
            <w:r w:rsidRPr="006E2475">
              <w:t>18–29</w:t>
            </w:r>
          </w:p>
        </w:tc>
        <w:tc>
          <w:tcPr>
            <w:tcW w:w="2400" w:type="dxa"/>
            <w:tcBorders>
              <w:top w:val="single" w:sz="4" w:space="0" w:color="auto"/>
            </w:tcBorders>
          </w:tcPr>
          <w:p w:rsidR="008308CA" w:rsidRPr="006E2475" w:rsidRDefault="008308CA">
            <w:pPr>
              <w:spacing w:before="60" w:line="240" w:lineRule="exact"/>
              <w:jc w:val="right"/>
            </w:pPr>
            <w:r w:rsidRPr="006E2475">
              <w:t>4,6</w:t>
            </w:r>
          </w:p>
        </w:tc>
        <w:tc>
          <w:tcPr>
            <w:tcW w:w="2341" w:type="dxa"/>
            <w:tcBorders>
              <w:top w:val="single" w:sz="4" w:space="0" w:color="auto"/>
            </w:tcBorders>
          </w:tcPr>
          <w:p w:rsidR="008308CA" w:rsidRPr="006E2475" w:rsidRDefault="008308CA">
            <w:pPr>
              <w:spacing w:before="60" w:line="240" w:lineRule="exact"/>
              <w:jc w:val="right"/>
            </w:pPr>
            <w:r w:rsidRPr="006E2475">
              <w:t>6,6</w:t>
            </w:r>
          </w:p>
        </w:tc>
      </w:tr>
      <w:tr w:rsidR="00000000" w:rsidRPr="006E2475">
        <w:tc>
          <w:tcPr>
            <w:tcW w:w="1428" w:type="dxa"/>
          </w:tcPr>
          <w:p w:rsidR="008308CA" w:rsidRPr="006E2475" w:rsidRDefault="008308CA">
            <w:pPr>
              <w:spacing w:before="60" w:line="240" w:lineRule="exact"/>
            </w:pPr>
            <w:r w:rsidRPr="006E2475">
              <w:t>30–39</w:t>
            </w:r>
          </w:p>
        </w:tc>
        <w:tc>
          <w:tcPr>
            <w:tcW w:w="2400" w:type="dxa"/>
          </w:tcPr>
          <w:p w:rsidR="008308CA" w:rsidRPr="006E2475" w:rsidRDefault="008308CA">
            <w:pPr>
              <w:spacing w:before="60" w:line="240" w:lineRule="exact"/>
              <w:jc w:val="right"/>
            </w:pPr>
            <w:r w:rsidRPr="006E2475">
              <w:t>18,3</w:t>
            </w:r>
          </w:p>
        </w:tc>
        <w:tc>
          <w:tcPr>
            <w:tcW w:w="2341" w:type="dxa"/>
          </w:tcPr>
          <w:p w:rsidR="008308CA" w:rsidRPr="006E2475" w:rsidRDefault="008308CA">
            <w:pPr>
              <w:spacing w:before="60" w:line="240" w:lineRule="exact"/>
              <w:jc w:val="right"/>
            </w:pPr>
            <w:r w:rsidRPr="006E2475">
              <w:t>20,3</w:t>
            </w:r>
          </w:p>
        </w:tc>
      </w:tr>
      <w:tr w:rsidR="00000000" w:rsidRPr="006E2475">
        <w:tc>
          <w:tcPr>
            <w:tcW w:w="1428" w:type="dxa"/>
          </w:tcPr>
          <w:p w:rsidR="008308CA" w:rsidRPr="006E2475" w:rsidRDefault="008308CA">
            <w:pPr>
              <w:spacing w:before="60" w:line="240" w:lineRule="exact"/>
            </w:pPr>
            <w:r w:rsidRPr="006E2475">
              <w:t>40–49</w:t>
            </w:r>
          </w:p>
        </w:tc>
        <w:tc>
          <w:tcPr>
            <w:tcW w:w="2400" w:type="dxa"/>
          </w:tcPr>
          <w:p w:rsidR="008308CA" w:rsidRPr="006E2475" w:rsidRDefault="008308CA">
            <w:pPr>
              <w:spacing w:before="60" w:line="240" w:lineRule="exact"/>
              <w:jc w:val="right"/>
            </w:pPr>
            <w:r w:rsidRPr="006E2475">
              <w:t>29,5</w:t>
            </w:r>
          </w:p>
        </w:tc>
        <w:tc>
          <w:tcPr>
            <w:tcW w:w="2341" w:type="dxa"/>
          </w:tcPr>
          <w:p w:rsidR="008308CA" w:rsidRPr="006E2475" w:rsidRDefault="008308CA">
            <w:pPr>
              <w:spacing w:before="60" w:line="240" w:lineRule="exact"/>
              <w:jc w:val="right"/>
            </w:pPr>
            <w:r w:rsidRPr="006E2475">
              <w:t>31,2</w:t>
            </w:r>
          </w:p>
        </w:tc>
      </w:tr>
      <w:tr w:rsidR="00000000" w:rsidRPr="006E2475">
        <w:tc>
          <w:tcPr>
            <w:tcW w:w="1428" w:type="dxa"/>
            <w:tcBorders>
              <w:bottom w:val="nil"/>
            </w:tcBorders>
          </w:tcPr>
          <w:p w:rsidR="008308CA" w:rsidRPr="006E2475" w:rsidRDefault="008308CA">
            <w:pPr>
              <w:spacing w:before="60" w:line="240" w:lineRule="exact"/>
            </w:pPr>
            <w:r w:rsidRPr="006E2475">
              <w:t>50–64</w:t>
            </w:r>
          </w:p>
        </w:tc>
        <w:tc>
          <w:tcPr>
            <w:tcW w:w="2400" w:type="dxa"/>
            <w:tcBorders>
              <w:bottom w:val="nil"/>
            </w:tcBorders>
          </w:tcPr>
          <w:p w:rsidR="008308CA" w:rsidRPr="006E2475" w:rsidRDefault="008308CA">
            <w:pPr>
              <w:spacing w:before="60" w:line="240" w:lineRule="exact"/>
              <w:jc w:val="right"/>
            </w:pPr>
            <w:r w:rsidRPr="006E2475">
              <w:t>44,4</w:t>
            </w:r>
          </w:p>
        </w:tc>
        <w:tc>
          <w:tcPr>
            <w:tcW w:w="2341" w:type="dxa"/>
            <w:tcBorders>
              <w:bottom w:val="nil"/>
            </w:tcBorders>
          </w:tcPr>
          <w:p w:rsidR="008308CA" w:rsidRPr="006E2475" w:rsidRDefault="008308CA">
            <w:pPr>
              <w:spacing w:before="60" w:line="240" w:lineRule="exact"/>
              <w:jc w:val="right"/>
            </w:pPr>
            <w:r w:rsidRPr="006E2475">
              <w:t>39,0</w:t>
            </w:r>
          </w:p>
        </w:tc>
      </w:tr>
      <w:tr w:rsidR="00000000" w:rsidRPr="006E2475">
        <w:tc>
          <w:tcPr>
            <w:tcW w:w="1428" w:type="dxa"/>
            <w:tcBorders>
              <w:top w:val="nil"/>
              <w:bottom w:val="single" w:sz="4" w:space="0" w:color="auto"/>
            </w:tcBorders>
          </w:tcPr>
          <w:p w:rsidR="008308CA" w:rsidRPr="006E2475" w:rsidRDefault="008308CA">
            <w:pPr>
              <w:spacing w:before="60" w:line="240" w:lineRule="exact"/>
            </w:pPr>
            <w:r w:rsidRPr="006E2475">
              <w:t>65–</w:t>
            </w:r>
          </w:p>
        </w:tc>
        <w:tc>
          <w:tcPr>
            <w:tcW w:w="2400" w:type="dxa"/>
            <w:tcBorders>
              <w:top w:val="nil"/>
              <w:bottom w:val="single" w:sz="4" w:space="0" w:color="auto"/>
            </w:tcBorders>
          </w:tcPr>
          <w:p w:rsidR="008308CA" w:rsidRPr="006E2475" w:rsidRDefault="008308CA">
            <w:pPr>
              <w:spacing w:before="60" w:line="240" w:lineRule="exact"/>
              <w:jc w:val="right"/>
            </w:pPr>
            <w:r w:rsidRPr="006E2475">
              <w:t>3,2</w:t>
            </w:r>
          </w:p>
        </w:tc>
        <w:tc>
          <w:tcPr>
            <w:tcW w:w="2341" w:type="dxa"/>
            <w:tcBorders>
              <w:top w:val="nil"/>
              <w:bottom w:val="single" w:sz="4" w:space="0" w:color="auto"/>
            </w:tcBorders>
          </w:tcPr>
          <w:p w:rsidR="008308CA" w:rsidRPr="006E2475" w:rsidRDefault="008308CA">
            <w:pPr>
              <w:spacing w:before="60" w:line="240" w:lineRule="exact"/>
              <w:jc w:val="right"/>
            </w:pPr>
            <w:r w:rsidRPr="006E2475">
              <w:t>29,9</w:t>
            </w:r>
          </w:p>
        </w:tc>
      </w:tr>
    </w:tbl>
    <w:p w:rsidR="008308CA" w:rsidRPr="006E2475" w:rsidRDefault="008308CA">
      <w:pPr>
        <w:spacing w:before="0"/>
        <w:rPr>
          <w:i/>
          <w:sz w:val="16"/>
          <w:szCs w:val="16"/>
        </w:rPr>
      </w:pPr>
      <w:r w:rsidRPr="006E2475">
        <w:rPr>
          <w:i/>
          <w:sz w:val="16"/>
          <w:szCs w:val="16"/>
        </w:rPr>
        <w:t>Källa: Nielsen 2007 sid. 78.</w:t>
      </w:r>
    </w:p>
    <w:p w:rsidR="008308CA" w:rsidRPr="006E2475" w:rsidRDefault="008308CA">
      <w:r w:rsidRPr="006E2475">
        <w:t>Åldersfördelningen hade därmed blivit betydligt jämnare och de grupper som idag är kraftigt underrepresenterade – ungdomar och pensionärer – hade båda ökat.</w:t>
      </w:r>
    </w:p>
    <w:p w:rsidR="008308CA" w:rsidRPr="006E2475" w:rsidRDefault="008308CA">
      <w:pPr>
        <w:pStyle w:val="Rubrik2"/>
      </w:pPr>
      <w:r w:rsidRPr="006E2475">
        <w:t>Prova ett system utan spärrar i valet till Europaparlamentet 2009</w:t>
      </w:r>
    </w:p>
    <w:p w:rsidR="008308CA" w:rsidRPr="006E2475" w:rsidRDefault="008308CA">
      <w:r w:rsidRPr="006E2475">
        <w:t>Övergripande regler för val till Europaparlamentet har fastslagits i EG:s så kallade valrättsakt som har antagits av ministerrådet 1976 och delvis ändrats 2002. Här omnämns till exempel regler kring när val ska äga rum och att personvalsspärren inte får vara högre än fem procent. Däremot är det fullt möjligt att ha lägre eller inga spärrar alls. Däremot måste valen vara propo</w:t>
      </w:r>
      <w:r w:rsidRPr="006E2475">
        <w:t>r</w:t>
      </w:r>
      <w:r w:rsidRPr="006E2475">
        <w:t>tionella – personval i enmansvalkretsar, som i valen till det brittiska parl</w:t>
      </w:r>
      <w:r w:rsidRPr="006E2475">
        <w:t>a</w:t>
      </w:r>
      <w:r w:rsidRPr="006E2475">
        <w:t>mentet, är således inte tillåtet.</w:t>
      </w:r>
    </w:p>
    <w:p w:rsidR="008308CA" w:rsidRPr="006E2475" w:rsidRDefault="008308CA">
      <w:pPr>
        <w:pStyle w:val="Normaltindrag"/>
      </w:pPr>
      <w:r w:rsidRPr="006E2475">
        <w:t>Sverige har vävt in dessa EG-regler i vallagen (2005:837), där finns vissa nationella bestämmelser om bland annat valkretsindelning och regler kring personval. Om de nationella reglerna ska ändras räcker ett vanligt riksdagsb</w:t>
      </w:r>
      <w:r w:rsidRPr="006E2475">
        <w:t>e</w:t>
      </w:r>
      <w:r w:rsidRPr="006E2475">
        <w:t>slut. En ny vallag trädde i kraft den 1 januari 2006. Den innebar dock inte några förändringar när det gäller valet till Europaparlamentet enligt propos</w:t>
      </w:r>
      <w:r w:rsidRPr="006E2475">
        <w:t>i</w:t>
      </w:r>
      <w:r w:rsidRPr="006E2475">
        <w:t>tionen (2004/05:163) som låg till grund för lagen.</w:t>
      </w:r>
    </w:p>
    <w:p w:rsidR="008308CA" w:rsidRPr="006E2475" w:rsidRDefault="008308CA">
      <w:pPr>
        <w:pStyle w:val="Normaltindrag"/>
      </w:pPr>
      <w:r w:rsidRPr="006E2475">
        <w:t>Det står alltså riksdag och regering fritt att ändra reglerna för personval till Europaparlamentet. Det gör att vi redan i nästa val på våren 2009 kan pröva att avskaffa dagens spärr för personval och låta väljarna få ett större inflyta</w:t>
      </w:r>
      <w:r w:rsidRPr="006E2475">
        <w:t>n</w:t>
      </w:r>
      <w:r w:rsidRPr="006E2475">
        <w:t>de över vilka som ska representera dem i Europaparlamentet. Regeringen bör därför ta fram förslag om att avskaffa spärren i personvalet redan inför valet till Europaparlamentet 2009. Vidare bör regeringen överväga om det inte är dags att låta medborgarna välja sina företrädare och avskaffa spärren i pe</w:t>
      </w:r>
      <w:r w:rsidRPr="006E2475">
        <w:t>r</w:t>
      </w:r>
      <w:r w:rsidRPr="006E2475">
        <w:t>sonvalssystemet även i val till kommun, landsting och riksdag.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E2475">
        <w:trPr>
          <w:cantSplit/>
        </w:trPr>
        <w:tc>
          <w:tcPr>
            <w:tcW w:w="3046" w:type="dxa"/>
          </w:tcPr>
          <w:p w:rsidR="008308CA" w:rsidRPr="006E2475" w:rsidRDefault="008308CA">
            <w:pPr>
              <w:pStyle w:val="UnderskriftDatum"/>
              <w:spacing w:before="240"/>
            </w:pPr>
            <w:r w:rsidRPr="006E2475">
              <w:t>Stockholm den 4 oktober 2007</w:t>
            </w:r>
          </w:p>
        </w:tc>
        <w:tc>
          <w:tcPr>
            <w:tcW w:w="3047" w:type="dxa"/>
          </w:tcPr>
          <w:p w:rsidR="008308CA" w:rsidRPr="006E2475" w:rsidRDefault="008308CA">
            <w:pPr>
              <w:pStyle w:val="Underskrifter"/>
              <w:spacing w:before="240"/>
            </w:pPr>
          </w:p>
        </w:tc>
      </w:tr>
      <w:tr w:rsidR="00000000" w:rsidRPr="006E2475">
        <w:trPr>
          <w:cantSplit/>
        </w:trPr>
        <w:tc>
          <w:tcPr>
            <w:tcW w:w="3046" w:type="dxa"/>
          </w:tcPr>
          <w:p w:rsidR="008308CA" w:rsidRPr="006E2475" w:rsidRDefault="008308CA">
            <w:pPr>
              <w:pStyle w:val="Underskrifter"/>
            </w:pPr>
            <w:r w:rsidRPr="006E2475">
              <w:t>Gustav Blix (m)</w:t>
            </w:r>
          </w:p>
        </w:tc>
        <w:tc>
          <w:tcPr>
            <w:tcW w:w="3046" w:type="dxa"/>
          </w:tcPr>
          <w:p w:rsidR="008308CA" w:rsidRPr="006E2475" w:rsidRDefault="008308CA">
            <w:pPr>
              <w:pStyle w:val="Underskrifter"/>
            </w:pPr>
            <w:r w:rsidRPr="006E2475">
              <w:t>Anna Kinberg Batra (m)</w:t>
            </w:r>
          </w:p>
        </w:tc>
      </w:tr>
    </w:tbl>
    <w:p w:rsidR="008308CA" w:rsidRPr="006E2475" w:rsidRDefault="008308CA">
      <w:pPr>
        <w:pStyle w:val="Normaltindrag"/>
      </w:pPr>
    </w:p>
    <w:sectPr w:rsidR="008308CA" w:rsidRPr="006E247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08CA" w:rsidRPr="006E2475" w:rsidRDefault="008308CA">
      <w:r w:rsidRPr="006E2475">
        <w:separator/>
      </w:r>
    </w:p>
  </w:endnote>
  <w:endnote w:type="continuationSeparator" w:id="0">
    <w:p w:rsidR="008308CA" w:rsidRPr="006E2475" w:rsidRDefault="008308CA">
      <w:r w:rsidRPr="006E24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Sans">
    <w:altName w:val="Calibri"/>
    <w:panose1 w:val="00000000000000000000"/>
    <w:charset w:val="00"/>
    <w:family w:val="swiss"/>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08CA" w:rsidRPr="006E2475" w:rsidRDefault="006E2475">
    <w:pPr>
      <w:pStyle w:val="Sidfot"/>
    </w:pPr>
    <w:r w:rsidRPr="006E247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4887114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08CA" w:rsidRDefault="008308C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308CA" w:rsidRDefault="008308C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08CA" w:rsidRPr="006E2475" w:rsidRDefault="006E2475">
    <w:pPr>
      <w:pStyle w:val="Sidfot"/>
    </w:pPr>
    <w:r w:rsidRPr="006E247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030800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08CA" w:rsidRDefault="008308C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308CA" w:rsidRDefault="008308C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08CA" w:rsidRPr="006E2475" w:rsidRDefault="006E2475">
    <w:pPr>
      <w:pStyle w:val="Sidfot"/>
    </w:pPr>
    <w:r w:rsidRPr="006E247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35406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08CA" w:rsidRDefault="008308C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308CA" w:rsidRDefault="008308C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08CA" w:rsidRPr="006E2475" w:rsidRDefault="008308CA">
      <w:r w:rsidRPr="006E2475">
        <w:separator/>
      </w:r>
    </w:p>
  </w:footnote>
  <w:footnote w:type="continuationSeparator" w:id="0">
    <w:p w:rsidR="008308CA" w:rsidRPr="006E2475" w:rsidRDefault="008308CA">
      <w:r w:rsidRPr="006E24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08CA" w:rsidRPr="006E2475" w:rsidRDefault="006E2475">
    <w:pPr>
      <w:pStyle w:val="Sidhuvud"/>
    </w:pPr>
    <w:r w:rsidRPr="006E247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505549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08CA" w:rsidRDefault="008308C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308CA" w:rsidRDefault="008308C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08CA" w:rsidRPr="006E2475" w:rsidRDefault="006E2475">
    <w:pPr>
      <w:pStyle w:val="Sidhuvud"/>
    </w:pPr>
    <w:r w:rsidRPr="006E247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211824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08CA" w:rsidRDefault="008308C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308CA" w:rsidRDefault="008308C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08CA" w:rsidRPr="006E2475" w:rsidRDefault="008308CA">
    <w:pPr>
      <w:pStyle w:val="FSHNormal"/>
      <w:tabs>
        <w:tab w:val="right" w:pos="5840"/>
      </w:tabs>
    </w:pPr>
    <w:r w:rsidRPr="006E2475">
      <w:br/>
    </w:r>
    <w:r w:rsidRPr="006E2475">
      <w:fldChar w:fldCharType="begin" w:fldLock="1"/>
    </w:r>
    <w:r w:rsidRPr="006E2475">
      <w:instrText xml:space="preserve"> DOCPROPERTY</w:instrText>
    </w:r>
    <w:r w:rsidRPr="006E2475">
      <w:rPr>
        <w:sz w:val="18"/>
      </w:rPr>
      <w:instrText xml:space="preserve"> "YearUser" *\charformat </w:instrText>
    </w:r>
    <w:r w:rsidRPr="006E2475">
      <w:fldChar w:fldCharType="separate"/>
    </w:r>
    <w:r w:rsidRPr="006E2475">
      <w:t>2007/08</w:t>
    </w:r>
    <w:r w:rsidRPr="006E2475">
      <w:fldChar w:fldCharType="end"/>
    </w:r>
    <w:r w:rsidRPr="006E2475">
      <w:t xml:space="preserve"> </w:t>
    </w:r>
    <w:r w:rsidRPr="006E2475">
      <w:tab/>
      <w:t xml:space="preserve">mnr: </w:t>
    </w:r>
    <w:r w:rsidRPr="006E2475">
      <w:fldChar w:fldCharType="begin" w:fldLock="1"/>
    </w:r>
    <w:r w:rsidRPr="006E2475">
      <w:instrText xml:space="preserve"> DOCPROPERTY</w:instrText>
    </w:r>
    <w:r w:rsidRPr="006E2475">
      <w:rPr>
        <w:sz w:val="18"/>
      </w:rPr>
      <w:instrText xml:space="preserve"> "Motionsnummer" *\charformat </w:instrText>
    </w:r>
    <w:r w:rsidRPr="006E2475">
      <w:fldChar w:fldCharType="separate"/>
    </w:r>
    <w:r w:rsidRPr="006E2475">
      <w:t>K383</w:t>
    </w:r>
    <w:r w:rsidRPr="006E2475">
      <w:fldChar w:fldCharType="end"/>
    </w:r>
    <w:r w:rsidRPr="006E2475">
      <w:br/>
    </w:r>
    <w:r w:rsidRPr="006E2475">
      <w:fldChar w:fldCharType="begin" w:fldLock="1"/>
    </w:r>
    <w:r w:rsidRPr="006E2475">
      <w:instrText xml:space="preserve"> DOCPROPERTY</w:instrText>
    </w:r>
    <w:r w:rsidRPr="006E2475">
      <w:rPr>
        <w:sz w:val="18"/>
      </w:rPr>
      <w:instrText xml:space="preserve"> "Samling" *\charformat </w:instrText>
    </w:r>
    <w:r w:rsidRPr="006E2475">
      <w:fldChar w:fldCharType="end"/>
    </w:r>
    <w:r w:rsidRPr="006E2475">
      <w:tab/>
      <w:t xml:space="preserve">pnr: </w:t>
    </w:r>
    <w:r w:rsidRPr="006E2475">
      <w:fldChar w:fldCharType="begin" w:fldLock="1"/>
    </w:r>
    <w:r w:rsidRPr="006E2475">
      <w:instrText xml:space="preserve"> DOCPROPERTY</w:instrText>
    </w:r>
    <w:r w:rsidRPr="006E2475">
      <w:rPr>
        <w:sz w:val="18"/>
      </w:rPr>
      <w:instrText xml:space="preserve"> "Partinummer" *\charformat </w:instrText>
    </w:r>
    <w:r w:rsidRPr="006E2475">
      <w:fldChar w:fldCharType="separate"/>
    </w:r>
    <w:r w:rsidRPr="006E2475">
      <w:t>m1775</w:t>
    </w:r>
    <w:r w:rsidRPr="006E2475">
      <w:fldChar w:fldCharType="end"/>
    </w:r>
  </w:p>
  <w:p w:rsidR="008308CA" w:rsidRPr="006E2475" w:rsidRDefault="008308CA">
    <w:pPr>
      <w:pStyle w:val="FSHRub1"/>
    </w:pPr>
    <w:r w:rsidRPr="006E2475">
      <w:t>Motion till riksdagen</w:t>
    </w:r>
    <w:r w:rsidRPr="006E2475">
      <w:br/>
    </w:r>
    <w:r w:rsidRPr="006E2475">
      <w:fldChar w:fldCharType="begin" w:fldLock="1"/>
    </w:r>
    <w:r w:rsidRPr="006E2475">
      <w:instrText xml:space="preserve"> DOCPROPERTY "YearUser" *\charformat </w:instrText>
    </w:r>
    <w:r w:rsidRPr="006E2475">
      <w:fldChar w:fldCharType="separate"/>
    </w:r>
    <w:r w:rsidRPr="006E2475">
      <w:t>2007/08</w:t>
    </w:r>
    <w:r w:rsidRPr="006E2475">
      <w:fldChar w:fldCharType="end"/>
    </w:r>
    <w:r w:rsidRPr="006E2475">
      <w:t>:</w:t>
    </w:r>
    <w:r w:rsidRPr="006E2475">
      <w:fldChar w:fldCharType="begin" w:fldLock="1"/>
    </w:r>
    <w:r w:rsidRPr="006E2475">
      <w:instrText xml:space="preserve"> DOCPROPERTY "Motionsnummer" *\charformat </w:instrText>
    </w:r>
    <w:r w:rsidRPr="006E2475">
      <w:fldChar w:fldCharType="separate"/>
    </w:r>
    <w:r w:rsidRPr="006E2475">
      <w:t>K383</w:t>
    </w:r>
    <w:r w:rsidRPr="006E2475">
      <w:fldChar w:fldCharType="end"/>
    </w:r>
  </w:p>
  <w:p w:rsidR="008308CA" w:rsidRPr="006E2475" w:rsidRDefault="008308CA">
    <w:pPr>
      <w:pStyle w:val="FSHNormalS5"/>
    </w:pPr>
    <w:r w:rsidRPr="006E2475">
      <w:fldChar w:fldCharType="begin" w:fldLock="1"/>
    </w:r>
    <w:r w:rsidRPr="006E2475">
      <w:instrText xml:space="preserve"> DOCPROPERTY "MotionarText" *\charformat </w:instrText>
    </w:r>
    <w:r w:rsidRPr="006E2475">
      <w:fldChar w:fldCharType="separate"/>
    </w:r>
    <w:r w:rsidRPr="006E2475">
      <w:t>av Gustav Blix och Anna Kinberg Batra (m)</w:t>
    </w:r>
    <w:r w:rsidRPr="006E2475">
      <w:fldChar w:fldCharType="end"/>
    </w:r>
    <w:r w:rsidRPr="006E2475">
      <w:br/>
    </w:r>
    <w:r w:rsidRPr="006E2475">
      <w:fldChar w:fldCharType="begin" w:fldLock="1"/>
    </w:r>
    <w:r w:rsidRPr="006E2475">
      <w:instrText xml:space="preserve"> DOCPROPERTY "SvarFrasKort" *\charformat </w:instrText>
    </w:r>
    <w:r w:rsidRPr="006E2475">
      <w:fldChar w:fldCharType="end"/>
    </w:r>
  </w:p>
  <w:p w:rsidR="008308CA" w:rsidRPr="006E2475" w:rsidRDefault="008308CA">
    <w:pPr>
      <w:pStyle w:val="FSHTitel"/>
    </w:pPr>
    <w:r w:rsidRPr="006E2475">
      <w:fldChar w:fldCharType="begin" w:fldLock="1"/>
    </w:r>
    <w:r w:rsidRPr="006E2475">
      <w:instrText xml:space="preserve"> DOCPROPERTY</w:instrText>
    </w:r>
    <w:r w:rsidRPr="006E2475">
      <w:rPr>
        <w:sz w:val="18"/>
      </w:rPr>
      <w:instrText xml:space="preserve"> "RubrikSvar" *\charformat </w:instrText>
    </w:r>
    <w:r w:rsidRPr="006E2475">
      <w:fldChar w:fldCharType="separate"/>
    </w:r>
    <w:r w:rsidRPr="006E2475">
      <w:t>Avskaffande av personvalsspärren</w:t>
    </w:r>
    <w:r w:rsidRPr="006E2475">
      <w:fldChar w:fldCharType="end"/>
    </w:r>
  </w:p>
  <w:p w:rsidR="008308CA" w:rsidRPr="006E2475" w:rsidRDefault="008308CA">
    <w:pPr>
      <w:pStyle w:val="Normal00"/>
    </w:pPr>
  </w:p>
  <w:p w:rsidR="008308CA" w:rsidRPr="006E2475" w:rsidRDefault="008308C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0500575"/>
    <w:multiLevelType w:val="hybridMultilevel"/>
    <w:tmpl w:val="7DF462CE"/>
    <w:lvl w:ilvl="0" w:tplc="F306D81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69210713">
    <w:abstractNumId w:val="8"/>
  </w:num>
  <w:num w:numId="2" w16cid:durableId="1931234471">
    <w:abstractNumId w:val="9"/>
  </w:num>
  <w:num w:numId="3" w16cid:durableId="2050060672">
    <w:abstractNumId w:val="8"/>
  </w:num>
  <w:num w:numId="4" w16cid:durableId="2076590153">
    <w:abstractNumId w:val="9"/>
  </w:num>
  <w:num w:numId="5" w16cid:durableId="2079159961">
    <w:abstractNumId w:val="13"/>
  </w:num>
  <w:num w:numId="6" w16cid:durableId="666441565">
    <w:abstractNumId w:val="10"/>
  </w:num>
  <w:num w:numId="7" w16cid:durableId="55706197">
    <w:abstractNumId w:val="11"/>
  </w:num>
  <w:num w:numId="8" w16cid:durableId="386491291">
    <w:abstractNumId w:val="12"/>
  </w:num>
  <w:num w:numId="9" w16cid:durableId="2110657138">
    <w:abstractNumId w:val="8"/>
  </w:num>
  <w:num w:numId="10" w16cid:durableId="1330332227">
    <w:abstractNumId w:val="3"/>
  </w:num>
  <w:num w:numId="11" w16cid:durableId="1416517940">
    <w:abstractNumId w:val="2"/>
  </w:num>
  <w:num w:numId="12" w16cid:durableId="1793478266">
    <w:abstractNumId w:val="1"/>
  </w:num>
  <w:num w:numId="13" w16cid:durableId="1422410548">
    <w:abstractNumId w:val="0"/>
  </w:num>
  <w:num w:numId="14" w16cid:durableId="1567301506">
    <w:abstractNumId w:val="9"/>
  </w:num>
  <w:num w:numId="15" w16cid:durableId="1923684838">
    <w:abstractNumId w:val="7"/>
  </w:num>
  <w:num w:numId="16" w16cid:durableId="1404764310">
    <w:abstractNumId w:val="6"/>
  </w:num>
  <w:num w:numId="17" w16cid:durableId="826823058">
    <w:abstractNumId w:val="5"/>
  </w:num>
  <w:num w:numId="18" w16cid:durableId="361515701">
    <w:abstractNumId w:val="4"/>
  </w:num>
  <w:num w:numId="19" w16cid:durableId="143701677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44D6CDEB-7894-4492-A55E-68AF4ADBB301},{6F25D2AB-AD5B-4466-AD9A-2CEF073C2555}"/>
  </w:docVars>
  <w:rsids>
    <w:rsidRoot w:val="007751FD"/>
    <w:rsid w:val="006E2475"/>
    <w:rsid w:val="007751FD"/>
    <w:rsid w:val="008308C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9C3CC32-940C-403D-8FC2-39146CB52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1"/>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1">
    <w:name w:val="Rubrik 2 Char1"/>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Rubrik2Char">
    <w:name w:val="Rubrik 2 Char"/>
    <w:basedOn w:val="Standardstycketeckensnitt"/>
    <w:rPr>
      <w:rFonts w:ascii="GillSans" w:hAnsi="GillSans"/>
      <w:b/>
      <w:kern w:val="28"/>
      <w:sz w:val="23"/>
      <w:lang w:val="sv-SE" w:eastAsia="sv-SE" w:bidi="ar-SA"/>
    </w:rPr>
  </w:style>
  <w:style w:type="table" w:styleId="Enkeltabell1">
    <w:name w:val="Table Simple 1"/>
    <w:basedOn w:val="Normaltabell"/>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623</Words>
  <Characters>3563</Characters>
  <Application>Microsoft Office Word</Application>
  <DocSecurity>4</DocSecurity>
  <Lines>86</Lines>
  <Paragraphs>42</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2007-12-06T16:11:00Z</cp:lastPrinted>
  <dcterms:created xsi:type="dcterms:W3CDTF">2025-12-17T06:21:00Z</dcterms:created>
  <dcterms:modified xsi:type="dcterms:W3CDTF">2025-12-17T06:21:00Z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Avskaffande av personvalsspärren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Avskaffande av personvalsspärren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m1775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Gustav Blix och Anna Kinberg Batra (m)</vt:lpwstr>
  </property>
  <property fmtid="{D5CDD505-2E9C-101B-9397-08002B2CF9AE}" pid="26" name="MotionarLista">
    <vt:lpwstr>Blix, Gustav (m)\Kinberg Batra, Anna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Gustav Blix (m), Anna Kinberg Batra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K383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monica.de.soto@riksdagen.se</vt:lpwstr>
  </property>
  <property fmtid="{D5CDD505-2E9C-101B-9397-08002B2CF9AE}" pid="45" name="ReservUID">
    <vt:lpwstr>ma0607aa</vt:lpwstr>
  </property>
  <property fmtid="{D5CDD505-2E9C-101B-9397-08002B2CF9AE}" pid="46" name="MotionID">
    <vt:lpwstr>20072008000000000109000017750069</vt:lpwstr>
  </property>
  <property fmtid="{D5CDD505-2E9C-101B-9397-08002B2CF9AE}" pid="47" name="datum">
    <vt:lpwstr>071004</vt:lpwstr>
  </property>
  <property fmtid="{D5CDD505-2E9C-101B-9397-08002B2CF9AE}" pid="48" name="avsändar-e-post">
    <vt:lpwstr>monica.de.soto@riksdagen.se</vt:lpwstr>
  </property>
  <property fmtid="{D5CDD505-2E9C-101B-9397-08002B2CF9AE}" pid="49" name="id">
    <vt:lpwstr>20072008000000000109000017750069</vt:lpwstr>
  </property>
  <property fmtid="{D5CDD505-2E9C-101B-9397-08002B2CF9AE}" pid="50" name="nummer">
    <vt:lpwstr>383</vt:lpwstr>
  </property>
  <property fmtid="{D5CDD505-2E9C-101B-9397-08002B2CF9AE}" pid="51" name="utskottsbeteckning">
    <vt:lpwstr>K</vt:lpwstr>
  </property>
  <property fmtid="{D5CDD505-2E9C-101B-9397-08002B2CF9AE}" pid="52" name="GlobalUID">
    <vt:lpwstr>{6BF0DD3D-73FC-46A5-953E-D3C274F3EDD2}</vt:lpwstr>
  </property>
  <property fmtid="{D5CDD505-2E9C-101B-9397-08002B2CF9AE}" pid="53" name="Överföringar">
    <vt:i4>0</vt:i4>
  </property>
  <property fmtid="{D5CDD505-2E9C-101B-9397-08002B2CF9AE}" pid="54" name="Checksum">
    <vt:lpwstr>*1011443538639*</vt:lpwstr>
  </property>
  <property fmtid="{D5CDD505-2E9C-101B-9397-08002B2CF9AE}" pid="55" name="skuggnummer">
    <vt:lpwstr>2775</vt:lpwstr>
  </property>
  <property fmtid="{D5CDD505-2E9C-101B-9397-08002B2CF9AE}" pid="56" name="urixVersion">
    <vt:lpwstr>3.2.0.8</vt:lpwstr>
  </property>
  <property fmtid="{D5CDD505-2E9C-101B-9397-08002B2CF9AE}" pid="57" name="urixOrigin">
    <vt:lpwstr>080827 13:30:29.114</vt:lpwstr>
  </property>
  <property fmtid="{D5CDD505-2E9C-101B-9397-08002B2CF9AE}" pid="58" name="urixGuid">
    <vt:lpwstr>{DA87E1AC-5F99-40FB-B132-E198DAB7C325}</vt:lpwstr>
  </property>
</Properties>
</file>