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06918">
        <w:tc>
          <w:tcPr>
            <w:tcW w:w="2268" w:type="dxa"/>
          </w:tcPr>
          <w:p w:rsidR="00706918" w:rsidRDefault="00706918">
            <w:pPr>
              <w:framePr w:w="4400" w:h="1644" w:wrap="notBeside" w:vAnchor="page" w:hAnchor="page" w:x="6573" w:y="721"/>
              <w:rPr>
                <w:rFonts w:ascii="TradeGothic" w:hAnsi="TradeGothic"/>
                <w:i/>
                <w:sz w:val="18"/>
              </w:rPr>
            </w:pPr>
          </w:p>
        </w:tc>
        <w:tc>
          <w:tcPr>
            <w:tcW w:w="2347" w:type="dxa"/>
            <w:gridSpan w:val="2"/>
          </w:tcPr>
          <w:p w:rsidR="00706918" w:rsidRDefault="00706918">
            <w:pPr>
              <w:framePr w:w="4400" w:h="1644" w:wrap="notBeside" w:vAnchor="page" w:hAnchor="page" w:x="6573" w:y="721"/>
              <w:rPr>
                <w:rFonts w:ascii="TradeGothic" w:hAnsi="TradeGothic"/>
                <w:i/>
                <w:sz w:val="18"/>
              </w:rPr>
            </w:pPr>
          </w:p>
        </w:tc>
      </w:tr>
      <w:tr w:rsidR="00706918">
        <w:tc>
          <w:tcPr>
            <w:tcW w:w="2268" w:type="dxa"/>
          </w:tcPr>
          <w:p w:rsidR="00706918" w:rsidRDefault="00706918">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06918" w:rsidRDefault="00706918">
            <w:pPr>
              <w:framePr w:w="4400" w:h="1644" w:wrap="notBeside" w:vAnchor="page" w:hAnchor="page" w:x="6573" w:y="721"/>
              <w:rPr>
                <w:rFonts w:ascii="TradeGothic" w:hAnsi="TradeGothic"/>
                <w:b/>
                <w:sz w:val="22"/>
              </w:rPr>
            </w:pPr>
          </w:p>
        </w:tc>
      </w:tr>
      <w:tr w:rsidR="00706918">
        <w:trPr>
          <w:trHeight w:val="343"/>
        </w:trPr>
        <w:tc>
          <w:tcPr>
            <w:tcW w:w="3402" w:type="dxa"/>
            <w:gridSpan w:val="2"/>
          </w:tcPr>
          <w:p w:rsidR="00706918" w:rsidRDefault="00706918">
            <w:pPr>
              <w:framePr w:w="4400" w:h="1644" w:wrap="notBeside" w:vAnchor="page" w:hAnchor="page" w:x="6573" w:y="721"/>
            </w:pPr>
          </w:p>
        </w:tc>
        <w:tc>
          <w:tcPr>
            <w:tcW w:w="1213" w:type="dxa"/>
          </w:tcPr>
          <w:p w:rsidR="00706918" w:rsidRDefault="00706918">
            <w:pPr>
              <w:framePr w:w="4400" w:h="1644" w:wrap="notBeside" w:vAnchor="page" w:hAnchor="page" w:x="6573" w:y="721"/>
            </w:pPr>
          </w:p>
        </w:tc>
      </w:tr>
      <w:tr w:rsidR="00706918">
        <w:tc>
          <w:tcPr>
            <w:tcW w:w="2268" w:type="dxa"/>
          </w:tcPr>
          <w:p w:rsidR="00706918" w:rsidRDefault="00706918">
            <w:pPr>
              <w:framePr w:w="4400" w:h="1644" w:wrap="notBeside" w:vAnchor="page" w:hAnchor="page" w:x="6573" w:y="721"/>
            </w:pPr>
            <w:fldSimple w:instr=" CREATEDATE  \@ &quot;yyyy-MM-dd&quot;  \* MERGEFORMAT ">
              <w:r>
                <w:rPr>
                  <w:noProof/>
                </w:rPr>
                <w:t>2013-10-02</w:t>
              </w:r>
            </w:fldSimple>
          </w:p>
        </w:tc>
        <w:tc>
          <w:tcPr>
            <w:tcW w:w="2347" w:type="dxa"/>
            <w:gridSpan w:val="2"/>
          </w:tcPr>
          <w:p w:rsidR="00706918" w:rsidRDefault="00706918">
            <w:pPr>
              <w:framePr w:w="4400" w:h="1644" w:wrap="notBeside" w:vAnchor="page" w:hAnchor="page" w:x="6573" w:y="721"/>
            </w:pPr>
          </w:p>
        </w:tc>
      </w:tr>
      <w:tr w:rsidR="00706918">
        <w:tc>
          <w:tcPr>
            <w:tcW w:w="2268" w:type="dxa"/>
          </w:tcPr>
          <w:p w:rsidR="00706918" w:rsidRDefault="00706918">
            <w:pPr>
              <w:framePr w:w="4400" w:h="1644" w:wrap="notBeside" w:vAnchor="page" w:hAnchor="page" w:x="6573" w:y="721"/>
            </w:pPr>
          </w:p>
        </w:tc>
        <w:tc>
          <w:tcPr>
            <w:tcW w:w="2347" w:type="dxa"/>
            <w:gridSpan w:val="2"/>
          </w:tcPr>
          <w:p w:rsidR="00706918" w:rsidRDefault="00706918">
            <w:pPr>
              <w:framePr w:w="4400" w:h="1644" w:wrap="notBeside" w:vAnchor="page" w:hAnchor="page" w:x="6573" w:y="721"/>
            </w:pPr>
          </w:p>
        </w:tc>
      </w:tr>
    </w:tbl>
    <w:tbl>
      <w:tblPr>
        <w:tblW w:w="0" w:type="auto"/>
        <w:tblLayout w:type="fixed"/>
        <w:tblLook w:val="0000"/>
      </w:tblPr>
      <w:tblGrid>
        <w:gridCol w:w="4911"/>
      </w:tblGrid>
      <w:tr w:rsidR="00706918">
        <w:trPr>
          <w:trHeight w:val="2400"/>
        </w:trPr>
        <w:tc>
          <w:tcPr>
            <w:tcW w:w="4911" w:type="dxa"/>
          </w:tcPr>
          <w:p w:rsidR="00706918" w:rsidRDefault="00706918">
            <w:pPr>
              <w:pStyle w:val="Avsndare"/>
              <w:framePr w:h="2483" w:wrap="notBeside" w:x="1504"/>
              <w:rPr>
                <w:b/>
                <w:i w:val="0"/>
                <w:sz w:val="22"/>
              </w:rPr>
            </w:pPr>
            <w:r>
              <w:rPr>
                <w:b/>
                <w:i w:val="0"/>
                <w:sz w:val="22"/>
              </w:rPr>
              <w:t>Statsrådsberedningen</w:t>
            </w:r>
          </w:p>
          <w:p w:rsidR="00706918" w:rsidRDefault="00706918">
            <w:pPr>
              <w:pStyle w:val="Avsndare"/>
              <w:framePr w:h="2483" w:wrap="notBeside" w:x="1504"/>
            </w:pPr>
          </w:p>
          <w:p w:rsidR="00706918" w:rsidRDefault="00706918">
            <w:pPr>
              <w:pStyle w:val="Avsndare"/>
              <w:framePr w:h="2483" w:wrap="notBeside" w:x="1504"/>
            </w:pPr>
            <w:r>
              <w:t>EU-kansliet</w:t>
            </w:r>
          </w:p>
          <w:p w:rsidR="00706918" w:rsidRDefault="00706918">
            <w:pPr>
              <w:pStyle w:val="Avsndare"/>
              <w:framePr w:h="2483" w:wrap="notBeside" w:x="1504"/>
            </w:pPr>
          </w:p>
          <w:p w:rsidR="00706918" w:rsidRDefault="00706918">
            <w:pPr>
              <w:pStyle w:val="Avsndare"/>
              <w:framePr w:h="2483" w:wrap="notBeside" w:x="1504"/>
            </w:pPr>
          </w:p>
          <w:p w:rsidR="00706918" w:rsidRDefault="00706918">
            <w:pPr>
              <w:pStyle w:val="Avsndare"/>
              <w:framePr w:h="2483" w:wrap="notBeside" w:x="1504"/>
            </w:pPr>
          </w:p>
          <w:p w:rsidR="00706918" w:rsidRDefault="00706918">
            <w:pPr>
              <w:pStyle w:val="Avsndare"/>
              <w:framePr w:h="2483" w:wrap="notBeside" w:x="1504"/>
              <w:rPr>
                <w:b/>
                <w:i w:val="0"/>
                <w:sz w:val="22"/>
              </w:rPr>
            </w:pPr>
          </w:p>
        </w:tc>
      </w:tr>
    </w:tbl>
    <w:p w:rsidR="00706918" w:rsidRDefault="00706918">
      <w:pPr>
        <w:framePr w:w="4400" w:h="2523" w:wrap="notBeside" w:vAnchor="page" w:hAnchor="page" w:x="6453" w:y="2445"/>
        <w:ind w:left="142"/>
      </w:pPr>
    </w:p>
    <w:p w:rsidR="00706918" w:rsidRDefault="00706918">
      <w:pPr>
        <w:pStyle w:val="UDrubrik"/>
        <w:tabs>
          <w:tab w:val="left" w:pos="1701"/>
          <w:tab w:val="left" w:pos="1985"/>
        </w:tabs>
        <w:rPr>
          <w:rFonts w:cs="Arial"/>
          <w:sz w:val="24"/>
        </w:rPr>
      </w:pPr>
      <w:bookmarkStart w:id="0" w:name="_Toc67391946"/>
      <w:bookmarkStart w:id="1" w:name="_Toc70473239"/>
      <w:r w:rsidRPr="00FE6C8D">
        <w:rPr>
          <w:rFonts w:cs="Arial"/>
          <w:sz w:val="24"/>
        </w:rPr>
        <w:t xml:space="preserve">Troliga A-punkter inför kommande rådsmöten som </w:t>
      </w:r>
      <w:r>
        <w:rPr>
          <w:rFonts w:cs="Arial"/>
          <w:sz w:val="24"/>
        </w:rPr>
        <w:t>godkändes</w:t>
      </w:r>
      <w:r w:rsidRPr="00FE6C8D">
        <w:rPr>
          <w:rFonts w:cs="Arial"/>
          <w:sz w:val="24"/>
        </w:rPr>
        <w:t xml:space="preserve"> vid Coreper I och Coreper II</w:t>
      </w:r>
      <w:bookmarkEnd w:id="0"/>
      <w:bookmarkEnd w:id="1"/>
      <w:r w:rsidRPr="00FE6C8D">
        <w:rPr>
          <w:rFonts w:cs="Arial"/>
          <w:sz w:val="24"/>
        </w:rPr>
        <w:t xml:space="preserve"> vecka 40.</w:t>
      </w:r>
    </w:p>
    <w:p w:rsidR="00706918" w:rsidRDefault="00706918" w:rsidP="00FE6C8D">
      <w:pPr>
        <w:pStyle w:val="BodyText"/>
      </w:pPr>
    </w:p>
    <w:p w:rsidR="00706918" w:rsidRPr="00FE6C8D" w:rsidRDefault="00706918" w:rsidP="00FE6C8D">
      <w:pPr>
        <w:pStyle w:val="BodyText"/>
      </w:pPr>
      <w:r>
        <w:t>Överlämnas för skriftligt samråd till fredagen den 4 oktober 2013, kl. 14.00.</w:t>
      </w:r>
    </w:p>
    <w:p w:rsidR="00706918" w:rsidRDefault="00706918" w:rsidP="00FE6C8D">
      <w:pPr>
        <w:pStyle w:val="BodyText"/>
        <w:rPr>
          <w:rFonts w:ascii="Arial" w:hAnsi="Arial"/>
        </w:rPr>
      </w:pPr>
      <w:r>
        <w:br w:type="page"/>
      </w:r>
    </w:p>
    <w:p w:rsidR="00706918" w:rsidRPr="00FE6C8D" w:rsidRDefault="00706918">
      <w:pPr>
        <w:pStyle w:val="UDrubrik"/>
        <w:tabs>
          <w:tab w:val="left" w:pos="1701"/>
          <w:tab w:val="left" w:pos="1985"/>
        </w:tabs>
        <w:rPr>
          <w:sz w:val="20"/>
        </w:rPr>
      </w:pPr>
    </w:p>
    <w:p w:rsidR="00706918" w:rsidRDefault="00706918">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706918" w:rsidRDefault="00706918">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8563386" w:history="1">
        <w:r w:rsidRPr="00E93683">
          <w:rPr>
            <w:rStyle w:val="Hyperlink"/>
            <w:noProof/>
          </w:rPr>
          <w:t>Frågor som lösts i förberedande instanser</w:t>
        </w:r>
        <w:r>
          <w:rPr>
            <w:noProof/>
            <w:webHidden/>
          </w:rPr>
          <w:tab/>
        </w:r>
        <w:r>
          <w:rPr>
            <w:noProof/>
            <w:webHidden/>
          </w:rPr>
          <w:fldChar w:fldCharType="begin"/>
        </w:r>
        <w:r>
          <w:rPr>
            <w:noProof/>
            <w:webHidden/>
          </w:rPr>
          <w:instrText xml:space="preserve"> PAGEREF _Toc368563386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1"/>
        <w:tabs>
          <w:tab w:val="right" w:leader="dot" w:pos="7644"/>
        </w:tabs>
        <w:rPr>
          <w:rFonts w:ascii="Calibri" w:hAnsi="Calibri"/>
          <w:b w:val="0"/>
          <w:bCs w:val="0"/>
          <w:caps w:val="0"/>
          <w:noProof/>
          <w:sz w:val="22"/>
          <w:szCs w:val="22"/>
          <w:lang w:eastAsia="sv-SE"/>
        </w:rPr>
      </w:pPr>
      <w:hyperlink w:anchor="_Toc368563387" w:history="1">
        <w:r w:rsidRPr="00E93683">
          <w:rPr>
            <w:rStyle w:val="Hyperlink"/>
            <w:noProof/>
          </w:rPr>
          <w:t>Troliga A-punkter inför kommande rådsmöten som godkändes vid Coreper I 2013-10-02</w:t>
        </w:r>
        <w:r>
          <w:rPr>
            <w:noProof/>
            <w:webHidden/>
          </w:rPr>
          <w:tab/>
        </w:r>
        <w:r>
          <w:rPr>
            <w:noProof/>
            <w:webHidden/>
          </w:rPr>
          <w:fldChar w:fldCharType="begin"/>
        </w:r>
        <w:r>
          <w:rPr>
            <w:noProof/>
            <w:webHidden/>
          </w:rPr>
          <w:instrText xml:space="preserve"> PAGEREF _Toc368563387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left" w:pos="480"/>
          <w:tab w:val="right" w:leader="dot" w:pos="7644"/>
        </w:tabs>
        <w:rPr>
          <w:rFonts w:ascii="Calibri" w:hAnsi="Calibri"/>
          <w:b w:val="0"/>
          <w:bCs w:val="0"/>
          <w:noProof/>
          <w:sz w:val="22"/>
          <w:szCs w:val="22"/>
          <w:lang w:eastAsia="sv-SE"/>
        </w:rPr>
      </w:pPr>
      <w:hyperlink w:anchor="_Toc368563388" w:history="1">
        <w:r w:rsidRPr="00E93683">
          <w:rPr>
            <w:rStyle w:val="Hyperlink"/>
            <w:noProof/>
          </w:rPr>
          <w:t>1.</w:t>
        </w:r>
        <w:r>
          <w:rPr>
            <w:rFonts w:ascii="Calibri" w:hAnsi="Calibri"/>
            <w:b w:val="0"/>
            <w:bCs w:val="0"/>
            <w:noProof/>
            <w:sz w:val="22"/>
            <w:szCs w:val="22"/>
            <w:lang w:eastAsia="sv-SE"/>
          </w:rPr>
          <w:tab/>
        </w:r>
        <w:r w:rsidRPr="00E93683">
          <w:rPr>
            <w:rStyle w:val="Hyperli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_Toc368563388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89" w:history="1">
        <w:r w:rsidRPr="00E93683">
          <w:rPr>
            <w:rStyle w:val="Hyperlink"/>
            <w:noProof/>
          </w:rPr>
          <w:t>2. Case before the Court of Justice Case T-386/13 (Kedainiu rajono Okainiu ZUB and Others v Council of the European Union and European Commission) Action for annulment of Commission Implementing Decision C(2012) 4391 final of 2 July 2012 authorising complementary national direct payments in Lithuania for 2012 (submitted by K(2012) 4391) in accordance with Article 263 TFEU = Information note for the Permanent Representatives Committee (Part 1)</w:t>
        </w:r>
        <w:r>
          <w:rPr>
            <w:noProof/>
            <w:webHidden/>
          </w:rPr>
          <w:tab/>
        </w:r>
        <w:r>
          <w:rPr>
            <w:noProof/>
            <w:webHidden/>
          </w:rPr>
          <w:fldChar w:fldCharType="begin"/>
        </w:r>
        <w:r>
          <w:rPr>
            <w:noProof/>
            <w:webHidden/>
          </w:rPr>
          <w:instrText xml:space="preserve"> PAGEREF _Toc368563389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0" w:history="1">
        <w:r w:rsidRPr="00E93683">
          <w:rPr>
            <w:rStyle w:val="Hyperlink"/>
            <w:noProof/>
          </w:rPr>
          <w:t>3. Governing Board of the European Centre for the Development of Vocational Training (CEDEFOP)  Appointment of: a) Ms Sanda LIEPINA (LV), member in the category of Government representatives b) Mr George PANAYIDES (CY), member in the category of Government representatives = Adoption</w:t>
        </w:r>
        <w:r>
          <w:rPr>
            <w:noProof/>
            <w:webHidden/>
          </w:rPr>
          <w:tab/>
        </w:r>
        <w:r>
          <w:rPr>
            <w:noProof/>
            <w:webHidden/>
          </w:rPr>
          <w:fldChar w:fldCharType="begin"/>
        </w:r>
        <w:r>
          <w:rPr>
            <w:noProof/>
            <w:webHidden/>
          </w:rPr>
          <w:instrText xml:space="preserve"> PAGEREF _Toc368563390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1" w:history="1">
        <w:r w:rsidRPr="00E93683">
          <w:rPr>
            <w:rStyle w:val="Hyperlink"/>
            <w:noProof/>
          </w:rPr>
          <w:t>4. Commission Regulation (EU) No .../..of XXX amending and correcting Annex I to Regulation (EC) No 1334/2008 of the European Parliament and of the Council as regards certain flavouring substances = Decision not to oppose adoption</w:t>
        </w:r>
        <w:r>
          <w:rPr>
            <w:noProof/>
            <w:webHidden/>
          </w:rPr>
          <w:tab/>
        </w:r>
        <w:r>
          <w:rPr>
            <w:noProof/>
            <w:webHidden/>
          </w:rPr>
          <w:fldChar w:fldCharType="begin"/>
        </w:r>
        <w:r>
          <w:rPr>
            <w:noProof/>
            <w:webHidden/>
          </w:rPr>
          <w:instrText xml:space="preserve"> PAGEREF _Toc368563391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2" w:history="1">
        <w:r w:rsidRPr="00E93683">
          <w:rPr>
            <w:rStyle w:val="Hyperlink"/>
            <w:noProof/>
          </w:rPr>
          <w:t>5. Commission Regulation (EU) No .../..of XXX amending and correcting Annexes II and III to Regulation (EC) No 1333/2008 of the European Parliament and of the Council and the Annex to Commission Regulation (EU) No 231/2012 as regards certain food additives = Decision not to oppose adoption</w:t>
        </w:r>
        <w:r>
          <w:rPr>
            <w:noProof/>
            <w:webHidden/>
          </w:rPr>
          <w:tab/>
        </w:r>
        <w:r>
          <w:rPr>
            <w:noProof/>
            <w:webHidden/>
          </w:rPr>
          <w:fldChar w:fldCharType="begin"/>
        </w:r>
        <w:r>
          <w:rPr>
            <w:noProof/>
            <w:webHidden/>
          </w:rPr>
          <w:instrText xml:space="preserve"> PAGEREF _Toc368563392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3" w:history="1">
        <w:r w:rsidRPr="00E93683">
          <w:rPr>
            <w:rStyle w:val="Hyperlink"/>
            <w:noProof/>
          </w:rPr>
          <w:t>6. Commission Regulation (EU) No .../.. of XXX amending Commission Regulation (EU) No 965/2012 laying down technical requirements and administrative procedures related to air operations pursuant to Regulation (EC) No 216/2008 of the European Parliament and of the Council = Decision not to oppose the adoption</w:t>
        </w:r>
        <w:r>
          <w:rPr>
            <w:noProof/>
            <w:webHidden/>
          </w:rPr>
          <w:tab/>
        </w:r>
        <w:r>
          <w:rPr>
            <w:noProof/>
            <w:webHidden/>
          </w:rPr>
          <w:fldChar w:fldCharType="begin"/>
        </w:r>
        <w:r>
          <w:rPr>
            <w:noProof/>
            <w:webHidden/>
          </w:rPr>
          <w:instrText xml:space="preserve"> PAGEREF _Toc368563393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4" w:history="1">
        <w:r w:rsidRPr="00E93683">
          <w:rPr>
            <w:rStyle w:val="Hyperlink"/>
            <w:noProof/>
          </w:rPr>
          <w:t>7. Draft Council Decision to authorise the Commission to negotiate on behalf of the European Union amendments to the Energy Community Treaty = Adoption</w:t>
        </w:r>
        <w:r>
          <w:rPr>
            <w:noProof/>
            <w:webHidden/>
          </w:rPr>
          <w:tab/>
        </w:r>
        <w:r>
          <w:rPr>
            <w:noProof/>
            <w:webHidden/>
          </w:rPr>
          <w:fldChar w:fldCharType="begin"/>
        </w:r>
        <w:r>
          <w:rPr>
            <w:noProof/>
            <w:webHidden/>
          </w:rPr>
          <w:instrText xml:space="preserve"> PAGEREF _Toc368563394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5" w:history="1">
        <w:r w:rsidRPr="00E93683">
          <w:rPr>
            <w:rStyle w:val="Hyperlink"/>
            <w:noProof/>
          </w:rPr>
          <w:t>8. Draft Council Decision on establishing as Union position the acceptance of the request of the Commission to negotiate on behalf of the Energy Community Parties the modalities for the accession of Georgia to the Energy Community = Adoption</w:t>
        </w:r>
        <w:r>
          <w:rPr>
            <w:noProof/>
            <w:webHidden/>
          </w:rPr>
          <w:tab/>
        </w:r>
        <w:r>
          <w:rPr>
            <w:noProof/>
            <w:webHidden/>
          </w:rPr>
          <w:fldChar w:fldCharType="begin"/>
        </w:r>
        <w:r>
          <w:rPr>
            <w:noProof/>
            <w:webHidden/>
          </w:rPr>
          <w:instrText xml:space="preserve"> PAGEREF _Toc368563395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6" w:history="1">
        <w:r w:rsidRPr="00E93683">
          <w:rPr>
            <w:rStyle w:val="Hyperlink"/>
            <w:noProof/>
          </w:rPr>
          <w:t>9. Proposal for a Decision of the European Parliament and of the Council on serious cross-border threats to health and repealing Decision No 2119/98/EC (First reading) (Legislative deliberation + statement)= Adoption of the legislative act</w:t>
        </w:r>
        <w:r>
          <w:rPr>
            <w:noProof/>
            <w:webHidden/>
          </w:rPr>
          <w:tab/>
        </w:r>
        <w:r>
          <w:rPr>
            <w:noProof/>
            <w:webHidden/>
          </w:rPr>
          <w:fldChar w:fldCharType="begin"/>
        </w:r>
        <w:r>
          <w:rPr>
            <w:noProof/>
            <w:webHidden/>
          </w:rPr>
          <w:instrText xml:space="preserve"> PAGEREF _Toc368563396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1"/>
        <w:tabs>
          <w:tab w:val="right" w:leader="dot" w:pos="7644"/>
        </w:tabs>
        <w:rPr>
          <w:rFonts w:ascii="Calibri" w:hAnsi="Calibri"/>
          <w:b w:val="0"/>
          <w:bCs w:val="0"/>
          <w:caps w:val="0"/>
          <w:noProof/>
          <w:sz w:val="22"/>
          <w:szCs w:val="22"/>
          <w:lang w:eastAsia="sv-SE"/>
        </w:rPr>
      </w:pPr>
      <w:hyperlink w:anchor="_Toc368563397" w:history="1">
        <w:r w:rsidRPr="00E93683">
          <w:rPr>
            <w:rStyle w:val="Hyperlink"/>
            <w:noProof/>
          </w:rPr>
          <w:t>Troliga A-punkter inför kommande rådsmöten som godkändes vid Coreper II 2013-10-02</w:t>
        </w:r>
        <w:r>
          <w:rPr>
            <w:noProof/>
            <w:webHidden/>
          </w:rPr>
          <w:tab/>
        </w:r>
        <w:r>
          <w:rPr>
            <w:noProof/>
            <w:webHidden/>
          </w:rPr>
          <w:fldChar w:fldCharType="begin"/>
        </w:r>
        <w:r>
          <w:rPr>
            <w:noProof/>
            <w:webHidden/>
          </w:rPr>
          <w:instrText xml:space="preserve"> PAGEREF _Toc368563397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8" w:history="1">
        <w:r w:rsidRPr="00E93683">
          <w:rPr>
            <w:rStyle w:val="Hyperlink"/>
            <w:noProof/>
          </w:rPr>
          <w:t>10. Convening of a Conference of the Representatives of the Governments of the Member States= Appointment of one Advocate General to the Court of Justice and two Judges to the General Court</w:t>
        </w:r>
        <w:r>
          <w:rPr>
            <w:noProof/>
            <w:webHidden/>
          </w:rPr>
          <w:tab/>
        </w:r>
        <w:r>
          <w:rPr>
            <w:noProof/>
            <w:webHidden/>
          </w:rPr>
          <w:fldChar w:fldCharType="begin"/>
        </w:r>
        <w:r>
          <w:rPr>
            <w:noProof/>
            <w:webHidden/>
          </w:rPr>
          <w:instrText xml:space="preserve"> PAGEREF _Toc368563398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399" w:history="1">
        <w:r w:rsidRPr="00E93683">
          <w:rPr>
            <w:rStyle w:val="Hyperlink"/>
            <w:noProof/>
          </w:rPr>
          <w:t>11. Case before the Court of Justice (Opinion 2/13)= Request by the Commission for an Opinion pursuant to Article 218(11) TFEU on the compatibility with the Treaties of the draft agreement on the accession of the European Union to the Convention for the Protection of Human Rights and Fundamental Freedoms</w:t>
        </w:r>
        <w:r>
          <w:rPr>
            <w:noProof/>
            <w:webHidden/>
          </w:rPr>
          <w:tab/>
        </w:r>
        <w:r>
          <w:rPr>
            <w:noProof/>
            <w:webHidden/>
          </w:rPr>
          <w:fldChar w:fldCharType="begin"/>
        </w:r>
        <w:r>
          <w:rPr>
            <w:noProof/>
            <w:webHidden/>
          </w:rPr>
          <w:instrText xml:space="preserve"> PAGEREF _Toc368563399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0" w:history="1">
        <w:r w:rsidRPr="00E93683">
          <w:rPr>
            <w:rStyle w:val="Hyperlink"/>
            <w:noProof/>
          </w:rPr>
          <w:t>12. Case before the General Court of the European Union= Case T-395/13 (Miettinen v. Council of the European Union)</w:t>
        </w:r>
        <w:r>
          <w:rPr>
            <w:noProof/>
            <w:webHidden/>
          </w:rPr>
          <w:tab/>
        </w:r>
        <w:r>
          <w:rPr>
            <w:noProof/>
            <w:webHidden/>
          </w:rPr>
          <w:fldChar w:fldCharType="begin"/>
        </w:r>
        <w:r>
          <w:rPr>
            <w:noProof/>
            <w:webHidden/>
          </w:rPr>
          <w:instrText xml:space="preserve"> PAGEREF _Toc368563400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1" w:history="1">
        <w:r w:rsidRPr="00E93683">
          <w:rPr>
            <w:rStyle w:val="Hyperlink"/>
            <w:noProof/>
          </w:rPr>
          <w:t>13. Case before the General Court of the European Union= Case T-394/13 (Photo USA Electronic Graphic Inc. v. Council)</w:t>
        </w:r>
        <w:r>
          <w:rPr>
            <w:noProof/>
            <w:webHidden/>
          </w:rPr>
          <w:tab/>
        </w:r>
        <w:r>
          <w:rPr>
            <w:noProof/>
            <w:webHidden/>
          </w:rPr>
          <w:fldChar w:fldCharType="begin"/>
        </w:r>
        <w:r>
          <w:rPr>
            <w:noProof/>
            <w:webHidden/>
          </w:rPr>
          <w:instrText xml:space="preserve"> PAGEREF _Toc368563401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2" w:history="1">
        <w:r w:rsidRPr="00E93683">
          <w:rPr>
            <w:rStyle w:val="Hyperlink"/>
            <w:noProof/>
          </w:rPr>
          <w:t>14. Handling within the Council of the Communication from the Commission= Draft Council Regulation laying down the form of the laissez-passer issued to members and servants of the Institutions</w:t>
        </w:r>
        <w:r>
          <w:rPr>
            <w:noProof/>
            <w:webHidden/>
          </w:rPr>
          <w:tab/>
        </w:r>
        <w:r>
          <w:rPr>
            <w:noProof/>
            <w:webHidden/>
          </w:rPr>
          <w:fldChar w:fldCharType="begin"/>
        </w:r>
        <w:r>
          <w:rPr>
            <w:noProof/>
            <w:webHidden/>
          </w:rPr>
          <w:instrText xml:space="preserve"> PAGEREF _Toc368563402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3" w:history="1">
        <w:r w:rsidRPr="00E93683">
          <w:rPr>
            <w:rStyle w:val="Hyperlink"/>
            <w:noProof/>
          </w:rPr>
          <w:t>15. Proposal for a Regulation of the European Parliament and of the Council amending Regulation (EU) No 99/2013 on the European statistical programme 2013-17 [First reading]= General approach</w:t>
        </w:r>
        <w:r>
          <w:rPr>
            <w:noProof/>
            <w:webHidden/>
          </w:rPr>
          <w:tab/>
        </w:r>
        <w:r>
          <w:rPr>
            <w:noProof/>
            <w:webHidden/>
          </w:rPr>
          <w:fldChar w:fldCharType="begin"/>
        </w:r>
        <w:r>
          <w:rPr>
            <w:noProof/>
            <w:webHidden/>
          </w:rPr>
          <w:instrText xml:space="preserve"> PAGEREF _Toc368563403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4" w:history="1">
        <w:r w:rsidRPr="00E93683">
          <w:rPr>
            <w:rStyle w:val="Hyperlink"/>
            <w:noProof/>
          </w:rPr>
          <w:t>16. Proposal for transfer of appropriations No DEC 22/2013 within Section III - Commission - of the general budget for 2013</w:t>
        </w:r>
        <w:r>
          <w:rPr>
            <w:noProof/>
            <w:webHidden/>
          </w:rPr>
          <w:tab/>
        </w:r>
        <w:r>
          <w:rPr>
            <w:noProof/>
            <w:webHidden/>
          </w:rPr>
          <w:fldChar w:fldCharType="begin"/>
        </w:r>
        <w:r>
          <w:rPr>
            <w:noProof/>
            <w:webHidden/>
          </w:rPr>
          <w:instrText xml:space="preserve"> PAGEREF _Toc368563404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5" w:history="1">
        <w:r w:rsidRPr="00E93683">
          <w:rPr>
            <w:rStyle w:val="Hyperlink"/>
            <w:noProof/>
          </w:rPr>
          <w:t>17. Council Implementing Regulation amending Implementing Regulation (EU) No 282/2011 as regards the place of supply of services = Adoption</w:t>
        </w:r>
        <w:r>
          <w:rPr>
            <w:noProof/>
            <w:webHidden/>
          </w:rPr>
          <w:tab/>
        </w:r>
        <w:r>
          <w:rPr>
            <w:noProof/>
            <w:webHidden/>
          </w:rPr>
          <w:fldChar w:fldCharType="begin"/>
        </w:r>
        <w:r>
          <w:rPr>
            <w:noProof/>
            <w:webHidden/>
          </w:rPr>
          <w:instrText xml:space="preserve"> PAGEREF _Toc368563405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6" w:history="1">
        <w:r w:rsidRPr="00E93683">
          <w:rPr>
            <w:rStyle w:val="Hyperlink"/>
            <w:noProof/>
          </w:rPr>
          <w:t>18. Proposal for Council implementing decision on subjecting 5-(2-aminopropyl)indole to control measures</w:t>
        </w:r>
        <w:r>
          <w:rPr>
            <w:noProof/>
            <w:webHidden/>
          </w:rPr>
          <w:tab/>
        </w:r>
        <w:r>
          <w:rPr>
            <w:noProof/>
            <w:webHidden/>
          </w:rPr>
          <w:fldChar w:fldCharType="begin"/>
        </w:r>
        <w:r>
          <w:rPr>
            <w:noProof/>
            <w:webHidden/>
          </w:rPr>
          <w:instrText xml:space="preserve"> PAGEREF _Toc368563406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7" w:history="1">
        <w:r w:rsidRPr="00E93683">
          <w:rPr>
            <w:rStyle w:val="Hyperlink"/>
            <w:noProof/>
          </w:rPr>
          <w:t>19. Proposal for a Regulation of the European Parliament and of the Council amending Regulation (EC) No 562/2006 in order to provide for common rules on the temporary reintroduction of border control at internal borders in exceptional circumstances [First reading] (LA)= Adoption of the legislative act</w:t>
        </w:r>
        <w:r>
          <w:rPr>
            <w:noProof/>
            <w:webHidden/>
          </w:rPr>
          <w:tab/>
        </w:r>
        <w:r>
          <w:rPr>
            <w:noProof/>
            <w:webHidden/>
          </w:rPr>
          <w:fldChar w:fldCharType="begin"/>
        </w:r>
        <w:r>
          <w:rPr>
            <w:noProof/>
            <w:webHidden/>
          </w:rPr>
          <w:instrText xml:space="preserve"> PAGEREF _Toc368563407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8" w:history="1">
        <w:r w:rsidRPr="00E93683">
          <w:rPr>
            <w:rStyle w:val="Hyperlink"/>
            <w:noProof/>
          </w:rPr>
          <w:t>20. Proposal for a Council Regulation on the establishment of an evaluation mechanism to verify the application of the Schengen acquis</w:t>
        </w:r>
        <w:r>
          <w:rPr>
            <w:noProof/>
            <w:webHidden/>
          </w:rPr>
          <w:tab/>
        </w:r>
        <w:r>
          <w:rPr>
            <w:noProof/>
            <w:webHidden/>
          </w:rPr>
          <w:fldChar w:fldCharType="begin"/>
        </w:r>
        <w:r>
          <w:rPr>
            <w:noProof/>
            <w:webHidden/>
          </w:rPr>
          <w:instrText xml:space="preserve"> PAGEREF _Toc368563408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09" w:history="1">
        <w:r w:rsidRPr="00E93683">
          <w:rPr>
            <w:rStyle w:val="Hyperlink"/>
            <w:noProof/>
          </w:rPr>
          <w:t>21. CDE - Centre for the Development of Enterprise= Request for waiver of immunity of a member of the staff</w:t>
        </w:r>
        <w:r>
          <w:rPr>
            <w:noProof/>
            <w:webHidden/>
          </w:rPr>
          <w:tab/>
        </w:r>
        <w:r>
          <w:rPr>
            <w:noProof/>
            <w:webHidden/>
          </w:rPr>
          <w:fldChar w:fldCharType="begin"/>
        </w:r>
        <w:r>
          <w:rPr>
            <w:noProof/>
            <w:webHidden/>
          </w:rPr>
          <w:instrText xml:space="preserve"> PAGEREF _Toc368563409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0" w:history="1">
        <w:r w:rsidRPr="00E93683">
          <w:rPr>
            <w:rStyle w:val="Hyperlink"/>
            <w:noProof/>
          </w:rPr>
          <w:t>22. Proposal for a Council Decision establishing the position to be taken by the European Union within the General Council of the World Trade Organization on the request for extending the WTO waiver on additional autonomous trade preferences granted by the European Union to the Republic of Moldova</w:t>
        </w:r>
        <w:r>
          <w:rPr>
            <w:noProof/>
            <w:webHidden/>
          </w:rPr>
          <w:tab/>
        </w:r>
        <w:r>
          <w:rPr>
            <w:noProof/>
            <w:webHidden/>
          </w:rPr>
          <w:fldChar w:fldCharType="begin"/>
        </w:r>
        <w:r>
          <w:rPr>
            <w:noProof/>
            <w:webHidden/>
          </w:rPr>
          <w:instrText xml:space="preserve"> PAGEREF _Toc368563410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1" w:history="1">
        <w:r w:rsidRPr="00E93683">
          <w:rPr>
            <w:rStyle w:val="Hyperlink"/>
            <w:noProof/>
          </w:rPr>
          <w:t>23. Draft Council Decisions on the conclusion of the "Framework Agreement on Comprehensive Partnership and Cooperation between the European Community and its Member States, of the one part, and the Republic of Indonesia, of the other part"= Request by the Council for the consent of the European Parliament</w:t>
        </w:r>
        <w:r>
          <w:rPr>
            <w:noProof/>
            <w:webHidden/>
          </w:rPr>
          <w:tab/>
        </w:r>
        <w:r>
          <w:rPr>
            <w:noProof/>
            <w:webHidden/>
          </w:rPr>
          <w:fldChar w:fldCharType="begin"/>
        </w:r>
        <w:r>
          <w:rPr>
            <w:noProof/>
            <w:webHidden/>
          </w:rPr>
          <w:instrText xml:space="preserve"> PAGEREF _Toc368563411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2" w:history="1">
        <w:r w:rsidRPr="00E93683">
          <w:rPr>
            <w:rStyle w:val="Hyperlink"/>
            <w:noProof/>
          </w:rPr>
          <w:t>24. Draft European Union Programme of Exercises and Exercise-Related Activities 2014-2016</w:t>
        </w:r>
        <w:r>
          <w:rPr>
            <w:noProof/>
            <w:webHidden/>
          </w:rPr>
          <w:tab/>
        </w:r>
        <w:r>
          <w:rPr>
            <w:noProof/>
            <w:webHidden/>
          </w:rPr>
          <w:fldChar w:fldCharType="begin"/>
        </w:r>
        <w:r>
          <w:rPr>
            <w:noProof/>
            <w:webHidden/>
          </w:rPr>
          <w:instrText xml:space="preserve"> PAGEREF _Toc368563412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3" w:history="1">
        <w:r w:rsidRPr="00E93683">
          <w:rPr>
            <w:rStyle w:val="Hyperlink"/>
            <w:noProof/>
          </w:rPr>
          <w:t>25. Proposal for a Council Directive amending Council directive 2010/18/EU because of the change in status of Mayotte- Validation</w:t>
        </w:r>
        <w:r>
          <w:rPr>
            <w:noProof/>
            <w:webHidden/>
          </w:rPr>
          <w:tab/>
        </w:r>
        <w:r>
          <w:rPr>
            <w:noProof/>
            <w:webHidden/>
          </w:rPr>
          <w:fldChar w:fldCharType="begin"/>
        </w:r>
        <w:r>
          <w:rPr>
            <w:noProof/>
            <w:webHidden/>
          </w:rPr>
          <w:instrText xml:space="preserve"> PAGEREF _Toc368563413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4" w:history="1">
        <w:r w:rsidRPr="00E93683">
          <w:rPr>
            <w:rStyle w:val="Hyperlink"/>
            <w:noProof/>
          </w:rPr>
          <w:t>26. Proposal for a Directive of the Council amending certain Directives in the fields of environment, agriculture, social policy and public health by reason of the change of status of Mayotte with regard to the Union- Validation</w:t>
        </w:r>
        <w:r>
          <w:rPr>
            <w:noProof/>
            <w:webHidden/>
          </w:rPr>
          <w:tab/>
        </w:r>
        <w:r>
          <w:rPr>
            <w:noProof/>
            <w:webHidden/>
          </w:rPr>
          <w:fldChar w:fldCharType="begin"/>
        </w:r>
        <w:r>
          <w:rPr>
            <w:noProof/>
            <w:webHidden/>
          </w:rPr>
          <w:instrText xml:space="preserve"> PAGEREF _Toc368563414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5" w:history="1">
        <w:r w:rsidRPr="00E93683">
          <w:rPr>
            <w:rStyle w:val="Hyperlink"/>
            <w:noProof/>
          </w:rPr>
          <w:t>27. Restrictive measures against Iran:- Letters to entities whose listings under Council Decision 2010/413/CFSP and Council Regulation (EU) No 267/2012 were annulled by the judgments of the EU General Court in Case T-12/11 (Iran Insurance Company), Case T-13/11 (Post Bank Iran), Joined Cases T-4/11 and T-5/11 (Export Development Bank of Iran), Case T-110/12 (Iran Offshore Engineering &amp; Construction Co.) and Case T-493/10 (Persia International Bank plc.)</w:t>
        </w:r>
        <w:r>
          <w:rPr>
            <w:noProof/>
            <w:webHidden/>
          </w:rPr>
          <w:tab/>
        </w:r>
        <w:r>
          <w:rPr>
            <w:noProof/>
            <w:webHidden/>
          </w:rPr>
          <w:fldChar w:fldCharType="begin"/>
        </w:r>
        <w:r>
          <w:rPr>
            <w:noProof/>
            <w:webHidden/>
          </w:rPr>
          <w:instrText xml:space="preserve"> PAGEREF _Toc368563415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1"/>
        <w:tabs>
          <w:tab w:val="right" w:leader="dot" w:pos="7644"/>
        </w:tabs>
        <w:rPr>
          <w:rFonts w:ascii="Calibri" w:hAnsi="Calibri"/>
          <w:b w:val="0"/>
          <w:bCs w:val="0"/>
          <w:caps w:val="0"/>
          <w:noProof/>
          <w:sz w:val="22"/>
          <w:szCs w:val="22"/>
          <w:lang w:eastAsia="sv-SE"/>
        </w:rPr>
      </w:pPr>
      <w:hyperlink w:anchor="_Toc368563416" w:history="1">
        <w:r w:rsidRPr="00E93683">
          <w:rPr>
            <w:rStyle w:val="Hyperlink"/>
            <w:noProof/>
          </w:rPr>
          <w:t>Troliga A-punkter inför kommande rådsmöten som godkändes vid Särskilda jordbrukskommittén SJK 2013-09-30</w:t>
        </w:r>
        <w:r>
          <w:rPr>
            <w:noProof/>
            <w:webHidden/>
          </w:rPr>
          <w:tab/>
        </w:r>
        <w:r>
          <w:rPr>
            <w:noProof/>
            <w:webHidden/>
          </w:rPr>
          <w:fldChar w:fldCharType="begin"/>
        </w:r>
        <w:r>
          <w:rPr>
            <w:noProof/>
            <w:webHidden/>
          </w:rPr>
          <w:instrText xml:space="preserve"> PAGEREF _Toc368563416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TOC2"/>
        <w:tabs>
          <w:tab w:val="right" w:leader="dot" w:pos="7644"/>
        </w:tabs>
        <w:rPr>
          <w:rFonts w:ascii="Calibri" w:hAnsi="Calibri"/>
          <w:b w:val="0"/>
          <w:bCs w:val="0"/>
          <w:noProof/>
          <w:sz w:val="22"/>
          <w:szCs w:val="22"/>
          <w:lang w:eastAsia="sv-SE"/>
        </w:rPr>
      </w:pPr>
      <w:hyperlink w:anchor="_Toc368563417" w:history="1">
        <w:r w:rsidRPr="00E93683">
          <w:rPr>
            <w:rStyle w:val="Hyperlink"/>
            <w:noProof/>
          </w:rPr>
          <w:t>28. Europaparlamentets och rådets förordning om ändring av rådets förordning (EG) nr 1217/2009 om upprättandet av ett informationssystem för jordbruksföretagens redovisningsuppgifter för att belysa inkomstförhållanden och andra ekonomiska förhållanden i jordbruksföretag inom Europeiska gemenskapen (första läsningen) - Antagande av rättsakt</w:t>
        </w:r>
        <w:r>
          <w:rPr>
            <w:noProof/>
            <w:webHidden/>
          </w:rPr>
          <w:tab/>
        </w:r>
        <w:r>
          <w:rPr>
            <w:noProof/>
            <w:webHidden/>
          </w:rPr>
          <w:fldChar w:fldCharType="begin"/>
        </w:r>
        <w:r>
          <w:rPr>
            <w:noProof/>
            <w:webHidden/>
          </w:rPr>
          <w:instrText xml:space="preserve"> PAGEREF _Toc368563417 \h </w:instrText>
        </w:r>
        <w:r>
          <w:rPr>
            <w:noProof/>
          </w:rPr>
        </w:r>
        <w:r>
          <w:rPr>
            <w:noProof/>
            <w:webHidden/>
          </w:rPr>
          <w:fldChar w:fldCharType="separate"/>
        </w:r>
        <w:r>
          <w:rPr>
            <w:noProof/>
            <w:webHidden/>
          </w:rPr>
          <w:t>3</w:t>
        </w:r>
        <w:r>
          <w:rPr>
            <w:noProof/>
            <w:webHidden/>
          </w:rPr>
          <w:fldChar w:fldCharType="end"/>
        </w:r>
      </w:hyperlink>
    </w:p>
    <w:p w:rsidR="00706918" w:rsidRDefault="00706918">
      <w:pPr>
        <w:pStyle w:val="RKnormal"/>
        <w:ind w:left="0"/>
        <w:rPr>
          <w:b/>
          <w:bCs/>
        </w:rPr>
      </w:pPr>
      <w:r>
        <w:rPr>
          <w:b/>
          <w:bCs/>
        </w:rPr>
        <w:fldChar w:fldCharType="end"/>
      </w:r>
    </w:p>
    <w:p w:rsidR="00706918" w:rsidRDefault="00706918">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6856338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06918" w:rsidRDefault="00706918">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06918" w:rsidRDefault="00706918">
      <w:pPr>
        <w:tabs>
          <w:tab w:val="left" w:pos="1843"/>
        </w:tabs>
      </w:pPr>
    </w:p>
    <w:p w:rsidR="00706918" w:rsidRDefault="00706918" w:rsidP="009314D9">
      <w:pPr>
        <w:pStyle w:val="Heading1"/>
      </w:pPr>
      <w:bookmarkStart w:id="55" w:name="Punkt"/>
      <w:bookmarkStart w:id="56" w:name="_Toc368563387"/>
      <w:bookmarkEnd w:id="55"/>
      <w:r>
        <w:t>Troliga A-punkter inför kommande rådsmöten som godkändes vid Coreper I 2013-10-02</w:t>
      </w:r>
      <w:bookmarkEnd w:id="56"/>
    </w:p>
    <w:p w:rsidR="00706918" w:rsidRDefault="00706918">
      <w:pPr>
        <w:pStyle w:val="RKnormal"/>
        <w:tabs>
          <w:tab w:val="clear" w:pos="1843"/>
          <w:tab w:val="left" w:pos="0"/>
        </w:tabs>
        <w:ind w:left="0"/>
      </w:pPr>
    </w:p>
    <w:p w:rsidR="00706918" w:rsidRDefault="00706918" w:rsidP="001F40FA">
      <w:pPr>
        <w:pStyle w:val="Heading2"/>
        <w:numPr>
          <w:ilvl w:val="0"/>
          <w:numId w:val="15"/>
        </w:numPr>
      </w:pPr>
      <w:bookmarkStart w:id="57" w:name="_Toc368563388"/>
      <w:r>
        <w:t>Repliestowrittenquestionsputto the Council by Membersof the EuropeanParliament</w:t>
      </w:r>
      <w:bookmarkEnd w:id="57"/>
    </w:p>
    <w:p w:rsidR="00706918" w:rsidRPr="00471EEE" w:rsidRDefault="00706918" w:rsidP="001F40FA">
      <w:pPr>
        <w:ind w:left="360"/>
      </w:pPr>
      <w:r>
        <w:t>a) E-006466/2013 - Véronique Mathieu Houillon (PPE) and AgustínDíaz de Mera García Consuegra (PPE) Tablingof a legislative proposal for the reform ofCEPOLb) E-006777/2013 - Hans-Peter Martin (NI) US access tointernal Council information throughPRISMc) E-007178/2013 - João Ferreira (GUE/NGL) Lowpricespaidtowineproducersd) E-007871/2013 - João Ferreira (GUE/NGL) and Inês Cristina Zuber (GUE/NGL) US spying on EU institutionse) E-008148/2013 - Sergio Paolo Francesco Silvestris (PPE) ESM fund: new allocationof EUR 60 billionf) E-008313/2013 - Marc Tarabella (S&amp;D) Underreportedcar CO2 emissionsg) E-008316/2013 - Giuseppe Gargani (PPE), Sonia Alfano (ALDE), Paolo Bartolozzi (PPE), Vito Bonsignore (PPE), Antonio Cancian (PPE), Carlo Casini (PPE), Lara Comi (PPE), Lorenzo Fontana (EFD), Vincenzo Iovine (S&amp;D), Giovanni La Via (PPE), Clemente Mastella (PPE), Alfredo Pallone (PPE), Aldo Patriciello (PPE), Oreste Rossi (PPE), PotitoSalatto (PPE), Marco Scurria (PPE), Sergio Paolo Francesco Silvestris (PPE), Salvatore Tatarella (PPE) and GiommariaUggias (ALDE) Alarming situation in Lebanonh) E-008575/2013 - Marc Tarabella (S&amp;D) WhyEuropeneeds a banking union</w:t>
      </w:r>
    </w:p>
    <w:p w:rsidR="00706918" w:rsidRDefault="00706918">
      <w:pPr>
        <w:pStyle w:val="RKnormal"/>
        <w:tabs>
          <w:tab w:val="clear" w:pos="1843"/>
          <w:tab w:val="left" w:pos="0"/>
        </w:tabs>
        <w:ind w:left="0"/>
      </w:pPr>
    </w:p>
    <w:p w:rsidR="00706918" w:rsidRPr="00471EEE" w:rsidRDefault="00706918" w:rsidP="00471EEE">
      <w:r>
        <w:t>13892/13, 35713893/13, 35813946/13, 36213935/13, 35913936/13, 36013940/13, 36113324/13, 34112924/13</w:t>
      </w:r>
    </w:p>
    <w:p w:rsidR="00706918" w:rsidRDefault="00706918">
      <w:pPr>
        <w:pStyle w:val="RKnormal"/>
        <w:tabs>
          <w:tab w:val="clear" w:pos="1843"/>
          <w:tab w:val="left" w:pos="0"/>
        </w:tabs>
        <w:ind w:left="0"/>
      </w:pPr>
    </w:p>
    <w:p w:rsidR="00706918" w:rsidRPr="00471EEE" w:rsidRDefault="00706918" w:rsidP="00471EEE">
      <w:r>
        <w:t>Ansvarigt departement: Statsrådsberedningen</w:t>
      </w:r>
    </w:p>
    <w:p w:rsidR="00706918" w:rsidRDefault="00706918">
      <w:pPr>
        <w:pStyle w:val="RKnormal"/>
        <w:tabs>
          <w:tab w:val="clear" w:pos="1843"/>
          <w:tab w:val="left" w:pos="0"/>
        </w:tabs>
        <w:ind w:left="0"/>
      </w:pPr>
    </w:p>
    <w:p w:rsidR="00706918" w:rsidRPr="00471EEE" w:rsidRDefault="00706918" w:rsidP="00471EEE">
      <w:r>
        <w:t>Ansvarigt statsråd: Birgitta Ohlsson</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Pr="00471EEE" w:rsidRDefault="00706918" w:rsidP="00471EEE">
      <w:r>
        <w:t>Föranleder ingen annotering.</w:t>
      </w:r>
    </w:p>
    <w:p w:rsidR="00706918" w:rsidRDefault="00706918">
      <w:pPr>
        <w:pStyle w:val="RKnormal"/>
        <w:tabs>
          <w:tab w:val="clear" w:pos="1843"/>
          <w:tab w:val="left" w:pos="0"/>
        </w:tabs>
        <w:ind w:left="0"/>
      </w:pPr>
    </w:p>
    <w:p w:rsidR="00706918" w:rsidRPr="00471EEE" w:rsidRDefault="00706918" w:rsidP="00471EEE">
      <w:pPr>
        <w:pStyle w:val="Heading2"/>
      </w:pPr>
      <w:bookmarkStart w:id="58" w:name="_Toc368563389"/>
      <w:r>
        <w:t>2. Case before the Court ofJustice Case T-386/13 (KedainiurajonoOkainiu ZUB and Others v Council of the European Union and European Commission) Action for annulmentof Commission Implementing Decision C(2012) 4391 final of 2 July 2012 authorisingcomplementary national directpayments in Lithuania for 2012 (submitted by K(2012) 4391) in accordancewithArticle 263 TFEU= Information note for the Permanent Representatives Committee (Part 1)</w:t>
      </w:r>
      <w:bookmarkEnd w:id="58"/>
    </w:p>
    <w:p w:rsidR="00706918" w:rsidRDefault="00706918">
      <w:pPr>
        <w:pStyle w:val="RKnormal"/>
        <w:tabs>
          <w:tab w:val="clear" w:pos="1843"/>
          <w:tab w:val="left" w:pos="0"/>
        </w:tabs>
        <w:ind w:left="0"/>
      </w:pPr>
    </w:p>
    <w:p w:rsidR="00706918" w:rsidRPr="00471EEE" w:rsidRDefault="00706918" w:rsidP="00471EEE">
      <w:r>
        <w:t>14127/13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Birgitta Ohlsson</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Pr="00471EEE" w:rsidRDefault="00706918" w:rsidP="00471EEE">
      <w:r>
        <w:t>Informationspunkt - föranleder ingen annotering.</w:t>
      </w:r>
    </w:p>
    <w:p w:rsidR="00706918" w:rsidRDefault="00706918">
      <w:pPr>
        <w:pStyle w:val="RKnormal"/>
        <w:tabs>
          <w:tab w:val="clear" w:pos="1843"/>
          <w:tab w:val="left" w:pos="0"/>
        </w:tabs>
        <w:ind w:left="0"/>
      </w:pPr>
    </w:p>
    <w:p w:rsidR="00706918" w:rsidRPr="00471EEE" w:rsidRDefault="00706918" w:rsidP="00471EEE">
      <w:pPr>
        <w:pStyle w:val="Heading2"/>
      </w:pPr>
      <w:bookmarkStart w:id="59" w:name="_Toc368563390"/>
      <w:r>
        <w:t xml:space="preserve">3. Governing Board of the European Centre for the DevelopmentofVocationalTraining (CEDEFOP) </w:t>
      </w:r>
      <w:r>
        <w:br/>
        <w:t>Appointmentof:</w:t>
      </w:r>
      <w:r>
        <w:br/>
        <w:t>a) Ms Sanda LIEPINA (LV), member in the categoryofGovernment representatives</w:t>
      </w:r>
      <w:r>
        <w:br/>
        <w:t>b) Mr George PANAYIDES (CY), member in the categoryofGovernment representatives= Adoption</w:t>
      </w:r>
      <w:bookmarkEnd w:id="59"/>
    </w:p>
    <w:p w:rsidR="00706918" w:rsidRDefault="00706918">
      <w:pPr>
        <w:pStyle w:val="RKnormal"/>
        <w:tabs>
          <w:tab w:val="clear" w:pos="1843"/>
          <w:tab w:val="left" w:pos="0"/>
        </w:tabs>
        <w:ind w:left="0"/>
      </w:pPr>
    </w:p>
    <w:p w:rsidR="00706918" w:rsidRPr="00471EEE" w:rsidRDefault="00706918" w:rsidP="00471EEE">
      <w:r>
        <w:t>14025/13</w:t>
      </w:r>
    </w:p>
    <w:p w:rsidR="00706918" w:rsidRDefault="00706918">
      <w:pPr>
        <w:pStyle w:val="RKnormal"/>
        <w:tabs>
          <w:tab w:val="clear" w:pos="1843"/>
          <w:tab w:val="left" w:pos="0"/>
        </w:tabs>
        <w:ind w:left="0"/>
      </w:pPr>
    </w:p>
    <w:p w:rsidR="00706918" w:rsidRPr="00471EEE" w:rsidRDefault="00706918" w:rsidP="00471EEE">
      <w:r>
        <w:t>Ansvarigt departement: Utbildningsdepartementet</w:t>
      </w:r>
    </w:p>
    <w:p w:rsidR="00706918" w:rsidRDefault="00706918">
      <w:pPr>
        <w:pStyle w:val="RKnormal"/>
        <w:tabs>
          <w:tab w:val="clear" w:pos="1843"/>
          <w:tab w:val="left" w:pos="0"/>
        </w:tabs>
        <w:ind w:left="0"/>
      </w:pPr>
    </w:p>
    <w:p w:rsidR="00706918" w:rsidRPr="00471EEE" w:rsidRDefault="00706918" w:rsidP="00471EEE">
      <w:r>
        <w:t>Ansvarigt statsråd: Maria Arnholm</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Default="00706918" w:rsidP="00A85D58">
      <w:r>
        <w:t xml:space="preserve">Föranleder ingen annotering. </w:t>
      </w:r>
    </w:p>
    <w:p w:rsidR="00706918" w:rsidRPr="00471EEE" w:rsidRDefault="00706918" w:rsidP="001F40FA">
      <w:pPr>
        <w:pStyle w:val="Heading2"/>
      </w:pPr>
      <w:r>
        <w:br w:type="page"/>
      </w:r>
      <w:bookmarkStart w:id="60" w:name="_Toc368563391"/>
      <w:r>
        <w:t>4. Commission Regulation (EU) No .../..of XXX amending and correcting Annex I toRegulation (EC) No 1334/2008 of the EuropeanParliament and of the Council as regardscertainflavouringsubstances = Decision not tooppose adoption</w:t>
      </w:r>
      <w:bookmarkEnd w:id="60"/>
    </w:p>
    <w:p w:rsidR="00706918" w:rsidRDefault="00706918">
      <w:pPr>
        <w:pStyle w:val="RKnormal"/>
        <w:tabs>
          <w:tab w:val="clear" w:pos="1843"/>
          <w:tab w:val="left" w:pos="0"/>
        </w:tabs>
        <w:ind w:left="0"/>
      </w:pPr>
    </w:p>
    <w:p w:rsidR="00706918" w:rsidRPr="00471EEE" w:rsidRDefault="00706918" w:rsidP="00471EEE">
      <w:r>
        <w:t>13110/13, 13931/13</w:t>
      </w:r>
    </w:p>
    <w:p w:rsidR="00706918" w:rsidRDefault="00706918">
      <w:pPr>
        <w:pStyle w:val="RKnormal"/>
        <w:tabs>
          <w:tab w:val="clear" w:pos="1843"/>
          <w:tab w:val="left" w:pos="0"/>
        </w:tabs>
        <w:ind w:left="0"/>
      </w:pPr>
    </w:p>
    <w:p w:rsidR="00706918" w:rsidRPr="00471EEE" w:rsidRDefault="00706918" w:rsidP="00471EEE">
      <w:r>
        <w:t>Ansvarigt departement: Landsbygdsdepartementet</w:t>
      </w:r>
    </w:p>
    <w:p w:rsidR="00706918" w:rsidRDefault="00706918">
      <w:pPr>
        <w:pStyle w:val="RKnormal"/>
        <w:tabs>
          <w:tab w:val="clear" w:pos="1843"/>
          <w:tab w:val="left" w:pos="0"/>
        </w:tabs>
        <w:ind w:left="0"/>
      </w:pPr>
    </w:p>
    <w:p w:rsidR="00706918" w:rsidRPr="00471EEE" w:rsidRDefault="00706918" w:rsidP="00471EEE">
      <w:r>
        <w:t>Ansvarigt statsråd: Eskil Erlandsson</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Pr="00471EEE" w:rsidRDefault="00706918" w:rsidP="00471EEE">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06918" w:rsidRDefault="00706918">
      <w:pPr>
        <w:pStyle w:val="RKnormal"/>
        <w:tabs>
          <w:tab w:val="clear" w:pos="1843"/>
          <w:tab w:val="left" w:pos="0"/>
        </w:tabs>
        <w:ind w:left="0"/>
      </w:pPr>
    </w:p>
    <w:p w:rsidR="00706918" w:rsidRPr="00471EEE" w:rsidRDefault="00706918" w:rsidP="00471EEE">
      <w:pPr>
        <w:pStyle w:val="Heading2"/>
      </w:pPr>
      <w:bookmarkStart w:id="61" w:name="_Toc368563392"/>
      <w:r>
        <w:t>5. Commission Regulation (EU) No .../..of XXX amending and correctingAnnexes II and III toRegulation (EC) No 1333/2008 of the EuropeanParliament and of the Council and the Annex to Commission Regulation (EU) No 231/2012 as regardscertainfoodadditives = Decision not tooppose adoption</w:t>
      </w:r>
      <w:bookmarkEnd w:id="61"/>
    </w:p>
    <w:p w:rsidR="00706918" w:rsidRDefault="00706918">
      <w:pPr>
        <w:pStyle w:val="RKnormal"/>
        <w:tabs>
          <w:tab w:val="clear" w:pos="1843"/>
          <w:tab w:val="left" w:pos="0"/>
        </w:tabs>
        <w:ind w:left="0"/>
      </w:pPr>
    </w:p>
    <w:p w:rsidR="00706918" w:rsidRPr="00471EEE" w:rsidRDefault="00706918" w:rsidP="00471EEE">
      <w:r>
        <w:t>13128/13, 13932/13</w:t>
      </w:r>
    </w:p>
    <w:p w:rsidR="00706918" w:rsidRDefault="00706918">
      <w:pPr>
        <w:pStyle w:val="RKnormal"/>
        <w:tabs>
          <w:tab w:val="clear" w:pos="1843"/>
          <w:tab w:val="left" w:pos="0"/>
        </w:tabs>
        <w:ind w:left="0"/>
      </w:pPr>
    </w:p>
    <w:p w:rsidR="00706918" w:rsidRPr="00471EEE" w:rsidRDefault="00706918" w:rsidP="00471EEE">
      <w:r>
        <w:t>Ansvarigt departement: Landsbygdsdepartementet</w:t>
      </w:r>
    </w:p>
    <w:p w:rsidR="00706918" w:rsidRDefault="00706918">
      <w:pPr>
        <w:pStyle w:val="RKnormal"/>
        <w:tabs>
          <w:tab w:val="clear" w:pos="1843"/>
          <w:tab w:val="left" w:pos="0"/>
        </w:tabs>
        <w:ind w:left="0"/>
      </w:pPr>
    </w:p>
    <w:p w:rsidR="00706918" w:rsidRPr="00471EEE" w:rsidRDefault="00706918" w:rsidP="00471EEE">
      <w:r>
        <w:t>Ansvarigt statsråd: Eskil Erlandsson</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Pr="00471EEE" w:rsidRDefault="00706918" w:rsidP="00471EEE">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06918" w:rsidRDefault="00706918">
      <w:pPr>
        <w:pStyle w:val="RKnormal"/>
        <w:tabs>
          <w:tab w:val="clear" w:pos="1843"/>
          <w:tab w:val="left" w:pos="0"/>
        </w:tabs>
        <w:ind w:left="0"/>
      </w:pPr>
    </w:p>
    <w:p w:rsidR="00706918" w:rsidRPr="00471EEE" w:rsidRDefault="00706918" w:rsidP="00471EEE">
      <w:pPr>
        <w:pStyle w:val="Heading2"/>
      </w:pPr>
      <w:bookmarkStart w:id="62" w:name="_Toc368563393"/>
      <w:r>
        <w:t>6. Commission Regulation (EU) No .../..of XXX amending Commission Regulation (EU) No 965/2012 laying down technicalrequirements and administrative proceduresrelatedto air operations pursuanttoRegulation (EC) No 216/2008 of the EuropeanParliament and of the Council = Decision not tooppose the adoption</w:t>
      </w:r>
      <w:bookmarkEnd w:id="62"/>
    </w:p>
    <w:p w:rsidR="00706918" w:rsidRDefault="00706918">
      <w:pPr>
        <w:pStyle w:val="RKnormal"/>
        <w:tabs>
          <w:tab w:val="clear" w:pos="1843"/>
          <w:tab w:val="left" w:pos="0"/>
        </w:tabs>
        <w:ind w:left="0"/>
      </w:pPr>
    </w:p>
    <w:p w:rsidR="00706918" w:rsidRPr="00471EEE" w:rsidRDefault="00706918" w:rsidP="00471EEE">
      <w:r>
        <w:t>12864/13, 13609/13</w:t>
      </w:r>
    </w:p>
    <w:p w:rsidR="00706918" w:rsidRDefault="00706918">
      <w:pPr>
        <w:pStyle w:val="RKnormal"/>
        <w:tabs>
          <w:tab w:val="clear" w:pos="1843"/>
          <w:tab w:val="left" w:pos="0"/>
        </w:tabs>
        <w:ind w:left="0"/>
      </w:pPr>
    </w:p>
    <w:p w:rsidR="00706918" w:rsidRPr="00471EEE" w:rsidRDefault="00706918" w:rsidP="00471EEE">
      <w:r>
        <w:t>Ansvarigt departement: Näringsdepartementet</w:t>
      </w:r>
    </w:p>
    <w:p w:rsidR="00706918" w:rsidRDefault="00706918">
      <w:pPr>
        <w:pStyle w:val="RKnormal"/>
        <w:tabs>
          <w:tab w:val="clear" w:pos="1843"/>
          <w:tab w:val="left" w:pos="0"/>
        </w:tabs>
        <w:ind w:left="0"/>
      </w:pPr>
    </w:p>
    <w:p w:rsidR="00706918" w:rsidRPr="00471EEE" w:rsidRDefault="00706918" w:rsidP="00471EEE">
      <w:r>
        <w:t>Ansvarigt statsråd: Catharina Elmsäter Svärd</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 xml:space="preserve">Rådet ska besluta om den framtagna genomförandeakten kan godkännas. </w:t>
      </w:r>
    </w:p>
    <w:p w:rsidR="00706918" w:rsidRDefault="00706918" w:rsidP="00471EEE"/>
    <w:p w:rsidR="00706918" w:rsidRDefault="00706918" w:rsidP="00471EEE">
      <w:r>
        <w:t xml:space="preserve">Hur regeringen ställer sig till den blivande A-punkten: </w:t>
      </w:r>
    </w:p>
    <w:p w:rsidR="00706918" w:rsidRDefault="00706918" w:rsidP="00471EEE">
      <w:r>
        <w:t>Regeringen avser ställa sig bakom förslaget att inte opponera sig.</w:t>
      </w:r>
    </w:p>
    <w:p w:rsidR="00706918" w:rsidRDefault="00706918" w:rsidP="00471EEE"/>
    <w:p w:rsidR="00706918" w:rsidRDefault="00706918" w:rsidP="00471EEE">
      <w:r>
        <w:t>Bakgrund:</w:t>
      </w:r>
    </w:p>
    <w:p w:rsidR="00706918" w:rsidRDefault="00706918" w:rsidP="00471EEE">
      <w:r>
        <w:t xml:space="preserve">En revidering av de europeiska reglerna för flyg- och vilotider har färdigbehandlats av ansvarig kommitté. Reglerna rör arbetstider för piloter och kabinanställda. Gemensamma regler inom EU syftar till att harmonisera arbetsvillkoren inom luftfarten. Men också för att harmonisera för att åstadkomma jämförbara konkurrensförhållanden mellan lufttrafikföretagen inom EU. </w:t>
      </w:r>
    </w:p>
    <w:p w:rsidR="00706918" w:rsidRDefault="00706918" w:rsidP="00471EEE"/>
    <w:p w:rsidR="00706918" w:rsidRPr="00471EEE" w:rsidRDefault="00706918" w:rsidP="00471EEE">
      <w:r>
        <w:t xml:space="preserve">De nuvarande reglerna innehåller fler möjligheter till nationella undantag varför konkurrensförutsättningarna kan variera. I takt med att det euroepiska luftrummet blir alltmer integrerat påkallas en sund konkurrenssituation. Traditionellt har gemensamma regler gällt inom Skandinavien, regler som i många stycken varit mer restriktiva än i andra delar av Europa. När möjligheterna till särregler nu minskar kommer arbetsvillkoren för den skandinaviska personalen att delvis försämras. De nya reglerna innebär dock en förbättrad situation inom EU som helhet och också att jämförbara konkurrensvillkor kan uppnås. </w:t>
      </w:r>
    </w:p>
    <w:p w:rsidR="00706918" w:rsidRDefault="00706918">
      <w:pPr>
        <w:pStyle w:val="RKnormal"/>
        <w:tabs>
          <w:tab w:val="clear" w:pos="1843"/>
          <w:tab w:val="left" w:pos="0"/>
        </w:tabs>
        <w:ind w:left="0"/>
      </w:pPr>
    </w:p>
    <w:p w:rsidR="00706918" w:rsidRPr="00471EEE" w:rsidRDefault="00706918" w:rsidP="00471EEE">
      <w:pPr>
        <w:pStyle w:val="Heading2"/>
      </w:pPr>
      <w:bookmarkStart w:id="63" w:name="_Toc368563394"/>
      <w:r>
        <w:t>7. Draft Council Decision to authorise the Commission tonegotiate on behalfof the European Union amendmentsto the Energy Community Treaty= Adoption</w:t>
      </w:r>
      <w:bookmarkEnd w:id="63"/>
    </w:p>
    <w:p w:rsidR="00706918" w:rsidRDefault="00706918">
      <w:pPr>
        <w:pStyle w:val="RKnormal"/>
        <w:tabs>
          <w:tab w:val="clear" w:pos="1843"/>
          <w:tab w:val="left" w:pos="0"/>
        </w:tabs>
        <w:ind w:left="0"/>
      </w:pPr>
    </w:p>
    <w:p w:rsidR="00706918" w:rsidRPr="00471EEE" w:rsidRDefault="00706918" w:rsidP="00471EEE">
      <w:r>
        <w:t>13220/13, 13177/13</w:t>
      </w:r>
    </w:p>
    <w:p w:rsidR="00706918" w:rsidRDefault="00706918">
      <w:pPr>
        <w:pStyle w:val="RKnormal"/>
        <w:tabs>
          <w:tab w:val="clear" w:pos="1843"/>
          <w:tab w:val="left" w:pos="0"/>
        </w:tabs>
        <w:ind w:left="0"/>
      </w:pPr>
    </w:p>
    <w:p w:rsidR="00706918" w:rsidRPr="00471EEE" w:rsidRDefault="00706918" w:rsidP="00471EEE">
      <w:r>
        <w:t>Ansvarigt departement: Näringsdepartementet</w:t>
      </w:r>
    </w:p>
    <w:p w:rsidR="00706918" w:rsidRDefault="00706918">
      <w:pPr>
        <w:pStyle w:val="RKnormal"/>
        <w:tabs>
          <w:tab w:val="clear" w:pos="1843"/>
          <w:tab w:val="left" w:pos="0"/>
        </w:tabs>
        <w:ind w:left="0"/>
      </w:pPr>
    </w:p>
    <w:p w:rsidR="00706918" w:rsidRPr="00471EEE" w:rsidRDefault="00706918" w:rsidP="00471EEE">
      <w:r>
        <w:t>Ansvarigt statsråd: Anna-Karin Hatt</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Default="00706918" w:rsidP="00471EEE">
      <w:r>
        <w:t>Avsikten med behandlingen i rådet är att anta ett mandat till kommissionen att förhandla å unionens vägnar om förändringar i Energigemenskapens fördrag.</w:t>
      </w:r>
    </w:p>
    <w:p w:rsidR="00706918" w:rsidRDefault="00706918" w:rsidP="00471EEE"/>
    <w:p w:rsidR="00706918" w:rsidRDefault="00706918" w:rsidP="00471EEE">
      <w:r>
        <w:t xml:space="preserve">Hur regeringen ställer sig till den blivande A-punkten: </w:t>
      </w:r>
      <w:r>
        <w:br/>
        <w:t>Regeringen avser rösta ja till att rådet antar mandatet.</w:t>
      </w:r>
    </w:p>
    <w:p w:rsidR="00706918" w:rsidRDefault="00706918" w:rsidP="00471EEE"/>
    <w:p w:rsidR="00706918" w:rsidRDefault="00706918" w:rsidP="00471EEE">
      <w:r>
        <w:t xml:space="preserve">Bakgrund: </w:t>
      </w:r>
      <w:r>
        <w:br/>
        <w:t>Energigemenskapen i sydöstra Europa är en sammanslutning av länder på västra Balkan och östra Europa (Serbien, Kroatien, Bosnien, Makedonien, Albanien, Kosovo, Montenegro, Moldavien, Ukraina), samt EU, som syftar till att utvidga EU:s inre marknad för energi genom att länderna förbinder sig att implementera EU:s acquis på energiområdet. Då EU beslutar om förändringar gällande dessa rättsakter måste motsvarande förändringar göras i Energigemenskapens fördrag. Ändringar i fördraget krävs också när ministerrådet beslutar om att utöka den acquis som ska gälla i Energigemenskapen. Beslut om att ändra fördraget fattas av Energigemenskapens ministerråd. Förhandlingar om att ändra fördraget leds av EU-kommissionen som agerar utifrån ett på förhand fastställt mandat som beslutas av EU:s ministerråd. Kommissionen har presenterat mandatet i energirådsarbetsgruppen. Mandatet väntas nu fastställas av arbetsgruppen inför rådsbeslut.</w:t>
      </w:r>
    </w:p>
    <w:p w:rsidR="00706918" w:rsidRDefault="00706918" w:rsidP="00471EEE"/>
    <w:p w:rsidR="00706918" w:rsidRDefault="00706918" w:rsidP="00A85D58">
      <w:r>
        <w:t xml:space="preserve">Det aktuella förslaget till mandat avser vissa delar av direktiv 2010/75/EU om utsläpp från industrin och direktiv 2001/80/EC om utsläpp från stora förbränningsanläggningar.  Det föreslås att kommissionen ges mandat att förhandla om de nödvändiga ändringarna i fördraget. </w:t>
      </w:r>
    </w:p>
    <w:p w:rsidR="00706918" w:rsidRPr="00471EEE" w:rsidRDefault="00706918" w:rsidP="00471EEE">
      <w:pPr>
        <w:pStyle w:val="Heading2"/>
      </w:pPr>
      <w:bookmarkStart w:id="64" w:name="_Toc368563395"/>
      <w:r>
        <w:t>8. Draft Council Decision on establishing as Union position the acceptanceof the requestof the Commission tonegotiate on behalfof the Energy Community Parties the modalities for the accession of Georgia to the Energy Community= Adoption</w:t>
      </w:r>
      <w:bookmarkEnd w:id="64"/>
    </w:p>
    <w:p w:rsidR="00706918" w:rsidRDefault="00706918">
      <w:pPr>
        <w:pStyle w:val="RKnormal"/>
        <w:tabs>
          <w:tab w:val="clear" w:pos="1843"/>
          <w:tab w:val="left" w:pos="0"/>
        </w:tabs>
        <w:ind w:left="0"/>
      </w:pPr>
    </w:p>
    <w:p w:rsidR="00706918" w:rsidRPr="00471EEE" w:rsidRDefault="00706918" w:rsidP="00471EEE">
      <w:r>
        <w:t>13070/13, 14009/13</w:t>
      </w:r>
    </w:p>
    <w:p w:rsidR="00706918" w:rsidRDefault="00706918">
      <w:pPr>
        <w:pStyle w:val="RKnormal"/>
        <w:tabs>
          <w:tab w:val="clear" w:pos="1843"/>
          <w:tab w:val="left" w:pos="0"/>
        </w:tabs>
        <w:ind w:left="0"/>
      </w:pPr>
    </w:p>
    <w:p w:rsidR="00706918" w:rsidRPr="00471EEE" w:rsidRDefault="00706918" w:rsidP="00471EEE">
      <w:r>
        <w:t>Ansvarigt departement: Näringsdepartementet</w:t>
      </w:r>
    </w:p>
    <w:p w:rsidR="00706918" w:rsidRDefault="00706918">
      <w:pPr>
        <w:pStyle w:val="RKnormal"/>
        <w:tabs>
          <w:tab w:val="clear" w:pos="1843"/>
          <w:tab w:val="left" w:pos="0"/>
        </w:tabs>
        <w:ind w:left="0"/>
      </w:pPr>
    </w:p>
    <w:p w:rsidR="00706918" w:rsidRPr="00471EEE" w:rsidRDefault="00706918" w:rsidP="00471EEE">
      <w:r>
        <w:t>Ansvarigt statsråd: Anna-Karin Hatt</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Default="00706918" w:rsidP="00471EEE">
      <w:r>
        <w:t>Ange avsikten med behandlingen i rådet är att anta en rådsposition på kommissionens begäran om att förhandla å Energigemenskapens vägnar om förutsättningarna för Georgiens anslutning till Energigemenskapen.</w:t>
      </w:r>
    </w:p>
    <w:p w:rsidR="00706918" w:rsidRDefault="00706918" w:rsidP="00471EEE"/>
    <w:p w:rsidR="00706918" w:rsidRDefault="00706918" w:rsidP="00471EEE">
      <w:r>
        <w:t xml:space="preserve">Hur regeringen ställer sig till den blivande A-punkten: </w:t>
      </w:r>
      <w:r>
        <w:br/>
        <w:t>Regeringen avser rösta ja till att rådet antar mandatet.</w:t>
      </w:r>
    </w:p>
    <w:p w:rsidR="00706918" w:rsidRDefault="00706918" w:rsidP="00471EEE"/>
    <w:p w:rsidR="00706918" w:rsidRDefault="00706918" w:rsidP="00471EEE">
      <w:r>
        <w:t xml:space="preserve">Bakgrund: </w:t>
      </w:r>
      <w:r>
        <w:br/>
        <w:t xml:space="preserve">Energigemenskapen i sydöstra Europa är en sammanslutning av länder på västra Balkan och östra Europa (Serbien, Kroatien, Bosnien, Makedonien, Albanien, Kosovo, Montenegro, Moldavien, Ukraina), samt EU, som syftar till att utvidga EU:s inre marknad för energi genom att länderna förbinder sig att implementera EU:s acquis på energiområdet. 2007 godkändes Georgien som observatör i Energigemenskapen. I januari 2013 ansökte Georgien om medlemskap i energigemenskapen. </w:t>
      </w:r>
    </w:p>
    <w:p w:rsidR="00706918" w:rsidRDefault="00706918" w:rsidP="00471EEE"/>
    <w:p w:rsidR="00706918" w:rsidRDefault="00706918" w:rsidP="00471EEE">
      <w:r>
        <w:t>Kommissionen har utsetts av Energigemenskapens ministerråd som ansvarig för att förhandla om anslutning av nya medlemmar. Kommissionen förhandlar utifrån en rådsposition som fastställs genom beslut i EU:s ministerråd. Det aktuella beslutet fastställer rådets position gällande modaliteterna för Georgiens anslutning.</w:t>
      </w:r>
    </w:p>
    <w:p w:rsidR="00706918" w:rsidRDefault="00706918">
      <w:pPr>
        <w:spacing w:line="240" w:lineRule="auto"/>
      </w:pPr>
      <w:r>
        <w:br w:type="page"/>
      </w:r>
    </w:p>
    <w:p w:rsidR="00706918" w:rsidRPr="00471EEE" w:rsidRDefault="00706918" w:rsidP="00471EEE">
      <w:pPr>
        <w:pStyle w:val="Heading2"/>
      </w:pPr>
      <w:bookmarkStart w:id="65" w:name="_Toc368563396"/>
      <w:r>
        <w:t>9. Proposal for a Decision of the EuropeanParliament and of the Council on serious cross-borderthreatstohealth and repealing Decision No 2119/98/EC (Firstreading) (Legislative deliberation + statement)= Adoption of the legislative act</w:t>
      </w:r>
      <w:bookmarkEnd w:id="65"/>
    </w:p>
    <w:p w:rsidR="00706918" w:rsidRDefault="00706918">
      <w:pPr>
        <w:pStyle w:val="RKnormal"/>
        <w:tabs>
          <w:tab w:val="clear" w:pos="1843"/>
          <w:tab w:val="left" w:pos="0"/>
        </w:tabs>
        <w:ind w:left="0"/>
      </w:pPr>
    </w:p>
    <w:p w:rsidR="00706918" w:rsidRPr="00471EEE" w:rsidRDefault="00706918" w:rsidP="00471EEE">
      <w:r>
        <w:t>29/13, 14035/13</w:t>
      </w:r>
    </w:p>
    <w:p w:rsidR="00706918" w:rsidRDefault="00706918">
      <w:pPr>
        <w:pStyle w:val="RKnormal"/>
        <w:tabs>
          <w:tab w:val="clear" w:pos="1843"/>
          <w:tab w:val="left" w:pos="0"/>
        </w:tabs>
        <w:ind w:left="0"/>
      </w:pPr>
    </w:p>
    <w:p w:rsidR="00706918" w:rsidRPr="00471EEE" w:rsidRDefault="00706918" w:rsidP="00471EEE">
      <w:r>
        <w:t>Ansvarigt departement: Socialdepartementet</w:t>
      </w:r>
    </w:p>
    <w:p w:rsidR="00706918" w:rsidRDefault="00706918">
      <w:pPr>
        <w:pStyle w:val="RKnormal"/>
        <w:tabs>
          <w:tab w:val="clear" w:pos="1843"/>
          <w:tab w:val="left" w:pos="0"/>
        </w:tabs>
        <w:ind w:left="0"/>
      </w:pPr>
    </w:p>
    <w:p w:rsidR="00706918" w:rsidRPr="00471EEE" w:rsidRDefault="00706918" w:rsidP="00471EEE">
      <w:r>
        <w:t>Ansvarigt statsråd: Göran Hägglund</w:t>
      </w:r>
    </w:p>
    <w:p w:rsidR="00706918" w:rsidRDefault="00706918">
      <w:pPr>
        <w:pStyle w:val="RKnormal"/>
        <w:tabs>
          <w:tab w:val="clear" w:pos="1843"/>
          <w:tab w:val="left" w:pos="0"/>
        </w:tabs>
        <w:ind w:left="0"/>
      </w:pPr>
    </w:p>
    <w:p w:rsidR="00706918" w:rsidRPr="00471EEE" w:rsidRDefault="00706918" w:rsidP="00471EEE">
      <w:r>
        <w:t>Tidigare behandling i EU -nämnden: 2012-11-30</w:t>
      </w:r>
    </w:p>
    <w:p w:rsidR="00706918" w:rsidRDefault="00706918">
      <w:pPr>
        <w:pStyle w:val="RKnormal"/>
        <w:tabs>
          <w:tab w:val="clear" w:pos="1843"/>
          <w:tab w:val="left" w:pos="0"/>
        </w:tabs>
        <w:ind w:left="0"/>
      </w:pPr>
    </w:p>
    <w:p w:rsidR="00706918" w:rsidRPr="00471EEE" w:rsidRDefault="00706918" w:rsidP="00471EEE">
      <w:r>
        <w:t>Tidigare behandling vid rådsmöte: EPSCO-rådet</w:t>
      </w:r>
    </w:p>
    <w:p w:rsidR="00706918" w:rsidRDefault="00706918">
      <w:pPr>
        <w:pStyle w:val="RKnormal"/>
        <w:tabs>
          <w:tab w:val="clear" w:pos="1843"/>
          <w:tab w:val="left" w:pos="0"/>
        </w:tabs>
        <w:ind w:left="0"/>
      </w:pPr>
    </w:p>
    <w:p w:rsidR="00706918" w:rsidRPr="00471EEE" w:rsidRDefault="00706918" w:rsidP="00471EEE">
      <w:r>
        <w:t>Godkänd av Coreper I den 2 oktober 2013</w:t>
      </w:r>
    </w:p>
    <w:p w:rsidR="00706918" w:rsidRDefault="00706918">
      <w:pPr>
        <w:pStyle w:val="RKnormal"/>
        <w:tabs>
          <w:tab w:val="clear" w:pos="1843"/>
          <w:tab w:val="left" w:pos="0"/>
        </w:tabs>
        <w:ind w:left="0"/>
      </w:pPr>
    </w:p>
    <w:p w:rsidR="00706918" w:rsidRDefault="00706918" w:rsidP="00471EEE">
      <w:r>
        <w:t xml:space="preserve">Beslutet ska effektivisera (stream-line) och stärka Unionens kapacitet och strukturer för att på ett effektivt sätt möta allvarliga gränsöverskridandehälsohot. </w:t>
      </w:r>
    </w:p>
    <w:p w:rsidR="00706918" w:rsidRDefault="00706918" w:rsidP="00471EEE"/>
    <w:p w:rsidR="00706918" w:rsidRDefault="00706918" w:rsidP="00471EEE">
      <w:r>
        <w:t xml:space="preserve">Med allvarliga gränsöverskridande hot mot människors hälsa avses händelser som orsakas av smittsamma sjukdomar eller av biologiskt agens som orsakar icke smittsamma sjukdomar, av kemiskt, miljörelaterat eller okänt ursprung, eller händelser som orsakas av klimatförändringar (värmeböljor och köldperioder inkluderade). Hot som antimikrobiell resistens och vårdrelaterade infektioner i samband med smittsamma sjukdomar ingår även. </w:t>
      </w:r>
    </w:p>
    <w:p w:rsidR="00706918" w:rsidRDefault="00706918" w:rsidP="00471EEE"/>
    <w:p w:rsidR="00706918" w:rsidRDefault="00706918" w:rsidP="00471EEE">
      <w:r>
        <w:t>Enligt beslutet ska medlemsstaterna konsultera varandra med sikte på samordning av åtgärder vad gäller att utveckla, förstärka och vidmakthålla sin förmåga i fråga om övervakning av, tidig varning för, bedömning av och insatser vid allvarliga gränsöverskridande hot mot människors hälsa. Beslutet ska tillgodose att det finns former för en koordinering av riskvärdering och en riskhantering av allvarliga gränsöverskridande kemiska, biologiska och miljömässiga hälsohot.</w:t>
      </w:r>
    </w:p>
    <w:p w:rsidR="00706918" w:rsidRDefault="00706918" w:rsidP="00471EEE"/>
    <w:p w:rsidR="00706918" w:rsidRDefault="00706918" w:rsidP="00471EEE">
      <w:r>
        <w:t>Beslutet utvidgar nuvarande lagstiftning (Beslut 2119/98 om att bilda ett nätverk för epidemiologisk övervakning och kontroll av smittsamma sjukdomar i gemenskapen) till alla typer av hälsohot samt anpassar nuvarande lagstiftning till det faktum att det Europeiska centrumet för förebyggande och kontroll av sjukdomar (ECDC) har bildats.</w:t>
      </w:r>
    </w:p>
    <w:p w:rsidR="00706918" w:rsidRDefault="00706918" w:rsidP="00471EEE"/>
    <w:p w:rsidR="00706918" w:rsidRDefault="00706918" w:rsidP="00471EEE">
      <w:r>
        <w:t>Regeringen avser rösta ja till antagandet av rättsakten.</w:t>
      </w:r>
    </w:p>
    <w:p w:rsidR="00706918" w:rsidRDefault="00706918">
      <w:pPr>
        <w:spacing w:line="240" w:lineRule="auto"/>
      </w:pPr>
      <w:r>
        <w:br w:type="page"/>
      </w:r>
    </w:p>
    <w:p w:rsidR="00706918" w:rsidRDefault="00706918" w:rsidP="00E70DE5">
      <w:pPr>
        <w:pStyle w:val="Heading1"/>
      </w:pPr>
      <w:bookmarkStart w:id="66" w:name="_Toc368563397"/>
      <w:r>
        <w:t>Troliga A-punkter inför kommande rådsmöten som godkändes vid Coreper II 2013-10-02</w:t>
      </w:r>
      <w:bookmarkEnd w:id="66"/>
    </w:p>
    <w:p w:rsidR="00706918" w:rsidRPr="00471EEE" w:rsidRDefault="00706918" w:rsidP="00471EEE"/>
    <w:p w:rsidR="00706918" w:rsidRDefault="00706918">
      <w:pPr>
        <w:pStyle w:val="RKnormal"/>
        <w:tabs>
          <w:tab w:val="clear" w:pos="1843"/>
          <w:tab w:val="left" w:pos="0"/>
        </w:tabs>
        <w:ind w:left="0"/>
      </w:pPr>
    </w:p>
    <w:p w:rsidR="00706918" w:rsidRPr="00471EEE" w:rsidRDefault="00706918" w:rsidP="00471EEE">
      <w:pPr>
        <w:pStyle w:val="Heading2"/>
      </w:pPr>
      <w:bookmarkStart w:id="67" w:name="_Toc368563398"/>
      <w:r>
        <w:t>10. Conveningof a Conference of the Representatives of the Governmentsof the Member States= AppointmentofoneAdvocate General to the Court ofJustice and twoJudgesto the General Court</w:t>
      </w:r>
      <w:bookmarkEnd w:id="67"/>
    </w:p>
    <w:p w:rsidR="00706918" w:rsidRDefault="00706918">
      <w:pPr>
        <w:pStyle w:val="RKnormal"/>
        <w:tabs>
          <w:tab w:val="clear" w:pos="1843"/>
          <w:tab w:val="left" w:pos="0"/>
        </w:tabs>
        <w:ind w:left="0"/>
      </w:pPr>
    </w:p>
    <w:p w:rsidR="00706918" w:rsidRPr="00471EEE" w:rsidRDefault="00706918" w:rsidP="00471EEE">
      <w:r>
        <w:t>14094/13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Carl Bildt</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Coreper föreslås sammankalla en regeringskonferens i anslutning till sitt möte den 16 oktober 2013 i syfte att utnämna två domare i </w:t>
      </w:r>
    </w:p>
    <w:p w:rsidR="00706918" w:rsidRPr="00471EEE" w:rsidRDefault="00706918" w:rsidP="00471EEE">
      <w:r>
        <w:t>i tribunalen och en generaladvokat i domstolen.</w:t>
      </w:r>
    </w:p>
    <w:p w:rsidR="00706918" w:rsidRDefault="00706918">
      <w:pPr>
        <w:pStyle w:val="RKnormal"/>
        <w:tabs>
          <w:tab w:val="clear" w:pos="1843"/>
          <w:tab w:val="left" w:pos="0"/>
        </w:tabs>
        <w:ind w:left="0"/>
      </w:pPr>
    </w:p>
    <w:p w:rsidR="00706918" w:rsidRPr="00471EEE" w:rsidRDefault="00706918" w:rsidP="00471EEE">
      <w:pPr>
        <w:pStyle w:val="Heading2"/>
      </w:pPr>
      <w:bookmarkStart w:id="68" w:name="_Toc368563399"/>
      <w:r>
        <w:t>11. Case before the Court ofJustice (Opinion 2/13)= Request by the Commission for an Opinion pursuanttoArticle 218(11) TFEU on the compatibilitywith the Treatiesof the draft agreement on the accession of the European Union to the Convention for the Protectionof Human Rights and Fundamental Freedoms</w:t>
      </w:r>
      <w:bookmarkEnd w:id="68"/>
    </w:p>
    <w:p w:rsidR="00706918" w:rsidRDefault="00706918">
      <w:pPr>
        <w:pStyle w:val="RKnormal"/>
        <w:tabs>
          <w:tab w:val="clear" w:pos="1843"/>
          <w:tab w:val="left" w:pos="0"/>
        </w:tabs>
        <w:ind w:left="0"/>
      </w:pPr>
    </w:p>
    <w:p w:rsidR="00706918" w:rsidRPr="00471EEE" w:rsidRDefault="00706918" w:rsidP="00471EEE">
      <w:r>
        <w:t>14024/13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Birgitta Ohlsson</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Pr="00471EEE" w:rsidRDefault="00706918" w:rsidP="00471EEE">
      <w:r>
        <w:t>Föranleder ingen annotering.</w:t>
      </w:r>
    </w:p>
    <w:p w:rsidR="00706918" w:rsidRDefault="00706918">
      <w:pPr>
        <w:pStyle w:val="RKnormal"/>
        <w:tabs>
          <w:tab w:val="clear" w:pos="1843"/>
          <w:tab w:val="left" w:pos="0"/>
        </w:tabs>
        <w:ind w:left="0"/>
      </w:pPr>
    </w:p>
    <w:p w:rsidR="00706918" w:rsidRPr="00471EEE" w:rsidRDefault="00706918" w:rsidP="00471EEE">
      <w:pPr>
        <w:pStyle w:val="Heading2"/>
      </w:pPr>
      <w:bookmarkStart w:id="69" w:name="_Toc368563400"/>
      <w:r>
        <w:t>12. Case before the General Court of the European Union= Case T-395/13 (Miettinen v. Council of the European Union)</w:t>
      </w:r>
      <w:bookmarkEnd w:id="69"/>
    </w:p>
    <w:p w:rsidR="00706918" w:rsidRDefault="00706918">
      <w:pPr>
        <w:pStyle w:val="RKnormal"/>
        <w:tabs>
          <w:tab w:val="clear" w:pos="1843"/>
          <w:tab w:val="left" w:pos="0"/>
        </w:tabs>
        <w:ind w:left="0"/>
      </w:pPr>
    </w:p>
    <w:p w:rsidR="00706918" w:rsidRPr="00471EEE" w:rsidRDefault="00706918" w:rsidP="00471EEE">
      <w:r>
        <w:t>13729/13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Birgitta Ohlsson</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Pr="00471EEE" w:rsidRDefault="00706918" w:rsidP="00471EEE">
      <w:r>
        <w:t>Informationspunkt - föranleder ingen annotering.</w:t>
      </w:r>
    </w:p>
    <w:p w:rsidR="00706918" w:rsidRDefault="00706918">
      <w:pPr>
        <w:pStyle w:val="RKnormal"/>
        <w:tabs>
          <w:tab w:val="clear" w:pos="1843"/>
          <w:tab w:val="left" w:pos="0"/>
        </w:tabs>
        <w:ind w:left="0"/>
      </w:pPr>
    </w:p>
    <w:p w:rsidR="00706918" w:rsidRPr="00471EEE" w:rsidRDefault="00706918" w:rsidP="00471EEE">
      <w:pPr>
        <w:pStyle w:val="Heading2"/>
      </w:pPr>
      <w:bookmarkStart w:id="70" w:name="_Toc368563401"/>
      <w:r>
        <w:t>13. Case before the General Court of the European Union= Case T-394/13 (Photo USA Electronic GraphicInc. v. Council)</w:t>
      </w:r>
      <w:bookmarkEnd w:id="70"/>
    </w:p>
    <w:p w:rsidR="00706918" w:rsidRDefault="00706918">
      <w:pPr>
        <w:pStyle w:val="RKnormal"/>
        <w:tabs>
          <w:tab w:val="clear" w:pos="1843"/>
          <w:tab w:val="left" w:pos="0"/>
        </w:tabs>
        <w:ind w:left="0"/>
      </w:pPr>
    </w:p>
    <w:p w:rsidR="00706918" w:rsidRPr="00471EEE" w:rsidRDefault="00706918" w:rsidP="00471EEE">
      <w:r>
        <w:t>13924/13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Birgitta Ohlsson</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Pr="00471EEE" w:rsidRDefault="00706918" w:rsidP="00471EEE">
      <w:r>
        <w:t>Informationspunkt - föranleder ingen annotering.</w:t>
      </w:r>
    </w:p>
    <w:p w:rsidR="00706918" w:rsidRDefault="00706918">
      <w:pPr>
        <w:pStyle w:val="RKnormal"/>
        <w:tabs>
          <w:tab w:val="clear" w:pos="1843"/>
          <w:tab w:val="left" w:pos="0"/>
        </w:tabs>
        <w:ind w:left="0"/>
      </w:pPr>
    </w:p>
    <w:p w:rsidR="00706918" w:rsidRPr="00471EEE" w:rsidRDefault="00706918" w:rsidP="00471EEE">
      <w:pPr>
        <w:pStyle w:val="Heading2"/>
      </w:pPr>
      <w:bookmarkStart w:id="71" w:name="_Toc368563402"/>
      <w:r>
        <w:t>14. Handling within the Council of the Communication from the Commission= Draft Council Regulationlaying down the form of the laissez-passerissuedtomembers and servantsof the Institutions</w:t>
      </w:r>
      <w:bookmarkEnd w:id="71"/>
    </w:p>
    <w:p w:rsidR="00706918" w:rsidRDefault="00706918">
      <w:pPr>
        <w:pStyle w:val="RKnormal"/>
        <w:tabs>
          <w:tab w:val="clear" w:pos="1843"/>
          <w:tab w:val="left" w:pos="0"/>
        </w:tabs>
        <w:ind w:left="0"/>
      </w:pPr>
    </w:p>
    <w:p w:rsidR="00706918" w:rsidRPr="00471EEE" w:rsidRDefault="00706918" w:rsidP="00471EEE">
      <w:r>
        <w:t>13876/1/13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Carl Bildt</w:t>
      </w:r>
    </w:p>
    <w:p w:rsidR="00706918" w:rsidRPr="00A25675" w:rsidRDefault="00706918">
      <w:pPr>
        <w:pStyle w:val="RKnormal"/>
        <w:tabs>
          <w:tab w:val="clear" w:pos="1843"/>
          <w:tab w:val="left" w:pos="0"/>
        </w:tabs>
        <w:ind w:left="0"/>
        <w:rPr>
          <w:b/>
        </w:rPr>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“Laissez-passer” (nedan “LP”) är en resehandling som ska godtas av medlemsstaternas myndigheter. LP kan utställas av ordförandena för unionens institutioner till ledamöter, medlemmar och anställda i unionens institutioner. Formen för LP ska fastställas av rådet. Allt enligt artikel 6 i Protokoll 7 om Europeiska unionens privilegier och immunitet.</w:t>
      </w:r>
    </w:p>
    <w:p w:rsidR="00706918" w:rsidRDefault="00706918" w:rsidP="00471EEE"/>
    <w:p w:rsidR="00706918" w:rsidRPr="00471EEE" w:rsidRDefault="00706918" w:rsidP="00471EEE">
      <w:r>
        <w:t>Nuvarande LP behöver uppgraderas för att bl.a. skydda handlingen mot förfalskning. Tidigare försök till uppgradering har inte lyckats lösa ut vissa frågor om säkerhetsstandarder, omfattning av behov, budgetimplikationer, språk, design och form, giltighetstid, erkännande av tredje land, och tillverkning. Nu avses att säkerställa att förhandlingarna återupptas. Målet är att nå överenskommelse om rådsförordning. Förslag därför om initial uppdragsbeskrivning för vängrupp om LP som ska tillse att arbetet drivas framåt. Uppdragsbeskrivningen går i korthet ut på att vängruppen ska belysa de tidigare outlösta frågorna, hur vängruppen sätts samman, vem som är sammankallande samt att datum för vängruppens möten kommer att tillkännages senare.</w:t>
      </w:r>
    </w:p>
    <w:p w:rsidR="00706918" w:rsidRDefault="00706918">
      <w:pPr>
        <w:pStyle w:val="RKnormal"/>
        <w:tabs>
          <w:tab w:val="clear" w:pos="1843"/>
          <w:tab w:val="left" w:pos="0"/>
        </w:tabs>
        <w:ind w:left="0"/>
      </w:pPr>
    </w:p>
    <w:p w:rsidR="00706918" w:rsidRPr="00471EEE" w:rsidRDefault="00706918" w:rsidP="00471EEE">
      <w:pPr>
        <w:pStyle w:val="Heading2"/>
      </w:pPr>
      <w:bookmarkStart w:id="72" w:name="_Toc368563403"/>
      <w:r>
        <w:t>15. Proposal for a Regulationof the EuropeanParliament and of the Council amendingRegulation (EU) No 99/2013 on the Europeanstatisticalprogramme 2013-17 [Firstreading]= General approach</w:t>
      </w:r>
      <w:bookmarkEnd w:id="72"/>
    </w:p>
    <w:p w:rsidR="00706918" w:rsidRDefault="00706918">
      <w:pPr>
        <w:pStyle w:val="RKnormal"/>
        <w:tabs>
          <w:tab w:val="clear" w:pos="1843"/>
          <w:tab w:val="left" w:pos="0"/>
        </w:tabs>
        <w:ind w:left="0"/>
      </w:pPr>
    </w:p>
    <w:p w:rsidR="00706918" w:rsidRPr="00471EEE" w:rsidRDefault="00706918" w:rsidP="00471EEE">
      <w:r>
        <w:t>13953/13</w:t>
      </w:r>
    </w:p>
    <w:p w:rsidR="00706918" w:rsidRDefault="00706918">
      <w:pPr>
        <w:pStyle w:val="RKnormal"/>
        <w:tabs>
          <w:tab w:val="clear" w:pos="1843"/>
          <w:tab w:val="left" w:pos="0"/>
        </w:tabs>
        <w:ind w:left="0"/>
      </w:pPr>
    </w:p>
    <w:p w:rsidR="00706918" w:rsidRPr="00471EEE" w:rsidRDefault="00706918" w:rsidP="00471EEE">
      <w:r>
        <w:t>Ansvarigt departement: Finansdepartementet</w:t>
      </w:r>
    </w:p>
    <w:p w:rsidR="00706918" w:rsidRDefault="00706918">
      <w:pPr>
        <w:pStyle w:val="RKnormal"/>
        <w:tabs>
          <w:tab w:val="clear" w:pos="1843"/>
          <w:tab w:val="left" w:pos="0"/>
        </w:tabs>
        <w:ind w:left="0"/>
      </w:pPr>
    </w:p>
    <w:p w:rsidR="00706918" w:rsidRPr="00471EEE" w:rsidRDefault="00706918" w:rsidP="00471EEE">
      <w:r>
        <w:t>Ansvarigt statsråd: Peter Norman</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 i rådet: </w:t>
      </w:r>
    </w:p>
    <w:p w:rsidR="00706918" w:rsidRDefault="00706918" w:rsidP="00471EEE">
      <w:r>
        <w:t>Rådet ska godkänna den text som rådsarbetsgruppen kommit överens om och uppmana ordförandeskapet att inleda förhandlingarna med Europaparlamentet.</w:t>
      </w:r>
    </w:p>
    <w:p w:rsidR="00706918" w:rsidRDefault="00706918" w:rsidP="00471EEE"/>
    <w:p w:rsidR="00706918" w:rsidRDefault="00706918" w:rsidP="00471EEE">
      <w:r>
        <w:t xml:space="preserve">Hur regeringen ställer sig till den blivande a-punkten: </w:t>
      </w:r>
    </w:p>
    <w:p w:rsidR="00706918" w:rsidRDefault="00706918" w:rsidP="00471EEE">
      <w:r>
        <w:t>Regeringen godkänner A-punkten.</w:t>
      </w:r>
    </w:p>
    <w:p w:rsidR="00706918" w:rsidRDefault="00706918" w:rsidP="00471EEE"/>
    <w:p w:rsidR="00706918" w:rsidRDefault="00706918" w:rsidP="00471EEE">
      <w:r>
        <w:t xml:space="preserve">Bakgrund: </w:t>
      </w:r>
    </w:p>
    <w:p w:rsidR="00706918" w:rsidRDefault="00706918" w:rsidP="00471EEE">
      <w:r>
        <w:t>Kommissionen presenterade den 17 juli 2013 förslag till Europaparlamentets och rådets förordning om ändring av förordning (EU) nr 99/2013 om programmet för europeisk statistik 2013-2017. Förslaget innebär att unionens finansiella anslag för genomförandet av programmet för europeisk statistik 2014-2017 fastställs till 234,8 miljoner euro, vilket täcks av den fleråriga budgetramen för 2014-2020.</w:t>
      </w:r>
    </w:p>
    <w:p w:rsidR="00706918" w:rsidRPr="00471EEE" w:rsidRDefault="00706918" w:rsidP="00471EEE"/>
    <w:p w:rsidR="00706918" w:rsidRDefault="00706918">
      <w:pPr>
        <w:pStyle w:val="RKnormal"/>
        <w:tabs>
          <w:tab w:val="clear" w:pos="1843"/>
          <w:tab w:val="left" w:pos="0"/>
        </w:tabs>
        <w:ind w:left="0"/>
      </w:pPr>
    </w:p>
    <w:p w:rsidR="00706918" w:rsidRPr="00471EEE" w:rsidRDefault="00706918" w:rsidP="00471EEE">
      <w:pPr>
        <w:pStyle w:val="Heading2"/>
      </w:pPr>
      <w:bookmarkStart w:id="73" w:name="_Toc368563404"/>
      <w:r>
        <w:t>16. Proposal for transfer ofappropriations No DEC 22/2013 withinSection III - Commission - of the general budget for 2013</w:t>
      </w:r>
      <w:bookmarkEnd w:id="73"/>
    </w:p>
    <w:p w:rsidR="00706918" w:rsidRDefault="00706918">
      <w:pPr>
        <w:pStyle w:val="RKnormal"/>
        <w:tabs>
          <w:tab w:val="clear" w:pos="1843"/>
          <w:tab w:val="left" w:pos="0"/>
        </w:tabs>
        <w:ind w:left="0"/>
      </w:pPr>
    </w:p>
    <w:p w:rsidR="00706918" w:rsidRPr="00471EEE" w:rsidRDefault="00706918" w:rsidP="00471EEE">
      <w:r>
        <w:t>14019/13</w:t>
      </w:r>
    </w:p>
    <w:p w:rsidR="00706918" w:rsidRDefault="00706918">
      <w:pPr>
        <w:pStyle w:val="RKnormal"/>
        <w:tabs>
          <w:tab w:val="clear" w:pos="1843"/>
          <w:tab w:val="left" w:pos="0"/>
        </w:tabs>
        <w:ind w:left="0"/>
      </w:pPr>
    </w:p>
    <w:p w:rsidR="00706918" w:rsidRPr="00471EEE" w:rsidRDefault="00706918" w:rsidP="00471EEE">
      <w:r>
        <w:t>Ansvarigt departement: Finansdepartementet</w:t>
      </w:r>
    </w:p>
    <w:p w:rsidR="00706918" w:rsidRDefault="00706918">
      <w:pPr>
        <w:pStyle w:val="RKnormal"/>
        <w:tabs>
          <w:tab w:val="clear" w:pos="1843"/>
          <w:tab w:val="left" w:pos="0"/>
        </w:tabs>
        <w:ind w:left="0"/>
      </w:pPr>
    </w:p>
    <w:p w:rsidR="00706918" w:rsidRPr="00471EEE" w:rsidRDefault="00706918" w:rsidP="00471EEE">
      <w:r>
        <w:t>Ansvarigt statsråd: Anders Borg</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 xml:space="preserve">Rådet föreslås anta överföringen. </w:t>
      </w:r>
    </w:p>
    <w:p w:rsidR="00706918" w:rsidRDefault="00706918" w:rsidP="00471EEE"/>
    <w:p w:rsidR="00706918" w:rsidRDefault="00706918" w:rsidP="00471EEE">
      <w:r>
        <w:t xml:space="preserve">Hur regeringen ställer sig till den blivande A-punkten: </w:t>
      </w:r>
    </w:p>
    <w:p w:rsidR="00706918" w:rsidRDefault="00706918" w:rsidP="00471EEE">
      <w:r>
        <w:t>Regeringen avser rösta ja till överföringen.</w:t>
      </w:r>
    </w:p>
    <w:p w:rsidR="00706918" w:rsidRDefault="00706918" w:rsidP="00471EEE"/>
    <w:p w:rsidR="00706918" w:rsidRDefault="00706918" w:rsidP="00471EEE">
      <w:r>
        <w:t xml:space="preserve">Bakgrund: </w:t>
      </w:r>
    </w:p>
    <w:p w:rsidR="00706918" w:rsidRDefault="00706918" w:rsidP="00471EEE">
      <w:r>
        <w:t xml:space="preserve">Överföringen av åtagandebemyndiganden syftar till att stödja ett begränsat antal landsbygdsinfrastrukturprojekt i Fyrom. De överförda anslagen kommer med största sannolikhet att genomföras gemensamt med Världsbanken. Världsbanken har lång erfarenhet i Fyrom av att stödja hållbar jordbruks- och landsbygdsutveckling på ett sätt som uppfyller EU:s föranslutningskrav. </w:t>
      </w:r>
    </w:p>
    <w:p w:rsidR="00706918" w:rsidRDefault="00706918" w:rsidP="00471EEE"/>
    <w:p w:rsidR="00706918" w:rsidRPr="00471EEE" w:rsidRDefault="00706918" w:rsidP="00471EEE">
      <w:r>
        <w:t>Förslaget innebär att 18 miljoner euro överförs till anslaget 22 02 01 Tillfälligt stöd och stöd för institutionsuppbyggnad i kandidatländerna från anslaget 050502 Instrument för föranslutningsstöd för landsbygdsutveckling (Ipard).</w:t>
      </w:r>
    </w:p>
    <w:p w:rsidR="00706918" w:rsidRDefault="00706918">
      <w:pPr>
        <w:pStyle w:val="RKnormal"/>
        <w:tabs>
          <w:tab w:val="clear" w:pos="1843"/>
          <w:tab w:val="left" w:pos="0"/>
        </w:tabs>
        <w:ind w:left="0"/>
      </w:pPr>
    </w:p>
    <w:p w:rsidR="00706918" w:rsidRPr="00471EEE" w:rsidRDefault="00706918" w:rsidP="00471EEE">
      <w:pPr>
        <w:pStyle w:val="Heading2"/>
      </w:pPr>
      <w:bookmarkStart w:id="74" w:name="_Toc368563405"/>
      <w:r>
        <w:t>17. Council ImplementingRegulationamendingImplementingRegulation (EU) No 282/2011 as regards the placeofsupplyof services = Adoption</w:t>
      </w:r>
      <w:bookmarkEnd w:id="74"/>
    </w:p>
    <w:p w:rsidR="00706918" w:rsidRDefault="00706918">
      <w:pPr>
        <w:pStyle w:val="RKnormal"/>
        <w:tabs>
          <w:tab w:val="clear" w:pos="1843"/>
          <w:tab w:val="left" w:pos="0"/>
        </w:tabs>
        <w:ind w:left="0"/>
      </w:pPr>
    </w:p>
    <w:p w:rsidR="00706918" w:rsidRPr="00471EEE" w:rsidRDefault="00706918" w:rsidP="00471EEE">
      <w:r>
        <w:t>13951/13, 11543/13</w:t>
      </w:r>
    </w:p>
    <w:p w:rsidR="00706918" w:rsidRDefault="00706918">
      <w:pPr>
        <w:pStyle w:val="RKnormal"/>
        <w:tabs>
          <w:tab w:val="clear" w:pos="1843"/>
          <w:tab w:val="left" w:pos="0"/>
        </w:tabs>
        <w:ind w:left="0"/>
      </w:pPr>
    </w:p>
    <w:p w:rsidR="00706918" w:rsidRPr="00471EEE" w:rsidRDefault="00706918" w:rsidP="00471EEE">
      <w:r>
        <w:t>Ansvarigt departement: Finansdepartementet</w:t>
      </w:r>
    </w:p>
    <w:p w:rsidR="00706918" w:rsidRDefault="00706918">
      <w:pPr>
        <w:pStyle w:val="RKnormal"/>
        <w:tabs>
          <w:tab w:val="clear" w:pos="1843"/>
          <w:tab w:val="left" w:pos="0"/>
        </w:tabs>
        <w:ind w:left="0"/>
      </w:pPr>
    </w:p>
    <w:p w:rsidR="00706918" w:rsidRPr="00471EEE" w:rsidRDefault="00706918" w:rsidP="00471EEE">
      <w:r>
        <w:t>Ansvarigt statsråd: Anders Borg</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Rådet föreslås anta genomförandeförordningen.</w:t>
      </w:r>
    </w:p>
    <w:p w:rsidR="00706918" w:rsidRDefault="00706918" w:rsidP="00471EEE"/>
    <w:p w:rsidR="00706918" w:rsidRDefault="00706918" w:rsidP="00471EEE">
      <w:r>
        <w:t xml:space="preserve">Hur regeringen ställer sig till den blivande a-punkten: </w:t>
      </w:r>
    </w:p>
    <w:p w:rsidR="00706918" w:rsidRDefault="00706918" w:rsidP="00471EEE">
      <w:r>
        <w:t xml:space="preserve">Regeringen avser rösta ja till att rådet antar genomförandeförordningen om ändring av rådets genomförandeförordning vad gäller platsen för tillhandahållande av tjänster. </w:t>
      </w:r>
    </w:p>
    <w:p w:rsidR="00706918" w:rsidRDefault="00706918" w:rsidP="00471EEE"/>
    <w:p w:rsidR="00706918" w:rsidRDefault="00706918" w:rsidP="00471EEE">
      <w:r>
        <w:t xml:space="preserve">Bakgrund: </w:t>
      </w:r>
    </w:p>
    <w:p w:rsidR="00706918" w:rsidRDefault="00706918" w:rsidP="00471EEE">
      <w:r>
        <w:t xml:space="preserve">I december 2012 lade kommissionen fram ett förslag för att anpassa rådets genomförandeförordning (EU) nr 282/2011 till redan beslutade ändringar i momsdirektivet. Ändringarna i momsdirektivet innebär att från och med 2015 kommer elektroniska tjänster, telekomtjänster och radio- och tv-sändningar som säljs till privatpersoner i en annan medlemsstat att beskattas i köparens stat (i stället för i säljarens stat). Syftet med förslaget är att underlätta tillämpningen för företagen och säkerställa att reglerna tillämpas på ett enhetligt sätt. Förslaget innehåller presumtioner, bl.a. om vem som ska anses som säljare i förmedlingssituationer exempelvis när en app säljs via en marknadsplats på internet. Förslaget innehåller även bestämmelser om fast egendom.  </w:t>
      </w:r>
    </w:p>
    <w:p w:rsidR="00706918" w:rsidRDefault="00706918" w:rsidP="00471EEE"/>
    <w:p w:rsidR="00706918" w:rsidRDefault="00706918" w:rsidP="00471EEE">
      <w:r>
        <w:t xml:space="preserve">Vid rådets möte den 21 juni 2013 (ekonomiska och finansiella frågor) fattades en politisk överenskommelse om förslaget. </w:t>
      </w:r>
    </w:p>
    <w:p w:rsidR="00706918" w:rsidRDefault="00706918" w:rsidP="00471EEE"/>
    <w:p w:rsidR="00706918" w:rsidRPr="00471EEE" w:rsidRDefault="00706918" w:rsidP="00471EEE">
      <w:pPr>
        <w:pStyle w:val="Heading2"/>
      </w:pPr>
      <w:bookmarkStart w:id="75" w:name="_Toc368563406"/>
      <w:r>
        <w:t>18. Proposal for Council implementing decision on subjecting 5-(2-aminopropyl)indoletocontrolmeasures</w:t>
      </w:r>
      <w:bookmarkEnd w:id="75"/>
    </w:p>
    <w:p w:rsidR="00706918" w:rsidRDefault="00706918">
      <w:pPr>
        <w:pStyle w:val="RKnormal"/>
        <w:tabs>
          <w:tab w:val="clear" w:pos="1843"/>
          <w:tab w:val="left" w:pos="0"/>
        </w:tabs>
        <w:ind w:left="0"/>
      </w:pPr>
    </w:p>
    <w:p w:rsidR="00706918" w:rsidRPr="00471EEE" w:rsidRDefault="00706918" w:rsidP="00471EEE">
      <w:r>
        <w:t>13619/13, 13590/13</w:t>
      </w:r>
    </w:p>
    <w:p w:rsidR="00706918" w:rsidRDefault="00706918">
      <w:pPr>
        <w:pStyle w:val="RKnormal"/>
        <w:tabs>
          <w:tab w:val="clear" w:pos="1843"/>
          <w:tab w:val="left" w:pos="0"/>
        </w:tabs>
        <w:ind w:left="0"/>
      </w:pPr>
    </w:p>
    <w:p w:rsidR="00706918" w:rsidRPr="00471EEE" w:rsidRDefault="00706918" w:rsidP="00471EEE">
      <w:r>
        <w:t>Ansvarigt departement: Socialdepartementet</w:t>
      </w:r>
    </w:p>
    <w:p w:rsidR="00706918" w:rsidRDefault="00706918">
      <w:pPr>
        <w:pStyle w:val="RKnormal"/>
        <w:tabs>
          <w:tab w:val="clear" w:pos="1843"/>
          <w:tab w:val="left" w:pos="0"/>
        </w:tabs>
        <w:ind w:left="0"/>
      </w:pPr>
    </w:p>
    <w:p w:rsidR="00706918" w:rsidRPr="00471EEE" w:rsidRDefault="00706918" w:rsidP="00471EEE">
      <w:r>
        <w:t>Ansvarigt statsråd: Maria Larsson</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Pr="00471EEE" w:rsidRDefault="00706918" w:rsidP="00471EEE">
      <w:r>
        <w:t>Ett ökande antal nya psykoaktiva ämnen, som ger samma effekt som de ämnen som kontrolleras av FN-konventionerna om narkotika och som marknadsförs som lagliga alternativ till dem (”legal drugs”), uppträder och sprids snabbt på den inre marknaden. Ett ökande antal personer, särskilt ungdomar, konsumerar nya psykoaktiva ämnen trots de eventuella riskerna de medför. Kommissionens förslag till beslut innebär att det nya psykoaktiva ämnet 5-(2-aminopropyl) listas för kontrollåtgärder inom EU. Beslutet ska därefter implementeras igenom medlemsstaternas lagstiftning. Förslaget har diskuterats inom rådsarbetsgruppen för horisontella narkotikafrågor. Regeringen avser stödja förslaget.</w:t>
      </w:r>
    </w:p>
    <w:p w:rsidR="00706918" w:rsidRDefault="00706918">
      <w:pPr>
        <w:pStyle w:val="RKnormal"/>
        <w:tabs>
          <w:tab w:val="clear" w:pos="1843"/>
          <w:tab w:val="left" w:pos="0"/>
        </w:tabs>
        <w:ind w:left="0"/>
      </w:pPr>
    </w:p>
    <w:p w:rsidR="00706918" w:rsidRPr="00471EEE" w:rsidRDefault="00706918" w:rsidP="00471EEE">
      <w:pPr>
        <w:pStyle w:val="Heading2"/>
      </w:pPr>
      <w:bookmarkStart w:id="76" w:name="_Toc368563407"/>
      <w:r>
        <w:t>19. Proposal for a Regulationof the EuropeanParliament and of the Council amendingRegulation (EC) No 562/2006 in order toprovide for common rules on the temporaryreintroductionofbordercontrol at internalborders in exceptionalcircumstances [Firstreading] (LA)= Adoption of the legislative act</w:t>
      </w:r>
      <w:bookmarkEnd w:id="76"/>
    </w:p>
    <w:p w:rsidR="00706918" w:rsidRDefault="00706918">
      <w:pPr>
        <w:pStyle w:val="RKnormal"/>
        <w:tabs>
          <w:tab w:val="clear" w:pos="1843"/>
          <w:tab w:val="left" w:pos="0"/>
        </w:tabs>
        <w:ind w:left="0"/>
      </w:pPr>
    </w:p>
    <w:p w:rsidR="00706918" w:rsidRPr="00471EEE" w:rsidRDefault="00706918" w:rsidP="00471EEE">
      <w:r>
        <w:t>14057/13, 30/13</w:t>
      </w:r>
    </w:p>
    <w:p w:rsidR="00706918" w:rsidRDefault="00706918">
      <w:pPr>
        <w:pStyle w:val="RKnormal"/>
        <w:tabs>
          <w:tab w:val="clear" w:pos="1843"/>
          <w:tab w:val="left" w:pos="0"/>
        </w:tabs>
        <w:ind w:left="0"/>
      </w:pPr>
    </w:p>
    <w:p w:rsidR="00706918" w:rsidRPr="00471EEE" w:rsidRDefault="00706918" w:rsidP="00471EEE">
      <w:r>
        <w:t>Ansvarigt departement: Justitiedepartementet</w:t>
      </w:r>
    </w:p>
    <w:p w:rsidR="00706918" w:rsidRDefault="00706918">
      <w:pPr>
        <w:pStyle w:val="RKnormal"/>
        <w:tabs>
          <w:tab w:val="clear" w:pos="1843"/>
          <w:tab w:val="left" w:pos="0"/>
        </w:tabs>
        <w:ind w:left="0"/>
      </w:pPr>
    </w:p>
    <w:p w:rsidR="00706918" w:rsidRPr="00471EEE" w:rsidRDefault="00706918" w:rsidP="00471EEE">
      <w:r>
        <w:t>Ansvarigt statsråd: Beatrice Ask</w:t>
      </w: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Tidigare behandling i riksdagen: Frågan behandlas senast i Ju-U samt EU-nämnden inför rådets möte 2013-06-06--07. </w:t>
      </w:r>
    </w:p>
    <w:p w:rsidR="00706918" w:rsidRDefault="00706918" w:rsidP="00471EEE"/>
    <w:p w:rsidR="00706918" w:rsidRDefault="00706918" w:rsidP="00471EEE">
      <w:r>
        <w:t>Tidigare behandling vid rådsmöte: Frågan behandlas senast i rådet för rättsliga och inrikes frågor 2013-06-06–07.</w:t>
      </w:r>
    </w:p>
    <w:p w:rsidR="00706918" w:rsidRDefault="00706918" w:rsidP="00471EEE"/>
    <w:p w:rsidR="00706918" w:rsidRDefault="00706918" w:rsidP="00471EEE">
      <w:r>
        <w:t xml:space="preserve">Avsikt med behandlingen i rådet: Antagande av rättsakten samt besluta att offentliggöra detta i Europeiska unionens officiella tidning. </w:t>
      </w:r>
    </w:p>
    <w:p w:rsidR="00706918" w:rsidRDefault="00706918" w:rsidP="00471EEE"/>
    <w:p w:rsidR="00706918" w:rsidRDefault="00706918" w:rsidP="00471EEE">
      <w:r>
        <w:t xml:space="preserve">Hur regeringen ställer sig till den blivande A-punkten: Regeringen avser stödja ett antagande av rättsakten. </w:t>
      </w:r>
    </w:p>
    <w:p w:rsidR="00706918" w:rsidRDefault="00706918" w:rsidP="00471EEE"/>
    <w:p w:rsidR="00706918" w:rsidRDefault="00706918" w:rsidP="00471EEE">
      <w:r>
        <w:t xml:space="preserve">Bakgrund: </w:t>
      </w:r>
    </w:p>
    <w:p w:rsidR="00706918" w:rsidRDefault="00706918" w:rsidP="00471EEE">
      <w:r>
        <w:t xml:space="preserve">Den 23–24 juni 2011 efterlyste Europeiska rådet åtgärder för att förstärka styrningen och kontrollen av Schengensamarbetet. Anledningen till begäran var ett antal händelser i närtid som utmanat Schengensamarbetets funktion.  </w:t>
      </w:r>
    </w:p>
    <w:p w:rsidR="00706918" w:rsidRDefault="00706918" w:rsidP="00471EEE"/>
    <w:p w:rsidR="00706918" w:rsidRDefault="00706918" w:rsidP="00471EEE">
      <w:r>
        <w:t>Europeiska rådet efterlyste bl.a. ett effektivt och tillförlitligt kontroll- och utvärderingssystem samt en mekanism för att man ska kunna reagera på exceptionella omständigheter som kan äventyra Schengensamarbetets övergripande funktion, utan att därigenom riskera principen om fri rörlighet för personer.</w:t>
      </w:r>
    </w:p>
    <w:p w:rsidR="00706918" w:rsidRDefault="00706918" w:rsidP="00471EEE"/>
    <w:p w:rsidR="00706918" w:rsidRDefault="00706918" w:rsidP="00471EEE">
      <w:r>
        <w:t>Den 19 september 2011 presenterade kommissionen ett lagstiftningspaket bestående av förslag till en ny Schengenutvärderingsmekanism och förslag på justeringar i Europaparlamentets och rådets förordning (EG) nr 562/2006 om en gemenskapskodex om gränspassage för personer (EU:s gränskodex). Justeringarna i gränskodexen avsåg reglerna om tillfälligt återinförande av gränskontroller vid de inre gränserna vid exceptionella omständigheter.</w:t>
      </w:r>
    </w:p>
    <w:p w:rsidR="00706918" w:rsidRDefault="00706918" w:rsidP="00471EEE"/>
    <w:p w:rsidR="00706918" w:rsidRDefault="00706918" w:rsidP="00471EEE">
      <w:r>
        <w:t xml:space="preserve">Förhandlingarna om lagstiftningspaketet har avslutats och EP har antagit förslaget i plenum den 12 juni 2013. Därmed finns förutsättningar för rådet att formellt anta rättsakterna. </w:t>
      </w:r>
    </w:p>
    <w:p w:rsidR="00706918" w:rsidRDefault="00706918" w:rsidP="00471EEE"/>
    <w:p w:rsidR="00706918" w:rsidRDefault="00706918" w:rsidP="00471EEE">
      <w:r>
        <w:t xml:space="preserve">Viktiga inslag i förslagen är att kommissionens roll i utvärderingsmekanismen för Schengenländerna förtydligas och stärks, samtidigt som rådet bibehåller ansvaret för vilka rekommendationer som riktas åt de enskilda medlemsstaterna. När det gäller återinförandet av kontroller vid inre gränser förtydligas kriterierna och procedurerna kring sådana beslut. Rätten att besluta om en sådan tillfällig åtgärd kvarstår emellertid hos varje enskild medlemsstat. Därutöver inrättas en skyddsklausul för införande av gränskontroll i extrema fall där Schengensystemets funktion riskerar att sättas ur spel. </w:t>
      </w:r>
    </w:p>
    <w:p w:rsidR="00706918" w:rsidRDefault="00706918">
      <w:pPr>
        <w:pStyle w:val="RKnormal"/>
        <w:tabs>
          <w:tab w:val="clear" w:pos="1843"/>
          <w:tab w:val="left" w:pos="0"/>
        </w:tabs>
        <w:ind w:left="0"/>
      </w:pPr>
    </w:p>
    <w:p w:rsidR="00706918" w:rsidRPr="00471EEE" w:rsidRDefault="00706918" w:rsidP="00471EEE">
      <w:pPr>
        <w:pStyle w:val="Heading2"/>
      </w:pPr>
      <w:bookmarkStart w:id="77" w:name="_Toc368563408"/>
      <w:r>
        <w:t>20. Proposal for a Council Regulation on the establishmentof an evaluationmechanismtoverify the applicationof the Schengen acquis</w:t>
      </w:r>
      <w:bookmarkEnd w:id="77"/>
    </w:p>
    <w:p w:rsidR="00706918" w:rsidRDefault="00706918">
      <w:pPr>
        <w:pStyle w:val="RKnormal"/>
        <w:tabs>
          <w:tab w:val="clear" w:pos="1843"/>
          <w:tab w:val="left" w:pos="0"/>
        </w:tabs>
        <w:ind w:left="0"/>
      </w:pPr>
    </w:p>
    <w:p w:rsidR="00706918" w:rsidRPr="00471EEE" w:rsidRDefault="00706918" w:rsidP="00471EEE">
      <w:r>
        <w:t>13570/13</w:t>
      </w:r>
    </w:p>
    <w:p w:rsidR="00706918" w:rsidRDefault="00706918">
      <w:pPr>
        <w:pStyle w:val="RKnormal"/>
        <w:tabs>
          <w:tab w:val="clear" w:pos="1843"/>
          <w:tab w:val="left" w:pos="0"/>
        </w:tabs>
        <w:ind w:left="0"/>
      </w:pPr>
    </w:p>
    <w:p w:rsidR="00706918" w:rsidRPr="00471EEE" w:rsidRDefault="00706918" w:rsidP="00471EEE">
      <w:r>
        <w:t>Ansvarigt departement: Justitiedepartementet</w:t>
      </w:r>
    </w:p>
    <w:p w:rsidR="00706918" w:rsidRDefault="00706918">
      <w:pPr>
        <w:pStyle w:val="RKnormal"/>
        <w:tabs>
          <w:tab w:val="clear" w:pos="1843"/>
          <w:tab w:val="left" w:pos="0"/>
        </w:tabs>
        <w:ind w:left="0"/>
      </w:pPr>
    </w:p>
    <w:p w:rsidR="00706918" w:rsidRPr="00471EEE" w:rsidRDefault="00706918" w:rsidP="00471EEE">
      <w:r>
        <w:t>Ansvarigt statsråd: Beatrice Ask</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Tidigare behandling i riksdagen: Frågan behandlas senast i Ju-U samt EU-nämnden inför rådets möte 2013-06-06--07. </w:t>
      </w:r>
    </w:p>
    <w:p w:rsidR="00706918" w:rsidRDefault="00706918" w:rsidP="00471EEE"/>
    <w:p w:rsidR="00706918" w:rsidRDefault="00706918" w:rsidP="00471EEE">
      <w:r>
        <w:t>Tidigare behandling vid rådsmöte: Frågan behandlas senast i rådet för rättsliga och inrikes frågor 2013-06-06–07.</w:t>
      </w:r>
    </w:p>
    <w:p w:rsidR="00706918" w:rsidRDefault="00706918" w:rsidP="00471EEE"/>
    <w:p w:rsidR="00706918" w:rsidRDefault="00706918" w:rsidP="00471EEE">
      <w:r>
        <w:t>Avsikt med behandlingen i rådet:</w:t>
      </w:r>
      <w:r>
        <w:br/>
        <w:t xml:space="preserve"> Antagande av rättsakten samt besluta att offentliggöra detta i Europeiska unionens officiella tidning. </w:t>
      </w:r>
    </w:p>
    <w:p w:rsidR="00706918" w:rsidRDefault="00706918" w:rsidP="00471EEE"/>
    <w:p w:rsidR="00706918" w:rsidRDefault="00706918" w:rsidP="00471EEE">
      <w:r>
        <w:t xml:space="preserve">Hur regeringen ställer sig till den blivande A-punkten: </w:t>
      </w:r>
      <w:r>
        <w:br/>
        <w:t xml:space="preserve">Regeringen avser stödja ett antagande av rättsakten. </w:t>
      </w:r>
    </w:p>
    <w:p w:rsidR="00706918" w:rsidRDefault="00706918" w:rsidP="00471EEE"/>
    <w:p w:rsidR="00706918" w:rsidRDefault="00706918" w:rsidP="00471EEE">
      <w:r>
        <w:t xml:space="preserve">Bakgrund: </w:t>
      </w:r>
    </w:p>
    <w:p w:rsidR="00706918" w:rsidRDefault="00706918" w:rsidP="00471EEE">
      <w:r>
        <w:t xml:space="preserve">Den 23–24 juni 2011 efterlyste Europeiska rådet åtgärder för att förstärka styrningen och kontrollen av Schengensamarbetet. Anledningen till begäran var ett antal händelser i närtid som utmanat Schengensamarbetets funktion.  </w:t>
      </w:r>
    </w:p>
    <w:p w:rsidR="00706918" w:rsidRDefault="00706918" w:rsidP="00471EEE"/>
    <w:p w:rsidR="00706918" w:rsidRDefault="00706918" w:rsidP="00471EEE">
      <w:r>
        <w:t>Europeiska rådet efterlyste bl.a. ett effektivt och tillförlitligt kontroll- och utvärderingssystem samt en mekanism för att man ska kunna reagera på exceptionella omständigheter som kan äventyra Schengensamarbetets övergripande funktion, utan att därigenom riskera principen om fri rörlighet för personer.</w:t>
      </w:r>
    </w:p>
    <w:p w:rsidR="00706918" w:rsidRDefault="00706918" w:rsidP="00471EEE"/>
    <w:p w:rsidR="00706918" w:rsidRDefault="00706918" w:rsidP="00471EEE">
      <w:r>
        <w:t>Den 19 september 2011 presenterade kommissionen ett lagstiftningspaket bestående av förslag till en ny Schengenutvärderingsmekanism och förslag på justeringar i Europaparlamentets och rådets förordning (EG) nr 562/2006 om en gemenskapskodex om gränspassage för personer (EU:s gränskodex). Justeringarna i gränskodexen avsåg reglerna om tillfälligt återinförande av gränskontroller vid de inre gränserna vid exceptionella omständigheter.</w:t>
      </w:r>
    </w:p>
    <w:p w:rsidR="00706918" w:rsidRDefault="00706918" w:rsidP="00471EEE"/>
    <w:p w:rsidR="00706918" w:rsidRDefault="00706918" w:rsidP="00471EEE">
      <w:r>
        <w:t xml:space="preserve">Förhandlingarna om lagstiftningspaketet har avslutats och EP har antagit förslaget i plenum den 12 juni 2013. Därmed finns förutsättningar för rådet att formellt anta rättsakterna. </w:t>
      </w:r>
    </w:p>
    <w:p w:rsidR="00706918" w:rsidRDefault="00706918" w:rsidP="00471EEE"/>
    <w:p w:rsidR="00706918" w:rsidRDefault="00706918" w:rsidP="00471EEE">
      <w:r>
        <w:t xml:space="preserve">Viktiga inslag i förslagen är att kommissionens roll i utvärderingsmekanismen för Schengenländerna förtydligas och stärks, samtidigt som rådet bibehåller ansvaret för vilka rekommendationer som riktas åt de enskilda medlemsstaterna. När det gäller återinförandet av kontroller vid inre gränser förtydligas kriterierna och procedurerna kring sådana beslut. Rätten att besluta om en sådan tillfällig åtgärd kvarstår emellertid hos varje enskild medlemsstat. Därutöver inrättas en skyddsklausul för införande av gränskontroll i extrema fall där Schengensystemets funktion riskerar att sättas ur spel. </w:t>
      </w:r>
    </w:p>
    <w:p w:rsidR="00706918" w:rsidRPr="00471EEE" w:rsidRDefault="00706918" w:rsidP="00471EEE"/>
    <w:p w:rsidR="00706918" w:rsidRDefault="00706918">
      <w:pPr>
        <w:pStyle w:val="RKnormal"/>
        <w:tabs>
          <w:tab w:val="clear" w:pos="1843"/>
          <w:tab w:val="left" w:pos="0"/>
        </w:tabs>
        <w:ind w:left="0"/>
      </w:pPr>
    </w:p>
    <w:p w:rsidR="00706918" w:rsidRPr="00471EEE" w:rsidRDefault="00706918" w:rsidP="00471EEE">
      <w:pPr>
        <w:pStyle w:val="Heading2"/>
      </w:pPr>
      <w:bookmarkStart w:id="78" w:name="_Toc368563409"/>
      <w:r>
        <w:t>21. CDE - Centre for the Development of Enterprise= Request for waiver ofimmunityof a memberof the staff</w:t>
      </w:r>
      <w:bookmarkEnd w:id="78"/>
    </w:p>
    <w:p w:rsidR="00706918" w:rsidRDefault="00706918">
      <w:pPr>
        <w:pStyle w:val="RKnormal"/>
        <w:tabs>
          <w:tab w:val="clear" w:pos="1843"/>
          <w:tab w:val="left" w:pos="0"/>
        </w:tabs>
        <w:ind w:left="0"/>
      </w:pPr>
    </w:p>
    <w:p w:rsidR="00706918" w:rsidRPr="00471EEE" w:rsidRDefault="00706918" w:rsidP="00471EEE">
      <w:r>
        <w:t>14133/13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Hillevi Engström</w:t>
      </w:r>
    </w:p>
    <w:p w:rsidR="00706918" w:rsidRDefault="00706918">
      <w:pPr>
        <w:pStyle w:val="RKnormal"/>
        <w:tabs>
          <w:tab w:val="clear" w:pos="1843"/>
          <w:tab w:val="left" w:pos="0"/>
        </w:tabs>
        <w:ind w:left="0"/>
      </w:pPr>
    </w:p>
    <w:p w:rsidR="00706918" w:rsidRPr="00471EEE" w:rsidRDefault="00706918" w:rsidP="00471EEE">
      <w:r>
        <w:t>Tidigare behandling vid rådsmöte: Rådet för utrikesfrågor</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Avsikt med behandlingen i rådet:</w:t>
      </w:r>
      <w:r>
        <w:br/>
        <w:t xml:space="preserve"> Rådet föreslås godkänna och sända till förstainstansrätten i Mulhouse ett brev vars syfte är att en tidigare direktör vid Centret för företagsutveckling (CDE) fråntas den immunitet som denne haft i sin tidigare funktion. </w:t>
      </w:r>
    </w:p>
    <w:p w:rsidR="00706918" w:rsidRDefault="00706918" w:rsidP="00471EEE"/>
    <w:p w:rsidR="00706918" w:rsidRDefault="00706918" w:rsidP="00471EEE">
      <w:r>
        <w:t>Hur regeringen ställer sig till den blivande A-punkten:</w:t>
      </w:r>
      <w:r>
        <w:br/>
        <w:t xml:space="preserve"> Regeringen avser rösta ja till att immuniteten lyfts och brevet godkänns. </w:t>
      </w:r>
    </w:p>
    <w:p w:rsidR="00706918" w:rsidRDefault="00706918" w:rsidP="00471EEE"/>
    <w:p w:rsidR="00706918" w:rsidRDefault="00706918" w:rsidP="00471EEE">
      <w:r>
        <w:t>Bakgrund:</w:t>
      </w:r>
      <w:r>
        <w:br/>
        <w:t xml:space="preserve"> I januari 2007 inledde Olaf en utredning med anledning av påståenden om att det begåtts bedrägerier inom Centrumet för företagsutveckling (CDE). Med hänsyn till resultaten av denna utredning och till följd av en anmälan från Europeiska kommissionen och Europeiska investeringsbanken i juli 2008 har åklagarmyndigheten i Mulhouse (Frankrike) inlett en förundersökning om bedrägeri riktat mot bland annat Europeiska investeringsbanken. Den 19 juli 2013 riktade vice ordföranden för förstainstansrätten i Mulhouse, som är ansvarig för förundersökningen, en begäran till AVS–EU-ambassadörskommittén om upphävande av den immunitet som beviljats en före detta direktör vid centrumet, mot vilken det föreligger misstankar i detta ärende. Vid mötet den 17 september 2013 godkände AVS-gruppen ett utkast till svarsbrev med syfte att godkänna att personen i fråga fråntas sin immunitet.</w:t>
      </w:r>
    </w:p>
    <w:p w:rsidR="00706918" w:rsidRDefault="00706918">
      <w:pPr>
        <w:pStyle w:val="RKnormal"/>
        <w:tabs>
          <w:tab w:val="clear" w:pos="1843"/>
          <w:tab w:val="left" w:pos="0"/>
        </w:tabs>
        <w:ind w:left="0"/>
      </w:pPr>
    </w:p>
    <w:p w:rsidR="00706918" w:rsidRPr="00471EEE" w:rsidRDefault="00706918" w:rsidP="00471EEE">
      <w:pPr>
        <w:pStyle w:val="Heading2"/>
      </w:pPr>
      <w:bookmarkStart w:id="79" w:name="_Toc368563410"/>
      <w:r>
        <w:t>22. Proposal for a Council Decision establishing the position to be taken by the European Union within the General Council of the World TradeOrganization on the request for extending the WTO waiver on additionalautonomoustradepreferencesgranted by the European Union to the Republicof Moldova</w:t>
      </w:r>
      <w:bookmarkEnd w:id="79"/>
    </w:p>
    <w:p w:rsidR="00706918" w:rsidRDefault="00706918">
      <w:pPr>
        <w:pStyle w:val="RKnormal"/>
        <w:tabs>
          <w:tab w:val="clear" w:pos="1843"/>
          <w:tab w:val="left" w:pos="0"/>
        </w:tabs>
        <w:ind w:left="0"/>
      </w:pPr>
    </w:p>
    <w:p w:rsidR="00706918" w:rsidRPr="00471EEE" w:rsidRDefault="00706918" w:rsidP="00471EEE">
      <w:r>
        <w:t>12997/13, 12998/13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Ewa Björling</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 xml:space="preserve">Rådet föreslås godkänna en EU-gemensam position inför WTO-behandlingen av en begäran om förlängning till 31 december 2015 av ett undantag som möjliggör EU:s ATP-förmåner avseende Moldavien. </w:t>
      </w:r>
    </w:p>
    <w:p w:rsidR="00706918" w:rsidRDefault="00706918" w:rsidP="00471EEE"/>
    <w:p w:rsidR="00706918" w:rsidRDefault="00706918" w:rsidP="00471EEE">
      <w:r>
        <w:t xml:space="preserve">Hur regeringen ställer sig till den blivande a-punkten: </w:t>
      </w:r>
    </w:p>
    <w:p w:rsidR="00706918" w:rsidRDefault="00706918" w:rsidP="00471EEE">
      <w:r>
        <w:t xml:space="preserve">Regeringen avser rösta ja till att rådet godkänner den föreslagna EU-gemensamma positionen. </w:t>
      </w:r>
    </w:p>
    <w:p w:rsidR="00706918" w:rsidRDefault="00706918" w:rsidP="00471EEE"/>
    <w:p w:rsidR="00706918" w:rsidRDefault="00706918" w:rsidP="00471EEE">
      <w:r>
        <w:t xml:space="preserve">Bakgrund: </w:t>
      </w:r>
    </w:p>
    <w:p w:rsidR="00706918" w:rsidRDefault="00706918" w:rsidP="00471EEE">
      <w:r>
        <w:t xml:space="preserve">De handelsvillkor EU tillämpar avseende Moldaviens handelsvillkor bestäms av Council Regulation (EC) nummer 55/2008, ändrad genom Regulation (EU) nummer 581/2011. Denna typ av handelsregim kallas AutonomousTradePreferences (ATP). </w:t>
      </w:r>
    </w:p>
    <w:p w:rsidR="00706918" w:rsidRDefault="00706918" w:rsidP="00471EEE"/>
    <w:p w:rsidR="00706918" w:rsidRDefault="00706918" w:rsidP="00471EEE">
      <w:r>
        <w:t>Efter en ansökan från KOM har WTO tidigare beslutat ett undantag avseende vissa av EU:s WTO-åtaganden, innebärande att de förmånliga villkoren för Moldaviens handel med EU, inte ska medföra en skyldighet från EU att utsträcka samma handelslättnader till samtliga WTO-medlemmar. Nuvarande undantag är giltigt till och med 31 december 2013.</w:t>
      </w:r>
    </w:p>
    <w:p w:rsidR="00706918" w:rsidRDefault="00706918" w:rsidP="00471EEE"/>
    <w:p w:rsidR="00706918" w:rsidRDefault="00706918" w:rsidP="00471EEE">
      <w:r>
        <w:t>Rådet föreslås nu besluta om en EU-gemensam position för WTO-behandling av en begäran om förlängning av detta undantag till 31 december 2015, då rådsförordningen ovan löper ut.</w:t>
      </w:r>
    </w:p>
    <w:p w:rsidR="00706918" w:rsidRDefault="00706918" w:rsidP="00471EEE"/>
    <w:p w:rsidR="00706918" w:rsidRPr="00471EEE" w:rsidRDefault="00706918" w:rsidP="00471EEE">
      <w:r>
        <w:t>Utformningen av den EU-gemensamma positionen angående begäran om undantag är anpassad för att möjliggöra en föreslagen förändring i ATP-systemet som skulle innebära att kvotbegränsningen avseende vinimport till EU från Moldavien helt tas bort. Genomförandet av den förändringen av själva rådsförordningen kommer att bli föremål för separat rådsbehandling.</w:t>
      </w:r>
    </w:p>
    <w:p w:rsidR="00706918" w:rsidRDefault="00706918">
      <w:pPr>
        <w:pStyle w:val="RKnormal"/>
        <w:tabs>
          <w:tab w:val="clear" w:pos="1843"/>
          <w:tab w:val="left" w:pos="0"/>
        </w:tabs>
        <w:ind w:left="0"/>
      </w:pPr>
    </w:p>
    <w:p w:rsidR="00706918" w:rsidRDefault="00706918">
      <w:pPr>
        <w:spacing w:line="240" w:lineRule="auto"/>
        <w:rPr>
          <w:rFonts w:ascii="Arial" w:hAnsi="Arial" w:cs="Arial"/>
          <w:b/>
          <w:i/>
          <w:iCs/>
          <w:kern w:val="28"/>
        </w:rPr>
      </w:pPr>
      <w:r>
        <w:br w:type="page"/>
      </w:r>
    </w:p>
    <w:p w:rsidR="00706918" w:rsidRPr="00471EEE" w:rsidRDefault="00706918" w:rsidP="00471EEE">
      <w:pPr>
        <w:pStyle w:val="Heading2"/>
      </w:pPr>
      <w:bookmarkStart w:id="80" w:name="_Toc368563411"/>
      <w:r>
        <w:t>23. Draft Council Decisions on the conclusionof the "FrameworkAgreement on ComprehensivePartnership and Cooperationbetween the European Community and itsMember States, of the one part, and the Republicof Indonesia, of the other part"= Request by the Council for the consentof the EuropeanParliament</w:t>
      </w:r>
      <w:bookmarkEnd w:id="80"/>
    </w:p>
    <w:p w:rsidR="00706918" w:rsidRDefault="00706918">
      <w:pPr>
        <w:pStyle w:val="RKnormal"/>
        <w:tabs>
          <w:tab w:val="clear" w:pos="1843"/>
          <w:tab w:val="left" w:pos="0"/>
        </w:tabs>
        <w:ind w:left="0"/>
      </w:pPr>
    </w:p>
    <w:p w:rsidR="00706918" w:rsidRPr="00471EEE" w:rsidRDefault="00706918" w:rsidP="00471EEE">
      <w:r>
        <w:t>12009/1/13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Carl Bildt</w:t>
      </w:r>
    </w:p>
    <w:p w:rsidR="00706918" w:rsidRDefault="00706918">
      <w:pPr>
        <w:pStyle w:val="RKnormal"/>
        <w:tabs>
          <w:tab w:val="clear" w:pos="1843"/>
          <w:tab w:val="left" w:pos="0"/>
        </w:tabs>
        <w:ind w:left="0"/>
      </w:pPr>
    </w:p>
    <w:p w:rsidR="00706918" w:rsidRPr="00471EEE" w:rsidRDefault="00706918" w:rsidP="00471EEE">
      <w:r>
        <w:t>Tidigare behandling vid rådsmöte: Rådet för utrikesfrågor</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År 2004 gavs Kommissionen genom rådsbeslut mandat att inleda förhandlingar om bilaterala ramavtal om partnerskap och samarbete (PSA) med sju av medlemsländerna i Association of South EastAsian Nations (ASEAN). Förhandlingarna med Indonesien påbörjades år 2005 och avslutades i juni 2007. Avtalet undertecknades av båda parter i november 2009. Avtalet har därefter ratificerats av Indonesien och merparten av EU:s medlemsstater har nu avslutat sina ratificeringsprocesser (Sverige ratificerade avtalet 2011).</w:t>
      </w:r>
    </w:p>
    <w:p w:rsidR="00706918" w:rsidRDefault="00706918" w:rsidP="00471EEE"/>
    <w:p w:rsidR="00706918" w:rsidRDefault="00706918" w:rsidP="00471EEE">
      <w:r>
        <w:t xml:space="preserve">PSA med Indonesien innehåller juridiskt bindande skrivningar om mänskliga rättigheter, anti-terrorism och massförstörelsevapen. Indonesien har också förbundit sig att ansluta sig till Romstadgan för internationella brottmålsdomstolen (ICC). </w:t>
      </w:r>
    </w:p>
    <w:p w:rsidR="00706918" w:rsidRDefault="00706918" w:rsidP="00471EEE"/>
    <w:p w:rsidR="00706918" w:rsidRDefault="00706918" w:rsidP="00471EEE">
      <w:r>
        <w:t>Rådet väntas besluta att överlämna utkast till rådets beslut om ingående av avtalet med Indonesien med tillhörande avtalstext till Europaparlamentet för dess godkännande</w:t>
      </w:r>
    </w:p>
    <w:p w:rsidR="00706918" w:rsidRDefault="00706918" w:rsidP="00471EEE"/>
    <w:p w:rsidR="00706918" w:rsidRPr="00471EEE" w:rsidRDefault="00706918" w:rsidP="00471EEE">
      <w:r>
        <w:t>Regeringen avser rösta för att utkast till rådets beslut om ingående av avtalet med Indonesien med tillhörande avtalstext överlämnas till Europaparlamentet för dess godkännande.</w:t>
      </w:r>
    </w:p>
    <w:p w:rsidR="00706918" w:rsidRDefault="00706918">
      <w:pPr>
        <w:pStyle w:val="RKnormal"/>
        <w:tabs>
          <w:tab w:val="clear" w:pos="1843"/>
          <w:tab w:val="left" w:pos="0"/>
        </w:tabs>
        <w:ind w:left="0"/>
      </w:pPr>
    </w:p>
    <w:p w:rsidR="00706918" w:rsidRPr="00471EEE" w:rsidRDefault="00706918" w:rsidP="00471EEE">
      <w:pPr>
        <w:pStyle w:val="Heading2"/>
      </w:pPr>
      <w:bookmarkStart w:id="81" w:name="_Toc368563412"/>
      <w:r>
        <w:t>24. Draft European Union ProgrammeofExercises and Exercise-RelatedActivities 2014-2016</w:t>
      </w:r>
      <w:bookmarkEnd w:id="81"/>
    </w:p>
    <w:p w:rsidR="00706918" w:rsidRDefault="00706918">
      <w:pPr>
        <w:pStyle w:val="RKnormal"/>
        <w:tabs>
          <w:tab w:val="clear" w:pos="1843"/>
          <w:tab w:val="left" w:pos="0"/>
        </w:tabs>
        <w:ind w:left="0"/>
      </w:pPr>
    </w:p>
    <w:p w:rsidR="00706918" w:rsidRPr="00471EEE" w:rsidRDefault="00706918" w:rsidP="00471EEE">
      <w:r>
        <w:t>13713/13, 13714/13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Carl Bildt</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Godkännande av utkastet kring EU:s övningsprogram 2014-2016 samt att detsamma delas med Nato i informationssyfte</w:t>
      </w:r>
    </w:p>
    <w:p w:rsidR="00706918" w:rsidRDefault="00706918" w:rsidP="00471EEE"/>
    <w:p w:rsidR="00706918" w:rsidRDefault="00706918" w:rsidP="00471EEE">
      <w:r>
        <w:t xml:space="preserve">Hur regeringen ställer sig till den blivande A-punkten: </w:t>
      </w:r>
    </w:p>
    <w:p w:rsidR="00706918" w:rsidRDefault="00706918" w:rsidP="00471EEE">
      <w:r>
        <w:t>Regeringen avser rösta för ett godkännande av dokumentet.</w:t>
      </w:r>
    </w:p>
    <w:p w:rsidR="00706918" w:rsidRDefault="00706918" w:rsidP="00471EEE"/>
    <w:p w:rsidR="00706918" w:rsidRDefault="00706918" w:rsidP="00471EEE">
      <w:r>
        <w:t xml:space="preserve">Bakgrund: </w:t>
      </w:r>
    </w:p>
    <w:p w:rsidR="00706918" w:rsidRDefault="00706918" w:rsidP="00471EEE">
      <w:r>
        <w:t xml:space="preserve">Den 11 juli 2013 slutförde Politico-Military Group (PMG) utkastet kring EU:s övningsprogram för perioden 2014-2016 (dok. 12309/13). Dokumentet är en översyn över kommande övningar och fokuserar primärt på GFSP i enlighet med EU:s övningspolicy. Övningarna är av såväl civil som militär karaktär och inriktar sig på krishantering. KUSP noterade utkastet den 16 juli varpå kommittén gav Civkom och EU:s militärkommitté i uppdrag att tillhandahålla synpunkter på dokumentet. Den 24 september noterade KUSP Civkoms utkast (dok. 12776/13) samt det militära rådet (dok. 13772/13 RESTREINT UE)varpå ”European Union ProgrammeofExercises and Exercise-RelatedActivities 2014-2016” godkändes. Frågan har nu gått vidare till Rådet för godkännande av dokumentet samt bifall till att en version utan fotnoter delas med Nato i informationssyfte. </w:t>
      </w:r>
    </w:p>
    <w:p w:rsidR="00706918" w:rsidRDefault="00706918">
      <w:pPr>
        <w:pStyle w:val="RKnormal"/>
        <w:tabs>
          <w:tab w:val="clear" w:pos="1843"/>
          <w:tab w:val="left" w:pos="0"/>
        </w:tabs>
        <w:ind w:left="0"/>
      </w:pPr>
    </w:p>
    <w:p w:rsidR="00706918" w:rsidRPr="00471EEE" w:rsidRDefault="00706918" w:rsidP="00471EEE">
      <w:pPr>
        <w:pStyle w:val="Heading2"/>
      </w:pPr>
      <w:bookmarkStart w:id="82" w:name="_Toc368563413"/>
      <w:r>
        <w:t>25. Proposal for a Council Directiveamending Council directive 2010/18/EU becauseof the change in status of Mayotte- Validation</w:t>
      </w:r>
      <w:bookmarkEnd w:id="82"/>
    </w:p>
    <w:p w:rsidR="00706918" w:rsidRDefault="00706918">
      <w:pPr>
        <w:pStyle w:val="RKnormal"/>
        <w:tabs>
          <w:tab w:val="clear" w:pos="1843"/>
          <w:tab w:val="left" w:pos="0"/>
        </w:tabs>
        <w:ind w:left="0"/>
      </w:pPr>
    </w:p>
    <w:p w:rsidR="00706918" w:rsidRPr="00471EEE" w:rsidRDefault="00706918" w:rsidP="00471EEE">
      <w:r>
        <w:t>14220/13</w:t>
      </w:r>
    </w:p>
    <w:p w:rsidR="00706918" w:rsidRDefault="00706918">
      <w:pPr>
        <w:pStyle w:val="RKnormal"/>
        <w:tabs>
          <w:tab w:val="clear" w:pos="1843"/>
          <w:tab w:val="left" w:pos="0"/>
        </w:tabs>
        <w:ind w:left="0"/>
      </w:pPr>
    </w:p>
    <w:p w:rsidR="00706918" w:rsidRPr="00471EEE" w:rsidRDefault="00706918" w:rsidP="00471EEE">
      <w:r>
        <w:t>Ansvarigt departement: Näringsdepartementet</w:t>
      </w:r>
    </w:p>
    <w:p w:rsidR="00706918" w:rsidRDefault="00706918">
      <w:pPr>
        <w:pStyle w:val="RKnormal"/>
        <w:tabs>
          <w:tab w:val="clear" w:pos="1843"/>
          <w:tab w:val="left" w:pos="0"/>
        </w:tabs>
        <w:ind w:left="0"/>
      </w:pPr>
    </w:p>
    <w:p w:rsidR="00706918" w:rsidRPr="00471EEE" w:rsidRDefault="00706918" w:rsidP="00471EEE">
      <w:r>
        <w:t>Ansvarigt statsråd: Annie Lööf</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Avsikt med behandlingen i rådet:</w:t>
      </w:r>
      <w:r>
        <w:br/>
        <w:t>Att godkänna direktivet.</w:t>
      </w:r>
    </w:p>
    <w:p w:rsidR="00706918" w:rsidRDefault="00706918" w:rsidP="00471EEE"/>
    <w:p w:rsidR="00706918" w:rsidRDefault="00706918" w:rsidP="00471EEE">
      <w:r>
        <w:t>Hur regeringen ställer sig till den blivande a-punkten:</w:t>
      </w:r>
      <w:r>
        <w:br/>
        <w:t>Regeringen stödjer förslaget.</w:t>
      </w:r>
    </w:p>
    <w:p w:rsidR="00706918" w:rsidRDefault="00706918" w:rsidP="00471EEE"/>
    <w:p w:rsidR="00706918" w:rsidRDefault="00706918" w:rsidP="00471EEE">
      <w:r>
        <w:t>Bakgrund:</w:t>
      </w:r>
      <w:r>
        <w:br/>
        <w:t>Mayotte, som ligger i Indiska Oceanen, har sedan länge varit ett franskt över sjö territorium, men blev för några år sedan ett franskt departement, varför Frankrike begärde att dess relation till EU skulle ändras. Detta ledde till att Europeiska Rådet i fjol beslutade att Mayotte från den 1 januari 2014 ska ha status som ultraperifer region på samma villkor som övriga UP-regioner.</w:t>
      </w:r>
    </w:p>
    <w:p w:rsidR="00706918" w:rsidRDefault="00706918" w:rsidP="00471EEE"/>
    <w:p w:rsidR="00706918" w:rsidRDefault="00706918" w:rsidP="00471EEE">
      <w:r>
        <w:t>Ett problem för Mayotte är att över en natt anpassa sig till EU:s lagstiftning och direktiv på en mängd områden, varför ett flertal förslag har lagts, som innebär förlängda tidsfrister för implementeringen.</w:t>
      </w:r>
    </w:p>
    <w:p w:rsidR="00706918" w:rsidRDefault="00706918" w:rsidP="00471EEE">
      <w:r>
        <w:t>I det här fallet rör det sig om ett direktiv om föräldraledighet.</w:t>
      </w:r>
    </w:p>
    <w:p w:rsidR="00706918" w:rsidRDefault="00706918">
      <w:pPr>
        <w:pStyle w:val="RKnormal"/>
        <w:tabs>
          <w:tab w:val="clear" w:pos="1843"/>
          <w:tab w:val="left" w:pos="0"/>
        </w:tabs>
        <w:ind w:left="0"/>
      </w:pPr>
    </w:p>
    <w:p w:rsidR="00706918" w:rsidRPr="00471EEE" w:rsidRDefault="00706918" w:rsidP="00471EEE">
      <w:pPr>
        <w:pStyle w:val="Heading2"/>
      </w:pPr>
      <w:bookmarkStart w:id="83" w:name="_Toc368563414"/>
      <w:r>
        <w:t>26. Proposal for a Directiveof the Council amendingcertainDirectives in the fieldsofenvironment, agriculture, social policy and public health by reasonof the changeof status of Mayotte withregardto the Union- Validation</w:t>
      </w:r>
      <w:bookmarkEnd w:id="83"/>
    </w:p>
    <w:p w:rsidR="00706918" w:rsidRDefault="00706918">
      <w:pPr>
        <w:pStyle w:val="RKnormal"/>
        <w:tabs>
          <w:tab w:val="clear" w:pos="1843"/>
          <w:tab w:val="left" w:pos="0"/>
        </w:tabs>
        <w:ind w:left="0"/>
      </w:pPr>
    </w:p>
    <w:p w:rsidR="00706918" w:rsidRPr="00471EEE" w:rsidRDefault="00706918" w:rsidP="00471EEE">
      <w:r>
        <w:t>14221/13</w:t>
      </w:r>
    </w:p>
    <w:p w:rsidR="00706918" w:rsidRDefault="00706918">
      <w:pPr>
        <w:pStyle w:val="RKnormal"/>
        <w:tabs>
          <w:tab w:val="clear" w:pos="1843"/>
          <w:tab w:val="left" w:pos="0"/>
        </w:tabs>
        <w:ind w:left="0"/>
      </w:pPr>
    </w:p>
    <w:p w:rsidR="00706918" w:rsidRPr="00471EEE" w:rsidRDefault="00706918" w:rsidP="00471EEE">
      <w:r>
        <w:t>Ansvarigt departement: Näringsdepartementet</w:t>
      </w:r>
    </w:p>
    <w:p w:rsidR="00706918" w:rsidRDefault="00706918">
      <w:pPr>
        <w:pStyle w:val="RKnormal"/>
        <w:tabs>
          <w:tab w:val="clear" w:pos="1843"/>
          <w:tab w:val="left" w:pos="0"/>
        </w:tabs>
        <w:ind w:left="0"/>
      </w:pPr>
    </w:p>
    <w:p w:rsidR="00706918" w:rsidRPr="00471EEE" w:rsidRDefault="00706918" w:rsidP="00471EEE">
      <w:r>
        <w:t>Ansvarigt statsråd: Annie Lööf</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Avsikt med behandlingen i rådet:</w:t>
      </w:r>
      <w:r>
        <w:br/>
        <w:t>Att godkänna direktivet.</w:t>
      </w:r>
    </w:p>
    <w:p w:rsidR="00706918" w:rsidRDefault="00706918" w:rsidP="00471EEE"/>
    <w:p w:rsidR="00706918" w:rsidRDefault="00706918" w:rsidP="00471EEE">
      <w:r>
        <w:t>Hur regeringen ställer sig till den blivande a-punkten:</w:t>
      </w:r>
      <w:r>
        <w:br/>
        <w:t>Regeringen stödjer förslaget.</w:t>
      </w:r>
    </w:p>
    <w:p w:rsidR="00706918" w:rsidRDefault="00706918" w:rsidP="00471EEE"/>
    <w:p w:rsidR="00706918" w:rsidRDefault="00706918" w:rsidP="00471EEE">
      <w:r>
        <w:t>Bakgrund:</w:t>
      </w:r>
      <w:r>
        <w:br/>
        <w:t>Mayotte, som ligger i Indiska Oceanen, har sedan länge varit ett franskt över sjö territorium, men blev för några år sedan ett franskt departement, varför Frankrike begärde att dess relation till EU skulle ändras. Detta ledde till att Europeiska Rådet i fjol beslutade att Mayotte från den 1 januari 2014 ska ha status som ultraperifer region på samma villkor som övriga UP-regioner.</w:t>
      </w:r>
    </w:p>
    <w:p w:rsidR="00706918" w:rsidRDefault="00706918" w:rsidP="00471EEE"/>
    <w:p w:rsidR="00706918" w:rsidRDefault="00706918" w:rsidP="00471EEE">
      <w:r>
        <w:t>Ett problem för Mayotte är att över en natt anpassa sig till EU:s lagstiftning och direktiv på en mängd områden, varför ett flertal förslag har lagts, som innebär förlängda tidsfrister för implementeringen.</w:t>
      </w:r>
    </w:p>
    <w:p w:rsidR="00706918" w:rsidRPr="00471EEE" w:rsidRDefault="00706918" w:rsidP="00471EEE">
      <w:r>
        <w:t>I det här fallet rör det sig om ett antal direktiv som rör miljö, jordbruk, socialpolitik och hälsa.</w:t>
      </w:r>
    </w:p>
    <w:p w:rsidR="00706918" w:rsidRDefault="00706918">
      <w:pPr>
        <w:pStyle w:val="RKnormal"/>
        <w:tabs>
          <w:tab w:val="clear" w:pos="1843"/>
          <w:tab w:val="left" w:pos="0"/>
        </w:tabs>
        <w:ind w:left="0"/>
      </w:pPr>
    </w:p>
    <w:p w:rsidR="00706918" w:rsidRPr="00471EEE" w:rsidRDefault="00706918" w:rsidP="00471EEE">
      <w:pPr>
        <w:pStyle w:val="Heading2"/>
      </w:pPr>
      <w:bookmarkStart w:id="84" w:name="_Toc368563415"/>
      <w:r>
        <w:t>27. RestrictivemeasuresagainstIran:- Letters toentitieswhoselistings under Council Decision 2010/413/CFSP and Council Regulation (EU) No 267/2012 wereannulled by the judgmentsof the EU General Court in Case T-12/11 (Iran Insurance Company), Case T-13/11 (Post Bank Iran), Joined Cases T-4/11 and T-5/11 (Export Development Bank of Iran), Case T-110/12 (Iran Offshore Engineering&amp; Construction Co.) and Case T-493/10 (Persia International Bank plc.)</w:t>
      </w:r>
      <w:bookmarkEnd w:id="84"/>
    </w:p>
    <w:p w:rsidR="00706918" w:rsidRDefault="00706918">
      <w:pPr>
        <w:pStyle w:val="RKnormal"/>
        <w:tabs>
          <w:tab w:val="clear" w:pos="1843"/>
          <w:tab w:val="left" w:pos="0"/>
        </w:tabs>
        <w:ind w:left="0"/>
      </w:pPr>
    </w:p>
    <w:p w:rsidR="00706918" w:rsidRPr="00471EEE" w:rsidRDefault="00706918" w:rsidP="00471EEE">
      <w:r>
        <w:t>14032/13</w:t>
      </w:r>
    </w:p>
    <w:p w:rsidR="00706918" w:rsidRDefault="00706918">
      <w:pPr>
        <w:pStyle w:val="RKnormal"/>
        <w:tabs>
          <w:tab w:val="clear" w:pos="1843"/>
          <w:tab w:val="left" w:pos="0"/>
        </w:tabs>
        <w:ind w:left="0"/>
      </w:pPr>
    </w:p>
    <w:p w:rsidR="00706918" w:rsidRPr="00471EEE" w:rsidRDefault="00706918" w:rsidP="00471EEE">
      <w:r>
        <w:t>Ansvarigt departement: Utrikesdepartementet</w:t>
      </w:r>
    </w:p>
    <w:p w:rsidR="00706918" w:rsidRDefault="00706918">
      <w:pPr>
        <w:pStyle w:val="RKnormal"/>
        <w:tabs>
          <w:tab w:val="clear" w:pos="1843"/>
          <w:tab w:val="left" w:pos="0"/>
        </w:tabs>
        <w:ind w:left="0"/>
      </w:pPr>
    </w:p>
    <w:p w:rsidR="00706918" w:rsidRPr="00471EEE" w:rsidRDefault="00706918" w:rsidP="00471EEE">
      <w:r>
        <w:t>Ansvarigt statsråd: Carl Bildt</w:t>
      </w:r>
    </w:p>
    <w:p w:rsidR="00706918" w:rsidRDefault="00706918">
      <w:pPr>
        <w:pStyle w:val="RKnormal"/>
        <w:tabs>
          <w:tab w:val="clear" w:pos="1843"/>
          <w:tab w:val="left" w:pos="0"/>
        </w:tabs>
        <w:ind w:left="0"/>
      </w:pPr>
    </w:p>
    <w:p w:rsidR="00706918" w:rsidRPr="00471EEE" w:rsidRDefault="00706918" w:rsidP="00471EEE">
      <w:r>
        <w:t>Godkänd av Coreper II den 2 oktober 2013</w:t>
      </w:r>
    </w:p>
    <w:p w:rsidR="00706918" w:rsidRDefault="00706918">
      <w:pPr>
        <w:pStyle w:val="RKnormal"/>
        <w:tabs>
          <w:tab w:val="clear" w:pos="1843"/>
          <w:tab w:val="left" w:pos="0"/>
        </w:tabs>
        <w:ind w:left="0"/>
      </w:pPr>
    </w:p>
    <w:p w:rsidR="00706918" w:rsidRDefault="00706918" w:rsidP="00471EEE">
      <w:r>
        <w:t xml:space="preserve">Avsikt med behandlingen i rådet: </w:t>
      </w:r>
    </w:p>
    <w:p w:rsidR="00706918" w:rsidRDefault="00706918" w:rsidP="00471EEE">
      <w:r>
        <w:t>Rådet föreslås komma överens om utformningen av ett antal brev till iranska enheter som står uppförda på listan över personer och enheter som får sina tillgångar frysta inom ramen för de kärntekniska sanktionerna mot Iran.</w:t>
      </w:r>
    </w:p>
    <w:p w:rsidR="00706918" w:rsidRDefault="00706918" w:rsidP="00471EEE"/>
    <w:p w:rsidR="00706918" w:rsidRDefault="00706918" w:rsidP="00471EEE">
      <w:r>
        <w:t xml:space="preserve">Hur regeringen ställer sig till den blivande a-punkten: </w:t>
      </w:r>
    </w:p>
    <w:p w:rsidR="00706918" w:rsidRDefault="00706918" w:rsidP="00471EEE">
      <w:r>
        <w:t xml:space="preserve">Regeringen avser stödja utformningen av de aktuella breven. </w:t>
      </w:r>
    </w:p>
    <w:p w:rsidR="00706918" w:rsidRDefault="00706918" w:rsidP="00471EEE"/>
    <w:p w:rsidR="00706918" w:rsidRDefault="00706918" w:rsidP="00471EEE">
      <w:r>
        <w:t>Bakgrund:</w:t>
      </w:r>
    </w:p>
    <w:p w:rsidR="00706918" w:rsidRDefault="00706918" w:rsidP="00471EEE">
      <w:r>
        <w:t xml:space="preserve">Rådet har i EU:s domstol förlorat ett antal mål mot listade personer och enheter inom ramen för de kärntekniska sanktionerna mot Iran. Målen har förlorats i huvudsak på grund av faktafel eller brister i motiven för listning, eller på grund av att rådet inte kunnat förete information till grund för påståenden i motiveringen som bestrids av den klagande (t.ex. på grund av ovilja att delge hemlig underrättelseinformation). </w:t>
      </w:r>
    </w:p>
    <w:p w:rsidR="00706918" w:rsidRDefault="00706918" w:rsidP="00471EEE"/>
    <w:p w:rsidR="00706918" w:rsidRDefault="00706918" w:rsidP="00471EEE">
      <w:r>
        <w:t>I ett antal av dessa fall har medlemsstaterna kommit överens om att lista enheterna på nytt men med en annorlunda motivering. I de aktuella fallen går de nya motiveringarna ut på att enheterna på olika sätt finansiellt stödjer den iranska regeringen eller att de ägs av redan listade enheter. Motiveringarna motsvaras av kriterier för listning enligt rådets förordning (EU) nr 267/2012 om restriktiva åtgärder mot Iran. Rådets rättstjänst bedömer att de nya motiveringarna kan försvaras i domstolen.</w:t>
      </w:r>
    </w:p>
    <w:p w:rsidR="00706918" w:rsidRDefault="00706918" w:rsidP="00471EEE"/>
    <w:p w:rsidR="00706918" w:rsidRDefault="00706918" w:rsidP="00471EEE">
      <w:r>
        <w:t xml:space="preserve">Inför beslut om omlistning är proceduren sådan att listade enheter, bl.a. av rättssäkerhetsskäl, brevledes ska informeras om den förestående omlistningen. De listade enheterna informeras om de nya motiven för omlistning samt ges även tillfälle att inom en viss tidsram inkommamed eventuella invändningar. Efter detta fattas det formella beslutet om omlistning genom rådsbeslut och tillhörande rådsförordning. </w:t>
      </w:r>
    </w:p>
    <w:p w:rsidR="00706918" w:rsidRDefault="00706918" w:rsidP="00471EEE"/>
    <w:p w:rsidR="00706918" w:rsidRPr="00471EEE" w:rsidRDefault="00706918" w:rsidP="00471EEE"/>
    <w:p w:rsidR="00706918" w:rsidRDefault="00706918">
      <w:pPr>
        <w:pStyle w:val="RKnormal"/>
        <w:tabs>
          <w:tab w:val="clear" w:pos="1843"/>
          <w:tab w:val="left" w:pos="0"/>
        </w:tabs>
        <w:ind w:left="0"/>
      </w:pPr>
    </w:p>
    <w:p w:rsidR="00706918" w:rsidRDefault="00706918">
      <w:pPr>
        <w:pStyle w:val="RKnormal"/>
        <w:tabs>
          <w:tab w:val="clear" w:pos="1843"/>
          <w:tab w:val="left" w:pos="0"/>
        </w:tabs>
        <w:ind w:left="0"/>
      </w:pPr>
    </w:p>
    <w:p w:rsidR="00706918" w:rsidRDefault="00706918">
      <w:pPr>
        <w:pStyle w:val="RKnormal"/>
        <w:tabs>
          <w:tab w:val="clear" w:pos="1843"/>
          <w:tab w:val="left" w:pos="0"/>
        </w:tabs>
        <w:ind w:left="0"/>
      </w:pPr>
    </w:p>
    <w:p w:rsidR="00706918" w:rsidRDefault="00706918">
      <w:pPr>
        <w:spacing w:line="240" w:lineRule="auto"/>
      </w:pPr>
      <w:r>
        <w:br w:type="page"/>
      </w:r>
    </w:p>
    <w:p w:rsidR="00706918" w:rsidRDefault="00706918" w:rsidP="001F40FA">
      <w:pPr>
        <w:pStyle w:val="Heading1"/>
      </w:pPr>
      <w:bookmarkStart w:id="85" w:name="_Toc368563416"/>
      <w:r>
        <w:t>Troliga A-punkter inför kommande rådsmöten som godkändes vid Särskilda jordbrukskommitténSJK 2013-09-30</w:t>
      </w:r>
      <w:bookmarkEnd w:id="85"/>
    </w:p>
    <w:p w:rsidR="00706918" w:rsidRDefault="00706918" w:rsidP="001F40FA">
      <w:pPr>
        <w:spacing w:line="240" w:lineRule="auto"/>
      </w:pPr>
    </w:p>
    <w:p w:rsidR="00706918" w:rsidRDefault="00706918" w:rsidP="008416BC">
      <w:pPr>
        <w:pStyle w:val="Heading2"/>
      </w:pPr>
      <w:bookmarkStart w:id="86" w:name="_Toc368563417"/>
      <w:r>
        <w:t>28. Europaparlamentets och rådets förordning om ändring av rådets förordning (EG) nr 1217/2009 om upprättandet av ett informationssystem för jordbruksföretagens redovisningsuppgifter för att belysa inkomstförhållanden och andra ekonomiska förhållanden i jordbruksföretag inom Europeiska gemenskapen (första läsningen)- Antagande av rättsakt</w:t>
      </w:r>
      <w:bookmarkEnd w:id="86"/>
    </w:p>
    <w:p w:rsidR="00706918" w:rsidRDefault="00706918" w:rsidP="008416BC">
      <w:pPr>
        <w:pStyle w:val="RKnormal"/>
      </w:pPr>
    </w:p>
    <w:p w:rsidR="00706918" w:rsidRDefault="00706918" w:rsidP="008416BC">
      <w:pPr>
        <w:pStyle w:val="RKnormal"/>
        <w:ind w:left="0"/>
      </w:pPr>
      <w:r>
        <w:t xml:space="preserve">PE-CONS 32/13, 13967/13 </w:t>
      </w:r>
    </w:p>
    <w:p w:rsidR="00706918" w:rsidRDefault="00706918" w:rsidP="008416BC">
      <w:pPr>
        <w:pStyle w:val="RKnormal"/>
        <w:tabs>
          <w:tab w:val="clear" w:pos="1843"/>
          <w:tab w:val="clear" w:pos="2835"/>
          <w:tab w:val="left" w:pos="0"/>
        </w:tabs>
        <w:ind w:left="0"/>
      </w:pPr>
    </w:p>
    <w:p w:rsidR="00706918" w:rsidRPr="00471EEE" w:rsidRDefault="00706918" w:rsidP="008416BC">
      <w:r>
        <w:t>Ansvarigt departement: Landsbygdsdepartementet</w:t>
      </w:r>
    </w:p>
    <w:p w:rsidR="00706918" w:rsidRDefault="00706918" w:rsidP="008416BC">
      <w:pPr>
        <w:pStyle w:val="RKnormal"/>
        <w:tabs>
          <w:tab w:val="clear" w:pos="1843"/>
          <w:tab w:val="left" w:pos="0"/>
        </w:tabs>
        <w:ind w:left="0"/>
      </w:pPr>
    </w:p>
    <w:p w:rsidR="00706918" w:rsidRPr="00471EEE" w:rsidRDefault="00706918" w:rsidP="008416BC">
      <w:r>
        <w:t>Ansvarigt statsråd: Eskil Erlandsson</w:t>
      </w:r>
    </w:p>
    <w:p w:rsidR="00706918" w:rsidRDefault="00706918" w:rsidP="008416BC">
      <w:pPr>
        <w:pStyle w:val="RKnormal"/>
        <w:tabs>
          <w:tab w:val="clear" w:pos="1843"/>
          <w:tab w:val="left" w:pos="0"/>
        </w:tabs>
        <w:ind w:left="0"/>
      </w:pPr>
    </w:p>
    <w:p w:rsidR="00706918" w:rsidRPr="00471EEE" w:rsidRDefault="00706918" w:rsidP="008416BC">
      <w:r>
        <w:t>Godkänd av SJK den 30 september 2013</w:t>
      </w:r>
    </w:p>
    <w:p w:rsidR="00706918" w:rsidRDefault="00706918" w:rsidP="008416BC">
      <w:pPr>
        <w:pStyle w:val="RKnormal"/>
        <w:tabs>
          <w:tab w:val="clear" w:pos="1843"/>
          <w:tab w:val="clear" w:pos="2835"/>
          <w:tab w:val="left" w:pos="0"/>
        </w:tabs>
        <w:ind w:left="0"/>
      </w:pPr>
    </w:p>
    <w:p w:rsidR="00706918" w:rsidRDefault="00706918" w:rsidP="008416BC">
      <w:pPr>
        <w:pStyle w:val="RKnormal"/>
        <w:tabs>
          <w:tab w:val="clear" w:pos="1843"/>
          <w:tab w:val="clear" w:pos="2835"/>
          <w:tab w:val="left" w:pos="0"/>
        </w:tabs>
        <w:ind w:left="0"/>
      </w:pPr>
      <w:r>
        <w:t xml:space="preserve">Avsikt med behandlingen i rådet: </w:t>
      </w:r>
    </w:p>
    <w:p w:rsidR="00706918" w:rsidRDefault="00706918" w:rsidP="008416BC">
      <w:pPr>
        <w:pStyle w:val="RKnormal"/>
        <w:tabs>
          <w:tab w:val="clear" w:pos="1843"/>
          <w:tab w:val="clear" w:pos="2835"/>
          <w:tab w:val="left" w:pos="0"/>
        </w:tabs>
        <w:ind w:left="0"/>
      </w:pPr>
      <w:r>
        <w:t xml:space="preserve">Rådet föreslås anta förordningen. </w:t>
      </w:r>
    </w:p>
    <w:p w:rsidR="00706918" w:rsidRDefault="00706918" w:rsidP="008416BC">
      <w:pPr>
        <w:pStyle w:val="RKnormal"/>
        <w:tabs>
          <w:tab w:val="clear" w:pos="1843"/>
          <w:tab w:val="clear" w:pos="2835"/>
          <w:tab w:val="left" w:pos="0"/>
        </w:tabs>
        <w:ind w:left="0"/>
      </w:pPr>
    </w:p>
    <w:p w:rsidR="00706918" w:rsidRDefault="00706918" w:rsidP="008416BC">
      <w:pPr>
        <w:pStyle w:val="RKnormal"/>
        <w:tabs>
          <w:tab w:val="clear" w:pos="1843"/>
          <w:tab w:val="clear" w:pos="2835"/>
          <w:tab w:val="left" w:pos="0"/>
        </w:tabs>
        <w:ind w:left="0"/>
      </w:pPr>
      <w:r>
        <w:t xml:space="preserve">Hur regeringen ställer sig till den blivande a-punkten: </w:t>
      </w:r>
    </w:p>
    <w:p w:rsidR="00706918" w:rsidRDefault="00706918" w:rsidP="008416BC">
      <w:pPr>
        <w:pStyle w:val="RKnormal"/>
        <w:tabs>
          <w:tab w:val="clear" w:pos="1843"/>
          <w:tab w:val="clear" w:pos="2835"/>
          <w:tab w:val="left" w:pos="0"/>
        </w:tabs>
        <w:ind w:left="0"/>
      </w:pPr>
      <w:r>
        <w:t>Regeringen avser rösta ja till att rådet antar Europaparlamentets och rådets förordning om ändring av rådets förordning (EG) nr 1217/2009 om upprättandet av ett informationssystem för jordbruksföretagens redovisningsuppgifter för att belysa inkomstförhållanden och andra ekonomiska förhållanden i jordbruksföretag inom Europeiska gemenskapen.</w:t>
      </w:r>
    </w:p>
    <w:p w:rsidR="00706918" w:rsidRDefault="00706918" w:rsidP="008416BC">
      <w:pPr>
        <w:pStyle w:val="RKnormal"/>
        <w:tabs>
          <w:tab w:val="clear" w:pos="1843"/>
          <w:tab w:val="clear" w:pos="2835"/>
          <w:tab w:val="left" w:pos="0"/>
        </w:tabs>
        <w:ind w:left="0"/>
      </w:pPr>
    </w:p>
    <w:p w:rsidR="00706918" w:rsidRDefault="00706918" w:rsidP="008416BC">
      <w:pPr>
        <w:pStyle w:val="RKnormal"/>
        <w:tabs>
          <w:tab w:val="clear" w:pos="1843"/>
          <w:tab w:val="clear" w:pos="2835"/>
          <w:tab w:val="left" w:pos="0"/>
        </w:tabs>
        <w:ind w:left="0"/>
      </w:pPr>
      <w:r>
        <w:t xml:space="preserve">Bakgrund: </w:t>
      </w:r>
    </w:p>
    <w:p w:rsidR="00706918" w:rsidRDefault="00706918" w:rsidP="008416BC">
      <w:pPr>
        <w:pStyle w:val="RKnormal"/>
        <w:tabs>
          <w:tab w:val="clear" w:pos="1843"/>
          <w:tab w:val="clear" w:pos="2835"/>
          <w:tab w:val="left" w:pos="0"/>
        </w:tabs>
        <w:ind w:left="0"/>
      </w:pPr>
      <w:r>
        <w:t>KOM presenterade sitt förslag till ändring av förordning (EC)1217/2009 i december 2011. KOMföreslår att nu gällande förordning 1217/2009 ändras främst i syfte att anpassa FADN-regelverket till de nya kommitologiregler som har trätt i kraft under artikel 290 och 291 av Fördraget om EU:s funktionssätt. Utöver detta föreslår KOM en rad uppdateringar och administrativa förändringar av nuvarande regelverk.</w:t>
      </w:r>
    </w:p>
    <w:p w:rsidR="00706918" w:rsidRDefault="00706918" w:rsidP="008416BC">
      <w:pPr>
        <w:pStyle w:val="RKnormal"/>
        <w:tabs>
          <w:tab w:val="clear" w:pos="1843"/>
          <w:tab w:val="clear" w:pos="2835"/>
          <w:tab w:val="left" w:pos="0"/>
        </w:tabs>
        <w:ind w:left="0"/>
      </w:pPr>
      <w:r>
        <w:t>Kravet att medlemsstaterna ska tillhandahålla de rapporterande företagen en förteckning över bokföringsbyråer att välja mellan föreslås tas bort, detta då de flesta företag har en egen revisor som förser FADN med data. De årliga rapporterna ska inte längre behöva skickas till rådet och Europaparlamentet. Istället föreslås det att rapporterna ska publiceras på en offentlig hemsida.</w:t>
      </w:r>
    </w:p>
    <w:p w:rsidR="00706918" w:rsidRPr="008416BC" w:rsidRDefault="00706918" w:rsidP="008416BC">
      <w:pPr>
        <w:pStyle w:val="RKnormal"/>
        <w:ind w:left="0"/>
      </w:pPr>
    </w:p>
    <w:sectPr w:rsidR="00706918" w:rsidRPr="008416BC" w:rsidSect="00B70AC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918" w:rsidRDefault="00706918">
      <w:r>
        <w:separator/>
      </w:r>
    </w:p>
  </w:endnote>
  <w:endnote w:type="continuationSeparator" w:id="1">
    <w:p w:rsidR="00706918" w:rsidRDefault="00706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706918" w:rsidRDefault="007069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31</w:t>
    </w:r>
    <w:r>
      <w:rPr>
        <w:rStyle w:val="PageNumber"/>
        <w:sz w:val="16"/>
      </w:rPr>
      <w:fldChar w:fldCharType="end"/>
    </w:r>
    <w:r>
      <w:rPr>
        <w:rStyle w:val="PageNumber"/>
        <w:sz w:val="16"/>
      </w:rPr>
      <w:t>)</w:t>
    </w:r>
  </w:p>
  <w:p w:rsidR="00706918" w:rsidRDefault="0070691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918" w:rsidRDefault="00706918">
      <w:r>
        <w:separator/>
      </w:r>
    </w:p>
  </w:footnote>
  <w:footnote w:type="continuationSeparator" w:id="1">
    <w:p w:rsidR="00706918" w:rsidRDefault="00706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pStyle w:val="Header"/>
      <w:framePr w:wrap="around" w:vAnchor="text" w:hAnchor="margin" w:xAlign="right" w:y="1"/>
      <w:rPr>
        <w:rStyle w:val="PageNumber"/>
      </w:rPr>
    </w:pPr>
  </w:p>
  <w:p w:rsidR="00706918" w:rsidRDefault="00706918">
    <w:pPr>
      <w:pStyle w:val="Header"/>
      <w:ind w:right="360"/>
    </w:pPr>
  </w:p>
  <w:p w:rsidR="00706918" w:rsidRDefault="0070691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framePr w:w="2948" w:h="1321" w:hRule="exact" w:wrap="notBeside" w:vAnchor="page" w:hAnchor="page" w:x="1362" w:y="653"/>
    </w:pPr>
    <w:r w:rsidRPr="00902AE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706918" w:rsidRDefault="00706918">
    <w:pPr>
      <w:pStyle w:val="Header"/>
    </w:pPr>
  </w:p>
  <w:p w:rsidR="00706918" w:rsidRDefault="00706918">
    <w:pPr>
      <w:pStyle w:val="Header"/>
      <w:ind w:right="360"/>
    </w:pPr>
  </w:p>
  <w:p w:rsidR="00706918" w:rsidRDefault="0070691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18" w:rsidRDefault="00706918">
    <w:pPr>
      <w:framePr w:w="2948" w:h="1321" w:hRule="exact" w:wrap="notBeside" w:vAnchor="page" w:hAnchor="page" w:x="1362" w:y="653"/>
    </w:pPr>
    <w:r w:rsidRPr="00902AE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06918" w:rsidRDefault="00706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0840D8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BAC75DE"/>
    <w:multiLevelType w:val="hybridMultilevel"/>
    <w:tmpl w:val="66CE4A8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3">
    <w:nsid w:val="7A7A72B7"/>
    <w:multiLevelType w:val="hybridMultilevel"/>
    <w:tmpl w:val="6C62788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2"/>
  </w:num>
  <w:num w:numId="4">
    <w:abstractNumId w:val="10"/>
  </w:num>
  <w:num w:numId="5">
    <w:abstractNumId w:val="6"/>
  </w:num>
  <w:num w:numId="6">
    <w:abstractNumId w:val="11"/>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71EEE"/>
    <w:rsid w:val="00153207"/>
    <w:rsid w:val="001629AF"/>
    <w:rsid w:val="001F40FA"/>
    <w:rsid w:val="00275F90"/>
    <w:rsid w:val="00282453"/>
    <w:rsid w:val="00317831"/>
    <w:rsid w:val="00434DBD"/>
    <w:rsid w:val="00471EEE"/>
    <w:rsid w:val="00490CE0"/>
    <w:rsid w:val="004936BE"/>
    <w:rsid w:val="004B1CA6"/>
    <w:rsid w:val="00566B77"/>
    <w:rsid w:val="005A23F9"/>
    <w:rsid w:val="005C212F"/>
    <w:rsid w:val="005F1820"/>
    <w:rsid w:val="006344DB"/>
    <w:rsid w:val="00660135"/>
    <w:rsid w:val="00706918"/>
    <w:rsid w:val="008416BC"/>
    <w:rsid w:val="00847B54"/>
    <w:rsid w:val="00876FE4"/>
    <w:rsid w:val="00883878"/>
    <w:rsid w:val="00902AEA"/>
    <w:rsid w:val="00920F18"/>
    <w:rsid w:val="009314D9"/>
    <w:rsid w:val="00936272"/>
    <w:rsid w:val="009D53C7"/>
    <w:rsid w:val="009D7B0B"/>
    <w:rsid w:val="00A25675"/>
    <w:rsid w:val="00A72123"/>
    <w:rsid w:val="00A85D58"/>
    <w:rsid w:val="00AF0928"/>
    <w:rsid w:val="00B70ACB"/>
    <w:rsid w:val="00B82383"/>
    <w:rsid w:val="00BA6B91"/>
    <w:rsid w:val="00E70DE5"/>
    <w:rsid w:val="00E7741B"/>
    <w:rsid w:val="00E93683"/>
    <w:rsid w:val="00EC3C7C"/>
    <w:rsid w:val="00ED5DCC"/>
    <w:rsid w:val="00F056A7"/>
    <w:rsid w:val="00FD6D01"/>
    <w:rsid w:val="00FE6C8D"/>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C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B70AC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B70AC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B70ACB"/>
    <w:pPr>
      <w:spacing w:after="120" w:line="240" w:lineRule="atLeast"/>
      <w:outlineLvl w:val="2"/>
    </w:pPr>
    <w:rPr>
      <w:b w:val="0"/>
    </w:rPr>
  </w:style>
  <w:style w:type="paragraph" w:styleId="Heading4">
    <w:name w:val="heading 4"/>
    <w:basedOn w:val="Heading3"/>
    <w:next w:val="RKnormal"/>
    <w:link w:val="Heading4Char"/>
    <w:uiPriority w:val="99"/>
    <w:qFormat/>
    <w:rsid w:val="00B70AC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B70AC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7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D1A7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D1A7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D1A7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D1A70"/>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B70ACB"/>
    <w:pPr>
      <w:tabs>
        <w:tab w:val="left" w:pos="1843"/>
        <w:tab w:val="left" w:pos="2835"/>
      </w:tabs>
      <w:spacing w:line="240" w:lineRule="atLeast"/>
      <w:ind w:left="1843"/>
    </w:pPr>
  </w:style>
  <w:style w:type="paragraph" w:customStyle="1" w:styleId="Avsndare">
    <w:name w:val="Avsändare"/>
    <w:basedOn w:val="Normal"/>
    <w:uiPriority w:val="99"/>
    <w:rsid w:val="00B70AC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70AC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D1A70"/>
    <w:rPr>
      <w:rFonts w:ascii="OrigGarmnd BT" w:hAnsi="OrigGarmnd BT"/>
      <w:sz w:val="24"/>
      <w:szCs w:val="20"/>
      <w:lang w:eastAsia="en-US"/>
    </w:rPr>
  </w:style>
  <w:style w:type="paragraph" w:styleId="Header">
    <w:name w:val="header"/>
    <w:basedOn w:val="Normal"/>
    <w:link w:val="HeaderChar"/>
    <w:uiPriority w:val="99"/>
    <w:rsid w:val="00B70ACB"/>
    <w:pPr>
      <w:tabs>
        <w:tab w:val="center" w:pos="4153"/>
        <w:tab w:val="right" w:pos="8306"/>
      </w:tabs>
    </w:pPr>
  </w:style>
  <w:style w:type="character" w:customStyle="1" w:styleId="HeaderChar">
    <w:name w:val="Header Char"/>
    <w:basedOn w:val="DefaultParagraphFont"/>
    <w:link w:val="Header"/>
    <w:uiPriority w:val="99"/>
    <w:semiHidden/>
    <w:rsid w:val="00DD1A70"/>
    <w:rPr>
      <w:rFonts w:ascii="OrigGarmnd BT" w:hAnsi="OrigGarmnd BT"/>
      <w:sz w:val="24"/>
      <w:szCs w:val="20"/>
      <w:lang w:eastAsia="en-US"/>
    </w:rPr>
  </w:style>
  <w:style w:type="paragraph" w:customStyle="1" w:styleId="RKrubrik">
    <w:name w:val="RKrubrik"/>
    <w:basedOn w:val="RKnormal"/>
    <w:next w:val="RKnormal"/>
    <w:uiPriority w:val="99"/>
    <w:rsid w:val="00B70AC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70ACB"/>
    <w:rPr>
      <w:rFonts w:cs="Times New Roman"/>
    </w:rPr>
  </w:style>
  <w:style w:type="paragraph" w:styleId="BodyText">
    <w:name w:val="Body Text"/>
    <w:basedOn w:val="Normal"/>
    <w:link w:val="BodyTextChar"/>
    <w:uiPriority w:val="99"/>
    <w:rsid w:val="00B70AC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DD1A70"/>
    <w:rPr>
      <w:rFonts w:ascii="OrigGarmnd BT" w:hAnsi="OrigGarmnd BT"/>
      <w:sz w:val="24"/>
      <w:szCs w:val="20"/>
      <w:lang w:eastAsia="en-US"/>
    </w:rPr>
  </w:style>
  <w:style w:type="paragraph" w:styleId="FootnoteText">
    <w:name w:val="footnote text"/>
    <w:basedOn w:val="Normal"/>
    <w:link w:val="FootnoteTextChar"/>
    <w:uiPriority w:val="99"/>
    <w:semiHidden/>
    <w:rsid w:val="00B70AC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DD1A70"/>
    <w:rPr>
      <w:rFonts w:ascii="OrigGarmnd BT" w:hAnsi="OrigGarmnd BT"/>
      <w:sz w:val="20"/>
      <w:szCs w:val="20"/>
      <w:lang w:eastAsia="en-US"/>
    </w:rPr>
  </w:style>
  <w:style w:type="paragraph" w:customStyle="1" w:styleId="UDrubrik">
    <w:name w:val="UDrubrik"/>
    <w:basedOn w:val="Normal"/>
    <w:next w:val="BodyText"/>
    <w:uiPriority w:val="99"/>
    <w:rsid w:val="00B70ACB"/>
    <w:pPr>
      <w:spacing w:line="320" w:lineRule="exact"/>
    </w:pPr>
    <w:rPr>
      <w:rFonts w:ascii="Arial" w:hAnsi="Arial"/>
      <w:b/>
      <w:sz w:val="22"/>
    </w:rPr>
  </w:style>
  <w:style w:type="paragraph" w:styleId="TOC1">
    <w:name w:val="toc 1"/>
    <w:basedOn w:val="Normal"/>
    <w:next w:val="Normal"/>
    <w:autoRedefine/>
    <w:uiPriority w:val="99"/>
    <w:rsid w:val="00B70ACB"/>
    <w:pPr>
      <w:spacing w:before="360"/>
    </w:pPr>
    <w:rPr>
      <w:rFonts w:ascii="Arial" w:hAnsi="Arial"/>
      <w:b/>
      <w:bCs/>
      <w:caps/>
      <w:szCs w:val="28"/>
    </w:rPr>
  </w:style>
  <w:style w:type="paragraph" w:styleId="TOC2">
    <w:name w:val="toc 2"/>
    <w:basedOn w:val="Normal"/>
    <w:next w:val="Normal"/>
    <w:autoRedefine/>
    <w:uiPriority w:val="99"/>
    <w:rsid w:val="00B70ACB"/>
    <w:pPr>
      <w:spacing w:before="240"/>
    </w:pPr>
    <w:rPr>
      <w:rFonts w:ascii="Times New Roman" w:hAnsi="Times New Roman"/>
      <w:b/>
      <w:bCs/>
      <w:szCs w:val="24"/>
    </w:rPr>
  </w:style>
  <w:style w:type="paragraph" w:styleId="TOC3">
    <w:name w:val="toc 3"/>
    <w:basedOn w:val="Normal"/>
    <w:next w:val="Normal"/>
    <w:autoRedefine/>
    <w:uiPriority w:val="99"/>
    <w:semiHidden/>
    <w:rsid w:val="00B70ACB"/>
    <w:pPr>
      <w:ind w:left="240"/>
    </w:pPr>
    <w:rPr>
      <w:rFonts w:ascii="Times New Roman" w:hAnsi="Times New Roman"/>
      <w:szCs w:val="24"/>
    </w:rPr>
  </w:style>
  <w:style w:type="paragraph" w:styleId="TOC4">
    <w:name w:val="toc 4"/>
    <w:basedOn w:val="Normal"/>
    <w:next w:val="Normal"/>
    <w:autoRedefine/>
    <w:uiPriority w:val="99"/>
    <w:semiHidden/>
    <w:rsid w:val="00B70ACB"/>
    <w:pPr>
      <w:ind w:left="480"/>
    </w:pPr>
    <w:rPr>
      <w:rFonts w:ascii="Times New Roman" w:hAnsi="Times New Roman"/>
      <w:szCs w:val="24"/>
    </w:rPr>
  </w:style>
  <w:style w:type="paragraph" w:styleId="TOC5">
    <w:name w:val="toc 5"/>
    <w:basedOn w:val="Normal"/>
    <w:next w:val="Normal"/>
    <w:autoRedefine/>
    <w:uiPriority w:val="99"/>
    <w:semiHidden/>
    <w:rsid w:val="00B70ACB"/>
    <w:pPr>
      <w:ind w:left="720"/>
    </w:pPr>
    <w:rPr>
      <w:rFonts w:ascii="Times New Roman" w:hAnsi="Times New Roman"/>
      <w:szCs w:val="24"/>
    </w:rPr>
  </w:style>
  <w:style w:type="paragraph" w:styleId="TOC6">
    <w:name w:val="toc 6"/>
    <w:basedOn w:val="Normal"/>
    <w:next w:val="Normal"/>
    <w:autoRedefine/>
    <w:uiPriority w:val="99"/>
    <w:semiHidden/>
    <w:rsid w:val="00B70ACB"/>
    <w:pPr>
      <w:ind w:left="960"/>
    </w:pPr>
    <w:rPr>
      <w:rFonts w:ascii="Times New Roman" w:hAnsi="Times New Roman"/>
      <w:szCs w:val="24"/>
    </w:rPr>
  </w:style>
  <w:style w:type="paragraph" w:styleId="TOC7">
    <w:name w:val="toc 7"/>
    <w:basedOn w:val="Normal"/>
    <w:next w:val="Normal"/>
    <w:autoRedefine/>
    <w:uiPriority w:val="99"/>
    <w:semiHidden/>
    <w:rsid w:val="00B70ACB"/>
    <w:pPr>
      <w:ind w:left="1200"/>
    </w:pPr>
    <w:rPr>
      <w:rFonts w:ascii="Times New Roman" w:hAnsi="Times New Roman"/>
      <w:szCs w:val="24"/>
    </w:rPr>
  </w:style>
  <w:style w:type="paragraph" w:styleId="TOC8">
    <w:name w:val="toc 8"/>
    <w:basedOn w:val="Normal"/>
    <w:next w:val="Normal"/>
    <w:autoRedefine/>
    <w:uiPriority w:val="99"/>
    <w:semiHidden/>
    <w:rsid w:val="00B70ACB"/>
    <w:pPr>
      <w:ind w:left="1440"/>
    </w:pPr>
    <w:rPr>
      <w:rFonts w:ascii="Times New Roman" w:hAnsi="Times New Roman"/>
      <w:szCs w:val="24"/>
    </w:rPr>
  </w:style>
  <w:style w:type="paragraph" w:styleId="TOC9">
    <w:name w:val="toc 9"/>
    <w:basedOn w:val="Normal"/>
    <w:next w:val="Normal"/>
    <w:autoRedefine/>
    <w:uiPriority w:val="99"/>
    <w:semiHidden/>
    <w:rsid w:val="00B70ACB"/>
    <w:pPr>
      <w:ind w:left="1680"/>
    </w:pPr>
    <w:rPr>
      <w:rFonts w:ascii="Times New Roman" w:hAnsi="Times New Roman"/>
      <w:szCs w:val="24"/>
    </w:rPr>
  </w:style>
  <w:style w:type="paragraph" w:customStyle="1" w:styleId="Text1">
    <w:name w:val="Text 1"/>
    <w:basedOn w:val="Normal"/>
    <w:uiPriority w:val="99"/>
    <w:rsid w:val="00B70AC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B70ACB"/>
    <w:rPr>
      <w:rFonts w:cs="Times New Roman"/>
      <w:vertAlign w:val="superscript"/>
    </w:rPr>
  </w:style>
  <w:style w:type="paragraph" w:styleId="Index1">
    <w:name w:val="index 1"/>
    <w:basedOn w:val="Normal"/>
    <w:next w:val="Normal"/>
    <w:autoRedefine/>
    <w:uiPriority w:val="99"/>
    <w:semiHidden/>
    <w:rsid w:val="00B70ACB"/>
    <w:pPr>
      <w:ind w:left="240" w:hanging="240"/>
    </w:pPr>
    <w:rPr>
      <w:rFonts w:ascii="Times New Roman" w:hAnsi="Times New Roman"/>
      <w:szCs w:val="24"/>
    </w:rPr>
  </w:style>
  <w:style w:type="paragraph" w:styleId="Index2">
    <w:name w:val="index 2"/>
    <w:basedOn w:val="Normal"/>
    <w:next w:val="Normal"/>
    <w:autoRedefine/>
    <w:uiPriority w:val="99"/>
    <w:semiHidden/>
    <w:rsid w:val="00B70ACB"/>
    <w:pPr>
      <w:ind w:left="480" w:hanging="240"/>
    </w:pPr>
    <w:rPr>
      <w:rFonts w:ascii="Times New Roman" w:hAnsi="Times New Roman"/>
      <w:szCs w:val="24"/>
    </w:rPr>
  </w:style>
  <w:style w:type="paragraph" w:styleId="Index3">
    <w:name w:val="index 3"/>
    <w:basedOn w:val="Normal"/>
    <w:next w:val="Normal"/>
    <w:autoRedefine/>
    <w:uiPriority w:val="99"/>
    <w:semiHidden/>
    <w:rsid w:val="00B70ACB"/>
    <w:pPr>
      <w:ind w:left="720" w:hanging="240"/>
    </w:pPr>
    <w:rPr>
      <w:rFonts w:ascii="Times New Roman" w:hAnsi="Times New Roman"/>
      <w:szCs w:val="24"/>
    </w:rPr>
  </w:style>
  <w:style w:type="paragraph" w:styleId="Index4">
    <w:name w:val="index 4"/>
    <w:basedOn w:val="Normal"/>
    <w:next w:val="Normal"/>
    <w:autoRedefine/>
    <w:uiPriority w:val="99"/>
    <w:semiHidden/>
    <w:rsid w:val="00B70ACB"/>
    <w:pPr>
      <w:ind w:left="960" w:hanging="240"/>
    </w:pPr>
    <w:rPr>
      <w:rFonts w:ascii="Times New Roman" w:hAnsi="Times New Roman"/>
      <w:szCs w:val="24"/>
    </w:rPr>
  </w:style>
  <w:style w:type="paragraph" w:styleId="Index5">
    <w:name w:val="index 5"/>
    <w:basedOn w:val="Normal"/>
    <w:next w:val="Normal"/>
    <w:autoRedefine/>
    <w:uiPriority w:val="99"/>
    <w:semiHidden/>
    <w:rsid w:val="00B70ACB"/>
    <w:pPr>
      <w:ind w:left="1200" w:hanging="240"/>
    </w:pPr>
    <w:rPr>
      <w:rFonts w:ascii="Times New Roman" w:hAnsi="Times New Roman"/>
      <w:szCs w:val="24"/>
    </w:rPr>
  </w:style>
  <w:style w:type="paragraph" w:styleId="Index6">
    <w:name w:val="index 6"/>
    <w:basedOn w:val="Normal"/>
    <w:next w:val="Normal"/>
    <w:autoRedefine/>
    <w:uiPriority w:val="99"/>
    <w:semiHidden/>
    <w:rsid w:val="00B70ACB"/>
    <w:pPr>
      <w:ind w:left="1440" w:hanging="240"/>
    </w:pPr>
    <w:rPr>
      <w:rFonts w:ascii="Times New Roman" w:hAnsi="Times New Roman"/>
      <w:szCs w:val="24"/>
    </w:rPr>
  </w:style>
  <w:style w:type="paragraph" w:styleId="Index7">
    <w:name w:val="index 7"/>
    <w:basedOn w:val="Normal"/>
    <w:next w:val="Normal"/>
    <w:autoRedefine/>
    <w:uiPriority w:val="99"/>
    <w:semiHidden/>
    <w:rsid w:val="00B70ACB"/>
    <w:pPr>
      <w:ind w:left="1680" w:hanging="240"/>
    </w:pPr>
    <w:rPr>
      <w:rFonts w:ascii="Times New Roman" w:hAnsi="Times New Roman"/>
      <w:szCs w:val="24"/>
    </w:rPr>
  </w:style>
  <w:style w:type="paragraph" w:styleId="Index8">
    <w:name w:val="index 8"/>
    <w:basedOn w:val="Normal"/>
    <w:next w:val="Normal"/>
    <w:autoRedefine/>
    <w:uiPriority w:val="99"/>
    <w:semiHidden/>
    <w:rsid w:val="00B70ACB"/>
    <w:pPr>
      <w:ind w:left="1920" w:hanging="240"/>
    </w:pPr>
    <w:rPr>
      <w:rFonts w:ascii="Times New Roman" w:hAnsi="Times New Roman"/>
      <w:szCs w:val="24"/>
    </w:rPr>
  </w:style>
  <w:style w:type="paragraph" w:styleId="Index9">
    <w:name w:val="index 9"/>
    <w:basedOn w:val="Normal"/>
    <w:next w:val="Normal"/>
    <w:autoRedefine/>
    <w:uiPriority w:val="99"/>
    <w:semiHidden/>
    <w:rsid w:val="00B70ACB"/>
    <w:pPr>
      <w:ind w:left="2160" w:hanging="240"/>
    </w:pPr>
    <w:rPr>
      <w:rFonts w:ascii="Times New Roman" w:hAnsi="Times New Roman"/>
      <w:szCs w:val="24"/>
    </w:rPr>
  </w:style>
  <w:style w:type="paragraph" w:styleId="IndexHeading">
    <w:name w:val="index heading"/>
    <w:basedOn w:val="Normal"/>
    <w:next w:val="Index1"/>
    <w:uiPriority w:val="99"/>
    <w:semiHidden/>
    <w:rsid w:val="00B70ACB"/>
    <w:pPr>
      <w:spacing w:before="120" w:after="120"/>
    </w:pPr>
    <w:rPr>
      <w:rFonts w:ascii="Times New Roman" w:hAnsi="Times New Roman"/>
      <w:b/>
      <w:bCs/>
      <w:i/>
      <w:iCs/>
      <w:szCs w:val="24"/>
    </w:rPr>
  </w:style>
  <w:style w:type="paragraph" w:customStyle="1" w:styleId="EntEmet">
    <w:name w:val="EntEmet"/>
    <w:basedOn w:val="Normal"/>
    <w:uiPriority w:val="99"/>
    <w:rsid w:val="00B70AC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B70ACB"/>
    <w:pPr>
      <w:spacing w:line="240" w:lineRule="auto"/>
    </w:pPr>
    <w:rPr>
      <w:rFonts w:ascii="Arial" w:hAnsi="Arial"/>
      <w:lang w:val="en-GB"/>
    </w:rPr>
  </w:style>
  <w:style w:type="paragraph" w:customStyle="1" w:styleId="Avsndare0">
    <w:name w:val="Avsndare"/>
    <w:basedOn w:val="Normal"/>
    <w:next w:val="Normal"/>
    <w:uiPriority w:val="99"/>
    <w:rsid w:val="00B70ACB"/>
    <w:pPr>
      <w:spacing w:line="240" w:lineRule="auto"/>
    </w:pPr>
    <w:rPr>
      <w:rFonts w:ascii="Arial" w:hAnsi="Arial"/>
      <w:i/>
      <w:lang w:val="en-GB"/>
    </w:rPr>
  </w:style>
  <w:style w:type="character" w:styleId="Hyperlink">
    <w:name w:val="Hyperlink"/>
    <w:basedOn w:val="DefaultParagraphFont"/>
    <w:uiPriority w:val="99"/>
    <w:rsid w:val="00B70ACB"/>
    <w:rPr>
      <w:rFonts w:cs="Times New Roman"/>
      <w:color w:val="0000FF"/>
      <w:u w:val="single"/>
    </w:rPr>
  </w:style>
  <w:style w:type="paragraph" w:styleId="DocumentMap">
    <w:name w:val="Document Map"/>
    <w:basedOn w:val="Normal"/>
    <w:link w:val="DocumentMapChar"/>
    <w:uiPriority w:val="99"/>
    <w:semiHidden/>
    <w:rsid w:val="00B70AC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D1A70"/>
    <w:rPr>
      <w:sz w:val="0"/>
      <w:szCs w:val="0"/>
      <w:lang w:eastAsia="en-US"/>
    </w:rPr>
  </w:style>
  <w:style w:type="character" w:styleId="FollowedHyperlink">
    <w:name w:val="FollowedHyperlink"/>
    <w:basedOn w:val="DefaultParagraphFont"/>
    <w:uiPriority w:val="99"/>
    <w:rsid w:val="00B70ACB"/>
    <w:rPr>
      <w:rFonts w:cs="Times New Roman"/>
      <w:color w:val="800080"/>
      <w:u w:val="single"/>
    </w:rPr>
  </w:style>
  <w:style w:type="paragraph" w:customStyle="1" w:styleId="Par-number10">
    <w:name w:val="Par-number 1)"/>
    <w:basedOn w:val="Normal"/>
    <w:next w:val="Normal"/>
    <w:uiPriority w:val="99"/>
    <w:rsid w:val="00B70AC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B70AC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B70AC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B70AC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B70AC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B70AC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B70AC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B70AC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B70AC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B70AC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B70AC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B70AC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DD1A70"/>
    <w:rPr>
      <w:rFonts w:ascii="OrigGarmnd BT" w:hAnsi="OrigGarmnd BT"/>
      <w:sz w:val="20"/>
      <w:szCs w:val="20"/>
      <w:lang w:eastAsia="en-US"/>
    </w:rPr>
  </w:style>
  <w:style w:type="paragraph" w:customStyle="1" w:styleId="EntRefer">
    <w:name w:val="EntRefer"/>
    <w:basedOn w:val="Normal"/>
    <w:uiPriority w:val="99"/>
    <w:rsid w:val="00B70AC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B70ACB"/>
    <w:pPr>
      <w:spacing w:line="240" w:lineRule="auto"/>
    </w:pPr>
    <w:rPr>
      <w:rFonts w:ascii="Times New Roman" w:hAnsi="Times New Roman"/>
      <w:lang w:val="en-GB" w:eastAsia="fr-BE"/>
    </w:rPr>
  </w:style>
  <w:style w:type="paragraph" w:customStyle="1" w:styleId="Tiret1">
    <w:name w:val="Tiret 1"/>
    <w:basedOn w:val="Normal"/>
    <w:uiPriority w:val="99"/>
    <w:rsid w:val="00B70AC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B70AC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B70ACB"/>
    <w:pPr>
      <w:overflowPunct w:val="0"/>
      <w:autoSpaceDE w:val="0"/>
      <w:autoSpaceDN w:val="0"/>
      <w:adjustRightInd w:val="0"/>
      <w:ind w:left="1843"/>
      <w:textAlignment w:val="baseline"/>
    </w:pPr>
  </w:style>
  <w:style w:type="paragraph" w:customStyle="1" w:styleId="Brdtext0">
    <w:name w:val="Brˆdtext"/>
    <w:basedOn w:val="Normal"/>
    <w:uiPriority w:val="99"/>
    <w:rsid w:val="00B70ACB"/>
    <w:pPr>
      <w:spacing w:line="320" w:lineRule="exact"/>
    </w:pPr>
    <w:rPr>
      <w:rFonts w:ascii="Times New Roman" w:hAnsi="Times New Roman"/>
    </w:rPr>
  </w:style>
  <w:style w:type="character" w:customStyle="1" w:styleId="term">
    <w:name w:val="term"/>
    <w:basedOn w:val="DefaultParagraphFont"/>
    <w:uiPriority w:val="99"/>
    <w:rsid w:val="00B70ACB"/>
    <w:rPr>
      <w:rFonts w:cs="Times New Roman"/>
    </w:rPr>
  </w:style>
  <w:style w:type="paragraph" w:customStyle="1" w:styleId="Brdtexthuvud">
    <w:name w:val="Brödtext huvud"/>
    <w:basedOn w:val="Normal"/>
    <w:uiPriority w:val="99"/>
    <w:rsid w:val="00B70AC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E6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E6C8D"/>
    <w:rPr>
      <w:rFonts w:ascii="Tahoma" w:hAnsi="Tahoma" w:cs="Tahoma"/>
      <w:sz w:val="16"/>
      <w:szCs w:val="16"/>
      <w:lang w:eastAsia="en-US"/>
    </w:rPr>
  </w:style>
  <w:style w:type="paragraph" w:styleId="ListParagraph">
    <w:name w:val="List Paragraph"/>
    <w:basedOn w:val="Normal"/>
    <w:uiPriority w:val="99"/>
    <w:qFormat/>
    <w:rsid w:val="001F40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6330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Lena Herder</dc:creator>
  <cp:keywords/>
  <dc:description/>
  <cp:lastModifiedBy>jb0525aa</cp:lastModifiedBy>
  <cp:revision>2</cp:revision>
  <cp:lastPrinted>2013-10-03T09:14:00Z</cp:lastPrinted>
  <dcterms:created xsi:type="dcterms:W3CDTF">2013-10-03T10:33:00Z</dcterms:created>
  <dcterms:modified xsi:type="dcterms:W3CDTF">2013-10-03T10:33:00Z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59ad68c4-8e54-4071-90da-ed7dff5a8cd2</vt:lpwstr>
  </property>
  <property fmtid="{D5CDD505-2E9C-101B-9397-08002B2CF9AE}" pid="10" name="TaxCatchAll">
    <vt:lpwstr/>
  </property>
  <property fmtid="{D5CDD505-2E9C-101B-9397-08002B2CF9AE}" pid="11" name="Sekretess">
    <vt:lpwstr>0</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JE6N4JFJXNNF-9-58197</vt:lpwstr>
  </property>
  <property fmtid="{D5CDD505-2E9C-101B-9397-08002B2CF9AE}" pid="18" name="_dlc_DocIdUrl">
    <vt:lpwstr>http://rkdhs-sb/enhet/EUKansli/_layouts/DocIdRedir.aspx?ID=JE6N4JFJXNNF-9-58197, JE6N4JFJXNNF-9-58197</vt:lpwstr>
  </property>
</Properties>
</file>