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104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 maj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2016/17:23 Torsdagen den 20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2016/17:39 Tisdagen den 18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2016/17:40 Torsdagen den 20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2016/17:UbU16 Vuxenutbildningen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2016/17:UbU17 Skolväsendet – grundläggande om utbildningen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2016/17:UbU18 Skolväsendet – lärare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2016/17:UbU19 Skolväsendet –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2016/17:UU16 Interpalamentariska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2016/17:UU17 Den parlamentariska församlingen för Unionen för Medelhavet (PA-UfM)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2016/17:SoU7 Folkhälsofrågor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2016/17:FiU33 Tillgång till betalkonto med grundläggande funktioner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2016/17:TU14 Väg- och fordonsfrågor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2016/17:MJU13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2016/17:MJU14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2016/17:SfU19 Kompletteringar av den tillfälliga lagen för uppehållstillstånd rörande studier på gymnasienivå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2016/17:AU12 2014 års protokoll och rekommendation till ILO:s konvention om tvångsarbete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2016/17:AU11 Genomförande av sjöfolksdirektivet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2016/17:FiU31 Arbetsrättsliga villkor vid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2016/17:KU15 Offentlighet, sekretess och integritet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2016/17:KU16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2016/17:KU18 Riksdagens arbetsformer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2016/17:KU29 Allmänna helgdagar (förnyad behandling)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2016/17:JuU11 Redovisning av användningen av hemliga tvångsmedel under år 2015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2016/17:JuU12 2016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2016/17:JuU20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 maj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2017-05-03</SAFIR_Sammantradesdatum_Doc>
    <SAFIR_SammantradeID xmlns="C07A1A6C-0B19-41D9-BDF8-F523BA3921EB">98adfc1b-3ff4-433a-81d0-9dae731a0138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55FA333-71E6-49CC-9CC7-BD638B41FE5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