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D5ED5" w:rsidTr="001D63FD">
        <w:tblPrEx>
          <w:tblCellMar>
            <w:top w:w="0" w:type="dxa"/>
            <w:bottom w:w="0" w:type="dxa"/>
          </w:tblCellMar>
        </w:tblPrEx>
        <w:tc>
          <w:tcPr>
            <w:tcW w:w="2268" w:type="dxa"/>
          </w:tcPr>
          <w:p w:rsidR="006E4E11" w:rsidRPr="00BD5ED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D5ED5" w:rsidRDefault="006E4E11" w:rsidP="007242A3">
            <w:pPr>
              <w:framePr w:w="5035" w:h="1644" w:wrap="notBeside" w:vAnchor="page" w:hAnchor="page" w:x="6573" w:y="721"/>
              <w:rPr>
                <w:rFonts w:ascii="TradeGothic" w:hAnsi="TradeGothic"/>
                <w:i/>
                <w:sz w:val="18"/>
              </w:rPr>
            </w:pPr>
          </w:p>
        </w:tc>
      </w:tr>
      <w:tr w:rsidR="001D63FD" w:rsidRPr="00BD5ED5" w:rsidTr="001D63FD">
        <w:tblPrEx>
          <w:tblCellMar>
            <w:top w:w="0" w:type="dxa"/>
            <w:bottom w:w="0" w:type="dxa"/>
          </w:tblCellMar>
        </w:tblPrEx>
        <w:tc>
          <w:tcPr>
            <w:tcW w:w="5267" w:type="dxa"/>
            <w:gridSpan w:val="3"/>
          </w:tcPr>
          <w:p w:rsidR="001D63FD" w:rsidRPr="00BD5ED5" w:rsidRDefault="001D63FD" w:rsidP="007242A3">
            <w:pPr>
              <w:framePr w:w="5035" w:h="1644" w:wrap="notBeside" w:vAnchor="page" w:hAnchor="page" w:x="6573" w:y="721"/>
              <w:rPr>
                <w:rFonts w:ascii="TradeGothic" w:hAnsi="TradeGothic"/>
                <w:b/>
                <w:sz w:val="22"/>
              </w:rPr>
            </w:pPr>
            <w:r w:rsidRPr="00BD5ED5">
              <w:rPr>
                <w:rFonts w:ascii="TradeGothic" w:hAnsi="TradeGothic"/>
                <w:b/>
                <w:sz w:val="22"/>
              </w:rPr>
              <w:t>Rådspromemoria</w:t>
            </w:r>
          </w:p>
        </w:tc>
      </w:tr>
      <w:tr w:rsidR="006E4E11" w:rsidRPr="00BD5ED5" w:rsidTr="001D63FD">
        <w:tblPrEx>
          <w:tblCellMar>
            <w:top w:w="0" w:type="dxa"/>
            <w:bottom w:w="0" w:type="dxa"/>
          </w:tblCellMar>
        </w:tblPrEx>
        <w:tc>
          <w:tcPr>
            <w:tcW w:w="3402" w:type="dxa"/>
            <w:gridSpan w:val="2"/>
          </w:tcPr>
          <w:p w:rsidR="006E4E11" w:rsidRPr="00BD5ED5" w:rsidRDefault="006E4E11" w:rsidP="007242A3">
            <w:pPr>
              <w:framePr w:w="5035" w:h="1644" w:wrap="notBeside" w:vAnchor="page" w:hAnchor="page" w:x="6573" w:y="721"/>
            </w:pPr>
          </w:p>
        </w:tc>
        <w:tc>
          <w:tcPr>
            <w:tcW w:w="1865" w:type="dxa"/>
          </w:tcPr>
          <w:p w:rsidR="006E4E11" w:rsidRPr="00BD5ED5" w:rsidRDefault="006E4E11" w:rsidP="007242A3">
            <w:pPr>
              <w:framePr w:w="5035" w:h="1644" w:wrap="notBeside" w:vAnchor="page" w:hAnchor="page" w:x="6573" w:y="721"/>
            </w:pPr>
          </w:p>
        </w:tc>
      </w:tr>
      <w:tr w:rsidR="006E4E11" w:rsidRPr="00BD5ED5" w:rsidTr="001D63FD">
        <w:tblPrEx>
          <w:tblCellMar>
            <w:top w:w="0" w:type="dxa"/>
            <w:bottom w:w="0" w:type="dxa"/>
          </w:tblCellMar>
        </w:tblPrEx>
        <w:tc>
          <w:tcPr>
            <w:tcW w:w="2268" w:type="dxa"/>
          </w:tcPr>
          <w:p w:rsidR="006E4E11" w:rsidRPr="00BD5ED5" w:rsidRDefault="00D11B68" w:rsidP="007242A3">
            <w:pPr>
              <w:framePr w:w="5035" w:h="1644" w:wrap="notBeside" w:vAnchor="page" w:hAnchor="page" w:x="6573" w:y="721"/>
            </w:pPr>
            <w:r w:rsidRPr="00BD5ED5">
              <w:t>2011-</w:t>
            </w:r>
            <w:r w:rsidR="00BF61C3" w:rsidRPr="00BD5ED5">
              <w:t>05</w:t>
            </w:r>
            <w:r w:rsidRPr="00BD5ED5">
              <w:t>-</w:t>
            </w:r>
            <w:r w:rsidR="00BF61C3" w:rsidRPr="00BD5ED5">
              <w:t>2</w:t>
            </w:r>
            <w:r w:rsidR="00361BEF" w:rsidRPr="00BD5ED5">
              <w:t>8</w:t>
            </w:r>
          </w:p>
        </w:tc>
        <w:tc>
          <w:tcPr>
            <w:tcW w:w="2999" w:type="dxa"/>
            <w:gridSpan w:val="2"/>
          </w:tcPr>
          <w:p w:rsidR="006E4E11" w:rsidRPr="00BD5ED5" w:rsidRDefault="006E4E11" w:rsidP="007242A3">
            <w:pPr>
              <w:framePr w:w="5035" w:h="1644" w:wrap="notBeside" w:vAnchor="page" w:hAnchor="page" w:x="6573" w:y="721"/>
            </w:pPr>
          </w:p>
        </w:tc>
      </w:tr>
      <w:tr w:rsidR="006E4E11" w:rsidRPr="00BD5ED5" w:rsidTr="001D63FD">
        <w:tblPrEx>
          <w:tblCellMar>
            <w:top w:w="0" w:type="dxa"/>
            <w:bottom w:w="0" w:type="dxa"/>
          </w:tblCellMar>
        </w:tblPrEx>
        <w:tc>
          <w:tcPr>
            <w:tcW w:w="2268" w:type="dxa"/>
          </w:tcPr>
          <w:p w:rsidR="006E4E11" w:rsidRPr="00BD5ED5" w:rsidRDefault="006E4E11" w:rsidP="007242A3">
            <w:pPr>
              <w:framePr w:w="5035" w:h="1644" w:wrap="notBeside" w:vAnchor="page" w:hAnchor="page" w:x="6573" w:y="721"/>
            </w:pPr>
          </w:p>
        </w:tc>
        <w:tc>
          <w:tcPr>
            <w:tcW w:w="2999" w:type="dxa"/>
            <w:gridSpan w:val="2"/>
          </w:tcPr>
          <w:p w:rsidR="006E4E11" w:rsidRPr="00BD5ED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D5ED5">
        <w:tblPrEx>
          <w:tblCellMar>
            <w:top w:w="0" w:type="dxa"/>
            <w:bottom w:w="0" w:type="dxa"/>
          </w:tblCellMar>
        </w:tblPrEx>
        <w:trPr>
          <w:trHeight w:val="284"/>
        </w:trPr>
        <w:tc>
          <w:tcPr>
            <w:tcW w:w="4911" w:type="dxa"/>
          </w:tcPr>
          <w:p w:rsidR="006E4E11" w:rsidRPr="00BD5ED5" w:rsidRDefault="001D63FD">
            <w:pPr>
              <w:pStyle w:val="Avsndare"/>
              <w:framePr w:h="2483" w:wrap="notBeside" w:x="1504"/>
              <w:rPr>
                <w:b/>
                <w:i w:val="0"/>
                <w:sz w:val="22"/>
              </w:rPr>
            </w:pPr>
            <w:r w:rsidRPr="00BD5ED5">
              <w:rPr>
                <w:b/>
                <w:i w:val="0"/>
                <w:sz w:val="22"/>
              </w:rPr>
              <w:t>Justitiedepartementet</w:t>
            </w: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D11B68">
            <w:pPr>
              <w:pStyle w:val="Avsndare"/>
              <w:framePr w:h="2483" w:wrap="notBeside" w:x="1504"/>
              <w:rPr>
                <w:bCs/>
                <w:iCs/>
              </w:rPr>
            </w:pPr>
            <w:r w:rsidRPr="00BD5ED5">
              <w:rPr>
                <w:bCs/>
                <w:iCs/>
              </w:rPr>
              <w:t>Polis</w:t>
            </w:r>
            <w:r w:rsidR="001D63FD" w:rsidRPr="00BD5ED5">
              <w:rPr>
                <w:bCs/>
                <w:iCs/>
              </w:rPr>
              <w:t>enheten</w:t>
            </w:r>
          </w:p>
          <w:p w:rsidR="00D11B68" w:rsidRPr="00BD5ED5" w:rsidRDefault="00D11B68">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r w:rsidR="006E4E11" w:rsidRPr="00BD5ED5">
        <w:tblPrEx>
          <w:tblCellMar>
            <w:top w:w="0" w:type="dxa"/>
            <w:bottom w:w="0" w:type="dxa"/>
          </w:tblCellMar>
        </w:tblPrEx>
        <w:trPr>
          <w:trHeight w:val="284"/>
        </w:trPr>
        <w:tc>
          <w:tcPr>
            <w:tcW w:w="4911" w:type="dxa"/>
          </w:tcPr>
          <w:p w:rsidR="006E4E11" w:rsidRPr="00BD5ED5" w:rsidRDefault="006E4E11">
            <w:pPr>
              <w:pStyle w:val="Avsndare"/>
              <w:framePr w:h="2483" w:wrap="notBeside" w:x="1504"/>
              <w:rPr>
                <w:bCs/>
                <w:iCs/>
              </w:rPr>
            </w:pPr>
          </w:p>
        </w:tc>
      </w:tr>
    </w:tbl>
    <w:p w:rsidR="006E4E11" w:rsidRPr="00BD5ED5" w:rsidRDefault="006E4E11">
      <w:pPr>
        <w:framePr w:w="4400" w:h="2523" w:wrap="notBeside" w:vAnchor="page" w:hAnchor="page" w:x="6453" w:y="2445"/>
        <w:ind w:left="142"/>
        <w:rPr>
          <w:b/>
        </w:rPr>
      </w:pPr>
    </w:p>
    <w:p w:rsidR="00D11B68" w:rsidRPr="00BD5ED5" w:rsidRDefault="00D11B68" w:rsidP="00D11B68">
      <w:pPr>
        <w:pStyle w:val="RKrubrik"/>
        <w:pBdr>
          <w:bottom w:val="single" w:sz="6" w:space="1" w:color="auto"/>
        </w:pBdr>
      </w:pPr>
      <w:bookmarkStart w:id="0" w:name="bRubrik"/>
      <w:bookmarkEnd w:id="0"/>
      <w:r w:rsidRPr="00BD5ED5">
        <w:t xml:space="preserve">Rådets möte (rättsliga och inrikes frågor) den </w:t>
      </w:r>
      <w:r w:rsidR="00BF61C3" w:rsidRPr="00BD5ED5">
        <w:t>9-10 juni</w:t>
      </w:r>
      <w:r w:rsidRPr="00BD5ED5">
        <w:t xml:space="preserve"> 2011</w:t>
      </w:r>
    </w:p>
    <w:p w:rsidR="001D63FD" w:rsidRPr="00BD5ED5" w:rsidRDefault="001D63FD">
      <w:pPr>
        <w:pStyle w:val="RKnormal"/>
      </w:pPr>
    </w:p>
    <w:p w:rsidR="001D63FD" w:rsidRPr="00BD5ED5" w:rsidRDefault="00D11B68">
      <w:pPr>
        <w:pStyle w:val="RKnormal"/>
      </w:pPr>
      <w:r w:rsidRPr="00BD5ED5">
        <w:rPr>
          <w:b/>
        </w:rPr>
        <w:t>Dagordningspunkt</w:t>
      </w:r>
      <w:r w:rsidR="00BF61C3" w:rsidRPr="00BD5ED5">
        <w:rPr>
          <w:b/>
        </w:rPr>
        <w:t>:</w:t>
      </w:r>
      <w:r w:rsidRPr="00BD5ED5">
        <w:t xml:space="preserve"> </w:t>
      </w:r>
      <w:r w:rsidR="00D41D93" w:rsidRPr="00BD5ED5">
        <w:t>18</w:t>
      </w:r>
    </w:p>
    <w:p w:rsidR="001D63FD" w:rsidRPr="00BD5ED5" w:rsidRDefault="001D63FD">
      <w:pPr>
        <w:pStyle w:val="RKnormal"/>
      </w:pPr>
    </w:p>
    <w:p w:rsidR="00361BEF" w:rsidRPr="00BD5ED5" w:rsidRDefault="001D63FD">
      <w:pPr>
        <w:pStyle w:val="RKnormal"/>
      </w:pPr>
      <w:r w:rsidRPr="00BD5ED5">
        <w:rPr>
          <w:b/>
        </w:rPr>
        <w:t>Rubrik:</w:t>
      </w:r>
      <w:r w:rsidR="00D11B68" w:rsidRPr="00BD5ED5">
        <w:t xml:space="preserve"> </w:t>
      </w:r>
      <w:r w:rsidR="00D41D93" w:rsidRPr="00BD5ED5">
        <w:t xml:space="preserve">Schengenutvärdering av Bulgarien </w:t>
      </w:r>
    </w:p>
    <w:p w:rsidR="001D63FD" w:rsidRPr="00BD5ED5" w:rsidRDefault="00D41D93">
      <w:pPr>
        <w:pStyle w:val="RKnormal"/>
      </w:pPr>
      <w:r w:rsidRPr="00BD5ED5">
        <w:t>-</w:t>
      </w:r>
      <w:r w:rsidR="00361BEF" w:rsidRPr="00BD5ED5">
        <w:t xml:space="preserve"> </w:t>
      </w:r>
      <w:r w:rsidR="00BF61C3" w:rsidRPr="00BD5ED5">
        <w:t>Utkast till råd</w:t>
      </w:r>
      <w:r w:rsidRPr="00BD5ED5">
        <w:t xml:space="preserve">ets </w:t>
      </w:r>
      <w:r w:rsidR="00BF61C3" w:rsidRPr="00BD5ED5">
        <w:t>slutsatser</w:t>
      </w:r>
      <w:r w:rsidRPr="00BD5ED5">
        <w:t xml:space="preserve"> om avslutning av utvärderingsprocessen av Bulgarien</w:t>
      </w:r>
    </w:p>
    <w:p w:rsidR="001D63FD" w:rsidRPr="00BD5ED5" w:rsidRDefault="001D63FD">
      <w:pPr>
        <w:pStyle w:val="RKnormal"/>
      </w:pPr>
    </w:p>
    <w:p w:rsidR="001D63FD" w:rsidRPr="00BD5ED5" w:rsidRDefault="001D63FD">
      <w:pPr>
        <w:pStyle w:val="RKnormal"/>
      </w:pPr>
      <w:r w:rsidRPr="00BD5ED5">
        <w:rPr>
          <w:b/>
        </w:rPr>
        <w:t>Dokument:</w:t>
      </w:r>
      <w:r w:rsidR="00D11B68" w:rsidRPr="00BD5ED5">
        <w:t xml:space="preserve"> </w:t>
      </w:r>
      <w:r w:rsidR="00361BEF" w:rsidRPr="00BD5ED5">
        <w:t>d</w:t>
      </w:r>
      <w:r w:rsidR="00D11B68" w:rsidRPr="00BD5ED5">
        <w:t xml:space="preserve">et har ännu inte presenterats något dokument </w:t>
      </w:r>
      <w:r w:rsidR="00BF61C3" w:rsidRPr="00BD5ED5">
        <w:t>in</w:t>
      </w:r>
      <w:r w:rsidR="00D11B68" w:rsidRPr="00BD5ED5">
        <w:t>för behandlingen i rådet.</w:t>
      </w:r>
    </w:p>
    <w:p w:rsidR="001D63FD" w:rsidRPr="00BD5ED5" w:rsidRDefault="001D63FD">
      <w:pPr>
        <w:pStyle w:val="RKnormal"/>
      </w:pPr>
    </w:p>
    <w:p w:rsidR="001D63FD" w:rsidRPr="00BD5ED5" w:rsidRDefault="001D63FD">
      <w:pPr>
        <w:pStyle w:val="RKnormal"/>
      </w:pPr>
      <w:r w:rsidRPr="00BD5ED5">
        <w:rPr>
          <w:b/>
        </w:rPr>
        <w:t>Tidigare dokument</w:t>
      </w:r>
      <w:r w:rsidR="00140B6E" w:rsidRPr="00BD5ED5">
        <w:rPr>
          <w:b/>
        </w:rPr>
        <w:t xml:space="preserve">: </w:t>
      </w:r>
      <w:r w:rsidR="00140B6E" w:rsidRPr="00BD5ED5">
        <w:t xml:space="preserve">9167/1/11 </w:t>
      </w:r>
      <w:r w:rsidR="000D337A" w:rsidRPr="00BD5ED5">
        <w:t xml:space="preserve">SCH-EVAL 76 COMIX 266 </w:t>
      </w:r>
      <w:r w:rsidR="006E1C00" w:rsidRPr="00BD5ED5">
        <w:t>REV1 (bifogas)</w:t>
      </w:r>
    </w:p>
    <w:p w:rsidR="001D63FD" w:rsidRPr="00BD5ED5" w:rsidRDefault="001D63FD">
      <w:pPr>
        <w:pStyle w:val="RKnormal"/>
      </w:pPr>
    </w:p>
    <w:p w:rsidR="001D63FD" w:rsidRPr="00BD5ED5" w:rsidRDefault="001D63FD">
      <w:pPr>
        <w:pStyle w:val="RKnormal"/>
      </w:pPr>
      <w:r w:rsidRPr="00BD5ED5">
        <w:rPr>
          <w:b/>
        </w:rPr>
        <w:t>Tidigare behandlad vid samråd med EU-nämnden:</w:t>
      </w:r>
      <w:r w:rsidRPr="00BD5ED5">
        <w:t xml:space="preserve"> </w:t>
      </w:r>
      <w:r w:rsidR="00A371C3" w:rsidRPr="00BD5ED5">
        <w:t>Frågan om Bulgariens anslutningsprocess var föremål för diskussion i nämnden inför RIF</w:t>
      </w:r>
      <w:r w:rsidR="00361BEF" w:rsidRPr="00BD5ED5">
        <w:t>-rådet</w:t>
      </w:r>
      <w:r w:rsidR="00A371C3" w:rsidRPr="00BD5ED5">
        <w:t xml:space="preserve"> den 24-25 februari.</w:t>
      </w:r>
    </w:p>
    <w:p w:rsidR="001D63FD" w:rsidRPr="00BD5ED5" w:rsidRDefault="001D63FD">
      <w:pPr>
        <w:pStyle w:val="RKrubrik"/>
      </w:pPr>
      <w:r w:rsidRPr="00BD5ED5">
        <w:t>Bakgrund (inkl. syftet med behandlingen i rådet)</w:t>
      </w:r>
    </w:p>
    <w:p w:rsidR="00D11B68" w:rsidRPr="00BD5ED5" w:rsidRDefault="00D11B68" w:rsidP="00D11B68">
      <w:pPr>
        <w:outlineLvl w:val="0"/>
        <w:rPr>
          <w:i/>
          <w:iCs/>
        </w:rPr>
      </w:pPr>
      <w:r w:rsidRPr="00BD5ED5">
        <w:rPr>
          <w:i/>
          <w:iCs/>
        </w:rPr>
        <w:t>Avsikten med behandlingen i rådet</w:t>
      </w:r>
    </w:p>
    <w:p w:rsidR="00D11B68" w:rsidRPr="00BD5ED5" w:rsidRDefault="00A371C3" w:rsidP="00D11B68">
      <w:pPr>
        <w:pStyle w:val="RKnormal"/>
      </w:pPr>
      <w:r w:rsidRPr="00BD5ED5">
        <w:t xml:space="preserve">Rådet ska anta slutsatser som formellt avslutar utvärderingsprocessen avseende Bulgarien och konstaterar att Bulgarien visat sig redo att tillämpa Schengenregelverket på ett korrekt sätt. </w:t>
      </w:r>
      <w:r w:rsidR="00CE0C1B" w:rsidRPr="00BD5ED5">
        <w:t xml:space="preserve">Därmed finns förutsättningar för rådet att i ett senare skede besluta om anslutning av Bulgarien till Schengenområdet. </w:t>
      </w:r>
    </w:p>
    <w:p w:rsidR="00361BEF" w:rsidRPr="00BD5ED5" w:rsidRDefault="00361BEF" w:rsidP="00D11B68">
      <w:pPr>
        <w:pStyle w:val="RKnormal"/>
      </w:pPr>
    </w:p>
    <w:p w:rsidR="00D11B68" w:rsidRPr="00BD5ED5" w:rsidRDefault="00D11B68" w:rsidP="00D11B68">
      <w:pPr>
        <w:pStyle w:val="RKnormal"/>
        <w:rPr>
          <w:i/>
        </w:rPr>
      </w:pPr>
      <w:r w:rsidRPr="00BD5ED5">
        <w:rPr>
          <w:i/>
        </w:rPr>
        <w:t>Generellt om Schengensamarbetet</w:t>
      </w:r>
    </w:p>
    <w:p w:rsidR="00D11B68" w:rsidRPr="00BD5ED5" w:rsidRDefault="00D11B68" w:rsidP="00D11B68">
      <w:pPr>
        <w:pStyle w:val="RKnormal"/>
      </w:pPr>
      <w:r w:rsidRPr="00BD5ED5">
        <w:t>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w:t>
      </w:r>
      <w:r w:rsidRPr="00BD5ED5">
        <w:lastRenderedPageBreak/>
        <w:t>der införs genom att länderna följer ett gemensamt regelverk (Schengen a</w:t>
      </w:r>
      <w:r w:rsidR="00361BEF" w:rsidRPr="00BD5ED5">
        <w:t>c</w:t>
      </w:r>
      <w:r w:rsidRPr="00BD5ED5">
        <w:t xml:space="preserve">quis).  </w:t>
      </w:r>
    </w:p>
    <w:p w:rsidR="00D11B68" w:rsidRPr="00BD5ED5" w:rsidRDefault="00D11B68" w:rsidP="00D11B68">
      <w:pPr>
        <w:pStyle w:val="RKnormal"/>
      </w:pPr>
    </w:p>
    <w:p w:rsidR="00D11B68" w:rsidRPr="00BD5ED5" w:rsidRDefault="00D11B68" w:rsidP="00D11B68">
      <w:pPr>
        <w:pStyle w:val="RKnormal"/>
        <w:rPr>
          <w:u w:val="single"/>
        </w:rPr>
      </w:pPr>
      <w:r w:rsidRPr="00BD5ED5">
        <w:t xml:space="preserve">I och med Amsterdamfördraget (1997/1999) inkorporerades Schengenregelverket i EU-rätten och blev således en del av den gemensamma </w:t>
      </w:r>
      <w:r w:rsidR="00A371C3" w:rsidRPr="00BD5ED5">
        <w:t>EU-</w:t>
      </w:r>
      <w:r w:rsidRPr="00BD5ED5">
        <w:t>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BD5ED5">
        <w:rPr>
          <w:i/>
        </w:rPr>
        <w:t xml:space="preserve"> </w:t>
      </w:r>
      <w:r w:rsidRPr="00BD5ED5">
        <w:t>medlemsstatens förmåga att tillämpa regelverket på ett korrekt sätt.</w:t>
      </w:r>
    </w:p>
    <w:p w:rsidR="00D11B68" w:rsidRPr="00BD5ED5" w:rsidRDefault="00D11B68" w:rsidP="00D11B68">
      <w:pPr>
        <w:pStyle w:val="RKnormal"/>
        <w:rPr>
          <w:u w:val="single"/>
        </w:rPr>
      </w:pPr>
    </w:p>
    <w:p w:rsidR="00D11B68" w:rsidRPr="00BD5ED5" w:rsidRDefault="00D11B68" w:rsidP="00D11B68">
      <w:pPr>
        <w:pStyle w:val="RKnormal"/>
      </w:pPr>
      <w:r w:rsidRPr="00BD5ED5">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D11B68" w:rsidRPr="00BD5ED5" w:rsidRDefault="00D11B68" w:rsidP="00D11B68">
      <w:pPr>
        <w:pStyle w:val="RKnormal"/>
        <w:numPr>
          <w:ilvl w:val="0"/>
          <w:numId w:val="1"/>
        </w:numPr>
      </w:pPr>
      <w:r w:rsidRPr="00BD5ED5">
        <w:t xml:space="preserve">gränskontrollen vid yttre gräns, </w:t>
      </w:r>
    </w:p>
    <w:p w:rsidR="00D11B68" w:rsidRPr="00BD5ED5" w:rsidRDefault="00D11B68" w:rsidP="00D11B68">
      <w:pPr>
        <w:pStyle w:val="RKnormal"/>
        <w:numPr>
          <w:ilvl w:val="0"/>
          <w:numId w:val="1"/>
        </w:numPr>
      </w:pPr>
      <w:r w:rsidRPr="00BD5ED5">
        <w:t xml:space="preserve">hur polissamarbetet fungerar, </w:t>
      </w:r>
    </w:p>
    <w:p w:rsidR="00D11B68" w:rsidRPr="00BD5ED5" w:rsidRDefault="00D11B68" w:rsidP="00D11B68">
      <w:pPr>
        <w:pStyle w:val="RKnormal"/>
        <w:numPr>
          <w:ilvl w:val="0"/>
          <w:numId w:val="1"/>
        </w:numPr>
      </w:pPr>
      <w:r w:rsidRPr="00BD5ED5">
        <w:t xml:space="preserve">om det finns ett adekvat dataskydd, </w:t>
      </w:r>
    </w:p>
    <w:p w:rsidR="00D11B68" w:rsidRPr="00BD5ED5" w:rsidRDefault="00D11B68" w:rsidP="00D11B68">
      <w:pPr>
        <w:pStyle w:val="RKnormal"/>
        <w:numPr>
          <w:ilvl w:val="0"/>
          <w:numId w:val="1"/>
        </w:numPr>
      </w:pPr>
      <w:r w:rsidRPr="00BD5ED5">
        <w:t xml:space="preserve">hur viseringsutfärdandet fungerar och </w:t>
      </w:r>
    </w:p>
    <w:p w:rsidR="00D11B68" w:rsidRPr="00BD5ED5" w:rsidRDefault="00D11B68" w:rsidP="00D11B68">
      <w:pPr>
        <w:pStyle w:val="RKnormal"/>
        <w:numPr>
          <w:ilvl w:val="0"/>
          <w:numId w:val="1"/>
        </w:numPr>
      </w:pPr>
      <w:r w:rsidRPr="00BD5ED5">
        <w:t>förmågan att nyttja Schengens informationssystem.</w:t>
      </w:r>
    </w:p>
    <w:p w:rsidR="00D11B68" w:rsidRPr="00BD5ED5" w:rsidRDefault="00D11B68" w:rsidP="00D11B68">
      <w:pPr>
        <w:pStyle w:val="RKnormal"/>
      </w:pPr>
    </w:p>
    <w:p w:rsidR="00D11B68" w:rsidRPr="00BD5ED5" w:rsidRDefault="00D11B68" w:rsidP="00D11B68">
      <w:pPr>
        <w:pStyle w:val="RKnormal"/>
      </w:pPr>
      <w:r w:rsidRPr="00BD5ED5">
        <w:t>Rådsarbetsgruppen med ansvar för Schengenutvärderingar upprättar rapporter över de utvärderade områdena</w:t>
      </w:r>
      <w:r w:rsidR="00CE0C1B" w:rsidRPr="00BD5ED5">
        <w:t>.</w:t>
      </w:r>
      <w:r w:rsidRPr="00BD5ED5">
        <w:t xml:space="preserve"> Med rapporterna som grund bereds sedan </w:t>
      </w:r>
      <w:r w:rsidRPr="00BD5ED5">
        <w:rPr>
          <w:i/>
        </w:rPr>
        <w:t>rådsslutsatser</w:t>
      </w:r>
      <w:r w:rsidRPr="00BD5ED5">
        <w:t xml:space="preserve"> där rådet konstaterar att kandidatlandet </w:t>
      </w:r>
      <w:r w:rsidR="00CE0C1B" w:rsidRPr="00BD5ED5">
        <w:t xml:space="preserve">bedöms </w:t>
      </w:r>
      <w:r w:rsidRPr="00BD5ED5">
        <w:t>ha förutsättningar att tillämpa regelverket på ett korrekt sätt. Där</w:t>
      </w:r>
      <w:r w:rsidR="00CE0C1B" w:rsidRPr="00BD5ED5">
        <w:t xml:space="preserve">med finns förutsättningar att genom ett </w:t>
      </w:r>
      <w:r w:rsidRPr="00BD5ED5">
        <w:rPr>
          <w:i/>
        </w:rPr>
        <w:t>rådsbeslut</w:t>
      </w:r>
      <w:r w:rsidRPr="00BD5ED5">
        <w:t xml:space="preserve"> formellt ange från vilket datum Schengenregelverket ska tillämpas i sin helhet i landet (m.a.o. datumet för när gränskontrollen vid inre gränser upphävs). </w:t>
      </w:r>
    </w:p>
    <w:p w:rsidR="00D11B68" w:rsidRPr="00BD5ED5" w:rsidRDefault="00D11B68" w:rsidP="00D11B68">
      <w:pPr>
        <w:pStyle w:val="RKnormal"/>
      </w:pPr>
    </w:p>
    <w:p w:rsidR="00D11B68" w:rsidRPr="00BD5ED5" w:rsidRDefault="00D11B68" w:rsidP="00D11B68">
      <w:r w:rsidRPr="00BD5ED5">
        <w:t xml:space="preserve">Processen för utvärdering av Bulgariens förmåga att tillämpa Schengenregelverket inleddes 2007-2008. Utvärderingarna är </w:t>
      </w:r>
      <w:r w:rsidR="00A371C3" w:rsidRPr="00BD5ED5">
        <w:t xml:space="preserve">nu </w:t>
      </w:r>
      <w:r w:rsidRPr="00BD5ED5">
        <w:t xml:space="preserve">genomförda och </w:t>
      </w:r>
      <w:r w:rsidR="006B3324" w:rsidRPr="00BD5ED5">
        <w:t xml:space="preserve">utvärderingsteamen har funnit att </w:t>
      </w:r>
      <w:r w:rsidR="00A371C3" w:rsidRPr="00BD5ED5">
        <w:t xml:space="preserve">Bulgarien </w:t>
      </w:r>
      <w:r w:rsidR="006B3324" w:rsidRPr="00BD5ED5">
        <w:t>har förmågan att tillämpa Schengenre</w:t>
      </w:r>
      <w:r w:rsidR="00361BEF" w:rsidRPr="00BD5ED5">
        <w:t xml:space="preserve">gelverket på ett korrekt sätt. </w:t>
      </w:r>
      <w:r w:rsidR="006B3324" w:rsidRPr="00BD5ED5">
        <w:t xml:space="preserve">Därmed är </w:t>
      </w:r>
      <w:r w:rsidR="00CE0C1B" w:rsidRPr="00BD5ED5">
        <w:t xml:space="preserve">de formella </w:t>
      </w:r>
      <w:r w:rsidR="006B3324" w:rsidRPr="00BD5ED5">
        <w:t xml:space="preserve">förutsättningarna uppfyllda för rådet att senare fatta beslut om full tillämpning av regelverket i Bulgarien. </w:t>
      </w:r>
      <w:r w:rsidR="00CE0C1B" w:rsidRPr="00BD5ED5">
        <w:t>När ett sådant beslut kommer fattas avseende Bulgarien är dock oklart.</w:t>
      </w:r>
    </w:p>
    <w:p w:rsidR="001D63FD" w:rsidRPr="00BD5ED5" w:rsidRDefault="001D63FD">
      <w:pPr>
        <w:pStyle w:val="RKrubrik"/>
      </w:pPr>
      <w:r w:rsidRPr="00BD5ED5">
        <w:t>Rättslig grund och beslutsförfarande</w:t>
      </w:r>
    </w:p>
    <w:p w:rsidR="001D63FD" w:rsidRPr="00BD5ED5" w:rsidRDefault="00BE1B97">
      <w:pPr>
        <w:pStyle w:val="RKnormal"/>
      </w:pPr>
      <w:r w:rsidRPr="00BD5ED5">
        <w:t xml:space="preserve">Rådsslutsatser </w:t>
      </w:r>
      <w:r w:rsidR="006B3324" w:rsidRPr="00BD5ED5">
        <w:t>antas med enhällighet</w:t>
      </w:r>
      <w:r w:rsidR="00140B6E" w:rsidRPr="00BD5ED5">
        <w:t>. De är inte rättsligt bindande.</w:t>
      </w:r>
      <w:r w:rsidR="006B3324" w:rsidRPr="00BD5ED5">
        <w:t xml:space="preserve"> </w:t>
      </w:r>
    </w:p>
    <w:p w:rsidR="001D63FD" w:rsidRPr="00BD5ED5" w:rsidRDefault="001D63FD">
      <w:pPr>
        <w:pStyle w:val="RKrubrik"/>
        <w:rPr>
          <w:i/>
          <w:iCs/>
        </w:rPr>
      </w:pPr>
      <w:r w:rsidRPr="00BD5ED5">
        <w:rPr>
          <w:i/>
          <w:iCs/>
        </w:rPr>
        <w:t>Svensk ståndpunkt</w:t>
      </w:r>
    </w:p>
    <w:p w:rsidR="00276C95" w:rsidRPr="00BD5ED5" w:rsidRDefault="00CC4E21" w:rsidP="00276C95">
      <w:pPr>
        <w:pStyle w:val="RKnormal"/>
        <w:rPr>
          <w:rFonts w:cs="OrigGarmnd BT"/>
          <w:color w:val="000000"/>
          <w:szCs w:val="24"/>
        </w:rPr>
      </w:pPr>
      <w:r w:rsidRPr="00BD5ED5">
        <w:rPr>
          <w:rFonts w:cs="OrigGarmnd BT"/>
          <w:color w:val="000000"/>
          <w:szCs w:val="24"/>
        </w:rPr>
        <w:t>Sverige kan godkänna rådsslutsatser som formellt avslutar utvärderingsprocessen avseende Bulgarien och konstaterar att Bulgarien visat sig redo att tillämpa Schengenregelverket på ett korrekt sätt.</w:t>
      </w:r>
      <w:r w:rsidR="006B3324" w:rsidRPr="00BD5ED5">
        <w:rPr>
          <w:rFonts w:cs="OrigGarmnd BT"/>
          <w:color w:val="000000"/>
          <w:szCs w:val="24"/>
        </w:rPr>
        <w:t xml:space="preserve"> </w:t>
      </w:r>
    </w:p>
    <w:p w:rsidR="001D63FD" w:rsidRPr="00BD5ED5" w:rsidRDefault="001D63FD">
      <w:pPr>
        <w:pStyle w:val="RKrubrik"/>
      </w:pPr>
      <w:r w:rsidRPr="00BD5ED5">
        <w:t>Europaparlamentets inställning</w:t>
      </w:r>
    </w:p>
    <w:p w:rsidR="001D63FD" w:rsidRPr="00BD5ED5" w:rsidRDefault="00BE1B97">
      <w:pPr>
        <w:pStyle w:val="RKnormal"/>
      </w:pPr>
      <w:r w:rsidRPr="00BD5ED5">
        <w:t>Europaparlamentet</w:t>
      </w:r>
      <w:r w:rsidR="006B3324" w:rsidRPr="00BD5ED5">
        <w:t>s LIBE-</w:t>
      </w:r>
      <w:r w:rsidR="00CC4E21" w:rsidRPr="00BD5ED5">
        <w:t>utskott</w:t>
      </w:r>
      <w:r w:rsidR="006B3324" w:rsidRPr="00BD5ED5">
        <w:t xml:space="preserve"> har förordat en anslutning av Bulgarien till Schengenområdet. Parlamentets omröstning i frågan är planerad till början av juni. </w:t>
      </w:r>
      <w:r w:rsidRPr="00BD5ED5">
        <w:t xml:space="preserve"> </w:t>
      </w:r>
    </w:p>
    <w:p w:rsidR="001D63FD" w:rsidRPr="00BD5ED5" w:rsidRDefault="001D63FD">
      <w:pPr>
        <w:pStyle w:val="RKrubrik"/>
        <w:rPr>
          <w:i/>
          <w:iCs/>
        </w:rPr>
      </w:pPr>
      <w:r w:rsidRPr="00BD5ED5">
        <w:rPr>
          <w:i/>
          <w:iCs/>
        </w:rPr>
        <w:t>Förslaget</w:t>
      </w:r>
    </w:p>
    <w:p w:rsidR="00140B6E" w:rsidRPr="00BD5ED5" w:rsidRDefault="00361BEF" w:rsidP="00140B6E">
      <w:pPr>
        <w:pStyle w:val="RKnormal"/>
        <w:rPr>
          <w:rFonts w:cs="OrigGarmnd BT"/>
          <w:color w:val="000000"/>
          <w:szCs w:val="24"/>
        </w:rPr>
      </w:pPr>
      <w:r w:rsidRPr="00BD5ED5">
        <w:t xml:space="preserve">Ordförandeskapet </w:t>
      </w:r>
      <w:r w:rsidR="00140B6E" w:rsidRPr="00BD5ED5">
        <w:t xml:space="preserve">har presenterat ett utkast till </w:t>
      </w:r>
      <w:r w:rsidR="00140B6E" w:rsidRPr="00BD5ED5">
        <w:rPr>
          <w:rFonts w:cs="OrigGarmnd BT"/>
          <w:color w:val="000000"/>
          <w:szCs w:val="24"/>
        </w:rPr>
        <w:t xml:space="preserve">rådsslutsatser som formellt avslutar utvärderingsprocessen avseende Bulgarien och konstaterar att Bulgarien visat sig redo att tillämpa Schengenregelverket på ett korrekt sätt. </w:t>
      </w:r>
    </w:p>
    <w:p w:rsidR="00140B6E" w:rsidRPr="00BD5ED5" w:rsidRDefault="00140B6E" w:rsidP="00140B6E">
      <w:pPr>
        <w:pStyle w:val="RKnormal"/>
        <w:rPr>
          <w:rFonts w:cs="OrigGarmnd BT"/>
          <w:color w:val="000000"/>
          <w:szCs w:val="24"/>
        </w:rPr>
      </w:pPr>
    </w:p>
    <w:p w:rsidR="00140B6E" w:rsidRPr="00BD5ED5" w:rsidRDefault="00140B6E" w:rsidP="00140B6E">
      <w:pPr>
        <w:pStyle w:val="RKnormal"/>
        <w:rPr>
          <w:rFonts w:cs="OrigGarmnd BT"/>
          <w:color w:val="000000"/>
          <w:szCs w:val="24"/>
        </w:rPr>
      </w:pPr>
      <w:r w:rsidRPr="00BD5ED5">
        <w:rPr>
          <w:rFonts w:cs="OrigGarmnd BT"/>
          <w:color w:val="000000"/>
          <w:szCs w:val="24"/>
        </w:rPr>
        <w:t>I utkastet till rådsslutsatser finner man också information om resultatet per utvärderingsområde.</w:t>
      </w:r>
    </w:p>
    <w:p w:rsidR="001D63FD" w:rsidRPr="00BD5ED5" w:rsidRDefault="001D63FD" w:rsidP="00BE1B97">
      <w:pPr>
        <w:pStyle w:val="RKrubrik"/>
      </w:pPr>
      <w:r w:rsidRPr="00BD5ED5">
        <w:t>Gällande svenska regler och förslagets effekter på dessa</w:t>
      </w:r>
    </w:p>
    <w:p w:rsidR="00BE1B97" w:rsidRPr="00BD5ED5" w:rsidRDefault="00BE1B97" w:rsidP="00BE1B97">
      <w:pPr>
        <w:pStyle w:val="RKnormal"/>
      </w:pPr>
      <w:r w:rsidRPr="00BD5ED5">
        <w:t xml:space="preserve">De bestämmelser som reglerar Sveriges förhållande till övriga Schengenstater behöver inte justeras med anledning av att ett EU-medlemsland ansluts till samarbetet. </w:t>
      </w:r>
    </w:p>
    <w:p w:rsidR="001D63FD" w:rsidRPr="00BD5ED5" w:rsidRDefault="001D63FD" w:rsidP="00BE1B97">
      <w:pPr>
        <w:pStyle w:val="RKrubrik"/>
      </w:pPr>
      <w:r w:rsidRPr="00BD5ED5">
        <w:t>Ekonomiska konsekvenser</w:t>
      </w:r>
    </w:p>
    <w:p w:rsidR="00BE1B97" w:rsidRPr="00BD5ED5" w:rsidRDefault="00CE0C1B" w:rsidP="00BE1B97">
      <w:pPr>
        <w:pStyle w:val="RKnormal"/>
      </w:pPr>
      <w:r w:rsidRPr="00BD5ED5">
        <w:t>Antagandet av rådsslutsatserna och en möjlig senare a</w:t>
      </w:r>
      <w:r w:rsidR="00BE1B97" w:rsidRPr="00BD5ED5">
        <w:t xml:space="preserve">nslutning torde </w:t>
      </w:r>
      <w:r w:rsidR="00CC4E21" w:rsidRPr="00BD5ED5">
        <w:t xml:space="preserve">inte medföra några </w:t>
      </w:r>
      <w:r w:rsidR="00BE1B97" w:rsidRPr="00BD5ED5">
        <w:t xml:space="preserve">ekonomiska konsekvenser för Sverige. </w:t>
      </w:r>
    </w:p>
    <w:p w:rsidR="001D63FD" w:rsidRPr="00BD5ED5" w:rsidRDefault="001D63FD">
      <w:pPr>
        <w:pStyle w:val="RKrubrik"/>
      </w:pPr>
      <w:r w:rsidRPr="00BD5ED5">
        <w:t>Övrigt</w:t>
      </w:r>
    </w:p>
    <w:p w:rsidR="001D63FD" w:rsidRPr="00BD5ED5" w:rsidRDefault="00BE1B97">
      <w:pPr>
        <w:pStyle w:val="RKnormal"/>
      </w:pPr>
      <w:r w:rsidRPr="00BD5ED5">
        <w:t>-</w:t>
      </w:r>
    </w:p>
    <w:p w:rsidR="001D63FD" w:rsidRPr="00BD5ED5" w:rsidRDefault="001D63FD">
      <w:pPr>
        <w:pStyle w:val="RKnormal"/>
        <w:rPr>
          <w:i/>
          <w:iCs/>
        </w:rPr>
      </w:pPr>
    </w:p>
    <w:p w:rsidR="001D63FD" w:rsidRPr="00BD5ED5" w:rsidRDefault="001D63FD">
      <w:pPr>
        <w:pStyle w:val="RKnormal"/>
        <w:ind w:left="-1134"/>
      </w:pPr>
    </w:p>
    <w:p w:rsidR="006E4E11" w:rsidRPr="00BD5ED5" w:rsidRDefault="006E4E11">
      <w:pPr>
        <w:pStyle w:val="RKrubrik"/>
        <w:spacing w:before="0" w:after="0"/>
      </w:pPr>
    </w:p>
    <w:p w:rsidR="006E4E11" w:rsidRPr="00BD5ED5" w:rsidRDefault="006E4E11">
      <w:pPr>
        <w:pStyle w:val="RKnormal"/>
      </w:pPr>
    </w:p>
    <w:p w:rsidR="001D63FD" w:rsidRPr="00BD5ED5" w:rsidRDefault="001D63FD">
      <w:pPr>
        <w:pStyle w:val="RKnormal"/>
      </w:pPr>
    </w:p>
    <w:sectPr w:rsidR="001D63FD" w:rsidRPr="00BD5E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B7A" w:rsidRPr="00BD5ED5" w:rsidRDefault="008E1B7A">
      <w:r w:rsidRPr="00BD5ED5">
        <w:separator/>
      </w:r>
    </w:p>
  </w:endnote>
  <w:endnote w:type="continuationSeparator" w:id="0">
    <w:p w:rsidR="008E1B7A" w:rsidRPr="00BD5ED5" w:rsidRDefault="008E1B7A">
      <w:r w:rsidRPr="00BD5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B7A" w:rsidRPr="00BD5ED5" w:rsidRDefault="008E1B7A">
      <w:r w:rsidRPr="00BD5ED5">
        <w:separator/>
      </w:r>
    </w:p>
  </w:footnote>
  <w:footnote w:type="continuationSeparator" w:id="0">
    <w:p w:rsidR="008E1B7A" w:rsidRPr="00BD5ED5" w:rsidRDefault="008E1B7A">
      <w:r w:rsidRPr="00BD5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C5" w:rsidRPr="00BD5ED5" w:rsidRDefault="00F16AC5">
    <w:pPr>
      <w:pStyle w:val="Sidhuvud"/>
      <w:framePr w:wrap="around" w:vAnchor="text" w:hAnchor="margin" w:xAlign="right" w:y="1"/>
      <w:rPr>
        <w:rStyle w:val="Sidnummer"/>
      </w:rPr>
    </w:pPr>
    <w:r w:rsidRPr="00BD5ED5">
      <w:rPr>
        <w:rStyle w:val="Sidnummer"/>
      </w:rPr>
      <w:fldChar w:fldCharType="begin" w:fldLock="1"/>
    </w:r>
    <w:r w:rsidRPr="00BD5ED5">
      <w:rPr>
        <w:rStyle w:val="Sidnummer"/>
      </w:rPr>
      <w:instrText xml:space="preserve">PAGE  </w:instrText>
    </w:r>
    <w:r w:rsidRPr="00BD5ED5">
      <w:rPr>
        <w:rStyle w:val="Sidnummer"/>
      </w:rPr>
      <w:fldChar w:fldCharType="separate"/>
    </w:r>
    <w:r w:rsidR="00BE2274" w:rsidRPr="00BD5ED5">
      <w:rPr>
        <w:rStyle w:val="Sidnummer"/>
      </w:rPr>
      <w:t>2</w:t>
    </w:r>
    <w:r w:rsidRPr="00BD5E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6AC5" w:rsidRPr="00BD5ED5">
      <w:tblPrEx>
        <w:tblCellMar>
          <w:top w:w="0" w:type="dxa"/>
          <w:bottom w:w="0" w:type="dxa"/>
        </w:tblCellMar>
      </w:tblPrEx>
      <w:trPr>
        <w:cantSplit/>
      </w:trPr>
      <w:tc>
        <w:tcPr>
          <w:tcW w:w="3119" w:type="dxa"/>
        </w:tcPr>
        <w:p w:rsidR="00F16AC5" w:rsidRPr="00BD5ED5" w:rsidRDefault="00F16AC5">
          <w:pPr>
            <w:pStyle w:val="Sidhuvud"/>
            <w:spacing w:line="200" w:lineRule="atLeast"/>
            <w:ind w:right="357"/>
            <w:rPr>
              <w:rFonts w:ascii="TradeGothic" w:hAnsi="TradeGothic"/>
              <w:b/>
              <w:bCs/>
              <w:sz w:val="16"/>
            </w:rPr>
          </w:pPr>
        </w:p>
      </w:tc>
      <w:tc>
        <w:tcPr>
          <w:tcW w:w="4111" w:type="dxa"/>
          <w:tcMar>
            <w:left w:w="567" w:type="dxa"/>
          </w:tcMar>
        </w:tcPr>
        <w:p w:rsidR="00F16AC5" w:rsidRPr="00BD5ED5" w:rsidRDefault="00F16AC5">
          <w:pPr>
            <w:pStyle w:val="Sidhuvud"/>
            <w:ind w:right="360"/>
          </w:pPr>
        </w:p>
      </w:tc>
      <w:tc>
        <w:tcPr>
          <w:tcW w:w="1525" w:type="dxa"/>
        </w:tcPr>
        <w:p w:rsidR="00F16AC5" w:rsidRPr="00BD5ED5" w:rsidRDefault="00F16AC5">
          <w:pPr>
            <w:pStyle w:val="Sidhuvud"/>
            <w:ind w:right="360"/>
          </w:pPr>
        </w:p>
      </w:tc>
    </w:tr>
  </w:tbl>
  <w:p w:rsidR="00F16AC5" w:rsidRPr="00BD5ED5" w:rsidRDefault="00F16A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C5" w:rsidRPr="00BD5ED5" w:rsidRDefault="00F16AC5">
    <w:pPr>
      <w:pStyle w:val="Sidhuvud"/>
      <w:framePr w:wrap="around" w:vAnchor="text" w:hAnchor="margin" w:xAlign="right" w:y="1"/>
      <w:rPr>
        <w:rStyle w:val="Sidnummer"/>
      </w:rPr>
    </w:pPr>
    <w:r w:rsidRPr="00BD5ED5">
      <w:rPr>
        <w:rStyle w:val="Sidnummer"/>
      </w:rPr>
      <w:fldChar w:fldCharType="begin" w:fldLock="1"/>
    </w:r>
    <w:r w:rsidRPr="00BD5ED5">
      <w:rPr>
        <w:rStyle w:val="Sidnummer"/>
      </w:rPr>
      <w:instrText xml:space="preserve">PAGE  </w:instrText>
    </w:r>
    <w:r w:rsidRPr="00BD5ED5">
      <w:rPr>
        <w:rStyle w:val="Sidnummer"/>
      </w:rPr>
      <w:fldChar w:fldCharType="separate"/>
    </w:r>
    <w:r w:rsidR="00BE2274" w:rsidRPr="00BD5ED5">
      <w:rPr>
        <w:rStyle w:val="Sidnummer"/>
      </w:rPr>
      <w:t>3</w:t>
    </w:r>
    <w:r w:rsidRPr="00BD5ED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16AC5" w:rsidRPr="00BD5ED5">
      <w:tblPrEx>
        <w:tblCellMar>
          <w:top w:w="0" w:type="dxa"/>
          <w:bottom w:w="0" w:type="dxa"/>
        </w:tblCellMar>
      </w:tblPrEx>
      <w:trPr>
        <w:cantSplit/>
      </w:trPr>
      <w:tc>
        <w:tcPr>
          <w:tcW w:w="3119" w:type="dxa"/>
        </w:tcPr>
        <w:p w:rsidR="00F16AC5" w:rsidRPr="00BD5ED5" w:rsidRDefault="00F16AC5">
          <w:pPr>
            <w:pStyle w:val="Sidhuvud"/>
            <w:spacing w:line="200" w:lineRule="atLeast"/>
            <w:ind w:right="357"/>
            <w:rPr>
              <w:rFonts w:ascii="TradeGothic" w:hAnsi="TradeGothic"/>
              <w:b/>
              <w:bCs/>
              <w:sz w:val="16"/>
            </w:rPr>
          </w:pPr>
        </w:p>
      </w:tc>
      <w:tc>
        <w:tcPr>
          <w:tcW w:w="4111" w:type="dxa"/>
          <w:tcMar>
            <w:left w:w="567" w:type="dxa"/>
          </w:tcMar>
        </w:tcPr>
        <w:p w:rsidR="00F16AC5" w:rsidRPr="00BD5ED5" w:rsidRDefault="00F16AC5">
          <w:pPr>
            <w:pStyle w:val="Sidhuvud"/>
            <w:ind w:right="360"/>
          </w:pPr>
        </w:p>
      </w:tc>
      <w:tc>
        <w:tcPr>
          <w:tcW w:w="1525" w:type="dxa"/>
        </w:tcPr>
        <w:p w:rsidR="00F16AC5" w:rsidRPr="00BD5ED5" w:rsidRDefault="00F16AC5">
          <w:pPr>
            <w:pStyle w:val="Sidhuvud"/>
            <w:ind w:right="360"/>
          </w:pPr>
        </w:p>
      </w:tc>
    </w:tr>
  </w:tbl>
  <w:p w:rsidR="00F16AC5" w:rsidRPr="00BD5ED5" w:rsidRDefault="00F16A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AC5" w:rsidRPr="00BD5ED5" w:rsidRDefault="00BD5ED5">
    <w:pPr>
      <w:framePr w:w="2948" w:h="1321" w:hRule="exact" w:wrap="notBeside" w:vAnchor="page" w:hAnchor="page" w:x="1362" w:y="653"/>
    </w:pPr>
    <w:r w:rsidRPr="00BD5ED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6AC5" w:rsidRPr="00BD5ED5" w:rsidRDefault="00F16AC5">
    <w:pPr>
      <w:pStyle w:val="RKrubrik"/>
      <w:keepNext w:val="0"/>
      <w:tabs>
        <w:tab w:val="clear" w:pos="1134"/>
        <w:tab w:val="clear" w:pos="2835"/>
      </w:tabs>
      <w:spacing w:before="0" w:after="0" w:line="320" w:lineRule="atLeast"/>
      <w:rPr>
        <w:bCs/>
      </w:rPr>
    </w:pPr>
  </w:p>
  <w:p w:rsidR="00F16AC5" w:rsidRPr="00BD5ED5" w:rsidRDefault="00F16AC5">
    <w:pPr>
      <w:rPr>
        <w:rFonts w:ascii="TradeGothic" w:hAnsi="TradeGothic"/>
        <w:b/>
        <w:bCs/>
        <w:spacing w:val="12"/>
        <w:sz w:val="22"/>
      </w:rPr>
    </w:pPr>
  </w:p>
  <w:p w:rsidR="00F16AC5" w:rsidRPr="00BD5ED5" w:rsidRDefault="00F16AC5">
    <w:pPr>
      <w:pStyle w:val="RKrubrik"/>
      <w:keepNext w:val="0"/>
      <w:tabs>
        <w:tab w:val="clear" w:pos="1134"/>
        <w:tab w:val="clear" w:pos="2835"/>
      </w:tabs>
      <w:spacing w:before="0" w:after="0" w:line="320" w:lineRule="atLeast"/>
      <w:rPr>
        <w:bCs/>
      </w:rPr>
    </w:pPr>
  </w:p>
  <w:p w:rsidR="00F16AC5" w:rsidRPr="00BD5ED5" w:rsidRDefault="00F16AC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44226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5C2D"/>
    <w:rsid w:val="000D337A"/>
    <w:rsid w:val="00115B7F"/>
    <w:rsid w:val="00140B6E"/>
    <w:rsid w:val="00150384"/>
    <w:rsid w:val="001805B7"/>
    <w:rsid w:val="001D63FD"/>
    <w:rsid w:val="00270A98"/>
    <w:rsid w:val="00276C95"/>
    <w:rsid w:val="00361BEF"/>
    <w:rsid w:val="003D2FB7"/>
    <w:rsid w:val="003E070F"/>
    <w:rsid w:val="0043534D"/>
    <w:rsid w:val="004A328D"/>
    <w:rsid w:val="006B3324"/>
    <w:rsid w:val="006E1C00"/>
    <w:rsid w:val="006E4E11"/>
    <w:rsid w:val="007242A3"/>
    <w:rsid w:val="007B6062"/>
    <w:rsid w:val="008E1B7A"/>
    <w:rsid w:val="009F0522"/>
    <w:rsid w:val="00A35BD1"/>
    <w:rsid w:val="00A371C3"/>
    <w:rsid w:val="00AE2D17"/>
    <w:rsid w:val="00BB3713"/>
    <w:rsid w:val="00BD5ED5"/>
    <w:rsid w:val="00BE1B97"/>
    <w:rsid w:val="00BE2274"/>
    <w:rsid w:val="00BF61C3"/>
    <w:rsid w:val="00CC4E21"/>
    <w:rsid w:val="00CE0C1B"/>
    <w:rsid w:val="00D11B68"/>
    <w:rsid w:val="00D41D93"/>
    <w:rsid w:val="00DC190D"/>
    <w:rsid w:val="00EC25F9"/>
    <w:rsid w:val="00F16AC5"/>
    <w:rsid w:val="00F32C4F"/>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F354DD-5ABD-4769-B6CE-06E55FA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11B6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4038</Characters>
  <Application>Microsoft Office Word</Application>
  <DocSecurity>4</DocSecurity>
  <Lines>122</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2011-06-01T13:13:00Z</cp:lastPrinted>
  <dcterms:created xsi:type="dcterms:W3CDTF">2025-12-18T03:59:00Z</dcterms:created>
  <dcterms:modified xsi:type="dcterms:W3CDTF">2025-12-18T03:59:00Z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