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4E5" w:rsidRPr="006A42CC" w:rsidRDefault="00FA64E5">
      <w:pPr>
        <w:pStyle w:val="Hemstlrubrik"/>
        <w:shd w:val="clear" w:color="000000" w:fill="auto"/>
      </w:pPr>
      <w:r w:rsidRPr="006A42CC">
        <w:t>Förslag till riksdagsbeslut</w:t>
      </w:r>
    </w:p>
    <w:p w:rsidR="00FA64E5" w:rsidRPr="006A42CC" w:rsidRDefault="00FA64E5">
      <w:pPr>
        <w:pStyle w:val="Hemstlatt"/>
        <w:numPr>
          <w:ilvl w:val="0"/>
          <w:numId w:val="1"/>
        </w:numPr>
        <w:shd w:val="clear" w:color="000000" w:fill="auto"/>
      </w:pPr>
      <w:r w:rsidRPr="006A42CC">
        <w:t>Riksdagen avslår regeringens förslag till nytt mål för politikområdet Näringspolitik och regeringens förslag att upphäva nuvarande mål för politikområdet.</w:t>
      </w:r>
    </w:p>
    <w:p w:rsidR="00FA64E5" w:rsidRPr="006A42CC" w:rsidRDefault="00FA64E5">
      <w:pPr>
        <w:pStyle w:val="Hemstlatt"/>
        <w:numPr>
          <w:ilvl w:val="0"/>
          <w:numId w:val="1"/>
        </w:numPr>
        <w:shd w:val="clear" w:color="000000" w:fill="auto"/>
      </w:pPr>
      <w:r w:rsidRPr="006A42CC">
        <w:t>Riksdagen avslår regeringens förslag att regeringen under 2008 ska vidta åtgärder för en förbättrad kapitalstruktur i statligt ägda bolag enligt de villkor som regeringen förordar.</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att regeringen ska verka för att kvinnor och personer med utländsk bakgrund i större utsträckning inkluderas i de allmänna företagsfrämjande insatserna.</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att regeringen löpande bör följa upp i vilken mån statens samlade företagsfrämjande åtgärder kommer kvinnor och personer med utländsk bakgrund till del.</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åtgärder för att stärka småföretagarnas tryg</w:t>
      </w:r>
      <w:r w:rsidRPr="006A42CC">
        <w:t>g</w:t>
      </w:r>
      <w:r w:rsidRPr="006A42CC">
        <w:t>het.</w:t>
      </w:r>
      <w:r w:rsidRPr="006A42CC">
        <w:rPr>
          <w:vertAlign w:val="superscript"/>
        </w:rPr>
        <w:t>1</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att öka tillgången på riskkapital.</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besöksnäringens utveckling.</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konkreta åtgärder för regelförenklin</w:t>
      </w:r>
      <w:r w:rsidRPr="006A42CC">
        <w:t>g</w:t>
      </w:r>
      <w:r w:rsidRPr="006A42CC">
        <w:t>ar.</w:t>
      </w:r>
    </w:p>
    <w:p w:rsidR="00FA64E5" w:rsidRPr="006A42CC" w:rsidRDefault="00FA64E5">
      <w:pPr>
        <w:pStyle w:val="Hemstlatt"/>
        <w:numPr>
          <w:ilvl w:val="0"/>
          <w:numId w:val="1"/>
        </w:numPr>
        <w:shd w:val="clear" w:color="000000" w:fill="auto"/>
      </w:pPr>
      <w:r w:rsidRPr="006A42CC">
        <w:t>Riksdagen tillkännager för regeringen som sin mening vad som anförs i motionen om konkurrenspolitik.</w:t>
      </w:r>
    </w:p>
    <w:p w:rsidR="00FA64E5" w:rsidRPr="006A42CC" w:rsidRDefault="00FA64E5">
      <w:pPr>
        <w:pStyle w:val="Hemstlatt"/>
        <w:numPr>
          <w:ilvl w:val="0"/>
          <w:numId w:val="1"/>
        </w:numPr>
        <w:shd w:val="clear" w:color="000000" w:fill="auto"/>
      </w:pPr>
      <w:r w:rsidRPr="006A42CC">
        <w:lastRenderedPageBreak/>
        <w:t>Riksdagen anvisar med följande förändringar i förhållande till regeringens förslag anslagen under utgiftsområde 24 Näringsliv enligt uppställning:</w:t>
      </w:r>
      <w:r w:rsidRPr="006A42CC">
        <w:br/>
      </w:r>
      <w:r w:rsidRPr="006A42CC">
        <w:br/>
      </w:r>
      <w:r w:rsidRPr="006A42CC">
        <w:br/>
      </w:r>
      <w:r w:rsidRPr="006A42CC">
        <w:br/>
      </w:r>
    </w:p>
    <w:tbl>
      <w:tblPr>
        <w:tblW w:w="6222" w:type="dxa"/>
        <w:tblLayout w:type="fixed"/>
        <w:tblCellMar>
          <w:left w:w="70" w:type="dxa"/>
          <w:right w:w="70" w:type="dxa"/>
        </w:tblCellMar>
        <w:tblLook w:val="0000" w:firstRow="0" w:lastRow="0" w:firstColumn="0" w:lastColumn="0" w:noHBand="0" w:noVBand="0"/>
      </w:tblPr>
      <w:tblGrid>
        <w:gridCol w:w="2110"/>
        <w:gridCol w:w="3150"/>
        <w:gridCol w:w="476"/>
        <w:gridCol w:w="486"/>
      </w:tblGrid>
      <w:tr w:rsidR="00000000" w:rsidRPr="006A42CC">
        <w:tc>
          <w:tcPr>
            <w:tcW w:w="2110" w:type="dxa"/>
            <w:tcBorders>
              <w:top w:val="single" w:sz="4" w:space="0" w:color="auto"/>
              <w:bottom w:val="single" w:sz="4" w:space="0" w:color="auto"/>
            </w:tcBorders>
          </w:tcPr>
          <w:p w:rsidR="00FA64E5" w:rsidRPr="006A42CC" w:rsidRDefault="00FA64E5">
            <w:pPr>
              <w:shd w:val="clear" w:color="000000" w:fill="auto"/>
              <w:spacing w:before="60" w:after="100" w:afterAutospacing="1" w:line="200" w:lineRule="exact"/>
              <w:rPr>
                <w:b/>
                <w:color w:val="000000"/>
                <w:sz w:val="16"/>
                <w:szCs w:val="16"/>
              </w:rPr>
            </w:pPr>
            <w:r w:rsidRPr="006A42CC">
              <w:rPr>
                <w:b/>
                <w:color w:val="000000"/>
                <w:sz w:val="16"/>
                <w:szCs w:val="16"/>
              </w:rPr>
              <w:t>Anslag, miljoner kronor</w:t>
            </w:r>
          </w:p>
        </w:tc>
        <w:tc>
          <w:tcPr>
            <w:tcW w:w="3150" w:type="dxa"/>
            <w:tcBorders>
              <w:top w:val="single" w:sz="4" w:space="0" w:color="auto"/>
              <w:bottom w:val="single" w:sz="4" w:space="0" w:color="auto"/>
            </w:tcBorders>
          </w:tcPr>
          <w:p w:rsidR="00FA64E5" w:rsidRPr="006A42CC" w:rsidRDefault="00FA64E5">
            <w:pPr>
              <w:shd w:val="clear" w:color="000000" w:fill="auto"/>
              <w:spacing w:before="60" w:line="200" w:lineRule="exact"/>
              <w:rPr>
                <w:b/>
                <w:sz w:val="16"/>
                <w:szCs w:val="16"/>
              </w:rPr>
            </w:pPr>
            <w:r w:rsidRPr="006A42CC">
              <w:rPr>
                <w:b/>
                <w:sz w:val="16"/>
                <w:szCs w:val="16"/>
              </w:rPr>
              <w:t>2008</w:t>
            </w:r>
          </w:p>
        </w:tc>
        <w:tc>
          <w:tcPr>
            <w:tcW w:w="476" w:type="dxa"/>
            <w:tcBorders>
              <w:top w:val="single" w:sz="4" w:space="0" w:color="auto"/>
              <w:bottom w:val="single" w:sz="4" w:space="0" w:color="auto"/>
            </w:tcBorders>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2009</w:t>
            </w:r>
          </w:p>
        </w:tc>
        <w:tc>
          <w:tcPr>
            <w:tcW w:w="486" w:type="dxa"/>
            <w:tcBorders>
              <w:top w:val="single" w:sz="4" w:space="0" w:color="auto"/>
              <w:bottom w:val="single" w:sz="4" w:space="0" w:color="auto"/>
            </w:tcBorders>
          </w:tcPr>
          <w:p w:rsidR="00FA64E5" w:rsidRPr="006A42CC" w:rsidRDefault="00FA64E5">
            <w:pPr>
              <w:shd w:val="clear" w:color="000000" w:fill="auto"/>
              <w:spacing w:before="60" w:line="200" w:lineRule="exact"/>
              <w:jc w:val="right"/>
              <w:rPr>
                <w:b/>
                <w:sz w:val="16"/>
                <w:szCs w:val="16"/>
              </w:rPr>
            </w:pPr>
            <w:r w:rsidRPr="006A42CC">
              <w:rPr>
                <w:b/>
                <w:sz w:val="16"/>
                <w:szCs w:val="16"/>
              </w:rPr>
              <w:t>2010</w:t>
            </w:r>
          </w:p>
        </w:tc>
      </w:tr>
      <w:tr w:rsidR="00000000" w:rsidRPr="006A42CC">
        <w:tc>
          <w:tcPr>
            <w:tcW w:w="2110" w:type="dxa"/>
            <w:tcBorders>
              <w:top w:val="single" w:sz="4" w:space="0" w:color="auto"/>
            </w:tcBorders>
          </w:tcPr>
          <w:p w:rsidR="00FA64E5" w:rsidRPr="006A42CC" w:rsidRDefault="00FA64E5">
            <w:pPr>
              <w:shd w:val="clear" w:color="000000" w:fill="auto"/>
              <w:spacing w:before="40" w:line="180" w:lineRule="exact"/>
              <w:ind w:right="227"/>
              <w:rPr>
                <w:b/>
                <w:sz w:val="16"/>
                <w:szCs w:val="16"/>
              </w:rPr>
            </w:pPr>
            <w:r w:rsidRPr="006A42CC">
              <w:rPr>
                <w:b/>
                <w:sz w:val="16"/>
                <w:szCs w:val="16"/>
              </w:rPr>
              <w:t>26:2 Verket för innov</w:t>
            </w:r>
            <w:r w:rsidRPr="006A42CC">
              <w:rPr>
                <w:b/>
                <w:sz w:val="16"/>
                <w:szCs w:val="16"/>
              </w:rPr>
              <w:t>a</w:t>
            </w:r>
            <w:r w:rsidRPr="006A42CC">
              <w:rPr>
                <w:b/>
                <w:sz w:val="16"/>
                <w:szCs w:val="16"/>
              </w:rPr>
              <w:t>tionssystem: Forskning och utveckling</w:t>
            </w:r>
          </w:p>
        </w:tc>
        <w:tc>
          <w:tcPr>
            <w:tcW w:w="3150" w:type="dxa"/>
            <w:tcBorders>
              <w:top w:val="single" w:sz="4" w:space="0" w:color="auto"/>
            </w:tcBorders>
          </w:tcPr>
          <w:p w:rsidR="00FA64E5" w:rsidRPr="006A42CC" w:rsidRDefault="00FA64E5">
            <w:pPr>
              <w:shd w:val="clear" w:color="000000" w:fill="auto"/>
              <w:autoSpaceDE w:val="0"/>
              <w:autoSpaceDN w:val="0"/>
              <w:adjustRightInd w:val="0"/>
              <w:spacing w:before="40" w:line="180" w:lineRule="exact"/>
              <w:rPr>
                <w:sz w:val="16"/>
                <w:szCs w:val="16"/>
              </w:rPr>
            </w:pPr>
            <w:r w:rsidRPr="006A42CC">
              <w:rPr>
                <w:b/>
                <w:sz w:val="16"/>
                <w:szCs w:val="16"/>
              </w:rPr>
              <w:t xml:space="preserve">+150 </w:t>
            </w:r>
            <w:r w:rsidRPr="006A42CC">
              <w:rPr>
                <w:b/>
                <w:sz w:val="16"/>
                <w:szCs w:val="16"/>
              </w:rPr>
              <w:br/>
            </w:r>
            <w:r w:rsidRPr="006A42CC">
              <w:rPr>
                <w:sz w:val="16"/>
                <w:szCs w:val="16"/>
              </w:rPr>
              <w:t>Ökningen avser: Forska &amp; Väx +100, med särskild inriktning mot miljöteknik och tjän</w:t>
            </w:r>
            <w:r w:rsidRPr="006A42CC">
              <w:rPr>
                <w:sz w:val="16"/>
                <w:szCs w:val="16"/>
              </w:rPr>
              <w:t>s</w:t>
            </w:r>
            <w:r w:rsidRPr="006A42CC">
              <w:rPr>
                <w:sz w:val="16"/>
                <w:szCs w:val="16"/>
              </w:rPr>
              <w:t>tesektorn. Holdingbolag och inkubatorer vid universitet och högskolor för ökad kommersi</w:t>
            </w:r>
            <w:r w:rsidRPr="006A42CC">
              <w:rPr>
                <w:sz w:val="16"/>
                <w:szCs w:val="16"/>
              </w:rPr>
              <w:t>a</w:t>
            </w:r>
            <w:r w:rsidRPr="006A42CC">
              <w:rPr>
                <w:sz w:val="16"/>
                <w:szCs w:val="16"/>
              </w:rPr>
              <w:t>lisering +50</w:t>
            </w:r>
            <w:r w:rsidRPr="006A42CC">
              <w:rPr>
                <w:b/>
                <w:sz w:val="16"/>
                <w:szCs w:val="16"/>
              </w:rPr>
              <w:t xml:space="preserve"> </w:t>
            </w:r>
          </w:p>
        </w:tc>
        <w:tc>
          <w:tcPr>
            <w:tcW w:w="476" w:type="dxa"/>
            <w:tcBorders>
              <w:top w:val="single" w:sz="4" w:space="0" w:color="auto"/>
            </w:tcBorders>
          </w:tcPr>
          <w:p w:rsidR="00FA64E5" w:rsidRPr="006A42CC" w:rsidRDefault="00FA64E5">
            <w:pPr>
              <w:shd w:val="clear" w:color="000000" w:fill="auto"/>
              <w:autoSpaceDE w:val="0"/>
              <w:autoSpaceDN w:val="0"/>
              <w:adjustRightInd w:val="0"/>
              <w:spacing w:before="40" w:line="180" w:lineRule="exact"/>
              <w:ind w:left="-113" w:firstLine="45"/>
              <w:rPr>
                <w:b/>
                <w:sz w:val="16"/>
                <w:szCs w:val="16"/>
              </w:rPr>
            </w:pPr>
            <w:r w:rsidRPr="006A42CC">
              <w:rPr>
                <w:b/>
                <w:sz w:val="16"/>
                <w:szCs w:val="16"/>
              </w:rPr>
              <w:t>+150</w:t>
            </w:r>
          </w:p>
        </w:tc>
        <w:tc>
          <w:tcPr>
            <w:tcW w:w="486" w:type="dxa"/>
            <w:tcBorders>
              <w:top w:val="single" w:sz="4" w:space="0" w:color="auto"/>
            </w:tcBorders>
          </w:tcPr>
          <w:p w:rsidR="00FA64E5" w:rsidRPr="006A42CC" w:rsidRDefault="00FA64E5">
            <w:pPr>
              <w:shd w:val="clear" w:color="000000" w:fill="auto"/>
              <w:autoSpaceDE w:val="0"/>
              <w:autoSpaceDN w:val="0"/>
              <w:adjustRightInd w:val="0"/>
              <w:spacing w:before="40" w:line="180" w:lineRule="exact"/>
              <w:rPr>
                <w:b/>
                <w:sz w:val="16"/>
                <w:szCs w:val="16"/>
              </w:rPr>
            </w:pPr>
            <w:r w:rsidRPr="006A42CC">
              <w:rPr>
                <w:b/>
                <w:sz w:val="16"/>
                <w:szCs w:val="16"/>
              </w:rPr>
              <w:t>+150</w:t>
            </w:r>
          </w:p>
        </w:tc>
      </w:tr>
      <w:tr w:rsidR="00000000" w:rsidRPr="006A42CC">
        <w:tc>
          <w:tcPr>
            <w:tcW w:w="2110" w:type="dxa"/>
          </w:tcPr>
          <w:p w:rsidR="00FA64E5" w:rsidRPr="006A42CC" w:rsidRDefault="00FA64E5">
            <w:pPr>
              <w:shd w:val="clear" w:color="000000" w:fill="auto"/>
              <w:spacing w:before="60" w:line="200" w:lineRule="exact"/>
              <w:ind w:right="113"/>
              <w:rPr>
                <w:b/>
                <w:sz w:val="16"/>
                <w:szCs w:val="16"/>
              </w:rPr>
            </w:pPr>
            <w:r w:rsidRPr="006A42CC">
              <w:rPr>
                <w:b/>
                <w:sz w:val="16"/>
                <w:szCs w:val="16"/>
              </w:rPr>
              <w:t>38:2 Näringslivsutveckling m.m.</w:t>
            </w:r>
          </w:p>
        </w:tc>
        <w:tc>
          <w:tcPr>
            <w:tcW w:w="3150" w:type="dxa"/>
          </w:tcPr>
          <w:p w:rsidR="00FA64E5" w:rsidRPr="006A42CC" w:rsidRDefault="00FA64E5">
            <w:pPr>
              <w:shd w:val="clear" w:color="000000" w:fill="auto"/>
              <w:autoSpaceDE w:val="0"/>
              <w:autoSpaceDN w:val="0"/>
              <w:adjustRightInd w:val="0"/>
              <w:spacing w:before="60" w:line="200" w:lineRule="exact"/>
              <w:rPr>
                <w:b/>
                <w:sz w:val="16"/>
                <w:szCs w:val="16"/>
              </w:rPr>
            </w:pPr>
            <w:r w:rsidRPr="006A42CC">
              <w:rPr>
                <w:b/>
                <w:sz w:val="16"/>
                <w:szCs w:val="16"/>
              </w:rPr>
              <w:t xml:space="preserve">+130 </w:t>
            </w:r>
          </w:p>
          <w:p w:rsidR="00FA64E5" w:rsidRPr="006A42CC" w:rsidRDefault="00FA64E5">
            <w:pPr>
              <w:shd w:val="clear" w:color="000000" w:fill="auto"/>
              <w:autoSpaceDE w:val="0"/>
              <w:autoSpaceDN w:val="0"/>
              <w:adjustRightInd w:val="0"/>
              <w:spacing w:before="60" w:line="200" w:lineRule="exact"/>
              <w:ind w:right="227"/>
              <w:rPr>
                <w:sz w:val="16"/>
                <w:szCs w:val="16"/>
              </w:rPr>
            </w:pPr>
            <w:r w:rsidRPr="006A42CC">
              <w:rPr>
                <w:sz w:val="16"/>
                <w:szCs w:val="16"/>
              </w:rPr>
              <w:t xml:space="preserve">Ökningen avser: </w:t>
            </w:r>
            <w:r w:rsidRPr="006A42CC">
              <w:rPr>
                <w:b/>
                <w:sz w:val="16"/>
                <w:szCs w:val="16"/>
              </w:rPr>
              <w:t>Nyföretagartorg</w:t>
            </w:r>
            <w:r w:rsidRPr="006A42CC">
              <w:rPr>
                <w:sz w:val="16"/>
                <w:szCs w:val="16"/>
              </w:rPr>
              <w:t xml:space="preserve"> +100, Innovationslån +40, nej till regelråd –10</w:t>
            </w:r>
          </w:p>
        </w:tc>
        <w:tc>
          <w:tcPr>
            <w:tcW w:w="476" w:type="dxa"/>
          </w:tcPr>
          <w:p w:rsidR="00FA64E5" w:rsidRPr="006A42CC" w:rsidRDefault="00FA64E5">
            <w:pPr>
              <w:shd w:val="clear" w:color="000000" w:fill="auto"/>
              <w:autoSpaceDE w:val="0"/>
              <w:autoSpaceDN w:val="0"/>
              <w:adjustRightInd w:val="0"/>
              <w:spacing w:before="60" w:line="200" w:lineRule="exact"/>
              <w:ind w:left="-113" w:firstLine="45"/>
              <w:jc w:val="right"/>
              <w:rPr>
                <w:b/>
                <w:sz w:val="16"/>
                <w:szCs w:val="16"/>
              </w:rPr>
            </w:pPr>
            <w:r w:rsidRPr="006A42CC">
              <w:rPr>
                <w:b/>
                <w:sz w:val="16"/>
                <w:szCs w:val="16"/>
              </w:rPr>
              <w:t>+130</w:t>
            </w:r>
          </w:p>
        </w:tc>
        <w:tc>
          <w:tcPr>
            <w:tcW w:w="486" w:type="dxa"/>
          </w:tcPr>
          <w:p w:rsidR="00FA64E5" w:rsidRPr="006A42CC" w:rsidRDefault="00FA64E5">
            <w:pPr>
              <w:shd w:val="clear" w:color="000000" w:fill="auto"/>
              <w:autoSpaceDE w:val="0"/>
              <w:autoSpaceDN w:val="0"/>
              <w:adjustRightInd w:val="0"/>
              <w:spacing w:before="60" w:line="200" w:lineRule="exact"/>
              <w:jc w:val="right"/>
              <w:rPr>
                <w:b/>
                <w:sz w:val="16"/>
                <w:szCs w:val="16"/>
              </w:rPr>
            </w:pPr>
            <w:r w:rsidRPr="006A42CC">
              <w:rPr>
                <w:b/>
                <w:sz w:val="16"/>
                <w:szCs w:val="16"/>
              </w:rPr>
              <w:t>+130</w:t>
            </w:r>
          </w:p>
        </w:tc>
      </w:tr>
      <w:tr w:rsidR="00000000" w:rsidRPr="006A42CC">
        <w:tc>
          <w:tcPr>
            <w:tcW w:w="2110" w:type="dxa"/>
          </w:tcPr>
          <w:p w:rsidR="00FA64E5" w:rsidRPr="006A42CC" w:rsidRDefault="00FA64E5">
            <w:pPr>
              <w:shd w:val="clear" w:color="000000" w:fill="auto"/>
              <w:spacing w:before="60" w:line="200" w:lineRule="exact"/>
              <w:ind w:right="130"/>
              <w:rPr>
                <w:b/>
                <w:sz w:val="16"/>
                <w:szCs w:val="16"/>
              </w:rPr>
            </w:pPr>
            <w:r w:rsidRPr="006A42CC">
              <w:rPr>
                <w:b/>
                <w:sz w:val="16"/>
                <w:szCs w:val="16"/>
              </w:rPr>
              <w:t>38:17 Kostnader för o</w:t>
            </w:r>
            <w:r w:rsidRPr="006A42CC">
              <w:rPr>
                <w:b/>
                <w:sz w:val="16"/>
                <w:szCs w:val="16"/>
              </w:rPr>
              <w:t>m</w:t>
            </w:r>
            <w:r w:rsidRPr="006A42CC">
              <w:rPr>
                <w:b/>
                <w:sz w:val="16"/>
                <w:szCs w:val="16"/>
              </w:rPr>
              <w:t>strukturering och geno</w:t>
            </w:r>
            <w:r w:rsidRPr="006A42CC">
              <w:rPr>
                <w:b/>
                <w:sz w:val="16"/>
                <w:szCs w:val="16"/>
              </w:rPr>
              <w:t>m</w:t>
            </w:r>
            <w:r w:rsidRPr="006A42CC">
              <w:rPr>
                <w:b/>
                <w:sz w:val="16"/>
                <w:szCs w:val="16"/>
              </w:rPr>
              <w:t>lysning av statligt ägda företag m.m.</w:t>
            </w:r>
          </w:p>
        </w:tc>
        <w:tc>
          <w:tcPr>
            <w:tcW w:w="3150" w:type="dxa"/>
          </w:tcPr>
          <w:p w:rsidR="00FA64E5" w:rsidRPr="006A42CC" w:rsidRDefault="00FA64E5">
            <w:pPr>
              <w:shd w:val="clear" w:color="000000" w:fill="auto"/>
              <w:autoSpaceDE w:val="0"/>
              <w:autoSpaceDN w:val="0"/>
              <w:adjustRightInd w:val="0"/>
              <w:spacing w:before="60" w:line="200" w:lineRule="exact"/>
              <w:rPr>
                <w:b/>
                <w:sz w:val="16"/>
                <w:szCs w:val="16"/>
              </w:rPr>
            </w:pPr>
            <w:r w:rsidRPr="006A42CC">
              <w:rPr>
                <w:sz w:val="16"/>
                <w:szCs w:val="16"/>
              </w:rPr>
              <w:t>–100</w:t>
            </w:r>
          </w:p>
        </w:tc>
        <w:tc>
          <w:tcPr>
            <w:tcW w:w="476" w:type="dxa"/>
          </w:tcPr>
          <w:p w:rsidR="00FA64E5" w:rsidRPr="006A42CC" w:rsidRDefault="00FA64E5">
            <w:pPr>
              <w:shd w:val="clear" w:color="000000" w:fill="auto"/>
              <w:autoSpaceDE w:val="0"/>
              <w:autoSpaceDN w:val="0"/>
              <w:adjustRightInd w:val="0"/>
              <w:spacing w:before="60" w:line="200" w:lineRule="exact"/>
              <w:ind w:left="-113" w:firstLine="45"/>
              <w:jc w:val="right"/>
              <w:rPr>
                <w:b/>
                <w:sz w:val="16"/>
                <w:szCs w:val="16"/>
              </w:rPr>
            </w:pPr>
            <w:r w:rsidRPr="006A42CC">
              <w:rPr>
                <w:sz w:val="16"/>
                <w:szCs w:val="16"/>
              </w:rPr>
              <w:t>–100</w:t>
            </w:r>
          </w:p>
        </w:tc>
        <w:tc>
          <w:tcPr>
            <w:tcW w:w="486" w:type="dxa"/>
          </w:tcPr>
          <w:p w:rsidR="00FA64E5" w:rsidRPr="006A42CC" w:rsidRDefault="00FA64E5">
            <w:pPr>
              <w:shd w:val="clear" w:color="000000" w:fill="auto"/>
              <w:autoSpaceDE w:val="0"/>
              <w:autoSpaceDN w:val="0"/>
              <w:adjustRightInd w:val="0"/>
              <w:spacing w:before="60" w:line="200" w:lineRule="exact"/>
              <w:jc w:val="right"/>
              <w:rPr>
                <w:b/>
                <w:sz w:val="16"/>
                <w:szCs w:val="16"/>
              </w:rPr>
            </w:pPr>
          </w:p>
        </w:tc>
      </w:tr>
      <w:tr w:rsidR="00000000" w:rsidRPr="006A42CC">
        <w:tc>
          <w:tcPr>
            <w:tcW w:w="2110" w:type="dxa"/>
          </w:tcPr>
          <w:p w:rsidR="00FA64E5" w:rsidRPr="006A42CC" w:rsidRDefault="00FA64E5">
            <w:pPr>
              <w:shd w:val="clear" w:color="000000" w:fill="auto"/>
              <w:spacing w:before="60" w:line="200" w:lineRule="exact"/>
              <w:ind w:right="113"/>
              <w:rPr>
                <w:b/>
                <w:sz w:val="16"/>
                <w:szCs w:val="16"/>
              </w:rPr>
            </w:pPr>
            <w:r w:rsidRPr="006A42CC">
              <w:rPr>
                <w:b/>
                <w:sz w:val="16"/>
                <w:szCs w:val="16"/>
              </w:rPr>
              <w:t>38:21 Utvecklingsprogram för ökad konkurrenskraft</w:t>
            </w:r>
          </w:p>
        </w:tc>
        <w:tc>
          <w:tcPr>
            <w:tcW w:w="3150" w:type="dxa"/>
            <w:vAlign w:val="bottom"/>
          </w:tcPr>
          <w:p w:rsidR="00FA64E5" w:rsidRPr="006A42CC" w:rsidRDefault="00FA64E5">
            <w:pPr>
              <w:shd w:val="clear" w:color="000000" w:fill="auto"/>
              <w:autoSpaceDE w:val="0"/>
              <w:autoSpaceDN w:val="0"/>
              <w:adjustRightInd w:val="0"/>
              <w:spacing w:before="60" w:line="200" w:lineRule="exact"/>
              <w:rPr>
                <w:sz w:val="16"/>
                <w:szCs w:val="16"/>
              </w:rPr>
            </w:pPr>
            <w:r w:rsidRPr="006A42CC">
              <w:rPr>
                <w:b/>
                <w:sz w:val="16"/>
                <w:szCs w:val="16"/>
              </w:rPr>
              <w:t>+100</w:t>
            </w:r>
          </w:p>
        </w:tc>
        <w:tc>
          <w:tcPr>
            <w:tcW w:w="476" w:type="dxa"/>
            <w:vAlign w:val="bottom"/>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+100</w:t>
            </w:r>
          </w:p>
        </w:tc>
        <w:tc>
          <w:tcPr>
            <w:tcW w:w="486" w:type="dxa"/>
            <w:vAlign w:val="bottom"/>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+100</w:t>
            </w:r>
          </w:p>
        </w:tc>
      </w:tr>
      <w:tr w:rsidR="00000000" w:rsidRPr="006A42CC">
        <w:tc>
          <w:tcPr>
            <w:tcW w:w="2110" w:type="dxa"/>
          </w:tcPr>
          <w:p w:rsidR="00FA64E5" w:rsidRPr="006A42CC" w:rsidRDefault="00FA64E5">
            <w:pPr>
              <w:shd w:val="clear" w:color="000000" w:fill="auto"/>
              <w:spacing w:before="60" w:line="200" w:lineRule="exact"/>
              <w:ind w:right="397"/>
              <w:rPr>
                <w:b/>
                <w:sz w:val="16"/>
                <w:szCs w:val="16"/>
              </w:rPr>
            </w:pPr>
            <w:r w:rsidRPr="006A42CC">
              <w:rPr>
                <w:b/>
                <w:sz w:val="16"/>
                <w:szCs w:val="16"/>
              </w:rPr>
              <w:t>39:3 Exportfrämjande verksamhet</w:t>
            </w:r>
          </w:p>
        </w:tc>
        <w:tc>
          <w:tcPr>
            <w:tcW w:w="3150" w:type="dxa"/>
            <w:vAlign w:val="bottom"/>
          </w:tcPr>
          <w:p w:rsidR="00FA64E5" w:rsidRPr="006A42CC" w:rsidRDefault="00FA64E5">
            <w:pPr>
              <w:shd w:val="clear" w:color="000000" w:fill="auto"/>
              <w:autoSpaceDE w:val="0"/>
              <w:autoSpaceDN w:val="0"/>
              <w:adjustRightInd w:val="0"/>
              <w:spacing w:before="60" w:line="200" w:lineRule="exact"/>
              <w:rPr>
                <w:b/>
                <w:iCs/>
                <w:color w:val="000000"/>
                <w:sz w:val="16"/>
                <w:szCs w:val="16"/>
              </w:rPr>
            </w:pPr>
            <w:r w:rsidRPr="006A42CC">
              <w:rPr>
                <w:b/>
                <w:iCs/>
                <w:color w:val="000000"/>
                <w:sz w:val="16"/>
                <w:szCs w:val="16"/>
              </w:rPr>
              <w:t>+75</w:t>
            </w:r>
          </w:p>
        </w:tc>
        <w:tc>
          <w:tcPr>
            <w:tcW w:w="476" w:type="dxa"/>
            <w:vAlign w:val="bottom"/>
          </w:tcPr>
          <w:p w:rsidR="00FA64E5" w:rsidRPr="006A42CC" w:rsidRDefault="00FA64E5">
            <w:pPr>
              <w:shd w:val="clear" w:color="000000" w:fill="auto"/>
              <w:autoSpaceDE w:val="0"/>
              <w:autoSpaceDN w:val="0"/>
              <w:adjustRightInd w:val="0"/>
              <w:spacing w:before="60" w:line="200" w:lineRule="exact"/>
              <w:ind w:left="-113" w:firstLine="45"/>
              <w:jc w:val="right"/>
              <w:rPr>
                <w:b/>
                <w:sz w:val="16"/>
                <w:szCs w:val="16"/>
              </w:rPr>
            </w:pPr>
            <w:r w:rsidRPr="006A42CC">
              <w:rPr>
                <w:b/>
                <w:sz w:val="16"/>
                <w:szCs w:val="16"/>
              </w:rPr>
              <w:t>+75</w:t>
            </w:r>
          </w:p>
        </w:tc>
        <w:tc>
          <w:tcPr>
            <w:tcW w:w="486" w:type="dxa"/>
            <w:vAlign w:val="bottom"/>
          </w:tcPr>
          <w:p w:rsidR="00FA64E5" w:rsidRPr="006A42CC" w:rsidRDefault="00FA64E5">
            <w:pPr>
              <w:shd w:val="clear" w:color="000000" w:fill="auto"/>
              <w:autoSpaceDE w:val="0"/>
              <w:autoSpaceDN w:val="0"/>
              <w:adjustRightInd w:val="0"/>
              <w:spacing w:before="60" w:line="200" w:lineRule="exact"/>
              <w:ind w:left="-113" w:firstLine="45"/>
              <w:jc w:val="right"/>
              <w:rPr>
                <w:b/>
                <w:sz w:val="16"/>
                <w:szCs w:val="16"/>
              </w:rPr>
            </w:pPr>
            <w:r w:rsidRPr="006A42CC">
              <w:rPr>
                <w:b/>
                <w:sz w:val="16"/>
                <w:szCs w:val="16"/>
              </w:rPr>
              <w:t>+70</w:t>
            </w:r>
          </w:p>
        </w:tc>
      </w:tr>
      <w:tr w:rsidR="00000000" w:rsidRPr="006A42CC">
        <w:tc>
          <w:tcPr>
            <w:tcW w:w="2110" w:type="dxa"/>
          </w:tcPr>
          <w:p w:rsidR="00FA64E5" w:rsidRPr="006A42CC" w:rsidRDefault="00FA64E5">
            <w:pPr>
              <w:shd w:val="clear" w:color="000000" w:fill="auto"/>
              <w:spacing w:before="60" w:line="200" w:lineRule="exact"/>
              <w:ind w:right="113"/>
              <w:rPr>
                <w:b/>
                <w:sz w:val="16"/>
                <w:szCs w:val="16"/>
              </w:rPr>
            </w:pPr>
            <w:r w:rsidRPr="006A42CC">
              <w:rPr>
                <w:b/>
                <w:sz w:val="16"/>
                <w:szCs w:val="16"/>
              </w:rPr>
              <w:t>39:4 Investeringsfrämja</w:t>
            </w:r>
            <w:r w:rsidRPr="006A42CC">
              <w:rPr>
                <w:b/>
                <w:sz w:val="16"/>
                <w:szCs w:val="16"/>
              </w:rPr>
              <w:t>n</w:t>
            </w:r>
            <w:r w:rsidRPr="006A42CC">
              <w:rPr>
                <w:b/>
                <w:sz w:val="16"/>
                <w:szCs w:val="16"/>
              </w:rPr>
              <w:t>de</w:t>
            </w:r>
          </w:p>
        </w:tc>
        <w:tc>
          <w:tcPr>
            <w:tcW w:w="3150" w:type="dxa"/>
            <w:vAlign w:val="bottom"/>
          </w:tcPr>
          <w:p w:rsidR="00FA64E5" w:rsidRPr="006A42CC" w:rsidRDefault="00FA64E5">
            <w:pPr>
              <w:shd w:val="clear" w:color="000000" w:fill="auto"/>
              <w:autoSpaceDE w:val="0"/>
              <w:autoSpaceDN w:val="0"/>
              <w:adjustRightInd w:val="0"/>
              <w:spacing w:before="60" w:line="200" w:lineRule="exact"/>
              <w:rPr>
                <w:b/>
                <w:iCs/>
                <w:color w:val="000000"/>
                <w:sz w:val="16"/>
                <w:szCs w:val="16"/>
              </w:rPr>
            </w:pPr>
            <w:r w:rsidRPr="006A42CC">
              <w:rPr>
                <w:b/>
                <w:sz w:val="16"/>
                <w:szCs w:val="16"/>
              </w:rPr>
              <w:t>+15</w:t>
            </w:r>
          </w:p>
        </w:tc>
        <w:tc>
          <w:tcPr>
            <w:tcW w:w="476" w:type="dxa"/>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+15</w:t>
            </w:r>
          </w:p>
        </w:tc>
        <w:tc>
          <w:tcPr>
            <w:tcW w:w="486" w:type="dxa"/>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+10</w:t>
            </w:r>
          </w:p>
        </w:tc>
      </w:tr>
      <w:tr w:rsidR="00000000" w:rsidRPr="006A42CC">
        <w:tc>
          <w:tcPr>
            <w:tcW w:w="2110" w:type="dxa"/>
            <w:tcBorders>
              <w:bottom w:val="single" w:sz="4" w:space="0" w:color="auto"/>
            </w:tcBorders>
          </w:tcPr>
          <w:p w:rsidR="00FA64E5" w:rsidRPr="006A42CC" w:rsidRDefault="00FA64E5">
            <w:pPr>
              <w:shd w:val="clear" w:color="000000" w:fill="auto"/>
              <w:spacing w:before="60" w:line="200" w:lineRule="exact"/>
              <w:ind w:right="113"/>
              <w:rPr>
                <w:b/>
                <w:sz w:val="16"/>
                <w:szCs w:val="16"/>
              </w:rPr>
            </w:pPr>
            <w:r w:rsidRPr="006A42CC">
              <w:rPr>
                <w:b/>
                <w:sz w:val="16"/>
                <w:szCs w:val="16"/>
              </w:rPr>
              <w:t>Summa ramen</w:t>
            </w:r>
          </w:p>
        </w:tc>
        <w:tc>
          <w:tcPr>
            <w:tcW w:w="3150" w:type="dxa"/>
            <w:tcBorders>
              <w:bottom w:val="single" w:sz="4" w:space="0" w:color="auto"/>
            </w:tcBorders>
          </w:tcPr>
          <w:p w:rsidR="00FA64E5" w:rsidRPr="006A42CC" w:rsidRDefault="00FA64E5">
            <w:pPr>
              <w:shd w:val="clear" w:color="000000" w:fill="auto"/>
              <w:autoSpaceDE w:val="0"/>
              <w:autoSpaceDN w:val="0"/>
              <w:adjustRightInd w:val="0"/>
              <w:spacing w:before="60" w:line="200" w:lineRule="exact"/>
              <w:rPr>
                <w:b/>
                <w:sz w:val="16"/>
                <w:szCs w:val="16"/>
              </w:rPr>
            </w:pPr>
            <w:r w:rsidRPr="006A42CC">
              <w:rPr>
                <w:b/>
                <w:sz w:val="16"/>
                <w:szCs w:val="16"/>
              </w:rPr>
              <w:t>+370</w:t>
            </w:r>
          </w:p>
        </w:tc>
        <w:tc>
          <w:tcPr>
            <w:tcW w:w="476" w:type="dxa"/>
            <w:tcBorders>
              <w:bottom w:val="single" w:sz="4" w:space="0" w:color="auto"/>
            </w:tcBorders>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+370</w:t>
            </w:r>
          </w:p>
        </w:tc>
        <w:tc>
          <w:tcPr>
            <w:tcW w:w="486" w:type="dxa"/>
            <w:tcBorders>
              <w:bottom w:val="single" w:sz="4" w:space="0" w:color="auto"/>
            </w:tcBorders>
          </w:tcPr>
          <w:p w:rsidR="00FA64E5" w:rsidRPr="006A42CC" w:rsidRDefault="00FA64E5">
            <w:pPr>
              <w:shd w:val="clear" w:color="000000" w:fill="auto"/>
              <w:spacing w:before="60" w:line="200" w:lineRule="exact"/>
              <w:ind w:left="-113" w:firstLine="45"/>
              <w:jc w:val="right"/>
              <w:rPr>
                <w:b/>
                <w:sz w:val="16"/>
                <w:szCs w:val="16"/>
              </w:rPr>
            </w:pPr>
            <w:r w:rsidRPr="006A42CC">
              <w:rPr>
                <w:b/>
                <w:sz w:val="16"/>
                <w:szCs w:val="16"/>
              </w:rPr>
              <w:t>+460</w:t>
            </w:r>
          </w:p>
        </w:tc>
      </w:tr>
    </w:tbl>
    <w:p w:rsidR="00FA64E5" w:rsidRPr="006A42CC" w:rsidRDefault="00FA64E5">
      <w:pPr>
        <w:shd w:val="clear" w:color="000000" w:fill="auto"/>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pStyle w:val="Yrkandehnv"/>
        <w:shd w:val="clear" w:color="000000" w:fill="auto"/>
        <w:spacing w:before="190"/>
        <w:rPr>
          <w:noProof w:val="0"/>
          <w:sz w:val="19"/>
          <w:vertAlign w:val="superscript"/>
        </w:rPr>
      </w:pPr>
    </w:p>
    <w:p w:rsidR="00FA64E5" w:rsidRPr="006A42CC" w:rsidRDefault="00FA64E5">
      <w:pPr>
        <w:shd w:val="clear" w:color="000000" w:fill="auto"/>
      </w:pPr>
      <w:r w:rsidRPr="006A42CC">
        <w:rPr>
          <w:vertAlign w:val="superscript"/>
        </w:rPr>
        <w:t>1</w:t>
      </w:r>
      <w:r w:rsidRPr="006A42CC">
        <w:t xml:space="preserve"> Yrkande 5 hänvisat till SfU.</w:t>
      </w:r>
    </w:p>
    <w:p w:rsidR="00FA64E5" w:rsidRPr="006A42CC" w:rsidRDefault="00FA64E5">
      <w:pPr>
        <w:pStyle w:val="Rubrik1"/>
        <w:pageBreakBefore/>
        <w:shd w:val="clear" w:color="000000" w:fill="auto"/>
        <w:spacing w:before="0"/>
      </w:pPr>
      <w:r w:rsidRPr="006A42CC">
        <w:t>Motivering</w:t>
      </w:r>
    </w:p>
    <w:p w:rsidR="00FA64E5" w:rsidRPr="006A42CC" w:rsidRDefault="00FA64E5">
      <w:pPr>
        <w:shd w:val="clear" w:color="000000" w:fill="auto"/>
        <w:rPr>
          <w:u w:val="double"/>
        </w:rPr>
      </w:pPr>
      <w:r w:rsidRPr="006A42CC">
        <w:t>Förslagen i budgetpropositionen innebär att regeringen kraftigt försämrar Sveriges konkurrenskraft. Regeringen fortsätter i sin andra statsbudget på den väg som tidigare pekats ut. Den aktiva näringspolitiken trappas ned, och r</w:t>
      </w:r>
      <w:r w:rsidRPr="006A42CC">
        <w:t>e</w:t>
      </w:r>
      <w:r w:rsidRPr="006A42CC">
        <w:t>geringen sätter sin tilltro till att massiva skattesänkningar för de bäst ställda ska uppväga bristerna. Detta är en mycket olycklig strategi, och regeringen tycks helt ha missat dynamiken i vad samhälle, fackföreningar och näringsliv tillsammans kan åstadkomma.</w:t>
      </w:r>
    </w:p>
    <w:p w:rsidR="00FA64E5" w:rsidRPr="006A42CC" w:rsidRDefault="00FA64E5">
      <w:pPr>
        <w:pStyle w:val="Normaltindrag"/>
        <w:shd w:val="clear" w:color="000000" w:fill="auto"/>
      </w:pPr>
      <w:r w:rsidRPr="006A42CC">
        <w:t>Den tillväxt vi ser i Sverige idag, de nya jobben, de nya företagen, är ett resultat av denna helhetssyn, armkroken mellan samhälle och näringsliv. Sverige är för litet för ökade klyftor, för ett kallare samhälle och för minskade satsningar på såvä</w:t>
      </w:r>
      <w:r w:rsidRPr="006A42CC">
        <w:t>l våra företag som trygghetsförsäkringarna. Med vår höga tillväxt och sjunkande arbetslöshet är Sverige ett tydligt bevis för att trygghet och rättvisa inte hämmar utvecklingen, tvärtom. Det är kombinationen av trygghet och utveckling, för såväl anställda som entreprenörer, som gör vårt land modernt och konkurrenskraftigt.</w:t>
      </w:r>
    </w:p>
    <w:p w:rsidR="00FA64E5" w:rsidRPr="006A42CC" w:rsidRDefault="00FA64E5">
      <w:pPr>
        <w:pStyle w:val="Normaltindrag"/>
        <w:shd w:val="clear" w:color="000000" w:fill="auto"/>
      </w:pPr>
      <w:r w:rsidRPr="006A42CC">
        <w:t>Vi socialdemokrater ser därför med stor oro på den politik som regeringen så här långt har presenterat.</w:t>
      </w:r>
      <w:r w:rsidRPr="006A42CC">
        <w:rPr>
          <w:b/>
        </w:rPr>
        <w:t xml:space="preserve"> </w:t>
      </w:r>
      <w:r w:rsidRPr="006A42CC">
        <w:t>Därför vill vi istället utveckla den aktiva näring</w:t>
      </w:r>
      <w:r w:rsidRPr="006A42CC">
        <w:t>s</w:t>
      </w:r>
      <w:r w:rsidRPr="006A42CC">
        <w:t>politiken och stärka svenska företags konkurrenskraft. Sverige ska konkurrera med kunskap och kompetens, inte med dumpade löner och ökade klyftor. Våra satsningar på tillväxt och företagande uppgår till totalt 900 miljoner kronor mer än regeringens 2008 till 2010. Vi frigör dessutom ytterligare r</w:t>
      </w:r>
      <w:r w:rsidRPr="006A42CC">
        <w:t>e</w:t>
      </w:r>
      <w:r w:rsidRPr="006A42CC">
        <w:t>surser genom vårt nej till regeringens utförsäljningar och de därmed ökande konsultkostnaderna. På två år innebär bara detta att ytterligare 200 miljoner kronor k</w:t>
      </w:r>
      <w:r w:rsidRPr="006A42CC">
        <w:t>an läggas på företagsfrämjande åtgärder istället för på utförsäljning</w:t>
      </w:r>
      <w:r w:rsidRPr="006A42CC">
        <w:t>s</w:t>
      </w:r>
      <w:r w:rsidRPr="006A42CC">
        <w:t>konsulter.</w:t>
      </w:r>
    </w:p>
    <w:p w:rsidR="00FA64E5" w:rsidRPr="006A42CC" w:rsidRDefault="00FA64E5">
      <w:pPr>
        <w:pStyle w:val="Rubrik2"/>
        <w:shd w:val="clear" w:color="000000" w:fill="auto"/>
      </w:pPr>
      <w:r w:rsidRPr="006A42CC">
        <w:t>Ett konkurrenskraftigt näringsliv</w:t>
      </w:r>
    </w:p>
    <w:p w:rsidR="00FA64E5" w:rsidRPr="006A42CC" w:rsidRDefault="00FA64E5">
      <w:pPr>
        <w:shd w:val="clear" w:color="000000" w:fill="auto"/>
      </w:pPr>
      <w:r w:rsidRPr="006A42CC">
        <w:t>Sverige ska vara ett av världens mest konkurrenskraftiga länder. För att nå dit vill vi socialdemokrater förena en politik för frihandel, öppenhet och konku</w:t>
      </w:r>
      <w:r w:rsidRPr="006A42CC">
        <w:t>r</w:t>
      </w:r>
      <w:r w:rsidRPr="006A42CC">
        <w:t>rens med breda satsningar på kunskap, entreprenörskap och trygghet för alla. Vi är oroade över att regeringen ersätter offensiva satsningar på kunskap med subventioner till låglönejobb och sämre omställningstrygghet.</w:t>
      </w:r>
    </w:p>
    <w:p w:rsidR="00FA64E5" w:rsidRPr="006A42CC" w:rsidRDefault="00FA64E5">
      <w:pPr>
        <w:pStyle w:val="Normaltindrag"/>
        <w:shd w:val="clear" w:color="000000" w:fill="auto"/>
        <w:rPr>
          <w:rStyle w:val="NormaltindragChar"/>
        </w:rPr>
      </w:pPr>
      <w:r w:rsidRPr="006A42CC">
        <w:t xml:space="preserve">Många </w:t>
      </w:r>
      <w:r w:rsidRPr="006A42CC">
        <w:rPr>
          <w:rStyle w:val="NormaltindragChar"/>
        </w:rPr>
        <w:t>länder tävlar om företagens investeringar, med låga lönekostnader och sänkta skatter. Vi vill inte att Sverige ska gå i den riktningen. Sverige ska konkurrera med kunskap. Det är en strategi som förpliktigar. Utöver breda satsningar på all form av utbildning – från förskola och grundskola till hö</w:t>
      </w:r>
      <w:r w:rsidRPr="006A42CC">
        <w:rPr>
          <w:rStyle w:val="NormaltindragChar"/>
        </w:rPr>
        <w:t>g</w:t>
      </w:r>
      <w:r w:rsidRPr="006A42CC">
        <w:rPr>
          <w:rStyle w:val="NormaltindragChar"/>
        </w:rPr>
        <w:t>skola och grundforskning krävs kompletteringar i form av företagsanknuten forskning, exportfrämjande och riskkapital. Detta gäller i alla branscher som vill konkurrera med högt kunskapsinnehåll – inte minst i stora</w:t>
      </w:r>
      <w:r w:rsidRPr="006A42CC">
        <w:rPr>
          <w:rStyle w:val="NormaltindragChar"/>
        </w:rPr>
        <w:t xml:space="preserve"> delar av tjän</w:t>
      </w:r>
      <w:r w:rsidRPr="006A42CC">
        <w:rPr>
          <w:rStyle w:val="NormaltindragChar"/>
        </w:rPr>
        <w:t>s</w:t>
      </w:r>
      <w:r w:rsidRPr="006A42CC">
        <w:rPr>
          <w:rStyle w:val="NormaltindragChar"/>
        </w:rPr>
        <w:t>tesektorn.</w:t>
      </w:r>
    </w:p>
    <w:p w:rsidR="00FA64E5" w:rsidRPr="006A42CC" w:rsidRDefault="00FA64E5">
      <w:pPr>
        <w:pStyle w:val="Rubrik2"/>
        <w:shd w:val="clear" w:color="000000" w:fill="auto"/>
      </w:pPr>
      <w:r w:rsidRPr="006A42CC">
        <w:t>Näringslivsutveckling</w:t>
      </w:r>
    </w:p>
    <w:p w:rsidR="00FA64E5" w:rsidRPr="006A42CC" w:rsidRDefault="00FA64E5">
      <w:pPr>
        <w:shd w:val="clear" w:color="000000" w:fill="auto"/>
      </w:pPr>
      <w:r w:rsidRPr="006A42CC">
        <w:t>Småföretagarna blir allt viktigare för tillväxt och sysselsättning i Sverige. Förutsättningarna för små och stora företag skiljer sig dock idag åt i Sverige, och det finns anledning att särskilt stödja de små företagens utveckling. Den helt övervägande delen av företagen i Sverige är relativt små, och de spelar en allt större roll för tillväxt och sysselsättning. Huvuddelen av alla företag har färre än 50 anställda, och dessa företag svarar för 40 procent av förädling</w:t>
      </w:r>
      <w:r w:rsidRPr="006A42CC">
        <w:t>s</w:t>
      </w:r>
      <w:r w:rsidRPr="006A42CC">
        <w:t>värdet, 30 procent av omsättningen och 42 procent av näringslivets nettoinv</w:t>
      </w:r>
      <w:r w:rsidRPr="006A42CC">
        <w:t>e</w:t>
      </w:r>
      <w:r w:rsidRPr="006A42CC">
        <w:t>steringar. Närmare en miljon arbetstagare arbetar i småföretag, vilket motsv</w:t>
      </w:r>
      <w:r w:rsidRPr="006A42CC">
        <w:t>a</w:t>
      </w:r>
      <w:r w:rsidRPr="006A42CC">
        <w:t>rar 41 procent av det totala antalet anställda inom det privata näringslivet. Det är därmed tydligt att småföretagens villkor spelar en avgörande roll för u</w:t>
      </w:r>
      <w:r w:rsidRPr="006A42CC">
        <w:t>t</w:t>
      </w:r>
      <w:r w:rsidRPr="006A42CC">
        <w:t>vecklingen av svenskt näringsliv.</w:t>
      </w:r>
    </w:p>
    <w:p w:rsidR="00FA64E5" w:rsidRPr="006A42CC" w:rsidRDefault="00FA64E5">
      <w:pPr>
        <w:pStyle w:val="Normaltindrag"/>
        <w:shd w:val="clear" w:color="000000" w:fill="auto"/>
      </w:pPr>
      <w:r w:rsidRPr="006A42CC">
        <w:t>Vi vill nu lägga ett ökat fokus på tjänsteföretagens behov. Småföretagens villkor ska vara vägledande för utformningen av våra åtgärder. Vi vill bland annat ta fram et</w:t>
      </w:r>
      <w:r w:rsidRPr="006A42CC">
        <w:t>t nytt mentorprogram för småföretagare som ska ge små för</w:t>
      </w:r>
      <w:r w:rsidRPr="006A42CC">
        <w:t>e</w:t>
      </w:r>
      <w:r w:rsidRPr="006A42CC">
        <w:t>tagare hjälp och stöd. Generationsväxlingen ska underlättas och särskild vikt ska läggas vid möjligheten att ge verkställande kvinnor chansen att ta över ett befintligt företag. Organisationen Ung Företagsamhet ska stimuleras, och främjandet av entreprenörskap i skolan ska fortsätta.</w:t>
      </w:r>
    </w:p>
    <w:p w:rsidR="00FA64E5" w:rsidRPr="006A42CC" w:rsidRDefault="00FA64E5">
      <w:pPr>
        <w:pStyle w:val="Normaltindrag"/>
        <w:shd w:val="clear" w:color="000000" w:fill="auto"/>
      </w:pPr>
      <w:r w:rsidRPr="006A42CC">
        <w:t>Regeringens initiativ till en särskild kvinnosatsning är lovvärt, men vi a</w:t>
      </w:r>
      <w:r w:rsidRPr="006A42CC">
        <w:t>n</w:t>
      </w:r>
      <w:r w:rsidRPr="006A42CC">
        <w:t>ser att detta inte är tillräckligt. Den tidsbegränsade satsningen är förhålland</w:t>
      </w:r>
      <w:r w:rsidRPr="006A42CC">
        <w:t>e</w:t>
      </w:r>
      <w:r w:rsidRPr="006A42CC">
        <w:t>vis liten jämfört med de totala företagsfrämjande insatserna, och verksamh</w:t>
      </w:r>
      <w:r w:rsidRPr="006A42CC">
        <w:t>e</w:t>
      </w:r>
      <w:r w:rsidRPr="006A42CC">
        <w:t xml:space="preserve">ten riskerar att upphöra i samband med att de öronmärkta pengarna tar slut. För att ta till vara på den potential till nya och växande företag som finns bland kvinnor och personer med utländsk bakgrund krävs ett brett arbete för att garantera att alla behandlas lika och erbjuds likvärdigt stöd i samband med till exempel start av företag eller expansion. </w:t>
      </w:r>
      <w:r w:rsidRPr="006A42CC">
        <w:t>Detta måste genomsyra alla b</w:t>
      </w:r>
      <w:r w:rsidRPr="006A42CC">
        <w:t>e</w:t>
      </w:r>
      <w:r w:rsidRPr="006A42CC">
        <w:t>rörda myndigheters arbete, och kvinnor och personer med utländsk bakgrund måste i större utsträckning inkluderas i de allmänna satsningarna för att en tydlig förbättring ska kunna åstadkommas. Detta måste också tydligt framgå i regeringens instruktioner till berörda statliga myndigheter och verk. Vidare vill vi betona att de företagsfrämjande insatsernas verkan och fördelning me</w:t>
      </w:r>
      <w:r w:rsidRPr="006A42CC">
        <w:t>l</w:t>
      </w:r>
      <w:r w:rsidRPr="006A42CC">
        <w:t>lan olika grupper måste följas upp kontinuerligt.</w:t>
      </w:r>
    </w:p>
    <w:p w:rsidR="00FA64E5" w:rsidRPr="006A42CC" w:rsidRDefault="00FA64E5">
      <w:pPr>
        <w:pStyle w:val="Rubrik2"/>
        <w:shd w:val="clear" w:color="000000" w:fill="auto"/>
      </w:pPr>
      <w:r w:rsidRPr="006A42CC">
        <w:t>Nyföretagartorg</w:t>
      </w:r>
    </w:p>
    <w:p w:rsidR="00FA64E5" w:rsidRPr="006A42CC" w:rsidRDefault="00FA64E5">
      <w:pPr>
        <w:shd w:val="clear" w:color="000000" w:fill="auto"/>
      </w:pPr>
      <w:r w:rsidRPr="006A42CC">
        <w:t>Vi vill att staten ska stimulera kommunala nyföretagartorg, via ett statligt stöd som fördelas av Almi. Almi kan då sluta avtal med intresserade kommuner, som får ersättning för lokalkostnader, telefoni, rådgivning med mera från staten. Nyföretagartorg innebär att kommunerna under två års tid hyresfritt erbjuder nyföretagare lokaler i nära anslutning till företagsrådgivning. Nyf</w:t>
      </w:r>
      <w:r w:rsidRPr="006A42CC">
        <w:t>ö</w:t>
      </w:r>
      <w:r w:rsidRPr="006A42CC">
        <w:t>retagartorgen ska även kunna stödja andra lokala företag med rådgivning och nätverksbyggande. Vi avsätter totalt 300 miljoner kronor för detta ändamål under 2008–2010.</w:t>
      </w:r>
    </w:p>
    <w:p w:rsidR="00FA64E5" w:rsidRPr="006A42CC" w:rsidRDefault="00FA64E5">
      <w:pPr>
        <w:pStyle w:val="Rubrik2"/>
        <w:shd w:val="clear" w:color="000000" w:fill="auto"/>
      </w:pPr>
      <w:r w:rsidRPr="006A42CC">
        <w:t>Miljöteknik</w:t>
      </w:r>
    </w:p>
    <w:p w:rsidR="00FA64E5" w:rsidRPr="006A42CC" w:rsidRDefault="00FA64E5">
      <w:pPr>
        <w:shd w:val="clear" w:color="000000" w:fill="auto"/>
      </w:pPr>
      <w:r w:rsidRPr="006A42CC">
        <w:t>Vi ser positivt på regeringens miljötekniksatsning men kan samtidigt konst</w:t>
      </w:r>
      <w:r w:rsidRPr="006A42CC">
        <w:t>a</w:t>
      </w:r>
      <w:r w:rsidRPr="006A42CC">
        <w:t>tera att nedskärningarna inom export- och investeringsfrämjandet samt a</w:t>
      </w:r>
      <w:r w:rsidRPr="006A42CC">
        <w:t>r</w:t>
      </w:r>
      <w:r w:rsidRPr="006A42CC">
        <w:t>betsgivaravgiftshöjningarna särskilt drabbar små, innovativa och exportb</w:t>
      </w:r>
      <w:r w:rsidRPr="006A42CC">
        <w:t>e</w:t>
      </w:r>
      <w:r w:rsidRPr="006A42CC">
        <w:t>nägna miljöteknikföretag. Vi vill utforma miljötekniksatsningen för att komplettera våra övriga åtgärder för att underlätta svenska miljöteknikför</w:t>
      </w:r>
      <w:r w:rsidRPr="006A42CC">
        <w:t>e</w:t>
      </w:r>
      <w:r w:rsidRPr="006A42CC">
        <w:t>tags export- och finansieringsmöjligheter. Den massiva satsning på energio</w:t>
      </w:r>
      <w:r w:rsidRPr="006A42CC">
        <w:t>m</w:t>
      </w:r>
      <w:r w:rsidRPr="006A42CC">
        <w:t>ställningen som vi presenterat i form av nya investerings- och forskningspr</w:t>
      </w:r>
      <w:r w:rsidRPr="006A42CC">
        <w:t>o</w:t>
      </w:r>
      <w:r w:rsidRPr="006A42CC">
        <w:t xml:space="preserve">gram innebär ytterligare ett lyft för svensk konkurrenskraft och en </w:t>
      </w:r>
      <w:r w:rsidRPr="006A42CC">
        <w:t>möjlighet att utveckla morgondagens exportprodukter på en stark hemmamarknad.</w:t>
      </w:r>
    </w:p>
    <w:p w:rsidR="00FA64E5" w:rsidRPr="006A42CC" w:rsidRDefault="00FA64E5">
      <w:pPr>
        <w:pStyle w:val="Rubrik2"/>
        <w:shd w:val="clear" w:color="000000" w:fill="auto"/>
      </w:pPr>
      <w:r w:rsidRPr="006A42CC">
        <w:t>Forska&amp;Väx</w:t>
      </w:r>
    </w:p>
    <w:p w:rsidR="00FA64E5" w:rsidRPr="006A42CC" w:rsidRDefault="00FA64E5">
      <w:pPr>
        <w:shd w:val="clear" w:color="000000" w:fill="auto"/>
      </w:pPr>
      <w:r w:rsidRPr="006A42CC">
        <w:t>Regeringen har allvarligt skadat förtroendet för statens roll som forskningsf</w:t>
      </w:r>
      <w:r w:rsidRPr="006A42CC">
        <w:t>i</w:t>
      </w:r>
      <w:r w:rsidRPr="006A42CC">
        <w:t>nansiär. Tvärtemot regeringens uttryckliga löften tillfördes under 2007 fors</w:t>
      </w:r>
      <w:r w:rsidRPr="006A42CC">
        <w:t>k</w:t>
      </w:r>
      <w:r w:rsidRPr="006A42CC">
        <w:t>ningsprogrammet för innovativa småföretag, Forska&amp;Väx, inga som helst resurser och därmed tvingades två planerade utlysningar att ställas in. Rege</w:t>
      </w:r>
      <w:r w:rsidRPr="006A42CC">
        <w:t>r</w:t>
      </w:r>
      <w:r w:rsidRPr="006A42CC">
        <w:t>ingens agerande innebar också att annan viktig företagsnära forskning, till exempel inom bio- och miljötekniksektorerna, fick minskade resurser. Detta var mycket olyckligt. Bättre varor och tjänster – och effektivare produktion</w:t>
      </w:r>
      <w:r w:rsidRPr="006A42CC">
        <w:t>s</w:t>
      </w:r>
      <w:r w:rsidRPr="006A42CC">
        <w:t>metoder krävs ständigt för att behålla konkurrenskraften. D</w:t>
      </w:r>
      <w:r w:rsidRPr="006A42CC">
        <w:t>etta förutsätter en väl fungerande företagsnära forskning. För de stora industriföretagen är det sedan länge naturligt att samverka med forskningssamhället – men i de små företagen och i stora delar av tjänstesektorn är detta långt ifrån lika självklart.</w:t>
      </w:r>
    </w:p>
    <w:p w:rsidR="00FA64E5" w:rsidRPr="006A42CC" w:rsidRDefault="00FA64E5">
      <w:pPr>
        <w:pStyle w:val="Normaltindrag"/>
        <w:shd w:val="clear" w:color="000000" w:fill="auto"/>
      </w:pPr>
      <w:r w:rsidRPr="006A42CC">
        <w:t>Forska&amp;Väx är ett framgångsrikt forskningsprogram, och kvaliteten på a</w:t>
      </w:r>
      <w:r w:rsidRPr="006A42CC">
        <w:t>n</w:t>
      </w:r>
      <w:r w:rsidRPr="006A42CC">
        <w:t>sökningarna har sedan starten varit mycket hög. För att ge fler småföretag möjlighet att växa genom innovativa varor och tjänster vill vi nu fördubbla anslagen till Forska&amp;Väx. Ett särskilt fokus ska därvid läggas på tjänste- och miljöteknikföretagen. Vi satsar därmed 100 miljoner kronor per år utöver regeringens förslag på Forska&amp;Väx.</w:t>
      </w:r>
    </w:p>
    <w:p w:rsidR="00FA64E5" w:rsidRPr="006A42CC" w:rsidRDefault="00FA64E5">
      <w:pPr>
        <w:pStyle w:val="Rubrik2"/>
        <w:shd w:val="clear" w:color="000000" w:fill="auto"/>
      </w:pPr>
      <w:r w:rsidRPr="006A42CC">
        <w:t>Fler inkubatorer och holdingbolag för ökad kommersialisering av forskningsresultat</w:t>
      </w:r>
    </w:p>
    <w:p w:rsidR="00FA64E5" w:rsidRPr="006A42CC" w:rsidRDefault="00FA64E5">
      <w:pPr>
        <w:shd w:val="clear" w:color="000000" w:fill="auto"/>
      </w:pPr>
      <w:r w:rsidRPr="006A42CC">
        <w:t>Forskningen vid svenska universitet och högskolor är världsledande. Men vi kan bli bättre på att ta steget från forskningsresultat till färdig produkt. Några högskolor och universitet ligger redan i framkant på detta område. För att stärka kommersialiseringen av forskningsresultat, så att de omsätts i varor och tjänster, avsätter vi nu 50 miljoner kronor per år i en nysatsning på holdingb</w:t>
      </w:r>
      <w:r w:rsidRPr="006A42CC">
        <w:t>o</w:t>
      </w:r>
      <w:r w:rsidRPr="006A42CC">
        <w:t>lag och inkubatorer vid landets universitet och högskolor. Samarbetet mellan universitet och högskolor och verksamhetens spridning till fler orter ska st</w:t>
      </w:r>
      <w:r w:rsidRPr="006A42CC">
        <w:t>i</w:t>
      </w:r>
      <w:r w:rsidRPr="006A42CC">
        <w:t>muleras.</w:t>
      </w:r>
    </w:p>
    <w:p w:rsidR="00FA64E5" w:rsidRPr="006A42CC" w:rsidRDefault="00FA64E5">
      <w:pPr>
        <w:pStyle w:val="Rubrik2"/>
        <w:shd w:val="clear" w:color="000000" w:fill="auto"/>
      </w:pPr>
      <w:r w:rsidRPr="006A42CC">
        <w:t>Ökad tillgång på riskkapital</w:t>
      </w:r>
    </w:p>
    <w:p w:rsidR="00FA64E5" w:rsidRPr="006A42CC" w:rsidRDefault="00FA64E5">
      <w:pPr>
        <w:shd w:val="clear" w:color="000000" w:fill="auto"/>
      </w:pPr>
      <w:r w:rsidRPr="006A42CC">
        <w:t>Det finns en relativt god tillgång på privat riskkapital i Sverige. Dock är mi</w:t>
      </w:r>
      <w:r w:rsidRPr="006A42CC">
        <w:t>l</w:t>
      </w:r>
      <w:r w:rsidRPr="006A42CC">
        <w:t>jötekniksektorn underrepresenterad i förhållande till forskningens omfattning. För att ytterligare stärka Sveriges konkurrenskraft vill vi därför stärka til</w:t>
      </w:r>
      <w:r w:rsidRPr="006A42CC">
        <w:t>l</w:t>
      </w:r>
      <w:r w:rsidRPr="006A42CC">
        <w:t>gången på riskkapital, framför allt vad gäller miljötekniksektorn. Vi vill också att 6:e AP-fonden startar en ny riskkapitalfond för klimatsektorn och går vidare med möjligheten att låta Vattenfall avsätta vinstmedel i en särskild energiomställningsfond samt undersöker om ett nytt statligt bolag för inv</w:t>
      </w:r>
      <w:r w:rsidRPr="006A42CC">
        <w:t>e</w:t>
      </w:r>
      <w:r w:rsidRPr="006A42CC">
        <w:t>steringar i miljöteknik kan bildas i enlighet med</w:t>
      </w:r>
      <w:r w:rsidRPr="006A42CC">
        <w:t xml:space="preserve"> Energimyndighetens förslag.</w:t>
      </w:r>
    </w:p>
    <w:p w:rsidR="00FA64E5" w:rsidRPr="006A42CC" w:rsidRDefault="00FA64E5">
      <w:pPr>
        <w:pStyle w:val="Rubrik2"/>
        <w:shd w:val="clear" w:color="000000" w:fill="auto"/>
      </w:pPr>
      <w:r w:rsidRPr="006A42CC">
        <w:t>Ett nytt innovationslån</w:t>
      </w:r>
    </w:p>
    <w:p w:rsidR="00FA64E5" w:rsidRPr="006A42CC" w:rsidRDefault="00FA64E5">
      <w:pPr>
        <w:shd w:val="clear" w:color="000000" w:fill="auto"/>
      </w:pPr>
      <w:r w:rsidRPr="006A42CC">
        <w:t>Många innovativa småföretag och svenska uppfinnare har idag stora problem att få finansiering till nya produkter eller expansion. Ett nytt småföretagarlån med förenklad ansökningsprocess och sänkta medfinansieringskrav bör därför införas. Det nya småföretagarlånet ska avse lån med högre risk, administreras av Almi och riktas till innovativa småföretagare och uppfinnare i marknad</w:t>
      </w:r>
      <w:r w:rsidRPr="006A42CC">
        <w:t>s</w:t>
      </w:r>
      <w:r w:rsidRPr="006A42CC">
        <w:t>kompletterande syfte. Till detta avsätts 40 miljoner kronor årligen 2008–2010.</w:t>
      </w:r>
    </w:p>
    <w:p w:rsidR="00FA64E5" w:rsidRPr="006A42CC" w:rsidRDefault="00FA64E5">
      <w:pPr>
        <w:pStyle w:val="Rubrik2"/>
        <w:shd w:val="clear" w:color="000000" w:fill="auto"/>
      </w:pPr>
      <w:r w:rsidRPr="006A42CC">
        <w:t>Exportfrämjande för små- och tjänsteföretag</w:t>
      </w:r>
    </w:p>
    <w:p w:rsidR="00FA64E5" w:rsidRPr="006A42CC" w:rsidRDefault="00FA64E5">
      <w:pPr>
        <w:shd w:val="clear" w:color="000000" w:fill="auto"/>
      </w:pPr>
      <w:r w:rsidRPr="006A42CC">
        <w:t>Sverige är ett litet exportberoende land. De stora företagen är motorn i den svenska exporten, men de små och medelstora företagen svarar redan för en tredjedel av all export. Trots detta finns det stora möjligheter till ytterligare export av svenska varor och tjänster, inte minst i nya branscher och bland små och medelstora företag. Regeringen har trots detta valt att skära ned på e</w:t>
      </w:r>
      <w:r w:rsidRPr="006A42CC">
        <w:t>x</w:t>
      </w:r>
      <w:r w:rsidRPr="006A42CC">
        <w:t>portstödet till småföretag. Därmed har Exportrådet tvingats skära ned kraftigt i sin verksamhet, säga upp personal och minska sin närvaro utomlands och i Sverige. Vi vill istället underlätta steget ut på den internationella marknaden. Exportstödet till småföretagen ska byggas ut. Vi vill ha fler regionala e</w:t>
      </w:r>
      <w:r w:rsidRPr="006A42CC">
        <w:t>x</w:t>
      </w:r>
      <w:r w:rsidRPr="006A42CC">
        <w:t>portrådgivare som verkar nära småföretagen i landets alla län och ger kos</w:t>
      </w:r>
      <w:r w:rsidRPr="006A42CC">
        <w:t>t</w:t>
      </w:r>
      <w:r w:rsidRPr="006A42CC">
        <w:t>nadsfri exportrådgivning. Särskilda exportsatsningar ska genomföras för tjänste- och miljöteknikbranscherna. Närvaron på viktiga</w:t>
      </w:r>
      <w:r w:rsidRPr="006A42CC">
        <w:t xml:space="preserve"> framtidsmarknader ska stärkas. Exportsäljare ska utbildas. Vi vill också genomföra en särskild satsning på exportfrämjande inom tjänstesektorn. Vi satsar 220 miljoner kr</w:t>
      </w:r>
      <w:r w:rsidRPr="006A42CC">
        <w:t>o</w:t>
      </w:r>
      <w:r w:rsidRPr="006A42CC">
        <w:t>nor mer än regeringen på exportfrämjandet 2008–2010.</w:t>
      </w:r>
    </w:p>
    <w:p w:rsidR="00FA64E5" w:rsidRPr="006A42CC" w:rsidRDefault="00FA64E5">
      <w:pPr>
        <w:pStyle w:val="Rubrik2"/>
        <w:shd w:val="clear" w:color="000000" w:fill="auto"/>
      </w:pPr>
      <w:r w:rsidRPr="006A42CC">
        <w:t>Fler investeringar i Sverige</w:t>
      </w:r>
    </w:p>
    <w:p w:rsidR="00FA64E5" w:rsidRPr="006A42CC" w:rsidRDefault="00FA64E5">
      <w:pPr>
        <w:shd w:val="clear" w:color="000000" w:fill="auto"/>
      </w:pPr>
      <w:r w:rsidRPr="006A42CC">
        <w:t>Sveriges förmåga att dra till sig investeringar ska stärkas. Utländska investe</w:t>
      </w:r>
      <w:r w:rsidRPr="006A42CC">
        <w:t>r</w:t>
      </w:r>
      <w:r w:rsidRPr="006A42CC">
        <w:t>ingar skapar nya affärsmöjligheter, öppnar nya marknader, tillför ny komp</w:t>
      </w:r>
      <w:r w:rsidRPr="006A42CC">
        <w:t>e</w:t>
      </w:r>
      <w:r w:rsidRPr="006A42CC">
        <w:t>tens och ökar utbytet av teknik och tekniskt kunnande. Vi satsar 40 miljoner kronor mer än regeringen på investeringsfrämjande 2008–2010.</w:t>
      </w:r>
    </w:p>
    <w:p w:rsidR="00FA64E5" w:rsidRPr="006A42CC" w:rsidRDefault="00FA64E5">
      <w:pPr>
        <w:pStyle w:val="Rubrik2"/>
        <w:shd w:val="clear" w:color="000000" w:fill="auto"/>
      </w:pPr>
      <w:r w:rsidRPr="006A42CC">
        <w:t>Strategiska utvecklingsprogram för ökad konkurrenskraft</w:t>
      </w:r>
    </w:p>
    <w:p w:rsidR="00FA64E5" w:rsidRPr="006A42CC" w:rsidRDefault="00FA64E5">
      <w:pPr>
        <w:shd w:val="clear" w:color="000000" w:fill="auto"/>
      </w:pPr>
      <w:r w:rsidRPr="006A42CC">
        <w:t>Vårt svar på hur Sverige ska utvecklas i det intensiva konkurrenstryck som globaliseringen skapar, är ett nära samarbete mellan staten och arbetsmarkn</w:t>
      </w:r>
      <w:r w:rsidRPr="006A42CC">
        <w:t>a</w:t>
      </w:r>
      <w:r w:rsidRPr="006A42CC">
        <w:t>dens parter. Vi socialdemokrater tog i regeringsförklaringen 2004 initiativ till branschsamtal för ett antal utvalda svenska nyckelbranscher. De strategiska branschprogrammen innehåller bland annat forsknings-, utbildnings- och infrastrukturinsatser som tagits fram i samarbete mellan stat, näringsliv och fackliga organisationer för att stärka Sveriges konkurrenskraft i nyckelbra</w:t>
      </w:r>
      <w:r w:rsidRPr="006A42CC">
        <w:t>n</w:t>
      </w:r>
      <w:r w:rsidRPr="006A42CC">
        <w:t>scher.</w:t>
      </w:r>
    </w:p>
    <w:p w:rsidR="00FA64E5" w:rsidRPr="006A42CC" w:rsidRDefault="00FA64E5">
      <w:pPr>
        <w:pStyle w:val="Normaltindrag"/>
        <w:shd w:val="clear" w:color="000000" w:fill="auto"/>
      </w:pPr>
      <w:r w:rsidRPr="006A42CC">
        <w:t>Vi socialdemokrater vill använda det goda ekonomiska läget till att inv</w:t>
      </w:r>
      <w:r w:rsidRPr="006A42CC">
        <w:t>e</w:t>
      </w:r>
      <w:r w:rsidRPr="006A42CC">
        <w:t>stera i framtiden för att trygga sysselsättning och tillväxt på längre sikt. Vi är övertygade om att framtidens jobb finns högre upp i förädlingskedjan. I såväl industri- som tjänstesektorn finns goda förutsättningar för många framtida kvalificerade jobb, om Sverige satsar på utbildning, forskning, infrastruktur och det lokala och regionala tillväxtarbetet. Befintliga strategiprogram ska kompletteras med nya insatser. Vi vill också gå vidare med branschutvec</w:t>
      </w:r>
      <w:r w:rsidRPr="006A42CC">
        <w:t>k</w:t>
      </w:r>
      <w:r w:rsidRPr="006A42CC">
        <w:t>lingsprogram för tjänstesektorn, i första hand m</w:t>
      </w:r>
      <w:r w:rsidRPr="006A42CC">
        <w:t>ed besöksnäringen. Vi vill också ge ett handslag för svensk fordonsindustri och genomföra ett strateg</w:t>
      </w:r>
      <w:r w:rsidRPr="006A42CC">
        <w:t>i</w:t>
      </w:r>
      <w:r w:rsidRPr="006A42CC">
        <w:t>program för svensk vindkraftsindustri. Totalt satsas 300 miljoner kronor mer än regeringens anslag 2008–2010.</w:t>
      </w:r>
    </w:p>
    <w:p w:rsidR="00FA64E5" w:rsidRPr="006A42CC" w:rsidRDefault="00FA64E5">
      <w:pPr>
        <w:pStyle w:val="Rubrik2"/>
        <w:shd w:val="clear" w:color="000000" w:fill="auto"/>
      </w:pPr>
      <w:r w:rsidRPr="006A42CC">
        <w:t>Fler jobb i besöksnäringen</w:t>
      </w:r>
    </w:p>
    <w:p w:rsidR="00FA64E5" w:rsidRPr="006A42CC" w:rsidRDefault="00FA64E5">
      <w:pPr>
        <w:shd w:val="clear" w:color="000000" w:fill="auto"/>
      </w:pPr>
      <w:r w:rsidRPr="006A42CC">
        <w:t>Besöksnäringen växer snabbt och exportvärdet är numera större än Sveriges export av personbilar. Antalet nya företag ökar och sysselsättningen inom branschen stiger. Men företagen kan bli fler och befintliga företag kan växa. Nu behövs ett samlat grepp för att realisera denna potential. Vi vill att staten genomför ett strategiprogram för besöksnäringen som bland annat innehåller betydande ambitionsökningar vad gäller marknadsföringen av Sverige som turistland. Näringen bör samtidigt skjuta till marknadsför</w:t>
      </w:r>
      <w:r w:rsidRPr="006A42CC">
        <w:t>ingsresurser i minst samma storleksordning. Samtidigt måste även det statliga stödet, samordnin</w:t>
      </w:r>
      <w:r w:rsidRPr="006A42CC">
        <w:t>g</w:t>
      </w:r>
      <w:r w:rsidRPr="006A42CC">
        <w:t>en av marknadsföringsinsatser och näringens kompetensförsörjning förbät</w:t>
      </w:r>
      <w:r w:rsidRPr="006A42CC">
        <w:t>t</w:t>
      </w:r>
      <w:r w:rsidRPr="006A42CC">
        <w:t xml:space="preserve">ras. Men besöksnäringen har själv ett stort ansvar för att attrahera arbetskraft. I samband med att en totalöversyn görs av skattesystemet, bör det säkerställas att småföretag inom besöksnäringen ges samma förutsättningar att växa som andra företag. Besöksnäringen bör ingå som en naturlig del av Exportrådets verksamhet. Allemansrätten som är </w:t>
      </w:r>
      <w:r w:rsidRPr="006A42CC">
        <w:t>en viktig förutsättning för turismföretagen ska bevaras. Staten bör ta ett större ansvar för att antalet internationella ev</w:t>
      </w:r>
      <w:r w:rsidRPr="006A42CC">
        <w:t>e</w:t>
      </w:r>
      <w:r w:rsidRPr="006A42CC">
        <w:t>nemang ökar i Sverige.</w:t>
      </w:r>
    </w:p>
    <w:p w:rsidR="00FA64E5" w:rsidRPr="006A42CC" w:rsidRDefault="00FA64E5">
      <w:pPr>
        <w:pStyle w:val="Rubrik2"/>
        <w:shd w:val="clear" w:color="000000" w:fill="auto"/>
      </w:pPr>
      <w:r w:rsidRPr="006A42CC">
        <w:t>Utförsäljningen av de statliga företagen</w:t>
      </w:r>
    </w:p>
    <w:p w:rsidR="00FA64E5" w:rsidRPr="006A42CC" w:rsidRDefault="00FA64E5">
      <w:pPr>
        <w:shd w:val="clear" w:color="000000" w:fill="auto"/>
      </w:pPr>
      <w:r w:rsidRPr="006A42CC">
        <w:t>Vi motsätter oss fortsatt regeringens utförsäljningar av de statliga företagen. De är en usel affär för svenska folket. Utdelningar och värdetillväxt överträ</w:t>
      </w:r>
      <w:r w:rsidRPr="006A42CC">
        <w:t>f</w:t>
      </w:r>
      <w:r w:rsidRPr="006A42CC">
        <w:t>far med stor marginal vinsten av att betala av statsskulden med utförsäljning</w:t>
      </w:r>
      <w:r w:rsidRPr="006A42CC">
        <w:t>s</w:t>
      </w:r>
      <w:r w:rsidRPr="006A42CC">
        <w:t>intäkterna. Utförsäljningarna innebär också stora konsekvenser för konku</w:t>
      </w:r>
      <w:r w:rsidRPr="006A42CC">
        <w:t>r</w:t>
      </w:r>
      <w:r w:rsidRPr="006A42CC">
        <w:t>rensen på berörda marknader, för forskning och utveckling samt för sysse</w:t>
      </w:r>
      <w:r w:rsidRPr="006A42CC">
        <w:t>l</w:t>
      </w:r>
      <w:r w:rsidRPr="006A42CC">
        <w:t>sättning. Trots detta har regeringen inte gjort några som helst konsekvensan</w:t>
      </w:r>
      <w:r w:rsidRPr="006A42CC">
        <w:t>a</w:t>
      </w:r>
      <w:r w:rsidRPr="006A42CC">
        <w:t>lyser. Vi avvisar därmed också de 100 miljoner kronor som regeringen budg</w:t>
      </w:r>
      <w:r w:rsidRPr="006A42CC">
        <w:t>e</w:t>
      </w:r>
      <w:r w:rsidRPr="006A42CC">
        <w:t>terat i ökade kostnader för utförsäljningskonsulter.</w:t>
      </w:r>
    </w:p>
    <w:p w:rsidR="00FA64E5" w:rsidRPr="006A42CC" w:rsidRDefault="00FA64E5">
      <w:pPr>
        <w:pStyle w:val="Rubrik2"/>
        <w:shd w:val="clear" w:color="000000" w:fill="auto"/>
      </w:pPr>
      <w:r w:rsidRPr="006A42CC">
        <w:t>Småföretagarnas trygghet</w:t>
      </w:r>
    </w:p>
    <w:p w:rsidR="00FA64E5" w:rsidRPr="006A42CC" w:rsidRDefault="00FA64E5">
      <w:pPr>
        <w:shd w:val="clear" w:color="000000" w:fill="auto"/>
      </w:pPr>
      <w:r w:rsidRPr="006A42CC">
        <w:t>Vi kan tyvärr konstatera att regeringen ännu inte presenterat några förslag för att på något sätt anpassa trygghetsförsäkringarna till småföretagarnas villkor. Istället har den utredning som den socialdemokratiska regeringen tillsatte lagts ned utan att ha hunnit presentera några konkreta förslag. Vi anser att småföretagarnas villkor i största möjliga utsträckning ska var likvärdiga med anställdas och att steget från anställning till eget företagande måste underlä</w:t>
      </w:r>
      <w:r w:rsidRPr="006A42CC">
        <w:t>t</w:t>
      </w:r>
      <w:r w:rsidRPr="006A42CC">
        <w:t>tas. Därför måste regeringen snarast tillsätta en ny utredning om möjligheten till tryggare småföretagare.</w:t>
      </w:r>
    </w:p>
    <w:p w:rsidR="00FA64E5" w:rsidRPr="006A42CC" w:rsidRDefault="00FA64E5">
      <w:pPr>
        <w:pStyle w:val="Rubrik2"/>
        <w:shd w:val="clear" w:color="000000" w:fill="auto"/>
      </w:pPr>
      <w:r w:rsidRPr="006A42CC">
        <w:t>Regelförenklingar</w:t>
      </w:r>
    </w:p>
    <w:p w:rsidR="00FA64E5" w:rsidRPr="006A42CC" w:rsidRDefault="00FA64E5">
      <w:pPr>
        <w:shd w:val="clear" w:color="000000" w:fill="auto"/>
      </w:pPr>
      <w:r w:rsidRPr="006A42CC">
        <w:t>Den socialdemokratiska regeringen satte upp målet att minska den adminis</w:t>
      </w:r>
      <w:r w:rsidRPr="006A42CC">
        <w:t>t</w:t>
      </w:r>
      <w:r w:rsidRPr="006A42CC">
        <w:t>rativa bördan på skatteområdet med 25 procent. I höstens budgetproposition ställde sig den borgerliga regeringen bakom det målet och skrev att den avsåg att upprätta en fullständig plan för hur detta skulle kunna genomföras. Men ännu har inga konkreta åtgärder vidtagits. I stället presenteras handlingsplaner och nya administrativa organisationer som regeringens Regelråd. Det är otil</w:t>
      </w:r>
      <w:r w:rsidRPr="006A42CC">
        <w:t>l</w:t>
      </w:r>
      <w:r w:rsidRPr="006A42CC">
        <w:t>räckligt. Konkreta åtgärder krävs nu för att underlätta småföretagens vardag.</w:t>
      </w:r>
    </w:p>
    <w:p w:rsidR="00FA64E5" w:rsidRPr="006A42CC" w:rsidRDefault="00FA64E5">
      <w:pPr>
        <w:pStyle w:val="Rubrik2"/>
        <w:shd w:val="clear" w:color="000000" w:fill="auto"/>
      </w:pPr>
      <w:r w:rsidRPr="006A42CC">
        <w:t>Konkurrenspolitik</w:t>
      </w:r>
    </w:p>
    <w:p w:rsidR="00FA64E5" w:rsidRPr="006A42CC" w:rsidRDefault="00FA64E5">
      <w:pPr>
        <w:shd w:val="clear" w:color="000000" w:fill="auto"/>
      </w:pPr>
      <w:r w:rsidRPr="006A42CC">
        <w:t>Regeringen har i sin konkurrenspolitik ett mycket ensidigt fokus på problemet med att kommunal verksamhet ibland kan hamna i en konkurrenssituation med privat näringsverksamhet. Detta är en allvarlig fråga som dock ej får tillåtas skymma de betydligt allvarligare konkurrensproblem som förekommer på andra områden. Till exempel inom energisektorn och vid osund konku</w:t>
      </w:r>
      <w:r w:rsidRPr="006A42CC">
        <w:t>r</w:t>
      </w:r>
      <w:r w:rsidRPr="006A42CC">
        <w:t>rens från oseriösa företagare på bekostnad av arbetsvillkor och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2CC">
        <w:trPr>
          <w:cantSplit/>
        </w:trPr>
        <w:tc>
          <w:tcPr>
            <w:tcW w:w="3046" w:type="dxa"/>
          </w:tcPr>
          <w:p w:rsidR="00FA64E5" w:rsidRPr="006A42CC" w:rsidRDefault="00FA64E5">
            <w:pPr>
              <w:pStyle w:val="UnderskriftDatum"/>
              <w:shd w:val="clear" w:color="000000" w:fill="auto"/>
              <w:spacing w:before="240"/>
            </w:pPr>
            <w:r w:rsidRPr="006A42CC">
              <w:t>Stockholm den 3 oktober 2007</w:t>
            </w:r>
          </w:p>
        </w:tc>
        <w:tc>
          <w:tcPr>
            <w:tcW w:w="3047" w:type="dxa"/>
          </w:tcPr>
          <w:p w:rsidR="00FA64E5" w:rsidRPr="006A42CC" w:rsidRDefault="00FA64E5">
            <w:pPr>
              <w:pStyle w:val="Underskrifter"/>
              <w:shd w:val="clear" w:color="000000" w:fill="auto"/>
              <w:spacing w:before="240"/>
            </w:pPr>
          </w:p>
        </w:tc>
      </w:tr>
      <w:tr w:rsidR="00000000" w:rsidRPr="006A42CC">
        <w:trPr>
          <w:cantSplit/>
        </w:trPr>
        <w:tc>
          <w:tcPr>
            <w:tcW w:w="3046" w:type="dxa"/>
          </w:tcPr>
          <w:p w:rsidR="00FA64E5" w:rsidRPr="006A42CC" w:rsidRDefault="00FA64E5">
            <w:pPr>
              <w:pStyle w:val="Underskrifter"/>
              <w:shd w:val="clear" w:color="000000" w:fill="auto"/>
            </w:pPr>
            <w:r w:rsidRPr="006A42CC">
              <w:t>Thomas Östros (s)</w:t>
            </w:r>
          </w:p>
        </w:tc>
        <w:tc>
          <w:tcPr>
            <w:tcW w:w="3046" w:type="dxa"/>
          </w:tcPr>
          <w:p w:rsidR="00FA64E5" w:rsidRPr="006A42CC" w:rsidRDefault="00FA64E5">
            <w:pPr>
              <w:pStyle w:val="Underskrifter"/>
              <w:shd w:val="clear" w:color="000000" w:fill="auto"/>
            </w:pPr>
          </w:p>
        </w:tc>
      </w:tr>
      <w:tr w:rsidR="00000000" w:rsidRPr="006A42CC">
        <w:trPr>
          <w:cantSplit/>
        </w:trPr>
        <w:tc>
          <w:tcPr>
            <w:tcW w:w="3046" w:type="dxa"/>
          </w:tcPr>
          <w:p w:rsidR="00FA64E5" w:rsidRPr="006A42CC" w:rsidRDefault="00FA64E5">
            <w:pPr>
              <w:pStyle w:val="Underskrifter"/>
              <w:shd w:val="clear" w:color="000000" w:fill="auto"/>
            </w:pPr>
            <w:r w:rsidRPr="006A42CC">
              <w:t>Carina Adolfsson Elgestam (s)</w:t>
            </w:r>
          </w:p>
        </w:tc>
        <w:tc>
          <w:tcPr>
            <w:tcW w:w="3046" w:type="dxa"/>
          </w:tcPr>
          <w:p w:rsidR="00FA64E5" w:rsidRPr="006A42CC" w:rsidRDefault="00FA64E5">
            <w:pPr>
              <w:pStyle w:val="Underskrifter"/>
              <w:shd w:val="clear" w:color="000000" w:fill="auto"/>
            </w:pPr>
            <w:r w:rsidRPr="006A42CC">
              <w:t>Alf Eriksson (s)</w:t>
            </w:r>
          </w:p>
        </w:tc>
      </w:tr>
      <w:tr w:rsidR="00000000" w:rsidRPr="006A42CC">
        <w:trPr>
          <w:cantSplit/>
        </w:trPr>
        <w:tc>
          <w:tcPr>
            <w:tcW w:w="3046" w:type="dxa"/>
          </w:tcPr>
          <w:p w:rsidR="00FA64E5" w:rsidRPr="006A42CC" w:rsidRDefault="00FA64E5">
            <w:pPr>
              <w:pStyle w:val="Underskrifter"/>
              <w:shd w:val="clear" w:color="000000" w:fill="auto"/>
            </w:pPr>
            <w:r w:rsidRPr="006A42CC">
              <w:t>Berit Högman (s)</w:t>
            </w:r>
          </w:p>
        </w:tc>
        <w:tc>
          <w:tcPr>
            <w:tcW w:w="3046" w:type="dxa"/>
          </w:tcPr>
          <w:p w:rsidR="00FA64E5" w:rsidRPr="006A42CC" w:rsidRDefault="00FA64E5">
            <w:pPr>
              <w:pStyle w:val="Underskrifter"/>
              <w:shd w:val="clear" w:color="000000" w:fill="auto"/>
            </w:pPr>
            <w:r w:rsidRPr="006A42CC">
              <w:t>Eva-Lena Jansson (s)</w:t>
            </w:r>
          </w:p>
        </w:tc>
      </w:tr>
      <w:tr w:rsidR="00000000" w:rsidRPr="006A42CC">
        <w:trPr>
          <w:cantSplit/>
        </w:trPr>
        <w:tc>
          <w:tcPr>
            <w:tcW w:w="3046" w:type="dxa"/>
          </w:tcPr>
          <w:p w:rsidR="00FA64E5" w:rsidRPr="006A42CC" w:rsidRDefault="00FA64E5">
            <w:pPr>
              <w:pStyle w:val="Underskrifter"/>
              <w:shd w:val="clear" w:color="000000" w:fill="auto"/>
            </w:pPr>
            <w:r w:rsidRPr="006A42CC">
              <w:t>Börje Vestlund (s)</w:t>
            </w:r>
          </w:p>
        </w:tc>
        <w:tc>
          <w:tcPr>
            <w:tcW w:w="3046" w:type="dxa"/>
          </w:tcPr>
          <w:p w:rsidR="00FA64E5" w:rsidRPr="006A42CC" w:rsidRDefault="00FA64E5">
            <w:pPr>
              <w:pStyle w:val="Underskrifter"/>
              <w:shd w:val="clear" w:color="000000" w:fill="auto"/>
            </w:pPr>
            <w:r w:rsidRPr="006A42CC">
              <w:t>Karin Åström (s)</w:t>
            </w:r>
          </w:p>
        </w:tc>
      </w:tr>
      <w:tr w:rsidR="00000000" w:rsidRPr="006A42CC">
        <w:trPr>
          <w:cantSplit/>
        </w:trPr>
        <w:tc>
          <w:tcPr>
            <w:tcW w:w="3046" w:type="dxa"/>
          </w:tcPr>
          <w:p w:rsidR="00FA64E5" w:rsidRPr="006A42CC" w:rsidRDefault="00FA64E5">
            <w:pPr>
              <w:pStyle w:val="Underskrifter"/>
              <w:shd w:val="clear" w:color="000000" w:fill="auto"/>
            </w:pPr>
            <w:r w:rsidRPr="006A42CC">
              <w:t>Krister Örnfjäder (s)</w:t>
            </w:r>
          </w:p>
        </w:tc>
        <w:tc>
          <w:tcPr>
            <w:tcW w:w="3046" w:type="dxa"/>
          </w:tcPr>
          <w:p w:rsidR="00FA64E5" w:rsidRPr="006A42CC" w:rsidRDefault="00FA64E5">
            <w:pPr>
              <w:pStyle w:val="Underskrifter"/>
              <w:shd w:val="clear" w:color="000000" w:fill="auto"/>
            </w:pPr>
          </w:p>
        </w:tc>
      </w:tr>
    </w:tbl>
    <w:p w:rsidR="00FA64E5" w:rsidRPr="006A42CC" w:rsidRDefault="00FA64E5">
      <w:pPr>
        <w:pStyle w:val="Normaltindrag"/>
        <w:shd w:val="clear" w:color="000000" w:fill="auto"/>
      </w:pPr>
    </w:p>
    <w:sectPr w:rsidR="00FA64E5" w:rsidRPr="006A42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4E5" w:rsidRPr="006A42CC" w:rsidRDefault="00FA64E5">
      <w:r w:rsidRPr="006A42CC">
        <w:separator/>
      </w:r>
    </w:p>
  </w:endnote>
  <w:endnote w:type="continuationSeparator" w:id="0">
    <w:p w:rsidR="00FA64E5" w:rsidRPr="006A42CC" w:rsidRDefault="00FA64E5">
      <w:r w:rsidRPr="006A4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E5" w:rsidRPr="006A42CC" w:rsidRDefault="006A42CC">
    <w:pPr>
      <w:pStyle w:val="Sidfot"/>
    </w:pPr>
    <w:r w:rsidRPr="006A42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025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5" w:rsidRDefault="00FA64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4E5" w:rsidRDefault="00FA64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E5" w:rsidRPr="006A42CC" w:rsidRDefault="006A42CC">
    <w:pPr>
      <w:pStyle w:val="Sidfot"/>
    </w:pPr>
    <w:r w:rsidRPr="006A42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982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5" w:rsidRDefault="00FA64E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4E5" w:rsidRDefault="00FA64E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E5" w:rsidRPr="006A42CC" w:rsidRDefault="006A42CC">
    <w:pPr>
      <w:pStyle w:val="Sidfot"/>
    </w:pPr>
    <w:r w:rsidRPr="006A42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322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5" w:rsidRDefault="00FA6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4E5" w:rsidRDefault="00FA6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4E5" w:rsidRPr="006A42CC" w:rsidRDefault="00FA64E5">
      <w:r w:rsidRPr="006A42CC">
        <w:separator/>
      </w:r>
    </w:p>
  </w:footnote>
  <w:footnote w:type="continuationSeparator" w:id="0">
    <w:p w:rsidR="00FA64E5" w:rsidRPr="006A42CC" w:rsidRDefault="00FA64E5">
      <w:r w:rsidRPr="006A4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E5" w:rsidRPr="006A42CC" w:rsidRDefault="006A42CC">
    <w:pPr>
      <w:pStyle w:val="Sidhuvud"/>
    </w:pPr>
    <w:r w:rsidRPr="006A42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993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5" w:rsidRDefault="00FA64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4E5" w:rsidRDefault="00FA64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E5" w:rsidRPr="006A42CC" w:rsidRDefault="006A42CC">
    <w:pPr>
      <w:pStyle w:val="Sidhuvud"/>
    </w:pPr>
    <w:r w:rsidRPr="006A42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663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5" w:rsidRDefault="00FA64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4E5" w:rsidRDefault="00FA64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E5" w:rsidRPr="006A42CC" w:rsidRDefault="00FA64E5">
    <w:pPr>
      <w:pStyle w:val="FSHNormal"/>
      <w:tabs>
        <w:tab w:val="right" w:pos="5840"/>
      </w:tabs>
    </w:pPr>
    <w:r w:rsidRPr="006A42CC">
      <w:br/>
    </w:r>
    <w:r w:rsidRPr="006A42CC">
      <w:fldChar w:fldCharType="begin" w:fldLock="1"/>
    </w:r>
    <w:r w:rsidRPr="006A42CC">
      <w:instrText xml:space="preserve"> DOCPROPERTY</w:instrText>
    </w:r>
    <w:r w:rsidRPr="006A42CC">
      <w:rPr>
        <w:sz w:val="18"/>
      </w:rPr>
      <w:instrText xml:space="preserve"> "YearUser" *\charformat </w:instrText>
    </w:r>
    <w:r w:rsidRPr="006A42CC">
      <w:fldChar w:fldCharType="separate"/>
    </w:r>
    <w:r w:rsidRPr="006A42CC">
      <w:t>2007/08</w:t>
    </w:r>
    <w:r w:rsidRPr="006A42CC">
      <w:fldChar w:fldCharType="end"/>
    </w:r>
    <w:r w:rsidRPr="006A42CC">
      <w:t xml:space="preserve"> </w:t>
    </w:r>
    <w:r w:rsidRPr="006A42CC">
      <w:tab/>
      <w:t xml:space="preserve">mnr: </w:t>
    </w:r>
    <w:r w:rsidRPr="006A42CC">
      <w:fldChar w:fldCharType="begin" w:fldLock="1"/>
    </w:r>
    <w:r w:rsidRPr="006A42CC">
      <w:instrText xml:space="preserve"> DOCPROPERTY</w:instrText>
    </w:r>
    <w:r w:rsidRPr="006A42CC">
      <w:rPr>
        <w:sz w:val="18"/>
      </w:rPr>
      <w:instrText xml:space="preserve"> "Motionsnummer" *\charformat </w:instrText>
    </w:r>
    <w:r w:rsidRPr="006A42CC">
      <w:fldChar w:fldCharType="separate"/>
    </w:r>
    <w:r w:rsidRPr="006A42CC">
      <w:t>N346</w:t>
    </w:r>
    <w:r w:rsidRPr="006A42CC">
      <w:fldChar w:fldCharType="end"/>
    </w:r>
    <w:r w:rsidRPr="006A42CC">
      <w:br/>
    </w:r>
    <w:r w:rsidRPr="006A42CC">
      <w:fldChar w:fldCharType="begin" w:fldLock="1"/>
    </w:r>
    <w:r w:rsidRPr="006A42CC">
      <w:instrText xml:space="preserve"> DOCPROPERTY</w:instrText>
    </w:r>
    <w:r w:rsidRPr="006A42CC">
      <w:rPr>
        <w:sz w:val="18"/>
      </w:rPr>
      <w:instrText xml:space="preserve"> "Samling" *\charformat </w:instrText>
    </w:r>
    <w:r w:rsidRPr="006A42CC">
      <w:fldChar w:fldCharType="end"/>
    </w:r>
    <w:r w:rsidRPr="006A42CC">
      <w:tab/>
      <w:t xml:space="preserve">pnr: </w:t>
    </w:r>
    <w:r w:rsidRPr="006A42CC">
      <w:fldChar w:fldCharType="begin" w:fldLock="1"/>
    </w:r>
    <w:r w:rsidRPr="006A42CC">
      <w:instrText xml:space="preserve"> DOCPROPERTY</w:instrText>
    </w:r>
    <w:r w:rsidRPr="006A42CC">
      <w:rPr>
        <w:sz w:val="18"/>
      </w:rPr>
      <w:instrText xml:space="preserve"> "Partinummer" *\charformat </w:instrText>
    </w:r>
    <w:r w:rsidRPr="006A42CC">
      <w:fldChar w:fldCharType="separate"/>
    </w:r>
    <w:r w:rsidRPr="006A42CC">
      <w:t>s12063</w:t>
    </w:r>
    <w:r w:rsidRPr="006A42CC">
      <w:fldChar w:fldCharType="end"/>
    </w:r>
  </w:p>
  <w:p w:rsidR="00FA64E5" w:rsidRPr="006A42CC" w:rsidRDefault="00FA64E5">
    <w:pPr>
      <w:pStyle w:val="FSHRub1"/>
    </w:pPr>
    <w:r w:rsidRPr="006A42CC">
      <w:t>Motion till riksdagen</w:t>
    </w:r>
    <w:r w:rsidRPr="006A42CC">
      <w:br/>
    </w:r>
    <w:r w:rsidRPr="006A42CC">
      <w:fldChar w:fldCharType="begin" w:fldLock="1"/>
    </w:r>
    <w:r w:rsidRPr="006A42CC">
      <w:instrText xml:space="preserve"> DOCPROPERTY "YearUser" *\charformat </w:instrText>
    </w:r>
    <w:r w:rsidRPr="006A42CC">
      <w:fldChar w:fldCharType="separate"/>
    </w:r>
    <w:r w:rsidRPr="006A42CC">
      <w:t>2007/08</w:t>
    </w:r>
    <w:r w:rsidRPr="006A42CC">
      <w:fldChar w:fldCharType="end"/>
    </w:r>
    <w:r w:rsidRPr="006A42CC">
      <w:t>:</w:t>
    </w:r>
    <w:r w:rsidRPr="006A42CC">
      <w:fldChar w:fldCharType="begin" w:fldLock="1"/>
    </w:r>
    <w:r w:rsidRPr="006A42CC">
      <w:instrText xml:space="preserve"> DOCPROPERTY "Motionsnummer" *\charformat </w:instrText>
    </w:r>
    <w:r w:rsidRPr="006A42CC">
      <w:fldChar w:fldCharType="separate"/>
    </w:r>
    <w:r w:rsidRPr="006A42CC">
      <w:t>N346</w:t>
    </w:r>
    <w:r w:rsidRPr="006A42CC">
      <w:fldChar w:fldCharType="end"/>
    </w:r>
  </w:p>
  <w:p w:rsidR="00FA64E5" w:rsidRPr="006A42CC" w:rsidRDefault="00FA64E5">
    <w:pPr>
      <w:pStyle w:val="FSHNormalS5"/>
    </w:pPr>
    <w:r w:rsidRPr="006A42CC">
      <w:fldChar w:fldCharType="begin" w:fldLock="1"/>
    </w:r>
    <w:r w:rsidRPr="006A42CC">
      <w:instrText xml:space="preserve"> DOCPROPERTY "MotionarText" *\charformat </w:instrText>
    </w:r>
    <w:r w:rsidRPr="006A42CC">
      <w:fldChar w:fldCharType="separate"/>
    </w:r>
    <w:r w:rsidRPr="006A42CC">
      <w:t>av Thomas Östros m.fl. (s)</w:t>
    </w:r>
    <w:r w:rsidRPr="006A42CC">
      <w:fldChar w:fldCharType="end"/>
    </w:r>
    <w:r w:rsidRPr="006A42CC">
      <w:br/>
    </w:r>
    <w:r w:rsidRPr="006A42CC">
      <w:fldChar w:fldCharType="begin" w:fldLock="1"/>
    </w:r>
    <w:r w:rsidRPr="006A42CC">
      <w:instrText xml:space="preserve"> DOCPROPERTY "SvarFrasKort" *\charformat </w:instrText>
    </w:r>
    <w:r w:rsidRPr="006A42CC">
      <w:fldChar w:fldCharType="end"/>
    </w:r>
  </w:p>
  <w:p w:rsidR="00FA64E5" w:rsidRPr="006A42CC" w:rsidRDefault="00FA64E5">
    <w:pPr>
      <w:pStyle w:val="FSHTitel"/>
    </w:pPr>
    <w:r w:rsidRPr="006A42CC">
      <w:fldChar w:fldCharType="begin" w:fldLock="1"/>
    </w:r>
    <w:r w:rsidRPr="006A42CC">
      <w:instrText xml:space="preserve"> DOCPROPERTY</w:instrText>
    </w:r>
    <w:r w:rsidRPr="006A42CC">
      <w:rPr>
        <w:sz w:val="18"/>
      </w:rPr>
      <w:instrText xml:space="preserve"> "RubrikSvar" *\charformat </w:instrText>
    </w:r>
    <w:r w:rsidRPr="006A42CC">
      <w:fldChar w:fldCharType="separate"/>
    </w:r>
    <w:r w:rsidRPr="006A42CC">
      <w:t>Utgiftsområde 24 Näringsliv</w:t>
    </w:r>
    <w:r w:rsidRPr="006A42CC">
      <w:fldChar w:fldCharType="end"/>
    </w:r>
  </w:p>
  <w:p w:rsidR="00FA64E5" w:rsidRPr="006A42CC" w:rsidRDefault="00FA64E5">
    <w:pPr>
      <w:pStyle w:val="Normal00"/>
    </w:pPr>
  </w:p>
  <w:p w:rsidR="00FA64E5" w:rsidRPr="006A42CC" w:rsidRDefault="00FA6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564AC7B0">
      <w:start w:val="1"/>
      <w:numFmt w:val="decimal"/>
      <w:lvlText w:val="%1."/>
      <w:lvlJc w:val="left"/>
      <w:pPr>
        <w:tabs>
          <w:tab w:val="num" w:pos="340"/>
        </w:tabs>
        <w:ind w:left="340" w:hanging="340"/>
      </w:pPr>
      <w:rPr>
        <w:rFonts w:cs="Times New Roman"/>
      </w:rPr>
    </w:lvl>
    <w:lvl w:ilvl="1" w:tplc="64ACAA30" w:tentative="1">
      <w:start w:val="1"/>
      <w:numFmt w:val="lowerLetter"/>
      <w:lvlText w:val="%2."/>
      <w:lvlJc w:val="left"/>
      <w:pPr>
        <w:tabs>
          <w:tab w:val="num" w:pos="1440"/>
        </w:tabs>
        <w:ind w:left="1440" w:hanging="360"/>
      </w:pPr>
      <w:rPr>
        <w:rFonts w:cs="Times New Roman"/>
      </w:rPr>
    </w:lvl>
    <w:lvl w:ilvl="2" w:tplc="9704F42E" w:tentative="1">
      <w:start w:val="1"/>
      <w:numFmt w:val="lowerRoman"/>
      <w:lvlText w:val="%3."/>
      <w:lvlJc w:val="right"/>
      <w:pPr>
        <w:tabs>
          <w:tab w:val="num" w:pos="2160"/>
        </w:tabs>
        <w:ind w:left="2160" w:hanging="180"/>
      </w:pPr>
      <w:rPr>
        <w:rFonts w:cs="Times New Roman"/>
      </w:rPr>
    </w:lvl>
    <w:lvl w:ilvl="3" w:tplc="2EC216B8" w:tentative="1">
      <w:start w:val="1"/>
      <w:numFmt w:val="decimal"/>
      <w:lvlText w:val="%4."/>
      <w:lvlJc w:val="left"/>
      <w:pPr>
        <w:tabs>
          <w:tab w:val="num" w:pos="2880"/>
        </w:tabs>
        <w:ind w:left="2880" w:hanging="360"/>
      </w:pPr>
      <w:rPr>
        <w:rFonts w:cs="Times New Roman"/>
      </w:rPr>
    </w:lvl>
    <w:lvl w:ilvl="4" w:tplc="0CA43684" w:tentative="1">
      <w:start w:val="1"/>
      <w:numFmt w:val="lowerLetter"/>
      <w:lvlText w:val="%5."/>
      <w:lvlJc w:val="left"/>
      <w:pPr>
        <w:tabs>
          <w:tab w:val="num" w:pos="3600"/>
        </w:tabs>
        <w:ind w:left="3600" w:hanging="360"/>
      </w:pPr>
      <w:rPr>
        <w:rFonts w:cs="Times New Roman"/>
      </w:rPr>
    </w:lvl>
    <w:lvl w:ilvl="5" w:tplc="D5F6C444" w:tentative="1">
      <w:start w:val="1"/>
      <w:numFmt w:val="lowerRoman"/>
      <w:lvlText w:val="%6."/>
      <w:lvlJc w:val="right"/>
      <w:pPr>
        <w:tabs>
          <w:tab w:val="num" w:pos="4320"/>
        </w:tabs>
        <w:ind w:left="4320" w:hanging="180"/>
      </w:pPr>
      <w:rPr>
        <w:rFonts w:cs="Times New Roman"/>
      </w:rPr>
    </w:lvl>
    <w:lvl w:ilvl="6" w:tplc="16BC8774" w:tentative="1">
      <w:start w:val="1"/>
      <w:numFmt w:val="decimal"/>
      <w:lvlText w:val="%7."/>
      <w:lvlJc w:val="left"/>
      <w:pPr>
        <w:tabs>
          <w:tab w:val="num" w:pos="5040"/>
        </w:tabs>
        <w:ind w:left="5040" w:hanging="360"/>
      </w:pPr>
      <w:rPr>
        <w:rFonts w:cs="Times New Roman"/>
      </w:rPr>
    </w:lvl>
    <w:lvl w:ilvl="7" w:tplc="DE5AB198" w:tentative="1">
      <w:start w:val="1"/>
      <w:numFmt w:val="lowerLetter"/>
      <w:lvlText w:val="%8."/>
      <w:lvlJc w:val="left"/>
      <w:pPr>
        <w:tabs>
          <w:tab w:val="num" w:pos="5760"/>
        </w:tabs>
        <w:ind w:left="5760" w:hanging="360"/>
      </w:pPr>
      <w:rPr>
        <w:rFonts w:cs="Times New Roman"/>
      </w:rPr>
    </w:lvl>
    <w:lvl w:ilvl="8" w:tplc="95DCA562"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CE5D5B"/>
    <w:multiLevelType w:val="hybridMultilevel"/>
    <w:tmpl w:val="768E90C6"/>
    <w:lvl w:ilvl="0" w:tplc="23B8C0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0549858">
    <w:abstractNumId w:val="8"/>
  </w:num>
  <w:num w:numId="2" w16cid:durableId="60257974">
    <w:abstractNumId w:val="9"/>
  </w:num>
  <w:num w:numId="3" w16cid:durableId="1820923736">
    <w:abstractNumId w:val="8"/>
  </w:num>
  <w:num w:numId="4" w16cid:durableId="1191604650">
    <w:abstractNumId w:val="9"/>
  </w:num>
  <w:num w:numId="5" w16cid:durableId="1528787866">
    <w:abstractNumId w:val="13"/>
  </w:num>
  <w:num w:numId="6" w16cid:durableId="750614831">
    <w:abstractNumId w:val="10"/>
  </w:num>
  <w:num w:numId="7" w16cid:durableId="1222986089">
    <w:abstractNumId w:val="11"/>
  </w:num>
  <w:num w:numId="8" w16cid:durableId="2099671944">
    <w:abstractNumId w:val="12"/>
  </w:num>
  <w:num w:numId="9" w16cid:durableId="1753694907">
    <w:abstractNumId w:val="8"/>
  </w:num>
  <w:num w:numId="10" w16cid:durableId="1430353978">
    <w:abstractNumId w:val="3"/>
  </w:num>
  <w:num w:numId="11" w16cid:durableId="498159617">
    <w:abstractNumId w:val="2"/>
  </w:num>
  <w:num w:numId="12" w16cid:durableId="71392813">
    <w:abstractNumId w:val="1"/>
  </w:num>
  <w:num w:numId="13" w16cid:durableId="1032997045">
    <w:abstractNumId w:val="0"/>
  </w:num>
  <w:num w:numId="14" w16cid:durableId="439379119">
    <w:abstractNumId w:val="9"/>
  </w:num>
  <w:num w:numId="15" w16cid:durableId="1233613342">
    <w:abstractNumId w:val="7"/>
  </w:num>
  <w:num w:numId="16" w16cid:durableId="962928757">
    <w:abstractNumId w:val="6"/>
  </w:num>
  <w:num w:numId="17" w16cid:durableId="1850093507">
    <w:abstractNumId w:val="5"/>
  </w:num>
  <w:num w:numId="18" w16cid:durableId="65105103">
    <w:abstractNumId w:val="4"/>
  </w:num>
  <w:num w:numId="19" w16cid:durableId="4399591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174F5EC-2C19-47A7-8116-E29AECD635DD},{B5A71645-7CE9-4CF2-9B0D-B8EF37E8CE0F},{622BAC93-598F-4CA9-AD94-75479E0DCA7F},{A193B297-6B98-437B-A6FB-B6A494C4671C},{B956ED79-82BF-4E87-9D1C-0C5F8EC760E3},{F862D198-27F7-48B9-A0E6-F542C19DBB78},{B3C0004F-CA55-4619-AE3B-5B534EAD0297},{D13B8A42-4E53-4123-8AC8-76C1986C47BF}"/>
  </w:docVars>
  <w:rsids>
    <w:rsidRoot w:val="0038777F"/>
    <w:rsid w:val="0038777F"/>
    <w:rsid w:val="006A42CC"/>
    <w:rsid w:val="00FA6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3C0A2C-0232-4434-BD12-3C3B08FB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SBTabell">
    <w:name w:val="SB_Tabell"/>
    <w:basedOn w:val="Normal"/>
    <w:pPr>
      <w:spacing w:line="214" w:lineRule="exact"/>
    </w:pPr>
    <w:rPr>
      <w:sz w:val="20"/>
      <w:lang w:eastAsia="zh-CN"/>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2490</Words>
  <Characters>15742</Characters>
  <Application>Microsoft Office Word</Application>
  <DocSecurity>4</DocSecurity>
  <Lines>342</Lines>
  <Paragraphs>108</Paragraphs>
  <ScaleCrop>false</ScaleCrop>
  <HeadingPairs>
    <vt:vector size="2" baseType="variant">
      <vt:variant>
        <vt:lpstr>Rubrik</vt:lpstr>
      </vt:variant>
      <vt:variant>
        <vt:i4>1</vt:i4>
      </vt:variant>
    </vt:vector>
  </HeadingPairs>
  <TitlesOfParts>
    <vt:vector size="1" baseType="lpstr">
      <vt:lpstr>s12063</vt:lpstr>
    </vt:vector>
  </TitlesOfParts>
  <Company>Riksdagen</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s12063</dc:title>
  <dc:subject>s12063</dc:subject>
  <dc:creator>Riksdagen</dc:creator>
  <cp:keywords>Riksdagen</cp:keywords>
  <dc:description>TKG-ktrl, MSMQ4mb, PersReg-Distribution mm</dc:description>
  <cp:lastModifiedBy>Lars Brink</cp:lastModifiedBy>
  <cp:revision>2</cp:revision>
  <cp:lastPrinted>2007-11-27T15:14:00Z</cp:lastPrinted>
  <dcterms:created xsi:type="dcterms:W3CDTF">2025-12-17T07:33:00Z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20072008000000000115000120630075</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20072008000000000115000120630075</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{4FC1556D-9E07-4665-956D-CED971BA53AC}</vt:lpwstr>
  </property>
  <property fmtid="{D5CDD505-2E9C-101B-9397-08002B2CF9AE}" pid="53" name="Överföringar">
    <vt:i4>0</vt:i4>
  </property>
  <property fmtid="{D5CDD505-2E9C-101B-9397-08002B2CF9AE}" pid="54" name="Checksum">
    <vt:lpwstr>*1008763278987*</vt:lpwstr>
  </property>
  <property fmtid="{D5CDD505-2E9C-101B-9397-08002B2CF9AE}" pid="55" name="skuggnummer">
    <vt:lpwstr>2702</vt:lpwstr>
  </property>
  <property fmtid="{D5CDD505-2E9C-101B-9397-08002B2CF9AE}" pid="56" name="urixVersion">
    <vt:lpwstr>3.2.0.8</vt:lpwstr>
  </property>
  <property fmtid="{D5CDD505-2E9C-101B-9397-08002B2CF9AE}" pid="57" name="urixOrigin">
    <vt:lpwstr>080827 13:29:53.687</vt:lpwstr>
  </property>
  <property fmtid="{D5CDD505-2E9C-101B-9397-08002B2CF9AE}" pid="58" name="urixGuid">
    <vt:lpwstr>{C4BCE2E8-C570-49FC-9968-44A4010C7733}</vt:lpwstr>
  </property>
</Properties>
</file>