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1600" w:rsidRPr="00E4127D" w:rsidRDefault="00131600" w:rsidP="00F5525D">
      <w:pPr>
        <w:pStyle w:val="Hemstlrubrik"/>
      </w:pPr>
      <w:r w:rsidRPr="00E4127D">
        <w:t>Förslag till riksdagsbeslut</w:t>
      </w:r>
    </w:p>
    <w:p w:rsidR="00A1546A" w:rsidRPr="00E4127D" w:rsidRDefault="00131600" w:rsidP="001F2BD6">
      <w:pPr>
        <w:pStyle w:val="Hemstlatt"/>
      </w:pPr>
      <w:r w:rsidRPr="00E4127D">
        <w:t xml:space="preserve">Riksdagen tillkännager för regeringen som sin mening vad i motionen anförs om att låta </w:t>
      </w:r>
      <w:r w:rsidR="00A1546A" w:rsidRPr="00E4127D">
        <w:t>Söderhamns kommun bli pilotkommun för lärlingsu</w:t>
      </w:r>
      <w:r w:rsidR="00A1546A" w:rsidRPr="00E4127D">
        <w:t>t</w:t>
      </w:r>
      <w:r w:rsidR="00A1546A" w:rsidRPr="00E4127D">
        <w:t>bildning i enlighet med motionens intentioner.</w:t>
      </w:r>
    </w:p>
    <w:p w:rsidR="00131600" w:rsidRPr="00E4127D" w:rsidRDefault="00131600" w:rsidP="00131600">
      <w:pPr>
        <w:pStyle w:val="Rubrik1"/>
      </w:pPr>
      <w:r w:rsidRPr="00E4127D">
        <w:t>Motivering</w:t>
      </w:r>
    </w:p>
    <w:p w:rsidR="007B3FD5" w:rsidRPr="00E4127D" w:rsidRDefault="00A1546A" w:rsidP="001F2BD6">
      <w:r w:rsidRPr="00E4127D">
        <w:t xml:space="preserve">Gävleborgs län har sedan valet 2002 kommit att toppa de flesta listor över arbetslöshet och ohälsa. Det är bara att konstatera att Gävleborgs län är ett län i kris i många avseenden. 54 000 gävleborgare i arbetsför ålder jobbar inte. </w:t>
      </w:r>
      <w:r w:rsidR="003360C6" w:rsidRPr="00E4127D">
        <w:t xml:space="preserve">Ungdomsarbetslösheten i Gävleborgs län </w:t>
      </w:r>
      <w:r w:rsidR="00B47816" w:rsidRPr="00E4127D">
        <w:t xml:space="preserve">är </w:t>
      </w:r>
      <w:r w:rsidR="003360C6" w:rsidRPr="00E4127D">
        <w:t xml:space="preserve">bland den högsta i landet. </w:t>
      </w:r>
      <w:r w:rsidR="000501EE" w:rsidRPr="00E4127D">
        <w:t>Olika varsel, nedläggningar och personalminskningar har duggat tätt. Den senaste i raden är Ovako Steel som nu meddelat att 300 jobb försvinner från Hofors. Min bedömning av läget i länet är att situationen är allvarlig och att det fö</w:t>
      </w:r>
      <w:r w:rsidR="000501EE" w:rsidRPr="00E4127D">
        <w:t>r</w:t>
      </w:r>
      <w:r w:rsidR="000501EE" w:rsidRPr="00E4127D">
        <w:t>sämras ytterligare om ytterligare 300 jobb försvinner i Hofors. En konsekvens blir att vi förlorar den yngre generationen som ska vara de som blir ryggraden in i framtiden. De flyttar från länet för att söka jobb på annan ort. Folkmän</w:t>
      </w:r>
      <w:r w:rsidR="000501EE" w:rsidRPr="00E4127D">
        <w:t>g</w:t>
      </w:r>
      <w:r w:rsidR="000501EE" w:rsidRPr="00E4127D">
        <w:t xml:space="preserve">den i länet har minskat med 3,9 </w:t>
      </w:r>
      <w:r w:rsidR="00F5525D" w:rsidRPr="00E4127D">
        <w:t>%</w:t>
      </w:r>
      <w:r w:rsidR="000501EE" w:rsidRPr="00E4127D">
        <w:t xml:space="preserve"> under den senaste tioårsperioden – till skillnad mot en ökning på 3,1 i resten av riket.</w:t>
      </w:r>
      <w:r w:rsidR="001F2BD6" w:rsidRPr="00E4127D">
        <w:t xml:space="preserve"> </w:t>
      </w:r>
      <w:r w:rsidR="000501EE" w:rsidRPr="00E4127D">
        <w:t>Detta måste motverkas genom att stimulera unga att få utbildning i länet som leder till jobb.</w:t>
      </w:r>
    </w:p>
    <w:p w:rsidR="007B3FD5" w:rsidRPr="00E4127D" w:rsidRDefault="007B3FD5" w:rsidP="000C191C">
      <w:pPr>
        <w:pStyle w:val="Normaltindrag"/>
      </w:pPr>
      <w:r w:rsidRPr="00E4127D">
        <w:t>Trots län</w:t>
      </w:r>
      <w:r w:rsidR="00F5525D" w:rsidRPr="00E4127D">
        <w:t>ets totalt sett svåra situation</w:t>
      </w:r>
      <w:r w:rsidRPr="00E4127D">
        <w:t xml:space="preserve"> kan man se att det f</w:t>
      </w:r>
      <w:r w:rsidR="00F5525D" w:rsidRPr="00E4127D">
        <w:t>inns de orter inom länet</w:t>
      </w:r>
      <w:r w:rsidRPr="00E4127D">
        <w:t xml:space="preserve"> som drabbats ännu hårdare än andra. Därför är det viktigt att hitta skrä</w:t>
      </w:r>
      <w:r w:rsidRPr="00E4127D">
        <w:t>d</w:t>
      </w:r>
      <w:r w:rsidRPr="00E4127D">
        <w:t>darsydda lösningar för just de orter där arbetslöshet, utflyttning och nedläg</w:t>
      </w:r>
      <w:r w:rsidRPr="00E4127D">
        <w:t>g</w:t>
      </w:r>
      <w:r w:rsidRPr="00E4127D">
        <w:t xml:space="preserve">ning är som störst. Här krävs uppfinningsrikedom, men också ett flexibelt tänkande där politiska blockeringar måste läggas åt sidan för att rädda vårt län. </w:t>
      </w:r>
    </w:p>
    <w:p w:rsidR="00A1546A" w:rsidRPr="00E4127D" w:rsidRDefault="00A1546A" w:rsidP="00AE5A46">
      <w:pPr>
        <w:pStyle w:val="Normaltindrag"/>
      </w:pPr>
      <w:r w:rsidRPr="00E4127D">
        <w:t>Länets politiker anordnar tillväxtkonferenser och försöker på olika sätt komma med förslag som ska lindra krisen. Men inget hände</w:t>
      </w:r>
      <w:r w:rsidR="00F5525D" w:rsidRPr="00E4127D">
        <w:t>r. Regeringen har delat ut ett s</w:t>
      </w:r>
      <w:r w:rsidRPr="00E4127D">
        <w:t>ödra Norrlands</w:t>
      </w:r>
      <w:r w:rsidR="00F5525D" w:rsidRPr="00E4127D">
        <w:t>-</w:t>
      </w:r>
      <w:r w:rsidRPr="00E4127D">
        <w:t>paket</w:t>
      </w:r>
      <w:r w:rsidR="00F5525D" w:rsidRPr="00E4127D">
        <w:t>,</w:t>
      </w:r>
      <w:r w:rsidRPr="00E4127D">
        <w:t xml:space="preserve"> men ännu ser vi inga resultat i form av ökad tillväxt och lägre arbetslöshet. Regeringen har haft olika delegationer </w:t>
      </w:r>
      <w:r w:rsidRPr="00E4127D">
        <w:lastRenderedPageBreak/>
        <w:t>som studerat förhållande i inlandet och i Bergslagen. Inte heller här ser vi några konkreta slutsatser eller insatser.</w:t>
      </w:r>
    </w:p>
    <w:p w:rsidR="00A1546A" w:rsidRPr="00E4127D" w:rsidRDefault="00A1546A" w:rsidP="000C191C">
      <w:pPr>
        <w:pStyle w:val="Normaltindrag"/>
      </w:pPr>
      <w:r w:rsidRPr="00E4127D">
        <w:t>I Sverige sjönk de</w:t>
      </w:r>
      <w:r w:rsidR="00CB7FEB" w:rsidRPr="00E4127D">
        <w:t xml:space="preserve">n öppna arbetslösheten till ca </w:t>
      </w:r>
      <w:r w:rsidR="00F5525D" w:rsidRPr="00E4127D">
        <w:t>4 %</w:t>
      </w:r>
      <w:r w:rsidRPr="00E4127D">
        <w:t xml:space="preserve"> år 2001 och 2002, men steg till 4,9 </w:t>
      </w:r>
      <w:r w:rsidR="00F5525D" w:rsidRPr="00E4127D">
        <w:t>%</w:t>
      </w:r>
      <w:r w:rsidRPr="00E4127D">
        <w:t xml:space="preserve"> år 2003 och ytterligare till 5,5 </w:t>
      </w:r>
      <w:r w:rsidR="00F5525D" w:rsidRPr="00E4127D">
        <w:t>%</w:t>
      </w:r>
      <w:r w:rsidRPr="00E4127D">
        <w:t xml:space="preserve"> under 2004. I år väntas den öppna arbetslösheten ligga på över 5,0 </w:t>
      </w:r>
      <w:r w:rsidR="00F5525D" w:rsidRPr="00E4127D">
        <w:t>%</w:t>
      </w:r>
      <w:r w:rsidRPr="00E4127D">
        <w:t>. Enligt den senaste arbet</w:t>
      </w:r>
      <w:r w:rsidRPr="00E4127D">
        <w:t>s</w:t>
      </w:r>
      <w:r w:rsidRPr="00E4127D">
        <w:t xml:space="preserve">kraftsundersökningen från juli 2005 är arbetslösheten i Sverige 6,9 </w:t>
      </w:r>
      <w:r w:rsidR="00F5525D" w:rsidRPr="00E4127D">
        <w:t>%</w:t>
      </w:r>
      <w:r w:rsidRPr="00E4127D">
        <w:t>. Det är en klar ökning jämfört med samma månad förra året. I juli 2005 var 68 000 svenskar långtidsarbetslösa. Därtill ska läggas de ca 327 000 öppet arbetslösa och de 141 000 latent arbetssökande. (SCB:s</w:t>
      </w:r>
      <w:r w:rsidR="00F5525D" w:rsidRPr="00E4127D">
        <w:t xml:space="preserve"> a</w:t>
      </w:r>
      <w:r w:rsidRPr="00E4127D">
        <w:t>rbetskraftsundersökning för juli 2005).</w:t>
      </w:r>
    </w:p>
    <w:p w:rsidR="005F2F37" w:rsidRPr="00E4127D" w:rsidRDefault="000960FA" w:rsidP="000C191C">
      <w:pPr>
        <w:pStyle w:val="Normaltindrag"/>
      </w:pPr>
      <w:r w:rsidRPr="00E4127D">
        <w:t>Även i Gävleborgs län har arbetslösheten ökat dramatiskt sedan valet i se</w:t>
      </w:r>
      <w:r w:rsidRPr="00E4127D">
        <w:t>p</w:t>
      </w:r>
      <w:r w:rsidRPr="00E4127D">
        <w:t>tember 2002. Ö</w:t>
      </w:r>
      <w:r w:rsidR="007B3FD5" w:rsidRPr="00E4127D">
        <w:t xml:space="preserve">ver 10 000 går </w:t>
      </w:r>
      <w:r w:rsidR="00DF02A2" w:rsidRPr="00E4127D">
        <w:t xml:space="preserve">öppet </w:t>
      </w:r>
      <w:r w:rsidR="007B3FD5" w:rsidRPr="00E4127D">
        <w:t>arbetslösa</w:t>
      </w:r>
      <w:r w:rsidR="005F2F37" w:rsidRPr="00E4127D">
        <w:t xml:space="preserve"> – en ökning</w:t>
      </w:r>
      <w:r w:rsidR="007B3FD5" w:rsidRPr="00E4127D">
        <w:t xml:space="preserve"> </w:t>
      </w:r>
      <w:r w:rsidR="005F2F37" w:rsidRPr="00E4127D">
        <w:t>på</w:t>
      </w:r>
      <w:r w:rsidR="001F2BD6" w:rsidRPr="00E4127D">
        <w:t xml:space="preserve"> drygt 29 %</w:t>
      </w:r>
      <w:r w:rsidR="007B3FD5" w:rsidRPr="00E4127D">
        <w:t xml:space="preserve"> eller</w:t>
      </w:r>
      <w:r w:rsidR="005F2F37" w:rsidRPr="00E4127D">
        <w:t xml:space="preserve"> </w:t>
      </w:r>
      <w:r w:rsidR="007B3FD5" w:rsidRPr="00E4127D">
        <w:t>2 163 personer. Ökningen av arbetslösheten beror på försämrad konjun</w:t>
      </w:r>
      <w:r w:rsidR="007B3FD5" w:rsidRPr="00E4127D">
        <w:t>k</w:t>
      </w:r>
      <w:r w:rsidR="007B3FD5" w:rsidRPr="00E4127D">
        <w:t xml:space="preserve">tur, försämrad konkurrenskraft för Gävleborgsföretagen och </w:t>
      </w:r>
      <w:r w:rsidR="005F2F37" w:rsidRPr="00E4127D">
        <w:t>på</w:t>
      </w:r>
      <w:r w:rsidR="007B3FD5" w:rsidRPr="00E4127D">
        <w:t xml:space="preserve"> faktorer som r</w:t>
      </w:r>
      <w:r w:rsidR="007B3FD5" w:rsidRPr="00E4127D">
        <w:t>e</w:t>
      </w:r>
      <w:r w:rsidR="007B3FD5" w:rsidRPr="00E4127D">
        <w:t xml:space="preserve">geringens skatte-, arbetsmarknads- och socialpolitik. </w:t>
      </w:r>
    </w:p>
    <w:p w:rsidR="00A1546A" w:rsidRPr="00E4127D" w:rsidRDefault="007B3FD5" w:rsidP="00AE5A46">
      <w:pPr>
        <w:pStyle w:val="Normaltindrag"/>
      </w:pPr>
      <w:r w:rsidRPr="00E4127D">
        <w:t>Dessutom har det under mellanvalsperioden varit en minskning av antalet arbetslösa ”i program”</w:t>
      </w:r>
      <w:r w:rsidR="00F5525D" w:rsidRPr="00E4127D">
        <w:t>,</w:t>
      </w:r>
      <w:r w:rsidRPr="00E4127D">
        <w:t xml:space="preserve"> vilket helt får tillskrivas regeringens ointresse av att hjälpa människ</w:t>
      </w:r>
      <w:r w:rsidR="00F5525D" w:rsidRPr="00E4127D">
        <w:t>or som drabbats av arbetslöshet –</w:t>
      </w:r>
      <w:r w:rsidRPr="00E4127D">
        <w:t xml:space="preserve"> åtminstone då det inte är valår. Nu är det </w:t>
      </w:r>
      <w:r w:rsidR="00CB7FEB" w:rsidRPr="00E4127D">
        <w:t xml:space="preserve">dock </w:t>
      </w:r>
      <w:r w:rsidRPr="00E4127D">
        <w:t xml:space="preserve">annat ljud i källan då vi på nytt går in i ett valår. </w:t>
      </w:r>
      <w:r w:rsidR="00CB7FEB" w:rsidRPr="00E4127D">
        <w:t>Stödet ökar</w:t>
      </w:r>
      <w:r w:rsidRPr="00E4127D">
        <w:t xml:space="preserve"> igen för dem som är arbetslösa</w:t>
      </w:r>
      <w:r w:rsidR="00CB7FEB" w:rsidRPr="00E4127D">
        <w:t xml:space="preserve"> i arbetsmarknadspolitiska åtgärder</w:t>
      </w:r>
      <w:r w:rsidRPr="00E4127D">
        <w:t>. Min ambition med de förslag som denna motion förespråkar är att de ska vara långsiktig</w:t>
      </w:r>
      <w:r w:rsidR="00436430" w:rsidRPr="00E4127D">
        <w:t>a</w:t>
      </w:r>
      <w:r w:rsidRPr="00E4127D">
        <w:t xml:space="preserve"> och </w:t>
      </w:r>
      <w:r w:rsidR="00F5525D" w:rsidRPr="00E4127D">
        <w:t xml:space="preserve">bestå </w:t>
      </w:r>
      <w:r w:rsidRPr="00E4127D">
        <w:t>även efter valdagen 2006.</w:t>
      </w:r>
    </w:p>
    <w:p w:rsidR="00324210" w:rsidRPr="00E4127D" w:rsidRDefault="00A1546A" w:rsidP="00AE5A46">
      <w:pPr>
        <w:pStyle w:val="Normaltindrag"/>
      </w:pPr>
      <w:r w:rsidRPr="00E4127D">
        <w:t xml:space="preserve">I Gävleborg var i september 2005 10 657 personer </w:t>
      </w:r>
      <w:r w:rsidR="00932D47" w:rsidRPr="00E4127D">
        <w:t xml:space="preserve">öppet </w:t>
      </w:r>
      <w:r w:rsidRPr="00E4127D">
        <w:t>arbetslösa och inte mindre än 5</w:t>
      </w:r>
      <w:r w:rsidR="00932D47" w:rsidRPr="00E4127D">
        <w:t> </w:t>
      </w:r>
      <w:r w:rsidRPr="00E4127D">
        <w:t>048 personer i arbetsmarknadspolitiska åtgärder. Antalet öppet arbetslösa är totalt 1</w:t>
      </w:r>
      <w:r w:rsidR="00932D47" w:rsidRPr="00E4127D">
        <w:t> </w:t>
      </w:r>
      <w:r w:rsidRPr="00E4127D">
        <w:t>106 personer fler än år 1994 (</w:t>
      </w:r>
      <w:r w:rsidR="00F5525D" w:rsidRPr="00E4127D">
        <w:t>AMS</w:t>
      </w:r>
      <w:r w:rsidRPr="00E4127D">
        <w:t>). Gävleborg har i</w:t>
      </w:r>
      <w:r w:rsidR="00F5525D" w:rsidRPr="00E4127D">
        <w:t xml:space="preserve"> </w:t>
      </w:r>
      <w:r w:rsidRPr="00E4127D">
        <w:t xml:space="preserve">dag landets högsta obalans på arbetsmarknaden. </w:t>
      </w:r>
    </w:p>
    <w:p w:rsidR="00A1546A" w:rsidRPr="00E4127D" w:rsidRDefault="00A1546A" w:rsidP="001F2BD6">
      <w:pPr>
        <w:pStyle w:val="Normaltindrag"/>
        <w:spacing w:before="125"/>
        <w:ind w:firstLine="0"/>
        <w:rPr>
          <w:b/>
        </w:rPr>
      </w:pPr>
      <w:r w:rsidRPr="00E4127D">
        <w:rPr>
          <w:b/>
        </w:rPr>
        <w:t>Arbetslösa i Gävleborgs län, kommun för kommun, 2003</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953"/>
      </w:tblGrid>
      <w:tr w:rsidR="00324210" w:rsidRPr="00E4127D">
        <w:tc>
          <w:tcPr>
            <w:tcW w:w="6093" w:type="dxa"/>
          </w:tcPr>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89"/>
              <w:gridCol w:w="934"/>
              <w:gridCol w:w="1144"/>
              <w:gridCol w:w="1132"/>
              <w:gridCol w:w="1138"/>
            </w:tblGrid>
            <w:tr w:rsidR="00324210" w:rsidRPr="00E4127D">
              <w:tc>
                <w:tcPr>
                  <w:tcW w:w="1425" w:type="dxa"/>
                  <w:tcBorders>
                    <w:bottom w:val="single" w:sz="4" w:space="0" w:color="auto"/>
                  </w:tcBorders>
                </w:tcPr>
                <w:p w:rsidR="00324210" w:rsidRPr="00E4127D" w:rsidRDefault="00324210" w:rsidP="001F2BD6">
                  <w:pPr>
                    <w:spacing w:before="60" w:line="200" w:lineRule="exact"/>
                    <w:jc w:val="right"/>
                    <w:rPr>
                      <w:b/>
                      <w:sz w:val="16"/>
                      <w:szCs w:val="16"/>
                    </w:rPr>
                  </w:pPr>
                </w:p>
              </w:tc>
              <w:tc>
                <w:tcPr>
                  <w:tcW w:w="953" w:type="dxa"/>
                  <w:tcBorders>
                    <w:bottom w:val="single" w:sz="4" w:space="0" w:color="auto"/>
                  </w:tcBorders>
                </w:tcPr>
                <w:p w:rsidR="00324210" w:rsidRPr="00E4127D" w:rsidRDefault="00324210" w:rsidP="001F2BD6">
                  <w:pPr>
                    <w:spacing w:before="60" w:line="200" w:lineRule="exact"/>
                    <w:jc w:val="right"/>
                    <w:rPr>
                      <w:b/>
                      <w:sz w:val="16"/>
                      <w:szCs w:val="16"/>
                    </w:rPr>
                  </w:pPr>
                  <w:r w:rsidRPr="00E4127D">
                    <w:rPr>
                      <w:b/>
                      <w:sz w:val="16"/>
                      <w:szCs w:val="16"/>
                    </w:rPr>
                    <w:t>Arbetslösa</w:t>
                  </w:r>
                </w:p>
              </w:tc>
              <w:tc>
                <w:tcPr>
                  <w:tcW w:w="1174" w:type="dxa"/>
                  <w:tcBorders>
                    <w:bottom w:val="single" w:sz="4" w:space="0" w:color="auto"/>
                  </w:tcBorders>
                </w:tcPr>
                <w:p w:rsidR="00324210" w:rsidRPr="00E4127D" w:rsidRDefault="00324210" w:rsidP="001F2BD6">
                  <w:pPr>
                    <w:spacing w:before="60" w:line="200" w:lineRule="exact"/>
                    <w:jc w:val="right"/>
                    <w:rPr>
                      <w:b/>
                      <w:sz w:val="16"/>
                      <w:szCs w:val="16"/>
                    </w:rPr>
                  </w:pPr>
                  <w:r w:rsidRPr="00E4127D">
                    <w:rPr>
                      <w:b/>
                      <w:sz w:val="16"/>
                      <w:szCs w:val="16"/>
                    </w:rPr>
                    <w:t>I program</w:t>
                  </w:r>
                </w:p>
              </w:tc>
              <w:tc>
                <w:tcPr>
                  <w:tcW w:w="1158" w:type="dxa"/>
                  <w:tcBorders>
                    <w:bottom w:val="single" w:sz="4" w:space="0" w:color="auto"/>
                  </w:tcBorders>
                </w:tcPr>
                <w:p w:rsidR="00324210" w:rsidRPr="00E4127D" w:rsidRDefault="00324210" w:rsidP="001F2BD6">
                  <w:pPr>
                    <w:spacing w:before="60" w:line="200" w:lineRule="exact"/>
                    <w:jc w:val="right"/>
                    <w:rPr>
                      <w:b/>
                      <w:sz w:val="16"/>
                      <w:szCs w:val="16"/>
                    </w:rPr>
                  </w:pPr>
                  <w:r w:rsidRPr="00E4127D">
                    <w:rPr>
                      <w:b/>
                      <w:sz w:val="16"/>
                      <w:szCs w:val="16"/>
                    </w:rPr>
                    <w:t>Totalt</w:t>
                  </w:r>
                </w:p>
              </w:tc>
              <w:tc>
                <w:tcPr>
                  <w:tcW w:w="1167" w:type="dxa"/>
                  <w:tcBorders>
                    <w:bottom w:val="single" w:sz="4" w:space="0" w:color="auto"/>
                  </w:tcBorders>
                </w:tcPr>
                <w:p w:rsidR="00324210" w:rsidRPr="00E4127D" w:rsidRDefault="00324210" w:rsidP="001F2BD6">
                  <w:pPr>
                    <w:spacing w:before="60" w:line="200" w:lineRule="exact"/>
                    <w:jc w:val="right"/>
                    <w:rPr>
                      <w:b/>
                      <w:sz w:val="16"/>
                      <w:szCs w:val="16"/>
                    </w:rPr>
                  </w:pPr>
                  <w:r w:rsidRPr="00E4127D">
                    <w:rPr>
                      <w:b/>
                      <w:sz w:val="16"/>
                      <w:szCs w:val="16"/>
                    </w:rPr>
                    <w:t>Ökning s</w:t>
                  </w:r>
                  <w:r w:rsidRPr="00E4127D">
                    <w:rPr>
                      <w:b/>
                      <w:sz w:val="16"/>
                      <w:szCs w:val="16"/>
                    </w:rPr>
                    <w:t>e</w:t>
                  </w:r>
                  <w:r w:rsidRPr="00E4127D">
                    <w:rPr>
                      <w:b/>
                      <w:sz w:val="16"/>
                      <w:szCs w:val="16"/>
                    </w:rPr>
                    <w:t>dan valet ( 2002)</w:t>
                  </w:r>
                </w:p>
              </w:tc>
            </w:tr>
            <w:tr w:rsidR="00324210" w:rsidRPr="00E4127D">
              <w:tc>
                <w:tcPr>
                  <w:tcW w:w="1425" w:type="dxa"/>
                  <w:tcBorders>
                    <w:top w:val="single" w:sz="4" w:space="0" w:color="auto"/>
                  </w:tcBorders>
                </w:tcPr>
                <w:p w:rsidR="00324210" w:rsidRPr="00E4127D" w:rsidRDefault="00324210" w:rsidP="001F2BD6">
                  <w:pPr>
                    <w:spacing w:before="60" w:line="200" w:lineRule="exact"/>
                    <w:jc w:val="left"/>
                    <w:rPr>
                      <w:sz w:val="16"/>
                      <w:szCs w:val="16"/>
                    </w:rPr>
                  </w:pPr>
                  <w:r w:rsidRPr="00E4127D">
                    <w:rPr>
                      <w:sz w:val="16"/>
                      <w:szCs w:val="16"/>
                    </w:rPr>
                    <w:t>Bollnäs</w:t>
                  </w:r>
                </w:p>
              </w:tc>
              <w:tc>
                <w:tcPr>
                  <w:tcW w:w="953" w:type="dxa"/>
                  <w:tcBorders>
                    <w:top w:val="single" w:sz="4" w:space="0" w:color="auto"/>
                  </w:tcBorders>
                </w:tcPr>
                <w:p w:rsidR="00324210" w:rsidRPr="00E4127D" w:rsidRDefault="00324210" w:rsidP="001F2BD6">
                  <w:pPr>
                    <w:spacing w:before="60" w:line="200" w:lineRule="exact"/>
                    <w:jc w:val="right"/>
                    <w:rPr>
                      <w:sz w:val="16"/>
                      <w:szCs w:val="16"/>
                    </w:rPr>
                  </w:pPr>
                  <w:r w:rsidRPr="00E4127D">
                    <w:rPr>
                      <w:sz w:val="16"/>
                      <w:szCs w:val="16"/>
                    </w:rPr>
                    <w:t>727</w:t>
                  </w:r>
                </w:p>
              </w:tc>
              <w:tc>
                <w:tcPr>
                  <w:tcW w:w="1174" w:type="dxa"/>
                  <w:tcBorders>
                    <w:top w:val="single" w:sz="4" w:space="0" w:color="auto"/>
                  </w:tcBorders>
                </w:tcPr>
                <w:p w:rsidR="00324210" w:rsidRPr="00E4127D" w:rsidRDefault="00324210" w:rsidP="001F2BD6">
                  <w:pPr>
                    <w:spacing w:before="60" w:line="200" w:lineRule="exact"/>
                    <w:jc w:val="right"/>
                    <w:rPr>
                      <w:sz w:val="16"/>
                      <w:szCs w:val="16"/>
                    </w:rPr>
                  </w:pPr>
                  <w:r w:rsidRPr="00E4127D">
                    <w:rPr>
                      <w:sz w:val="16"/>
                      <w:szCs w:val="16"/>
                    </w:rPr>
                    <w:t>436</w:t>
                  </w:r>
                </w:p>
              </w:tc>
              <w:tc>
                <w:tcPr>
                  <w:tcW w:w="1158" w:type="dxa"/>
                  <w:tcBorders>
                    <w:top w:val="single" w:sz="4" w:space="0" w:color="auto"/>
                  </w:tcBorders>
                </w:tcPr>
                <w:p w:rsidR="00324210" w:rsidRPr="00E4127D" w:rsidRDefault="00324210" w:rsidP="001F2BD6">
                  <w:pPr>
                    <w:spacing w:before="60" w:line="200" w:lineRule="exact"/>
                    <w:jc w:val="right"/>
                    <w:rPr>
                      <w:sz w:val="16"/>
                      <w:szCs w:val="16"/>
                    </w:rPr>
                  </w:pPr>
                  <w:r w:rsidRPr="00E4127D">
                    <w:rPr>
                      <w:sz w:val="16"/>
                      <w:szCs w:val="16"/>
                    </w:rPr>
                    <w:t>1 163</w:t>
                  </w:r>
                </w:p>
              </w:tc>
              <w:tc>
                <w:tcPr>
                  <w:tcW w:w="1167" w:type="dxa"/>
                  <w:tcBorders>
                    <w:top w:val="single" w:sz="4" w:space="0" w:color="auto"/>
                  </w:tcBorders>
                </w:tcPr>
                <w:p w:rsidR="00324210" w:rsidRPr="00E4127D" w:rsidRDefault="00324210" w:rsidP="001F2BD6">
                  <w:pPr>
                    <w:spacing w:before="60" w:line="200" w:lineRule="exact"/>
                    <w:jc w:val="right"/>
                    <w:rPr>
                      <w:sz w:val="16"/>
                      <w:szCs w:val="16"/>
                    </w:rPr>
                  </w:pPr>
                  <w:r w:rsidRPr="00E4127D">
                    <w:rPr>
                      <w:sz w:val="16"/>
                      <w:szCs w:val="16"/>
                    </w:rPr>
                    <w:t>+6,4 %</w:t>
                  </w:r>
                </w:p>
              </w:tc>
            </w:tr>
            <w:tr w:rsidR="00324210" w:rsidRPr="00E4127D">
              <w:tc>
                <w:tcPr>
                  <w:tcW w:w="1425" w:type="dxa"/>
                </w:tcPr>
                <w:p w:rsidR="00324210" w:rsidRPr="00E4127D" w:rsidRDefault="00324210" w:rsidP="001F2BD6">
                  <w:pPr>
                    <w:spacing w:before="60" w:line="200" w:lineRule="exact"/>
                    <w:jc w:val="left"/>
                    <w:rPr>
                      <w:sz w:val="16"/>
                      <w:szCs w:val="16"/>
                    </w:rPr>
                  </w:pPr>
                  <w:r w:rsidRPr="00E4127D">
                    <w:rPr>
                      <w:sz w:val="16"/>
                      <w:szCs w:val="16"/>
                    </w:rPr>
                    <w:t>Gävle</w:t>
                  </w:r>
                </w:p>
              </w:tc>
              <w:tc>
                <w:tcPr>
                  <w:tcW w:w="953" w:type="dxa"/>
                </w:tcPr>
                <w:p w:rsidR="00324210" w:rsidRPr="00E4127D" w:rsidRDefault="00324210" w:rsidP="001F2BD6">
                  <w:pPr>
                    <w:spacing w:before="60" w:line="200" w:lineRule="exact"/>
                    <w:jc w:val="right"/>
                    <w:rPr>
                      <w:sz w:val="16"/>
                      <w:szCs w:val="16"/>
                    </w:rPr>
                  </w:pPr>
                  <w:r w:rsidRPr="00E4127D">
                    <w:rPr>
                      <w:sz w:val="16"/>
                      <w:szCs w:val="16"/>
                    </w:rPr>
                    <w:t>3 802</w:t>
                  </w:r>
                </w:p>
              </w:tc>
              <w:tc>
                <w:tcPr>
                  <w:tcW w:w="1174" w:type="dxa"/>
                </w:tcPr>
                <w:p w:rsidR="00324210" w:rsidRPr="00E4127D" w:rsidRDefault="00324210" w:rsidP="001F2BD6">
                  <w:pPr>
                    <w:spacing w:before="60" w:line="200" w:lineRule="exact"/>
                    <w:jc w:val="right"/>
                    <w:rPr>
                      <w:sz w:val="16"/>
                      <w:szCs w:val="16"/>
                    </w:rPr>
                  </w:pPr>
                  <w:r w:rsidRPr="00E4127D">
                    <w:rPr>
                      <w:sz w:val="16"/>
                      <w:szCs w:val="16"/>
                    </w:rPr>
                    <w:t>1 300</w:t>
                  </w:r>
                </w:p>
              </w:tc>
              <w:tc>
                <w:tcPr>
                  <w:tcW w:w="1158" w:type="dxa"/>
                </w:tcPr>
                <w:p w:rsidR="00324210" w:rsidRPr="00E4127D" w:rsidRDefault="00324210" w:rsidP="001F2BD6">
                  <w:pPr>
                    <w:spacing w:before="60" w:line="200" w:lineRule="exact"/>
                    <w:jc w:val="right"/>
                    <w:rPr>
                      <w:sz w:val="16"/>
                      <w:szCs w:val="16"/>
                    </w:rPr>
                  </w:pPr>
                  <w:r w:rsidRPr="00E4127D">
                    <w:rPr>
                      <w:sz w:val="16"/>
                      <w:szCs w:val="16"/>
                    </w:rPr>
                    <w:t>5 102</w:t>
                  </w:r>
                </w:p>
              </w:tc>
              <w:tc>
                <w:tcPr>
                  <w:tcW w:w="1167" w:type="dxa"/>
                </w:tcPr>
                <w:p w:rsidR="00324210" w:rsidRPr="00E4127D" w:rsidRDefault="00324210" w:rsidP="001F2BD6">
                  <w:pPr>
                    <w:spacing w:before="60" w:line="200" w:lineRule="exact"/>
                    <w:jc w:val="right"/>
                    <w:rPr>
                      <w:sz w:val="16"/>
                      <w:szCs w:val="16"/>
                    </w:rPr>
                  </w:pPr>
                  <w:r w:rsidRPr="00E4127D">
                    <w:rPr>
                      <w:sz w:val="16"/>
                      <w:szCs w:val="16"/>
                    </w:rPr>
                    <w:t>+37,9 %</w:t>
                  </w:r>
                </w:p>
              </w:tc>
            </w:tr>
            <w:tr w:rsidR="00324210" w:rsidRPr="00E4127D">
              <w:tc>
                <w:tcPr>
                  <w:tcW w:w="1425" w:type="dxa"/>
                </w:tcPr>
                <w:p w:rsidR="00324210" w:rsidRPr="00E4127D" w:rsidRDefault="00324210" w:rsidP="001F2BD6">
                  <w:pPr>
                    <w:spacing w:before="60" w:line="200" w:lineRule="exact"/>
                    <w:jc w:val="left"/>
                    <w:rPr>
                      <w:sz w:val="16"/>
                      <w:szCs w:val="16"/>
                    </w:rPr>
                  </w:pPr>
                  <w:r w:rsidRPr="00E4127D">
                    <w:rPr>
                      <w:sz w:val="16"/>
                      <w:szCs w:val="16"/>
                    </w:rPr>
                    <w:t>Hofors</w:t>
                  </w:r>
                </w:p>
              </w:tc>
              <w:tc>
                <w:tcPr>
                  <w:tcW w:w="953" w:type="dxa"/>
                </w:tcPr>
                <w:p w:rsidR="00324210" w:rsidRPr="00E4127D" w:rsidRDefault="00324210" w:rsidP="001F2BD6">
                  <w:pPr>
                    <w:spacing w:before="60" w:line="200" w:lineRule="exact"/>
                    <w:jc w:val="right"/>
                    <w:rPr>
                      <w:sz w:val="16"/>
                      <w:szCs w:val="16"/>
                    </w:rPr>
                  </w:pPr>
                  <w:r w:rsidRPr="00E4127D">
                    <w:rPr>
                      <w:sz w:val="16"/>
                      <w:szCs w:val="16"/>
                    </w:rPr>
                    <w:t xml:space="preserve">270  </w:t>
                  </w:r>
                </w:p>
              </w:tc>
              <w:tc>
                <w:tcPr>
                  <w:tcW w:w="1174" w:type="dxa"/>
                </w:tcPr>
                <w:p w:rsidR="00324210" w:rsidRPr="00E4127D" w:rsidRDefault="00324210" w:rsidP="001F2BD6">
                  <w:pPr>
                    <w:spacing w:before="60" w:line="200" w:lineRule="exact"/>
                    <w:jc w:val="right"/>
                    <w:rPr>
                      <w:sz w:val="16"/>
                      <w:szCs w:val="16"/>
                    </w:rPr>
                  </w:pPr>
                  <w:r w:rsidRPr="00E4127D">
                    <w:rPr>
                      <w:sz w:val="16"/>
                      <w:szCs w:val="16"/>
                    </w:rPr>
                    <w:t>89</w:t>
                  </w:r>
                </w:p>
              </w:tc>
              <w:tc>
                <w:tcPr>
                  <w:tcW w:w="1158" w:type="dxa"/>
                </w:tcPr>
                <w:p w:rsidR="00324210" w:rsidRPr="00E4127D" w:rsidRDefault="00324210" w:rsidP="001F2BD6">
                  <w:pPr>
                    <w:spacing w:before="60" w:line="200" w:lineRule="exact"/>
                    <w:jc w:val="right"/>
                    <w:rPr>
                      <w:sz w:val="16"/>
                      <w:szCs w:val="16"/>
                    </w:rPr>
                  </w:pPr>
                  <w:r w:rsidRPr="00E4127D">
                    <w:rPr>
                      <w:sz w:val="16"/>
                      <w:szCs w:val="16"/>
                    </w:rPr>
                    <w:t>359</w:t>
                  </w:r>
                </w:p>
              </w:tc>
              <w:tc>
                <w:tcPr>
                  <w:tcW w:w="1167" w:type="dxa"/>
                </w:tcPr>
                <w:p w:rsidR="00324210" w:rsidRPr="00E4127D" w:rsidRDefault="00324210" w:rsidP="001F2BD6">
                  <w:pPr>
                    <w:spacing w:before="60" w:line="200" w:lineRule="exact"/>
                    <w:jc w:val="right"/>
                    <w:rPr>
                      <w:sz w:val="16"/>
                      <w:szCs w:val="16"/>
                    </w:rPr>
                  </w:pPr>
                  <w:r w:rsidRPr="00E4127D">
                    <w:rPr>
                      <w:sz w:val="16"/>
                      <w:szCs w:val="16"/>
                    </w:rPr>
                    <w:t>+30,4 %</w:t>
                  </w:r>
                </w:p>
              </w:tc>
            </w:tr>
            <w:tr w:rsidR="00324210" w:rsidRPr="00E4127D">
              <w:tc>
                <w:tcPr>
                  <w:tcW w:w="1425" w:type="dxa"/>
                </w:tcPr>
                <w:p w:rsidR="00324210" w:rsidRPr="00E4127D" w:rsidRDefault="00324210" w:rsidP="001F2BD6">
                  <w:pPr>
                    <w:spacing w:before="60" w:line="200" w:lineRule="exact"/>
                    <w:jc w:val="left"/>
                    <w:rPr>
                      <w:sz w:val="16"/>
                      <w:szCs w:val="16"/>
                    </w:rPr>
                  </w:pPr>
                  <w:r w:rsidRPr="00E4127D">
                    <w:rPr>
                      <w:sz w:val="16"/>
                      <w:szCs w:val="16"/>
                    </w:rPr>
                    <w:t>Hudiksvall</w:t>
                  </w:r>
                </w:p>
              </w:tc>
              <w:tc>
                <w:tcPr>
                  <w:tcW w:w="953" w:type="dxa"/>
                </w:tcPr>
                <w:p w:rsidR="00324210" w:rsidRPr="00E4127D" w:rsidRDefault="00324210" w:rsidP="001F2BD6">
                  <w:pPr>
                    <w:spacing w:before="60" w:line="200" w:lineRule="exact"/>
                    <w:jc w:val="right"/>
                    <w:rPr>
                      <w:sz w:val="16"/>
                      <w:szCs w:val="16"/>
                    </w:rPr>
                  </w:pPr>
                  <w:r w:rsidRPr="00E4127D">
                    <w:rPr>
                      <w:sz w:val="16"/>
                      <w:szCs w:val="16"/>
                    </w:rPr>
                    <w:t>1 296</w:t>
                  </w:r>
                </w:p>
              </w:tc>
              <w:tc>
                <w:tcPr>
                  <w:tcW w:w="1174" w:type="dxa"/>
                </w:tcPr>
                <w:p w:rsidR="00324210" w:rsidRPr="00E4127D" w:rsidRDefault="00324210" w:rsidP="001F2BD6">
                  <w:pPr>
                    <w:spacing w:before="60" w:line="200" w:lineRule="exact"/>
                    <w:jc w:val="right"/>
                    <w:rPr>
                      <w:sz w:val="16"/>
                      <w:szCs w:val="16"/>
                    </w:rPr>
                  </w:pPr>
                  <w:r w:rsidRPr="00E4127D">
                    <w:rPr>
                      <w:sz w:val="16"/>
                      <w:szCs w:val="16"/>
                    </w:rPr>
                    <w:t>642</w:t>
                  </w:r>
                </w:p>
              </w:tc>
              <w:tc>
                <w:tcPr>
                  <w:tcW w:w="1158" w:type="dxa"/>
                </w:tcPr>
                <w:p w:rsidR="00324210" w:rsidRPr="00E4127D" w:rsidRDefault="00324210" w:rsidP="001F2BD6">
                  <w:pPr>
                    <w:spacing w:before="60" w:line="200" w:lineRule="exact"/>
                    <w:jc w:val="right"/>
                    <w:rPr>
                      <w:sz w:val="16"/>
                      <w:szCs w:val="16"/>
                    </w:rPr>
                  </w:pPr>
                  <w:r w:rsidRPr="00E4127D">
                    <w:rPr>
                      <w:sz w:val="16"/>
                      <w:szCs w:val="16"/>
                    </w:rPr>
                    <w:t>1 939</w:t>
                  </w:r>
                </w:p>
              </w:tc>
              <w:tc>
                <w:tcPr>
                  <w:tcW w:w="1167" w:type="dxa"/>
                </w:tcPr>
                <w:p w:rsidR="00324210" w:rsidRPr="00E4127D" w:rsidRDefault="00324210" w:rsidP="001F2BD6">
                  <w:pPr>
                    <w:spacing w:before="60" w:line="200" w:lineRule="exact"/>
                    <w:jc w:val="right"/>
                    <w:rPr>
                      <w:sz w:val="16"/>
                      <w:szCs w:val="16"/>
                    </w:rPr>
                  </w:pPr>
                  <w:r w:rsidRPr="00E4127D">
                    <w:rPr>
                      <w:sz w:val="16"/>
                      <w:szCs w:val="16"/>
                    </w:rPr>
                    <w:t>+14,3 %</w:t>
                  </w:r>
                </w:p>
              </w:tc>
            </w:tr>
            <w:tr w:rsidR="00324210" w:rsidRPr="00E4127D">
              <w:tc>
                <w:tcPr>
                  <w:tcW w:w="1425" w:type="dxa"/>
                </w:tcPr>
                <w:p w:rsidR="00324210" w:rsidRPr="00E4127D" w:rsidRDefault="00324210" w:rsidP="001F2BD6">
                  <w:pPr>
                    <w:spacing w:before="60" w:line="200" w:lineRule="exact"/>
                    <w:jc w:val="left"/>
                    <w:rPr>
                      <w:sz w:val="16"/>
                      <w:szCs w:val="16"/>
                    </w:rPr>
                  </w:pPr>
                  <w:r w:rsidRPr="00E4127D">
                    <w:rPr>
                      <w:sz w:val="16"/>
                      <w:szCs w:val="16"/>
                    </w:rPr>
                    <w:t>Ljusdal</w:t>
                  </w:r>
                </w:p>
              </w:tc>
              <w:tc>
                <w:tcPr>
                  <w:tcW w:w="953" w:type="dxa"/>
                </w:tcPr>
                <w:p w:rsidR="00324210" w:rsidRPr="00E4127D" w:rsidRDefault="00324210" w:rsidP="001F2BD6">
                  <w:pPr>
                    <w:spacing w:before="60" w:line="200" w:lineRule="exact"/>
                    <w:jc w:val="right"/>
                    <w:rPr>
                      <w:sz w:val="16"/>
                      <w:szCs w:val="16"/>
                    </w:rPr>
                  </w:pPr>
                  <w:r w:rsidRPr="00E4127D">
                    <w:rPr>
                      <w:sz w:val="16"/>
                      <w:szCs w:val="16"/>
                    </w:rPr>
                    <w:t>542</w:t>
                  </w:r>
                </w:p>
              </w:tc>
              <w:tc>
                <w:tcPr>
                  <w:tcW w:w="1174" w:type="dxa"/>
                </w:tcPr>
                <w:p w:rsidR="00324210" w:rsidRPr="00E4127D" w:rsidRDefault="00324210" w:rsidP="001F2BD6">
                  <w:pPr>
                    <w:spacing w:before="60" w:line="200" w:lineRule="exact"/>
                    <w:jc w:val="right"/>
                    <w:rPr>
                      <w:sz w:val="16"/>
                      <w:szCs w:val="16"/>
                    </w:rPr>
                  </w:pPr>
                  <w:r w:rsidRPr="00E4127D">
                    <w:rPr>
                      <w:sz w:val="16"/>
                      <w:szCs w:val="16"/>
                    </w:rPr>
                    <w:t>465</w:t>
                  </w:r>
                </w:p>
              </w:tc>
              <w:tc>
                <w:tcPr>
                  <w:tcW w:w="1158" w:type="dxa"/>
                </w:tcPr>
                <w:p w:rsidR="00324210" w:rsidRPr="00E4127D" w:rsidRDefault="00324210" w:rsidP="001F2BD6">
                  <w:pPr>
                    <w:spacing w:before="60" w:line="200" w:lineRule="exact"/>
                    <w:jc w:val="right"/>
                    <w:rPr>
                      <w:sz w:val="16"/>
                      <w:szCs w:val="16"/>
                    </w:rPr>
                  </w:pPr>
                  <w:r w:rsidRPr="00E4127D">
                    <w:rPr>
                      <w:sz w:val="16"/>
                      <w:szCs w:val="16"/>
                    </w:rPr>
                    <w:t>1 007</w:t>
                  </w:r>
                </w:p>
              </w:tc>
              <w:tc>
                <w:tcPr>
                  <w:tcW w:w="1167" w:type="dxa"/>
                </w:tcPr>
                <w:p w:rsidR="00324210" w:rsidRPr="00E4127D" w:rsidRDefault="00324210" w:rsidP="001F2BD6">
                  <w:pPr>
                    <w:spacing w:before="60" w:line="200" w:lineRule="exact"/>
                    <w:jc w:val="right"/>
                    <w:rPr>
                      <w:sz w:val="16"/>
                      <w:szCs w:val="16"/>
                    </w:rPr>
                  </w:pPr>
                  <w:r w:rsidRPr="00E4127D">
                    <w:rPr>
                      <w:sz w:val="16"/>
                      <w:szCs w:val="16"/>
                    </w:rPr>
                    <w:t>+50,6 %</w:t>
                  </w:r>
                </w:p>
              </w:tc>
            </w:tr>
            <w:tr w:rsidR="00324210" w:rsidRPr="00E4127D">
              <w:tc>
                <w:tcPr>
                  <w:tcW w:w="1425" w:type="dxa"/>
                </w:tcPr>
                <w:p w:rsidR="00324210" w:rsidRPr="00E4127D" w:rsidRDefault="00324210" w:rsidP="001F2BD6">
                  <w:pPr>
                    <w:spacing w:before="60" w:line="200" w:lineRule="exact"/>
                    <w:jc w:val="left"/>
                    <w:rPr>
                      <w:sz w:val="16"/>
                      <w:szCs w:val="16"/>
                    </w:rPr>
                  </w:pPr>
                  <w:r w:rsidRPr="00E4127D">
                    <w:rPr>
                      <w:sz w:val="16"/>
                      <w:szCs w:val="16"/>
                    </w:rPr>
                    <w:t>Nordanstig</w:t>
                  </w:r>
                </w:p>
              </w:tc>
              <w:tc>
                <w:tcPr>
                  <w:tcW w:w="953" w:type="dxa"/>
                </w:tcPr>
                <w:p w:rsidR="00324210" w:rsidRPr="00E4127D" w:rsidRDefault="00324210" w:rsidP="001F2BD6">
                  <w:pPr>
                    <w:spacing w:before="60" w:line="200" w:lineRule="exact"/>
                    <w:jc w:val="right"/>
                    <w:rPr>
                      <w:sz w:val="16"/>
                      <w:szCs w:val="16"/>
                    </w:rPr>
                  </w:pPr>
                  <w:r w:rsidRPr="00E4127D">
                    <w:rPr>
                      <w:sz w:val="16"/>
                      <w:szCs w:val="16"/>
                    </w:rPr>
                    <w:t>281</w:t>
                  </w:r>
                </w:p>
              </w:tc>
              <w:tc>
                <w:tcPr>
                  <w:tcW w:w="1174" w:type="dxa"/>
                </w:tcPr>
                <w:p w:rsidR="00324210" w:rsidRPr="00E4127D" w:rsidRDefault="00324210" w:rsidP="001F2BD6">
                  <w:pPr>
                    <w:spacing w:before="60" w:line="200" w:lineRule="exact"/>
                    <w:jc w:val="right"/>
                    <w:rPr>
                      <w:sz w:val="16"/>
                      <w:szCs w:val="16"/>
                    </w:rPr>
                  </w:pPr>
                  <w:r w:rsidRPr="00E4127D">
                    <w:rPr>
                      <w:sz w:val="16"/>
                      <w:szCs w:val="16"/>
                    </w:rPr>
                    <w:t xml:space="preserve">146       </w:t>
                  </w:r>
                </w:p>
              </w:tc>
              <w:tc>
                <w:tcPr>
                  <w:tcW w:w="1158" w:type="dxa"/>
                </w:tcPr>
                <w:p w:rsidR="00324210" w:rsidRPr="00E4127D" w:rsidRDefault="00324210" w:rsidP="001F2BD6">
                  <w:pPr>
                    <w:spacing w:before="60" w:line="200" w:lineRule="exact"/>
                    <w:jc w:val="right"/>
                    <w:rPr>
                      <w:sz w:val="16"/>
                      <w:szCs w:val="16"/>
                    </w:rPr>
                  </w:pPr>
                  <w:r w:rsidRPr="00E4127D">
                    <w:rPr>
                      <w:sz w:val="16"/>
                      <w:szCs w:val="16"/>
                    </w:rPr>
                    <w:t>427</w:t>
                  </w:r>
                </w:p>
              </w:tc>
              <w:tc>
                <w:tcPr>
                  <w:tcW w:w="1167" w:type="dxa"/>
                </w:tcPr>
                <w:p w:rsidR="00324210" w:rsidRPr="00E4127D" w:rsidRDefault="00324210" w:rsidP="001F2BD6">
                  <w:pPr>
                    <w:spacing w:before="60" w:line="200" w:lineRule="exact"/>
                    <w:jc w:val="right"/>
                    <w:rPr>
                      <w:sz w:val="16"/>
                      <w:szCs w:val="16"/>
                    </w:rPr>
                  </w:pPr>
                  <w:r w:rsidRPr="00E4127D">
                    <w:rPr>
                      <w:sz w:val="16"/>
                      <w:szCs w:val="16"/>
                    </w:rPr>
                    <w:t>+32,5 %</w:t>
                  </w:r>
                </w:p>
              </w:tc>
            </w:tr>
            <w:tr w:rsidR="00324210" w:rsidRPr="00E4127D">
              <w:tc>
                <w:tcPr>
                  <w:tcW w:w="1425" w:type="dxa"/>
                </w:tcPr>
                <w:p w:rsidR="00324210" w:rsidRPr="00E4127D" w:rsidRDefault="00324210" w:rsidP="001F2BD6">
                  <w:pPr>
                    <w:spacing w:before="60" w:line="200" w:lineRule="exact"/>
                    <w:jc w:val="left"/>
                    <w:rPr>
                      <w:sz w:val="16"/>
                      <w:szCs w:val="16"/>
                    </w:rPr>
                  </w:pPr>
                  <w:r w:rsidRPr="00E4127D">
                    <w:rPr>
                      <w:sz w:val="16"/>
                      <w:szCs w:val="16"/>
                    </w:rPr>
                    <w:t>Ockelbo</w:t>
                  </w:r>
                </w:p>
              </w:tc>
              <w:tc>
                <w:tcPr>
                  <w:tcW w:w="953" w:type="dxa"/>
                </w:tcPr>
                <w:p w:rsidR="00324210" w:rsidRPr="00E4127D" w:rsidRDefault="00324210" w:rsidP="001F2BD6">
                  <w:pPr>
                    <w:spacing w:before="60" w:line="200" w:lineRule="exact"/>
                    <w:jc w:val="right"/>
                    <w:rPr>
                      <w:sz w:val="16"/>
                      <w:szCs w:val="16"/>
                    </w:rPr>
                  </w:pPr>
                  <w:r w:rsidRPr="00E4127D">
                    <w:rPr>
                      <w:sz w:val="16"/>
                      <w:szCs w:val="16"/>
                    </w:rPr>
                    <w:t xml:space="preserve"> 128</w:t>
                  </w:r>
                </w:p>
              </w:tc>
              <w:tc>
                <w:tcPr>
                  <w:tcW w:w="1174" w:type="dxa"/>
                </w:tcPr>
                <w:p w:rsidR="00324210" w:rsidRPr="00E4127D" w:rsidRDefault="00324210" w:rsidP="001F2BD6">
                  <w:pPr>
                    <w:spacing w:before="60" w:line="200" w:lineRule="exact"/>
                    <w:jc w:val="right"/>
                    <w:rPr>
                      <w:sz w:val="16"/>
                      <w:szCs w:val="16"/>
                    </w:rPr>
                  </w:pPr>
                  <w:r w:rsidRPr="00E4127D">
                    <w:rPr>
                      <w:sz w:val="16"/>
                      <w:szCs w:val="16"/>
                    </w:rPr>
                    <w:t>123</w:t>
                  </w:r>
                </w:p>
              </w:tc>
              <w:tc>
                <w:tcPr>
                  <w:tcW w:w="1158" w:type="dxa"/>
                </w:tcPr>
                <w:p w:rsidR="00324210" w:rsidRPr="00E4127D" w:rsidRDefault="00324210" w:rsidP="001F2BD6">
                  <w:pPr>
                    <w:spacing w:before="60" w:line="200" w:lineRule="exact"/>
                    <w:jc w:val="right"/>
                    <w:rPr>
                      <w:sz w:val="16"/>
                      <w:szCs w:val="16"/>
                    </w:rPr>
                  </w:pPr>
                  <w:r w:rsidRPr="00E4127D">
                    <w:rPr>
                      <w:sz w:val="16"/>
                      <w:szCs w:val="16"/>
                    </w:rPr>
                    <w:t xml:space="preserve">251 </w:t>
                  </w:r>
                </w:p>
              </w:tc>
              <w:tc>
                <w:tcPr>
                  <w:tcW w:w="1167" w:type="dxa"/>
                </w:tcPr>
                <w:p w:rsidR="00324210" w:rsidRPr="00E4127D" w:rsidRDefault="00324210" w:rsidP="001F2BD6">
                  <w:pPr>
                    <w:spacing w:before="60" w:line="200" w:lineRule="exact"/>
                    <w:jc w:val="right"/>
                    <w:rPr>
                      <w:sz w:val="16"/>
                      <w:szCs w:val="16"/>
                    </w:rPr>
                  </w:pPr>
                  <w:r w:rsidRPr="00E4127D">
                    <w:rPr>
                      <w:sz w:val="16"/>
                      <w:szCs w:val="16"/>
                    </w:rPr>
                    <w:t>+21,9 %</w:t>
                  </w:r>
                </w:p>
              </w:tc>
            </w:tr>
            <w:tr w:rsidR="00324210" w:rsidRPr="00E4127D">
              <w:tc>
                <w:tcPr>
                  <w:tcW w:w="1425" w:type="dxa"/>
                </w:tcPr>
                <w:p w:rsidR="00324210" w:rsidRPr="00E4127D" w:rsidRDefault="00324210" w:rsidP="001F2BD6">
                  <w:pPr>
                    <w:spacing w:before="60" w:line="200" w:lineRule="exact"/>
                    <w:jc w:val="left"/>
                    <w:rPr>
                      <w:sz w:val="16"/>
                      <w:szCs w:val="16"/>
                    </w:rPr>
                  </w:pPr>
                  <w:r w:rsidRPr="00E4127D">
                    <w:rPr>
                      <w:sz w:val="16"/>
                      <w:szCs w:val="16"/>
                    </w:rPr>
                    <w:t>Ovanåker</w:t>
                  </w:r>
                </w:p>
              </w:tc>
              <w:tc>
                <w:tcPr>
                  <w:tcW w:w="953" w:type="dxa"/>
                </w:tcPr>
                <w:p w:rsidR="00324210" w:rsidRPr="00E4127D" w:rsidRDefault="00324210" w:rsidP="001F2BD6">
                  <w:pPr>
                    <w:spacing w:before="60" w:line="200" w:lineRule="exact"/>
                    <w:jc w:val="right"/>
                    <w:rPr>
                      <w:sz w:val="16"/>
                      <w:szCs w:val="16"/>
                    </w:rPr>
                  </w:pPr>
                  <w:r w:rsidRPr="00E4127D">
                    <w:rPr>
                      <w:sz w:val="16"/>
                      <w:szCs w:val="16"/>
                    </w:rPr>
                    <w:t>301</w:t>
                  </w:r>
                </w:p>
              </w:tc>
              <w:tc>
                <w:tcPr>
                  <w:tcW w:w="1174" w:type="dxa"/>
                </w:tcPr>
                <w:p w:rsidR="00324210" w:rsidRPr="00E4127D" w:rsidRDefault="00324210" w:rsidP="001F2BD6">
                  <w:pPr>
                    <w:spacing w:before="60" w:line="200" w:lineRule="exact"/>
                    <w:jc w:val="right"/>
                    <w:rPr>
                      <w:sz w:val="16"/>
                      <w:szCs w:val="16"/>
                    </w:rPr>
                  </w:pPr>
                  <w:r w:rsidRPr="00E4127D">
                    <w:rPr>
                      <w:sz w:val="16"/>
                      <w:szCs w:val="16"/>
                    </w:rPr>
                    <w:t>197</w:t>
                  </w:r>
                </w:p>
              </w:tc>
              <w:tc>
                <w:tcPr>
                  <w:tcW w:w="1158" w:type="dxa"/>
                </w:tcPr>
                <w:p w:rsidR="00324210" w:rsidRPr="00E4127D" w:rsidRDefault="00324210" w:rsidP="001F2BD6">
                  <w:pPr>
                    <w:spacing w:before="60" w:line="200" w:lineRule="exact"/>
                    <w:jc w:val="right"/>
                    <w:rPr>
                      <w:sz w:val="16"/>
                      <w:szCs w:val="16"/>
                    </w:rPr>
                  </w:pPr>
                  <w:r w:rsidRPr="00E4127D">
                    <w:rPr>
                      <w:sz w:val="16"/>
                      <w:szCs w:val="16"/>
                    </w:rPr>
                    <w:t>498</w:t>
                  </w:r>
                </w:p>
              </w:tc>
              <w:tc>
                <w:tcPr>
                  <w:tcW w:w="1167" w:type="dxa"/>
                </w:tcPr>
                <w:p w:rsidR="00324210" w:rsidRPr="00E4127D" w:rsidRDefault="00324210" w:rsidP="001F2BD6">
                  <w:pPr>
                    <w:spacing w:before="60" w:line="200" w:lineRule="exact"/>
                    <w:jc w:val="right"/>
                    <w:rPr>
                      <w:sz w:val="16"/>
                      <w:szCs w:val="16"/>
                    </w:rPr>
                  </w:pPr>
                  <w:r w:rsidRPr="00E4127D">
                    <w:rPr>
                      <w:sz w:val="16"/>
                      <w:szCs w:val="16"/>
                    </w:rPr>
                    <w:t>+13,6 %</w:t>
                  </w:r>
                </w:p>
              </w:tc>
            </w:tr>
            <w:tr w:rsidR="00324210" w:rsidRPr="00E4127D">
              <w:tc>
                <w:tcPr>
                  <w:tcW w:w="1425" w:type="dxa"/>
                </w:tcPr>
                <w:p w:rsidR="00324210" w:rsidRPr="00E4127D" w:rsidRDefault="00324210" w:rsidP="001F2BD6">
                  <w:pPr>
                    <w:spacing w:before="60" w:line="200" w:lineRule="exact"/>
                    <w:jc w:val="left"/>
                    <w:rPr>
                      <w:sz w:val="16"/>
                      <w:szCs w:val="16"/>
                    </w:rPr>
                  </w:pPr>
                  <w:r w:rsidRPr="00E4127D">
                    <w:rPr>
                      <w:sz w:val="16"/>
                      <w:szCs w:val="16"/>
                    </w:rPr>
                    <w:t>Sandviken</w:t>
                  </w:r>
                </w:p>
              </w:tc>
              <w:tc>
                <w:tcPr>
                  <w:tcW w:w="953" w:type="dxa"/>
                </w:tcPr>
                <w:p w:rsidR="00324210" w:rsidRPr="00E4127D" w:rsidRDefault="00324210" w:rsidP="001F2BD6">
                  <w:pPr>
                    <w:spacing w:before="60" w:line="200" w:lineRule="exact"/>
                    <w:jc w:val="right"/>
                    <w:rPr>
                      <w:sz w:val="16"/>
                      <w:szCs w:val="16"/>
                    </w:rPr>
                  </w:pPr>
                  <w:r w:rsidRPr="00E4127D">
                    <w:rPr>
                      <w:sz w:val="16"/>
                      <w:szCs w:val="16"/>
                    </w:rPr>
                    <w:t>969</w:t>
                  </w:r>
                </w:p>
              </w:tc>
              <w:tc>
                <w:tcPr>
                  <w:tcW w:w="1174" w:type="dxa"/>
                </w:tcPr>
                <w:p w:rsidR="00324210" w:rsidRPr="00E4127D" w:rsidRDefault="00324210" w:rsidP="001F2BD6">
                  <w:pPr>
                    <w:spacing w:before="60" w:line="200" w:lineRule="exact"/>
                    <w:jc w:val="right"/>
                    <w:rPr>
                      <w:sz w:val="16"/>
                      <w:szCs w:val="16"/>
                    </w:rPr>
                  </w:pPr>
                  <w:r w:rsidRPr="00E4127D">
                    <w:rPr>
                      <w:sz w:val="16"/>
                      <w:szCs w:val="16"/>
                    </w:rPr>
                    <w:t>555</w:t>
                  </w:r>
                </w:p>
              </w:tc>
              <w:tc>
                <w:tcPr>
                  <w:tcW w:w="1158" w:type="dxa"/>
                </w:tcPr>
                <w:p w:rsidR="00324210" w:rsidRPr="00E4127D" w:rsidRDefault="00324210" w:rsidP="001F2BD6">
                  <w:pPr>
                    <w:spacing w:before="60" w:line="200" w:lineRule="exact"/>
                    <w:jc w:val="right"/>
                    <w:rPr>
                      <w:sz w:val="16"/>
                      <w:szCs w:val="16"/>
                    </w:rPr>
                  </w:pPr>
                  <w:r w:rsidRPr="00E4127D">
                    <w:rPr>
                      <w:sz w:val="16"/>
                      <w:szCs w:val="16"/>
                    </w:rPr>
                    <w:t>1 524</w:t>
                  </w:r>
                </w:p>
              </w:tc>
              <w:tc>
                <w:tcPr>
                  <w:tcW w:w="1167" w:type="dxa"/>
                </w:tcPr>
                <w:p w:rsidR="00324210" w:rsidRPr="00E4127D" w:rsidRDefault="00324210" w:rsidP="001F2BD6">
                  <w:pPr>
                    <w:spacing w:before="60" w:line="200" w:lineRule="exact"/>
                    <w:jc w:val="right"/>
                    <w:rPr>
                      <w:sz w:val="16"/>
                      <w:szCs w:val="16"/>
                    </w:rPr>
                  </w:pPr>
                  <w:r w:rsidRPr="00E4127D">
                    <w:rPr>
                      <w:sz w:val="16"/>
                      <w:szCs w:val="16"/>
                    </w:rPr>
                    <w:t>+14,0 %</w:t>
                  </w:r>
                </w:p>
              </w:tc>
            </w:tr>
            <w:tr w:rsidR="00324210" w:rsidRPr="00E4127D">
              <w:tc>
                <w:tcPr>
                  <w:tcW w:w="1425" w:type="dxa"/>
                </w:tcPr>
                <w:p w:rsidR="00324210" w:rsidRPr="00E4127D" w:rsidRDefault="00324210" w:rsidP="001F2BD6">
                  <w:pPr>
                    <w:spacing w:before="60" w:line="200" w:lineRule="exact"/>
                    <w:jc w:val="left"/>
                    <w:rPr>
                      <w:sz w:val="16"/>
                      <w:szCs w:val="16"/>
                    </w:rPr>
                  </w:pPr>
                  <w:r w:rsidRPr="00E4127D">
                    <w:rPr>
                      <w:sz w:val="16"/>
                      <w:szCs w:val="16"/>
                    </w:rPr>
                    <w:t>Söderhamn</w:t>
                  </w:r>
                </w:p>
              </w:tc>
              <w:tc>
                <w:tcPr>
                  <w:tcW w:w="953" w:type="dxa"/>
                </w:tcPr>
                <w:p w:rsidR="00324210" w:rsidRPr="00E4127D" w:rsidRDefault="00324210" w:rsidP="001F2BD6">
                  <w:pPr>
                    <w:spacing w:before="60" w:line="200" w:lineRule="exact"/>
                    <w:jc w:val="right"/>
                    <w:rPr>
                      <w:sz w:val="16"/>
                      <w:szCs w:val="16"/>
                    </w:rPr>
                  </w:pPr>
                  <w:r w:rsidRPr="00E4127D">
                    <w:rPr>
                      <w:sz w:val="16"/>
                      <w:szCs w:val="16"/>
                    </w:rPr>
                    <w:t xml:space="preserve"> 1 261</w:t>
                  </w:r>
                </w:p>
              </w:tc>
              <w:tc>
                <w:tcPr>
                  <w:tcW w:w="1174" w:type="dxa"/>
                </w:tcPr>
                <w:p w:rsidR="00324210" w:rsidRPr="00E4127D" w:rsidRDefault="00324210" w:rsidP="001F2BD6">
                  <w:pPr>
                    <w:spacing w:before="60" w:line="200" w:lineRule="exact"/>
                    <w:jc w:val="right"/>
                    <w:rPr>
                      <w:sz w:val="16"/>
                      <w:szCs w:val="16"/>
                    </w:rPr>
                  </w:pPr>
                  <w:r w:rsidRPr="00E4127D">
                    <w:rPr>
                      <w:sz w:val="16"/>
                      <w:szCs w:val="16"/>
                    </w:rPr>
                    <w:t>523</w:t>
                  </w:r>
                </w:p>
              </w:tc>
              <w:tc>
                <w:tcPr>
                  <w:tcW w:w="1158" w:type="dxa"/>
                </w:tcPr>
                <w:p w:rsidR="00324210" w:rsidRPr="00E4127D" w:rsidRDefault="00324210" w:rsidP="001F2BD6">
                  <w:pPr>
                    <w:spacing w:before="60" w:line="200" w:lineRule="exact"/>
                    <w:jc w:val="right"/>
                    <w:rPr>
                      <w:sz w:val="16"/>
                      <w:szCs w:val="16"/>
                    </w:rPr>
                  </w:pPr>
                  <w:r w:rsidRPr="00E4127D">
                    <w:rPr>
                      <w:sz w:val="16"/>
                      <w:szCs w:val="16"/>
                    </w:rPr>
                    <w:t>1 784</w:t>
                  </w:r>
                </w:p>
              </w:tc>
              <w:tc>
                <w:tcPr>
                  <w:tcW w:w="1167" w:type="dxa"/>
                </w:tcPr>
                <w:p w:rsidR="00324210" w:rsidRPr="00E4127D" w:rsidRDefault="00324210" w:rsidP="001F2BD6">
                  <w:pPr>
                    <w:spacing w:before="60" w:line="200" w:lineRule="exact"/>
                    <w:jc w:val="right"/>
                    <w:rPr>
                      <w:sz w:val="16"/>
                      <w:szCs w:val="16"/>
                    </w:rPr>
                  </w:pPr>
                  <w:r w:rsidRPr="00E4127D">
                    <w:rPr>
                      <w:sz w:val="16"/>
                      <w:szCs w:val="16"/>
                    </w:rPr>
                    <w:t>+49,9 %</w:t>
                  </w:r>
                </w:p>
              </w:tc>
            </w:tr>
            <w:tr w:rsidR="001F2BD6" w:rsidRPr="00E4127D">
              <w:tc>
                <w:tcPr>
                  <w:tcW w:w="1425" w:type="dxa"/>
                  <w:vAlign w:val="bottom"/>
                </w:tcPr>
                <w:p w:rsidR="001F2BD6" w:rsidRPr="00E4127D" w:rsidRDefault="001F2BD6" w:rsidP="001F2BD6">
                  <w:pPr>
                    <w:spacing w:before="60" w:line="200" w:lineRule="exact"/>
                    <w:jc w:val="left"/>
                    <w:rPr>
                      <w:b/>
                      <w:sz w:val="16"/>
                      <w:szCs w:val="16"/>
                    </w:rPr>
                  </w:pPr>
                  <w:r w:rsidRPr="00E4127D">
                    <w:rPr>
                      <w:b/>
                      <w:sz w:val="16"/>
                      <w:szCs w:val="16"/>
                    </w:rPr>
                    <w:t>Totalt Gävl</w:t>
                  </w:r>
                  <w:r w:rsidRPr="00E4127D">
                    <w:rPr>
                      <w:b/>
                      <w:sz w:val="16"/>
                      <w:szCs w:val="16"/>
                    </w:rPr>
                    <w:t>e</w:t>
                  </w:r>
                  <w:r w:rsidRPr="00E4127D">
                    <w:rPr>
                      <w:b/>
                      <w:sz w:val="16"/>
                      <w:szCs w:val="16"/>
                    </w:rPr>
                    <w:t>borg</w:t>
                  </w:r>
                </w:p>
              </w:tc>
              <w:tc>
                <w:tcPr>
                  <w:tcW w:w="953" w:type="dxa"/>
                  <w:vAlign w:val="bottom"/>
                </w:tcPr>
                <w:p w:rsidR="001F2BD6" w:rsidRPr="00E4127D" w:rsidRDefault="001F2BD6" w:rsidP="001F2BD6">
                  <w:pPr>
                    <w:spacing w:before="60" w:line="200" w:lineRule="exact"/>
                    <w:jc w:val="right"/>
                    <w:rPr>
                      <w:b/>
                      <w:sz w:val="16"/>
                      <w:szCs w:val="16"/>
                    </w:rPr>
                  </w:pPr>
                  <w:r w:rsidRPr="00E4127D">
                    <w:rPr>
                      <w:b/>
                      <w:sz w:val="16"/>
                      <w:szCs w:val="16"/>
                    </w:rPr>
                    <w:t>9 577</w:t>
                  </w:r>
                </w:p>
              </w:tc>
              <w:tc>
                <w:tcPr>
                  <w:tcW w:w="1174" w:type="dxa"/>
                  <w:vAlign w:val="bottom"/>
                </w:tcPr>
                <w:p w:rsidR="001F2BD6" w:rsidRPr="00E4127D" w:rsidRDefault="001F2BD6" w:rsidP="001F2BD6">
                  <w:pPr>
                    <w:jc w:val="right"/>
                    <w:rPr>
                      <w:b/>
                      <w:sz w:val="16"/>
                      <w:szCs w:val="16"/>
                    </w:rPr>
                  </w:pPr>
                  <w:r w:rsidRPr="00E4127D">
                    <w:rPr>
                      <w:b/>
                      <w:sz w:val="16"/>
                      <w:szCs w:val="16"/>
                    </w:rPr>
                    <w:t>4 476</w:t>
                  </w:r>
                </w:p>
              </w:tc>
              <w:tc>
                <w:tcPr>
                  <w:tcW w:w="1158" w:type="dxa"/>
                  <w:vAlign w:val="bottom"/>
                </w:tcPr>
                <w:p w:rsidR="001F2BD6" w:rsidRPr="00E4127D" w:rsidRDefault="001F2BD6" w:rsidP="001F2BD6">
                  <w:pPr>
                    <w:jc w:val="right"/>
                    <w:rPr>
                      <w:b/>
                      <w:sz w:val="16"/>
                      <w:szCs w:val="16"/>
                    </w:rPr>
                  </w:pPr>
                  <w:r w:rsidRPr="00E4127D">
                    <w:rPr>
                      <w:b/>
                      <w:sz w:val="16"/>
                      <w:szCs w:val="16"/>
                    </w:rPr>
                    <w:t>14 053</w:t>
                  </w:r>
                </w:p>
              </w:tc>
              <w:tc>
                <w:tcPr>
                  <w:tcW w:w="1167" w:type="dxa"/>
                  <w:vAlign w:val="bottom"/>
                </w:tcPr>
                <w:p w:rsidR="001F2BD6" w:rsidRPr="00E4127D" w:rsidRDefault="001F2BD6" w:rsidP="001F2BD6">
                  <w:pPr>
                    <w:jc w:val="right"/>
                    <w:rPr>
                      <w:b/>
                      <w:sz w:val="16"/>
                      <w:szCs w:val="16"/>
                    </w:rPr>
                  </w:pPr>
                  <w:r w:rsidRPr="00E4127D">
                    <w:rPr>
                      <w:b/>
                      <w:sz w:val="16"/>
                      <w:szCs w:val="16"/>
                    </w:rPr>
                    <w:t>+29,2 %</w:t>
                  </w:r>
                </w:p>
              </w:tc>
            </w:tr>
          </w:tbl>
          <w:p w:rsidR="00324210" w:rsidRPr="00E4127D" w:rsidRDefault="00324210" w:rsidP="00137CA6">
            <w:pPr>
              <w:rPr>
                <w:b/>
                <w:sz w:val="16"/>
                <w:szCs w:val="16"/>
              </w:rPr>
            </w:pPr>
          </w:p>
        </w:tc>
      </w:tr>
    </w:tbl>
    <w:p w:rsidR="00A1546A" w:rsidRPr="00E4127D" w:rsidRDefault="00A1546A" w:rsidP="00AE5A46">
      <w:r w:rsidRPr="00E4127D">
        <w:t>För att bryta långtidsarbetslösheten måste det vidtas kraftfulla åtgärder. Detta är nödvändigt om vi inte ska få ett antal ungdomar som hamnar i pass</w:t>
      </w:r>
      <w:r w:rsidRPr="00E4127D">
        <w:t>i</w:t>
      </w:r>
      <w:r w:rsidRPr="00E4127D">
        <w:t>vitet och långtidsarbetslöshet.</w:t>
      </w:r>
    </w:p>
    <w:p w:rsidR="00A1546A" w:rsidRPr="00E4127D" w:rsidRDefault="00A1546A" w:rsidP="000C191C">
      <w:pPr>
        <w:pStyle w:val="Normaltindrag"/>
      </w:pPr>
      <w:r w:rsidRPr="00E4127D">
        <w:t>I ett reportage från tidningen Dagens Nyheter kunde vi den 19 september 2005 läsa om att DN</w:t>
      </w:r>
      <w:r w:rsidR="00A36364" w:rsidRPr="00E4127D">
        <w:t>:</w:t>
      </w:r>
      <w:r w:rsidRPr="00E4127D">
        <w:t xml:space="preserve">s reportageteam åkte till Söderhamn för att prata med väljarna. Bilden som DN </w:t>
      </w:r>
      <w:r w:rsidR="00A36364" w:rsidRPr="00E4127D">
        <w:t>förmedlade</w:t>
      </w:r>
      <w:r w:rsidR="00EF120B" w:rsidRPr="00E4127D">
        <w:t xml:space="preserve"> var ungefär</w:t>
      </w:r>
      <w:r w:rsidR="00F5525D" w:rsidRPr="00E4127D">
        <w:t xml:space="preserve"> följande.</w:t>
      </w:r>
    </w:p>
    <w:p w:rsidR="00A1546A" w:rsidRPr="00E4127D" w:rsidRDefault="00A1546A" w:rsidP="000C191C">
      <w:pPr>
        <w:pStyle w:val="Normaltindrag"/>
      </w:pPr>
      <w:r w:rsidRPr="00E4127D">
        <w:t>De senaste åren har röda siffror gett en dyster bild av den lilla kustko</w:t>
      </w:r>
      <w:r w:rsidRPr="00E4127D">
        <w:t>m</w:t>
      </w:r>
      <w:r w:rsidRPr="00E4127D">
        <w:t xml:space="preserve">munen i Hälsingland, och arbetslösheten gör inte bilden ljusare. I augusti hamnade Söderhamns kommun på sjätte plats bland de kommuner som har högst arbetslöshet i landet. I augusti låg den öppna arbetslösheten på 7,7 </w:t>
      </w:r>
      <w:r w:rsidR="00F5525D" w:rsidRPr="00E4127D">
        <w:t>%</w:t>
      </w:r>
      <w:r w:rsidRPr="00E4127D">
        <w:t xml:space="preserve"> </w:t>
      </w:r>
      <w:r w:rsidR="00EF120B" w:rsidRPr="00E4127D">
        <w:t>– mot 4,6 för riket</w:t>
      </w:r>
      <w:r w:rsidRPr="00E4127D">
        <w:t xml:space="preserve">. Räknar man med människor i arbetsmarknadsåtgärder blir siffrorna 12,1 </w:t>
      </w:r>
      <w:r w:rsidR="00F5525D" w:rsidRPr="00E4127D">
        <w:t>%</w:t>
      </w:r>
      <w:r w:rsidRPr="00E4127D">
        <w:t xml:space="preserve"> i Söderhamn och 6,9 i riket. Ungdomsarbetslösheten inkl</w:t>
      </w:r>
      <w:r w:rsidR="00B85743" w:rsidRPr="00E4127D">
        <w:t>us</w:t>
      </w:r>
      <w:r w:rsidR="00B85743" w:rsidRPr="00E4127D">
        <w:t>i</w:t>
      </w:r>
      <w:r w:rsidR="00B85743" w:rsidRPr="00E4127D">
        <w:t>ve</w:t>
      </w:r>
      <w:r w:rsidRPr="00E4127D">
        <w:t xml:space="preserve"> ungdomar i arbetsmarknadsåtgärder var 20,9 </w:t>
      </w:r>
      <w:r w:rsidR="00F5525D" w:rsidRPr="00E4127D">
        <w:t>%</w:t>
      </w:r>
      <w:r w:rsidRPr="00E4127D">
        <w:t xml:space="preserve"> i augus</w:t>
      </w:r>
      <w:r w:rsidR="00137CA6" w:rsidRPr="00E4127D">
        <w:t>ti jämfört med 9,9 </w:t>
      </w:r>
      <w:r w:rsidR="00F5525D" w:rsidRPr="00E4127D">
        <w:t>%</w:t>
      </w:r>
      <w:r w:rsidRPr="00E4127D">
        <w:t xml:space="preserve"> i riket.</w:t>
      </w:r>
    </w:p>
    <w:p w:rsidR="00A1546A" w:rsidRPr="00E4127D" w:rsidRDefault="00B85743" w:rsidP="000C191C">
      <w:pPr>
        <w:pStyle w:val="Normaltindrag"/>
      </w:pPr>
      <w:r w:rsidRPr="00E4127D">
        <w:t>Vid dagen</w:t>
      </w:r>
      <w:r w:rsidR="00A1546A" w:rsidRPr="00E4127D">
        <w:t xml:space="preserve"> för DN:s besök fanns det </w:t>
      </w:r>
      <w:r w:rsidR="00F5525D" w:rsidRPr="00E4127D">
        <w:t>sex</w:t>
      </w:r>
      <w:r w:rsidR="00A1546A" w:rsidRPr="00E4127D">
        <w:t xml:space="preserve"> jobb och ungefär 2</w:t>
      </w:r>
      <w:r w:rsidRPr="00E4127D">
        <w:t> </w:t>
      </w:r>
      <w:r w:rsidR="00A1546A" w:rsidRPr="00E4127D">
        <w:t>000 arbetslösa. Ändå måste jobb sökas.</w:t>
      </w:r>
      <w:r w:rsidRPr="00E4127D">
        <w:t xml:space="preserve"> </w:t>
      </w:r>
    </w:p>
    <w:p w:rsidR="00A1546A" w:rsidRPr="00E4127D" w:rsidRDefault="00A1546A" w:rsidP="000C191C">
      <w:pPr>
        <w:pStyle w:val="Normaltindrag"/>
      </w:pPr>
      <w:r w:rsidRPr="00E4127D">
        <w:t xml:space="preserve">DN träffade ett gäng arbetslösa på kaféet Tewe´s i centrala Söderhamn. </w:t>
      </w:r>
    </w:p>
    <w:p w:rsidR="00A1546A" w:rsidRPr="00E4127D" w:rsidRDefault="00A1546A" w:rsidP="00AE5A46">
      <w:pPr>
        <w:pStyle w:val="Normaltindrag"/>
      </w:pPr>
      <w:r w:rsidRPr="00E4127D">
        <w:t>En 26-åring, utbildad systemadministratör och deltidsarbetslö</w:t>
      </w:r>
      <w:r w:rsidR="00B85743" w:rsidRPr="00E4127D">
        <w:t>s</w:t>
      </w:r>
      <w:r w:rsidR="00F5525D" w:rsidRPr="00E4127D">
        <w:t>,</w:t>
      </w:r>
      <w:r w:rsidR="00B85743" w:rsidRPr="00E4127D">
        <w:t xml:space="preserve"> tycker att arbetsförmedlingen</w:t>
      </w:r>
      <w:r w:rsidRPr="00E4127D">
        <w:t xml:space="preserve"> borde byta namn ti</w:t>
      </w:r>
      <w:r w:rsidR="00F5525D" w:rsidRPr="00E4127D">
        <w:t>ll arbetssökandekontrollenheten: ”M</w:t>
      </w:r>
      <w:r w:rsidRPr="00E4127D">
        <w:t>an får ju inte jobb där</w:t>
      </w:r>
      <w:r w:rsidR="00B85743" w:rsidRPr="00E4127D">
        <w:t>”</w:t>
      </w:r>
      <w:r w:rsidRPr="00E4127D">
        <w:t xml:space="preserve">. En 24-åring anser att arbetsförmedlingen aldrig har gett </w:t>
      </w:r>
      <w:r w:rsidR="00B85743" w:rsidRPr="00E4127D">
        <w:t>honom</w:t>
      </w:r>
      <w:r w:rsidR="00F5525D" w:rsidRPr="00E4127D">
        <w:t xml:space="preserve"> något jobb:</w:t>
      </w:r>
      <w:r w:rsidRPr="00E4127D">
        <w:t xml:space="preserve"> </w:t>
      </w:r>
      <w:r w:rsidR="00B85743" w:rsidRPr="00E4127D">
        <w:t>”</w:t>
      </w:r>
      <w:r w:rsidR="00F5525D" w:rsidRPr="00E4127D">
        <w:t>O</w:t>
      </w:r>
      <w:r w:rsidRPr="00E4127D">
        <w:t>ch nu vill de utbilda hela Söderhamn till undersköter</w:t>
      </w:r>
      <w:r w:rsidRPr="00E4127D">
        <w:t>s</w:t>
      </w:r>
      <w:r w:rsidRPr="00E4127D">
        <w:t>kor. Tidigare ville de att alla skulle bli truckförare</w:t>
      </w:r>
      <w:r w:rsidR="00F5525D" w:rsidRPr="00E4127D">
        <w:t>.</w:t>
      </w:r>
      <w:r w:rsidR="00B85743" w:rsidRPr="00E4127D">
        <w:t>”</w:t>
      </w:r>
      <w:r w:rsidRPr="00E4127D">
        <w:t xml:space="preserve"> Dessa intervjuer med unga i Söderhamn visar på en frustration över situationen.</w:t>
      </w:r>
    </w:p>
    <w:p w:rsidR="00A1546A" w:rsidRPr="00E4127D" w:rsidRDefault="00A1546A" w:rsidP="000C191C">
      <w:pPr>
        <w:pStyle w:val="Normaltindrag"/>
      </w:pPr>
      <w:r w:rsidRPr="00E4127D">
        <w:t>Sysselsättningen, som traditionellt sett är arbetarrörelsens viktigaste fråga under de gångna tre åren</w:t>
      </w:r>
      <w:r w:rsidR="00331090" w:rsidRPr="00E4127D">
        <w:t>,</w:t>
      </w:r>
      <w:r w:rsidRPr="00E4127D">
        <w:t xml:space="preserve"> har också varit det rödgröna samarbetets kanske svagaste gren. Detta vet inte minst väljarna.</w:t>
      </w:r>
      <w:r w:rsidR="00331090" w:rsidRPr="00E4127D">
        <w:t xml:space="preserve"> </w:t>
      </w:r>
      <w:r w:rsidRPr="00E4127D">
        <w:t>Enligt statsvetarprofessorn Sören Holmberg, SOM-institutet, är arbetslösheten i nuläget den viktigaste frågan för väljarna. Det är därför inte konstigt att regeringen satsar pengar på ett sysselsättningspaket. Klas Eklund, chefsekonom på SEB</w:t>
      </w:r>
      <w:r w:rsidR="004E38CC" w:rsidRPr="00E4127D">
        <w:t>,</w:t>
      </w:r>
      <w:r w:rsidRPr="00E4127D">
        <w:t xml:space="preserve">  tidigare sociald</w:t>
      </w:r>
      <w:r w:rsidRPr="00E4127D">
        <w:t>e</w:t>
      </w:r>
      <w:r w:rsidRPr="00E4127D">
        <w:t>mokratisk planeringschef på Finansdepartementet</w:t>
      </w:r>
      <w:r w:rsidR="004E38CC" w:rsidRPr="00E4127D">
        <w:t>,</w:t>
      </w:r>
      <w:r w:rsidRPr="00E4127D">
        <w:t xml:space="preserve"> anser att regeringens sat</w:t>
      </w:r>
      <w:r w:rsidRPr="00E4127D">
        <w:t>s</w:t>
      </w:r>
      <w:r w:rsidRPr="00E4127D">
        <w:t>ning ger intryck av att vara lite kortsiktig, exempelvis den tillfälliga nedsät</w:t>
      </w:r>
      <w:r w:rsidRPr="00E4127D">
        <w:t>t</w:t>
      </w:r>
      <w:r w:rsidRPr="00E4127D">
        <w:t xml:space="preserve">ningen av arbetsgivaravgiften för småföretagen. </w:t>
      </w:r>
    </w:p>
    <w:p w:rsidR="00A1546A" w:rsidRPr="00E4127D" w:rsidRDefault="00A1546A" w:rsidP="00AE5A46">
      <w:pPr>
        <w:pStyle w:val="Normaltindrag"/>
      </w:pPr>
      <w:r w:rsidRPr="00E4127D">
        <w:t>Eva Tjernström, socialdemokratiskt kommunråd i Söderhamn</w:t>
      </w:r>
      <w:r w:rsidR="00F5525D" w:rsidRPr="00E4127D">
        <w:t>,</w:t>
      </w:r>
      <w:r w:rsidRPr="00E4127D">
        <w:t xml:space="preserve"> är också kritisk till regeringens regionalpolitiska företagsstöd, </w:t>
      </w:r>
      <w:r w:rsidR="00327AC0" w:rsidRPr="00E4127D">
        <w:t>vilket hon ger uttryck för i nämnda DN-artikel</w:t>
      </w:r>
      <w:r w:rsidRPr="00E4127D">
        <w:t>. Tolv företag i Söderhamn väntar på besked om drygt 13,5 miljoner kr</w:t>
      </w:r>
      <w:r w:rsidR="00327AC0" w:rsidRPr="00E4127D">
        <w:t>onor</w:t>
      </w:r>
      <w:r w:rsidR="00F5525D" w:rsidRPr="00E4127D">
        <w:t>,</w:t>
      </w:r>
      <w:r w:rsidRPr="00E4127D">
        <w:t xml:space="preserve"> men länsstyrelsen kan inte fatta beslut eftersom regeringen håller inne pengarna som tidigare utlovat</w:t>
      </w:r>
      <w:r w:rsidR="00327AC0" w:rsidRPr="00E4127D">
        <w:t>s</w:t>
      </w:r>
      <w:r w:rsidRPr="00E4127D">
        <w:t>. Tjernström önskar också att kommunen fick större möjligheter att utforma arbetsmarknadsåtgä</w:t>
      </w:r>
      <w:r w:rsidRPr="00E4127D">
        <w:t>r</w:t>
      </w:r>
      <w:r w:rsidRPr="00E4127D">
        <w:t>der som är anpassade efter de lokala behoven.</w:t>
      </w:r>
    </w:p>
    <w:p w:rsidR="00A1546A" w:rsidRPr="00E4127D" w:rsidRDefault="00A1546A" w:rsidP="000C191C">
      <w:pPr>
        <w:pStyle w:val="Normaltindrag"/>
      </w:pPr>
      <w:r w:rsidRPr="00E4127D">
        <w:t>Det är av största vikt att få till stånd åtgärder för att motverka fortsatt neg</w:t>
      </w:r>
      <w:r w:rsidRPr="00E4127D">
        <w:t>a</w:t>
      </w:r>
      <w:r w:rsidRPr="00E4127D">
        <w:t>tiv utveckling med ungdomsarbetslösheten i Söderhamn. Precis som komm</w:t>
      </w:r>
      <w:r w:rsidRPr="00E4127D">
        <w:t>u</w:t>
      </w:r>
      <w:r w:rsidRPr="00E4127D">
        <w:t xml:space="preserve">nalrådet från Söderhamn uttrycker </w:t>
      </w:r>
      <w:r w:rsidR="00327AC0" w:rsidRPr="00E4127D">
        <w:t xml:space="preserve">i </w:t>
      </w:r>
      <w:r w:rsidRPr="00E4127D">
        <w:t>artikeln, är det nödvändigt med lokala lösningar. Mitt förslag till lösning är att införa ett pilotprojekt av lärlingsu</w:t>
      </w:r>
      <w:r w:rsidRPr="00E4127D">
        <w:t>t</w:t>
      </w:r>
      <w:r w:rsidRPr="00E4127D">
        <w:t xml:space="preserve">bildning i Söderhamn. </w:t>
      </w:r>
    </w:p>
    <w:p w:rsidR="00A1546A" w:rsidRPr="00E4127D" w:rsidRDefault="00A1546A" w:rsidP="000C191C">
      <w:pPr>
        <w:pStyle w:val="Normaltindrag"/>
      </w:pPr>
      <w:r w:rsidRPr="00E4127D">
        <w:t>Riksdagen beslöt hösten 2004 om en ny lärlingsutbildning inom gymnasi</w:t>
      </w:r>
      <w:r w:rsidRPr="00E4127D">
        <w:t>e</w:t>
      </w:r>
      <w:r w:rsidRPr="00E4127D">
        <w:t>skolans ram från och med 2007. Kristdemokraterna har i många år drivit frågan och välkomnar socialdemokraternas sen</w:t>
      </w:r>
      <w:r w:rsidR="004F2AC5" w:rsidRPr="00E4127D">
        <w:t>komna ställningstagande.</w:t>
      </w:r>
      <w:r w:rsidRPr="00E4127D">
        <w:t xml:space="preserve"> </w:t>
      </w:r>
      <w:r w:rsidR="004F2AC5" w:rsidRPr="00E4127D">
        <w:t>V</w:t>
      </w:r>
      <w:r w:rsidRPr="00E4127D">
        <w:t xml:space="preserve">i hade </w:t>
      </w:r>
      <w:r w:rsidR="004F2AC5" w:rsidRPr="00E4127D">
        <w:t xml:space="preserve">dock </w:t>
      </w:r>
      <w:r w:rsidRPr="00E4127D">
        <w:t>föredragit</w:t>
      </w:r>
      <w:r w:rsidR="004F2AC5" w:rsidRPr="00E4127D">
        <w:t xml:space="preserve"> </w:t>
      </w:r>
      <w:r w:rsidRPr="00E4127D">
        <w:t>en modell där lärlingsutbildningen sker som ett eget program och inte inom ramen för befintliga program.</w:t>
      </w:r>
      <w:r w:rsidR="004F2AC5" w:rsidRPr="00E4127D">
        <w:t xml:space="preserve"> Detta är också den </w:t>
      </w:r>
      <w:r w:rsidR="0039639F" w:rsidRPr="00E4127D">
        <w:t>m</w:t>
      </w:r>
      <w:r w:rsidR="0039639F" w:rsidRPr="00E4127D">
        <w:t>o</w:t>
      </w:r>
      <w:r w:rsidR="0039639F" w:rsidRPr="00E4127D">
        <w:t>dell</w:t>
      </w:r>
      <w:r w:rsidR="004F2AC5" w:rsidRPr="00E4127D">
        <w:t xml:space="preserve"> vi pläderar för.</w:t>
      </w:r>
    </w:p>
    <w:p w:rsidR="00A1546A" w:rsidRPr="00E4127D" w:rsidRDefault="00A1546A" w:rsidP="000C191C">
      <w:pPr>
        <w:pStyle w:val="Normaltindrag"/>
      </w:pPr>
      <w:r w:rsidRPr="00E4127D">
        <w:t xml:space="preserve">Lärlingsutbildningen ska ge en gedigen yrkesutbildning. Den ska utformas lokalt och i samarbete med näringslivets företrädare </w:t>
      </w:r>
      <w:r w:rsidR="00327AC0" w:rsidRPr="00E4127D">
        <w:t>–</w:t>
      </w:r>
      <w:r w:rsidRPr="00E4127D">
        <w:t xml:space="preserve"> inklusive fackförbund och skyddsombud </w:t>
      </w:r>
      <w:r w:rsidR="00327AC0" w:rsidRPr="00E4127D">
        <w:t>–</w:t>
      </w:r>
      <w:r w:rsidRPr="00E4127D">
        <w:t xml:space="preserve"> med ett nationellt perspektiv för att skapa en god utbil</w:t>
      </w:r>
      <w:r w:rsidRPr="00E4127D">
        <w:t>d</w:t>
      </w:r>
      <w:r w:rsidRPr="00E4127D">
        <w:t>ning för både samhälle och den enskilde. Praktik bör varvas med teori redan från den första terminen. Eleven ska dock betraktas som elev under hela u</w:t>
      </w:r>
      <w:r w:rsidRPr="00E4127D">
        <w:t>t</w:t>
      </w:r>
      <w:r w:rsidRPr="00E4127D">
        <w:t>bildningstiden. Skolan är huvudman för hela utbildningen oavsett var den är förlagd. De teoretiska delarna ska knytas till praktik i möjligaste mån. Teorin ska ge goda generella baskunskaper. Fördelningen bör vara 2</w:t>
      </w:r>
      <w:r w:rsidR="00327AC0" w:rsidRPr="00E4127D">
        <w:t>–</w:t>
      </w:r>
      <w:r w:rsidRPr="00E4127D">
        <w:t>3 dagar av teori respektive praktik per vecka. För att inte splittra praktiktiden i företagen är det viktigt att de teoretiska ämnena läses koncentrerat till några dagar i vec</w:t>
      </w:r>
      <w:r w:rsidRPr="00E4127D">
        <w:t>k</w:t>
      </w:r>
      <w:r w:rsidRPr="00E4127D">
        <w:t>an. Skolan svarar för handledning till kontaktpersonerna på företagen. Sama</w:t>
      </w:r>
      <w:r w:rsidRPr="00E4127D">
        <w:t>r</w:t>
      </w:r>
      <w:r w:rsidRPr="00E4127D">
        <w:t>betet byggs upp och utformas flexibelt efter lokala förutsättningar och strat</w:t>
      </w:r>
      <w:r w:rsidRPr="00E4127D">
        <w:t>e</w:t>
      </w:r>
      <w:r w:rsidRPr="00E4127D">
        <w:t xml:space="preserve">gier. </w:t>
      </w:r>
    </w:p>
    <w:p w:rsidR="00A1546A" w:rsidRPr="00E4127D" w:rsidRDefault="00A1546A" w:rsidP="000C191C">
      <w:pPr>
        <w:pStyle w:val="Normaltindrag"/>
      </w:pPr>
      <w:r w:rsidRPr="00E4127D">
        <w:t>Genom att praktiken börjar tidigt ges stora möjligheter för eleven att b</w:t>
      </w:r>
      <w:r w:rsidRPr="00E4127D">
        <w:t>e</w:t>
      </w:r>
      <w:r w:rsidRPr="00E4127D">
        <w:t>döma om det valda yrket är det rätta. I en modern, flexibel lärlingsutbildning måste skola och arbetsliv dela på ansvaret för utbildningen. Genom att sama</w:t>
      </w:r>
      <w:r w:rsidRPr="00E4127D">
        <w:t>r</w:t>
      </w:r>
      <w:r w:rsidRPr="00E4127D">
        <w:t>beta med arbetslivet kan utbildningen hålla den standard som branscherna kräver. Den som är intresserad av ett visst område engagerar sig betydligt mer och blir mer kreativ. En lärlingsutbildning kan vara en väg att ge gymnasi</w:t>
      </w:r>
      <w:r w:rsidRPr="00E4127D">
        <w:t>e</w:t>
      </w:r>
      <w:r w:rsidRPr="00E4127D">
        <w:t>eleven bred kännedom om arbetsinnehåll och moderna metoder och kunsk</w:t>
      </w:r>
      <w:r w:rsidRPr="00E4127D">
        <w:t>a</w:t>
      </w:r>
      <w:r w:rsidRPr="00E4127D">
        <w:t>per för att kunna utföra ett arbete med kvalitet.</w:t>
      </w:r>
    </w:p>
    <w:p w:rsidR="00A1546A" w:rsidRPr="00E4127D" w:rsidRDefault="00A1546A" w:rsidP="000C191C">
      <w:pPr>
        <w:pStyle w:val="Normaltindrag"/>
      </w:pPr>
      <w:r w:rsidRPr="00E4127D">
        <w:t xml:space="preserve">Företagen ska sträva efter att ge eleverna en så </w:t>
      </w:r>
      <w:r w:rsidR="00327AC0" w:rsidRPr="00E4127D">
        <w:t>”</w:t>
      </w:r>
      <w:r w:rsidRPr="00E4127D">
        <w:t>bred</w:t>
      </w:r>
      <w:r w:rsidR="00327AC0" w:rsidRPr="00E4127D">
        <w:t>”</w:t>
      </w:r>
      <w:r w:rsidRPr="00E4127D">
        <w:t xml:space="preserve"> yrkeskompetens som möjligt. De ska självfallet inte tvingas anställa eleven/lärlingen efter avslutad utbildning, men erfarenhet visar att lärlingar ofta erbjuds anställning. Eleven/lärlingen får en viss ersättning från företaget enligt </w:t>
      </w:r>
      <w:r w:rsidR="00327AC0" w:rsidRPr="00E4127D">
        <w:t>”</w:t>
      </w:r>
      <w:r w:rsidRPr="00E4127D">
        <w:t>lärlingsavtal</w:t>
      </w:r>
      <w:r w:rsidR="00327AC0" w:rsidRPr="00E4127D">
        <w:t>”</w:t>
      </w:r>
      <w:r w:rsidRPr="00E4127D">
        <w:t xml:space="preserve"> i relation till den insats som görs i produktionen, förslagsvis från och med andra året.</w:t>
      </w:r>
    </w:p>
    <w:p w:rsidR="00A1546A" w:rsidRPr="00E4127D" w:rsidRDefault="00A1546A" w:rsidP="00AE5A46">
      <w:pPr>
        <w:pStyle w:val="Normaltindrag"/>
      </w:pPr>
      <w:r w:rsidRPr="00E4127D">
        <w:t>S</w:t>
      </w:r>
      <w:r w:rsidR="00327AC0" w:rsidRPr="00E4127D">
        <w:t xml:space="preserve">edan mars i år drivs projektet </w:t>
      </w:r>
      <w:r w:rsidRPr="00E4127D">
        <w:t>L-Y-X, Lärlingsutbildning för ungdomar i Gävleborgs län, av arbetsförmedlingen och Regionala Kompetensrådet i Gä</w:t>
      </w:r>
      <w:r w:rsidRPr="00E4127D">
        <w:t>v</w:t>
      </w:r>
      <w:r w:rsidRPr="00E4127D">
        <w:t>leborg. Finansieringen har skett genom regeringens satsning på södra Nor</w:t>
      </w:r>
      <w:r w:rsidRPr="00E4127D">
        <w:t>r</w:t>
      </w:r>
      <w:r w:rsidRPr="00E4127D">
        <w:t>landskusten. Projektet innebär en möjlighet till lärlingsutbildning för ungd</w:t>
      </w:r>
      <w:r w:rsidRPr="00E4127D">
        <w:t>o</w:t>
      </w:r>
      <w:r w:rsidRPr="00E4127D">
        <w:t xml:space="preserve">mar mellan 20 och 24 år. Utbildningen ska underlätta för ungdomarna att få en anställning och för företag att rekrytera lämplig personal. Den innehåller både teori och praktik och individanpassas utifrån utbildningsnivå och det planerade yrket. Utbildningstidens längd beror på lärlingens förkunskaper och yrkets krav. Efter utbildningen är målet en anställning och någon form av utbildningsintyg. </w:t>
      </w:r>
    </w:p>
    <w:p w:rsidR="00823944" w:rsidRPr="00E4127D" w:rsidRDefault="00A1546A" w:rsidP="00AE5A46">
      <w:pPr>
        <w:pStyle w:val="Normaltindrag"/>
      </w:pPr>
      <w:r w:rsidRPr="00E4127D">
        <w:t>Söderham</w:t>
      </w:r>
      <w:r w:rsidR="002B3B79" w:rsidRPr="00E4127D">
        <w:t>n</w:t>
      </w:r>
      <w:r w:rsidRPr="00E4127D">
        <w:t>s kommun är en kommun där det</w:t>
      </w:r>
      <w:r w:rsidR="002B3B79" w:rsidRPr="00E4127D">
        <w:t>,</w:t>
      </w:r>
      <w:r w:rsidRPr="00E4127D">
        <w:t xml:space="preserve"> ur regionalpolitiskt hänsee</w:t>
      </w:r>
      <w:r w:rsidRPr="00E4127D">
        <w:t>n</w:t>
      </w:r>
      <w:r w:rsidRPr="00E4127D">
        <w:t>de</w:t>
      </w:r>
      <w:r w:rsidR="002B3B79" w:rsidRPr="00E4127D">
        <w:t>,</w:t>
      </w:r>
      <w:r w:rsidRPr="00E4127D">
        <w:t xml:space="preserve"> skulle vara utmärkt att vidareutveckla införandet av lärlingsutbildning, </w:t>
      </w:r>
      <w:r w:rsidR="00F5525D" w:rsidRPr="00E4127D">
        <w:t>t.ex.</w:t>
      </w:r>
      <w:r w:rsidR="001F2BD6" w:rsidRPr="00E4127D">
        <w:t xml:space="preserve"> </w:t>
      </w:r>
      <w:r w:rsidRPr="00E4127D">
        <w:t xml:space="preserve">vad </w:t>
      </w:r>
      <w:r w:rsidR="002B3B79" w:rsidRPr="00E4127D">
        <w:t xml:space="preserve">det </w:t>
      </w:r>
      <w:r w:rsidRPr="00E4127D">
        <w:t>gäller 18</w:t>
      </w:r>
      <w:r w:rsidR="00AE5A46" w:rsidRPr="00E4127D">
        <w:t>–</w:t>
      </w:r>
      <w:r w:rsidRPr="00E4127D">
        <w:t>19 åringar, 25</w:t>
      </w:r>
      <w:r w:rsidR="00AE5A46" w:rsidRPr="00E4127D">
        <w:t>–</w:t>
      </w:r>
      <w:r w:rsidRPr="00E4127D">
        <w:t>28 åringar, innehåll och inriktning, dialogen med företagen. I kommunen finns en gedigen yrkes- och hantverk</w:t>
      </w:r>
      <w:r w:rsidRPr="00E4127D">
        <w:t>s</w:t>
      </w:r>
      <w:r w:rsidRPr="00E4127D">
        <w:t>tradition, också inom hantverk som i dag hotas av utplåning i brist på yrke</w:t>
      </w:r>
      <w:r w:rsidRPr="00E4127D">
        <w:t>s</w:t>
      </w:r>
      <w:r w:rsidRPr="00E4127D">
        <w:t xml:space="preserve">kunniga. Där finns </w:t>
      </w:r>
      <w:r w:rsidR="00CB5E40" w:rsidRPr="00E4127D">
        <w:t>också</w:t>
      </w:r>
      <w:r w:rsidR="00AE5A46" w:rsidRPr="00E4127D">
        <w:t xml:space="preserve"> en</w:t>
      </w:r>
      <w:r w:rsidR="00CB5E40" w:rsidRPr="00E4127D">
        <w:t xml:space="preserve"> </w:t>
      </w:r>
      <w:r w:rsidRPr="00E4127D">
        <w:t>lång tradition av industriarbete med tekniska utbil</w:t>
      </w:r>
      <w:r w:rsidRPr="00E4127D">
        <w:t>d</w:t>
      </w:r>
      <w:r w:rsidRPr="00E4127D">
        <w:t>ningar och många entreprenörer som visat på både vilja och kunskap att orka börja om gång på gång efter olika arbetsmarknadspolitiska misslycka</w:t>
      </w:r>
      <w:r w:rsidRPr="00E4127D">
        <w:t>n</w:t>
      </w:r>
      <w:r w:rsidRPr="00E4127D">
        <w:t xml:space="preserve">den </w:t>
      </w:r>
      <w:r w:rsidR="00A20469" w:rsidRPr="00E4127D">
        <w:t xml:space="preserve">som </w:t>
      </w:r>
      <w:r w:rsidRPr="00E4127D">
        <w:t>drabbat kommunen. Staten bör se positivt på det och via erforderliga myndigheter och näringslivet stödja en vidareutveckling av lärlingsutbil</w:t>
      </w:r>
      <w:r w:rsidRPr="00E4127D">
        <w:t>d</w:t>
      </w:r>
      <w:r w:rsidRPr="00E4127D">
        <w:t xml:space="preserve">ningen.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E5A46" w:rsidRPr="00E4127D">
        <w:tblPrEx>
          <w:tblCellMar>
            <w:top w:w="0" w:type="dxa"/>
            <w:bottom w:w="0" w:type="dxa"/>
          </w:tblCellMar>
        </w:tblPrEx>
        <w:trPr>
          <w:cantSplit/>
        </w:trPr>
        <w:tc>
          <w:tcPr>
            <w:tcW w:w="3046" w:type="dxa"/>
          </w:tcPr>
          <w:p w:rsidR="00AE5A46" w:rsidRPr="00E4127D" w:rsidRDefault="00AE5A46" w:rsidP="00AE5A46">
            <w:pPr>
              <w:pStyle w:val="UnderskriftDatum"/>
              <w:spacing w:before="240"/>
            </w:pPr>
            <w:r w:rsidRPr="00E4127D">
              <w:t>Stockholm den 27 september 2005</w:t>
            </w:r>
          </w:p>
        </w:tc>
        <w:tc>
          <w:tcPr>
            <w:tcW w:w="3047" w:type="dxa"/>
          </w:tcPr>
          <w:p w:rsidR="00AE5A46" w:rsidRPr="00E4127D" w:rsidRDefault="00AE5A46" w:rsidP="00AE5A46">
            <w:pPr>
              <w:pStyle w:val="Underskrifter"/>
              <w:spacing w:before="240"/>
            </w:pPr>
          </w:p>
        </w:tc>
      </w:tr>
      <w:tr w:rsidR="00AE5A46" w:rsidRPr="00E4127D">
        <w:tblPrEx>
          <w:tblCellMar>
            <w:top w:w="0" w:type="dxa"/>
            <w:bottom w:w="0" w:type="dxa"/>
          </w:tblCellMar>
        </w:tblPrEx>
        <w:trPr>
          <w:cantSplit/>
        </w:trPr>
        <w:tc>
          <w:tcPr>
            <w:tcW w:w="3046" w:type="dxa"/>
          </w:tcPr>
          <w:p w:rsidR="00AE5A46" w:rsidRPr="00E4127D" w:rsidRDefault="00AE5A46" w:rsidP="00AE5A46">
            <w:pPr>
              <w:pStyle w:val="Underskrifter"/>
            </w:pPr>
            <w:r w:rsidRPr="00E4127D">
              <w:t>Ragnwi Marcelind (kd)</w:t>
            </w:r>
          </w:p>
        </w:tc>
        <w:tc>
          <w:tcPr>
            <w:tcW w:w="3047" w:type="dxa"/>
          </w:tcPr>
          <w:p w:rsidR="00AE5A46" w:rsidRPr="00E4127D" w:rsidRDefault="00AE5A46" w:rsidP="00AE5A46">
            <w:pPr>
              <w:pStyle w:val="Underskrifter"/>
            </w:pPr>
          </w:p>
        </w:tc>
      </w:tr>
    </w:tbl>
    <w:p w:rsidR="00A1546A" w:rsidRPr="00E4127D" w:rsidRDefault="00A1546A" w:rsidP="00AE5A46">
      <w:pPr>
        <w:pStyle w:val="Normaltindrag"/>
      </w:pPr>
    </w:p>
    <w:sectPr w:rsidR="00A1546A" w:rsidRPr="00E4127D" w:rsidSect="00AE5A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55C5" w:rsidRPr="00E4127D" w:rsidRDefault="00DF55C5">
      <w:r w:rsidRPr="00E4127D">
        <w:separator/>
      </w:r>
    </w:p>
  </w:endnote>
  <w:endnote w:type="continuationSeparator" w:id="0">
    <w:p w:rsidR="00DF55C5" w:rsidRPr="00E4127D" w:rsidRDefault="00DF55C5">
      <w:r w:rsidRPr="00E412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CA6" w:rsidRPr="00E4127D" w:rsidRDefault="00E4127D" w:rsidP="00AE5A46">
    <w:pPr>
      <w:pStyle w:val="Sidfot"/>
    </w:pPr>
    <w:r w:rsidRPr="00E412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66814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CA6" w:rsidRDefault="00137CA6">
                          <w:pPr>
                            <w:pStyle w:val="NormalS5sidnrV"/>
                          </w:pPr>
                          <w:r>
                            <w:fldChar w:fldCharType="begin"/>
                          </w:r>
                          <w:r>
                            <w:instrText xml:space="preserve"> PAGE *\charformat</w:instrText>
                          </w:r>
                          <w:r>
                            <w:fldChar w:fldCharType="separate"/>
                          </w:r>
                          <w:r w:rsidR="007133E3">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7CA6" w:rsidRDefault="00137CA6">
                    <w:pPr>
                      <w:pStyle w:val="NormalS5sidnrV"/>
                    </w:pPr>
                    <w:r>
                      <w:fldChar w:fldCharType="begin"/>
                    </w:r>
                    <w:r>
                      <w:instrText xml:space="preserve"> PAGE *\charformat</w:instrText>
                    </w:r>
                    <w:r>
                      <w:fldChar w:fldCharType="separate"/>
                    </w:r>
                    <w:r w:rsidR="007133E3">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CA6" w:rsidRPr="00E4127D" w:rsidRDefault="00E4127D" w:rsidP="00AE5A46">
    <w:pPr>
      <w:pStyle w:val="Sidfot"/>
    </w:pPr>
    <w:r w:rsidRPr="00E412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50622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CA6" w:rsidRDefault="00137CA6">
                          <w:pPr>
                            <w:pStyle w:val="NormalS5sidnrH"/>
                            <w:ind w:right="0"/>
                          </w:pPr>
                          <w:r>
                            <w:fldChar w:fldCharType="begin"/>
                          </w:r>
                          <w:r>
                            <w:instrText xml:space="preserve"> PAGE *\charformat</w:instrText>
                          </w:r>
                          <w:r>
                            <w:fldChar w:fldCharType="separate"/>
                          </w:r>
                          <w:r w:rsidR="007133E3">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7CA6" w:rsidRDefault="00137CA6">
                    <w:pPr>
                      <w:pStyle w:val="NormalS5sidnrH"/>
                      <w:ind w:right="0"/>
                    </w:pPr>
                    <w:r>
                      <w:fldChar w:fldCharType="begin"/>
                    </w:r>
                    <w:r>
                      <w:instrText xml:space="preserve"> PAGE *\charformat</w:instrText>
                    </w:r>
                    <w:r>
                      <w:fldChar w:fldCharType="separate"/>
                    </w:r>
                    <w:r w:rsidR="007133E3">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CA6" w:rsidRPr="00E4127D" w:rsidRDefault="00E4127D" w:rsidP="00AE5A46">
    <w:pPr>
      <w:pStyle w:val="Sidfot"/>
    </w:pPr>
    <w:r w:rsidRPr="00E412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26863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CA6" w:rsidRDefault="00137CA6">
                          <w:pPr>
                            <w:pStyle w:val="NormalS5sidnrH"/>
                            <w:ind w:right="0"/>
                          </w:pPr>
                          <w:r>
                            <w:fldChar w:fldCharType="begin"/>
                          </w:r>
                          <w:r>
                            <w:instrText xml:space="preserve"> PAGE *\charformat</w:instrText>
                          </w:r>
                          <w:r>
                            <w:fldChar w:fldCharType="separate"/>
                          </w:r>
                          <w:r w:rsidR="007133E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7CA6" w:rsidRDefault="00137CA6">
                    <w:pPr>
                      <w:pStyle w:val="NormalS5sidnrH"/>
                      <w:ind w:right="0"/>
                    </w:pPr>
                    <w:r>
                      <w:fldChar w:fldCharType="begin"/>
                    </w:r>
                    <w:r>
                      <w:instrText xml:space="preserve"> PAGE *\charformat</w:instrText>
                    </w:r>
                    <w:r>
                      <w:fldChar w:fldCharType="separate"/>
                    </w:r>
                    <w:r w:rsidR="007133E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55C5" w:rsidRPr="00E4127D" w:rsidRDefault="00DF55C5">
      <w:r w:rsidRPr="00E4127D">
        <w:separator/>
      </w:r>
    </w:p>
  </w:footnote>
  <w:footnote w:type="continuationSeparator" w:id="0">
    <w:p w:rsidR="00DF55C5" w:rsidRPr="00E4127D" w:rsidRDefault="00DF55C5">
      <w:r w:rsidRPr="00E412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CA6" w:rsidRPr="00E4127D" w:rsidRDefault="00E4127D" w:rsidP="00AE5A46">
    <w:pPr>
      <w:pStyle w:val="Sidhuvud"/>
    </w:pPr>
    <w:r w:rsidRPr="00E412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53085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CA6" w:rsidRDefault="00137CA6">
                          <w:pPr>
                            <w:pStyle w:val="KantRubrikS5V"/>
                          </w:pPr>
                          <w:r>
                            <w:fldChar w:fldCharType="begin"/>
                          </w:r>
                          <w:r>
                            <w:instrText xml:space="preserve"> DOCPROPERTY "YearUser" *\charformat </w:instrText>
                          </w:r>
                          <w:r>
                            <w:fldChar w:fldCharType="separate"/>
                          </w:r>
                          <w:r w:rsidR="007133E3">
                            <w:t>2005/06</w:t>
                          </w:r>
                          <w:r>
                            <w:fldChar w:fldCharType="end"/>
                          </w:r>
                          <w:r>
                            <w:t>:</w:t>
                          </w:r>
                          <w:r>
                            <w:fldChar w:fldCharType="begin"/>
                          </w:r>
                          <w:r>
                            <w:instrText xml:space="preserve"> DOCPROPERTY "Motionsnummer" *\charformat </w:instrText>
                          </w:r>
                          <w:r>
                            <w:fldChar w:fldCharType="separate"/>
                          </w:r>
                          <w:r w:rsidR="007133E3">
                            <w:t>Ub323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7CA6" w:rsidRDefault="00137CA6">
                    <w:pPr>
                      <w:pStyle w:val="KantRubrikS5V"/>
                    </w:pPr>
                    <w:r>
                      <w:fldChar w:fldCharType="begin"/>
                    </w:r>
                    <w:r>
                      <w:instrText xml:space="preserve"> DOCPROPERTY "YearUser" *\charformat </w:instrText>
                    </w:r>
                    <w:r>
                      <w:fldChar w:fldCharType="separate"/>
                    </w:r>
                    <w:r w:rsidR="007133E3">
                      <w:t>2005/06</w:t>
                    </w:r>
                    <w:r>
                      <w:fldChar w:fldCharType="end"/>
                    </w:r>
                    <w:r>
                      <w:t>:</w:t>
                    </w:r>
                    <w:r>
                      <w:fldChar w:fldCharType="begin"/>
                    </w:r>
                    <w:r>
                      <w:instrText xml:space="preserve"> DOCPROPERTY "Motionsnummer" *\charformat </w:instrText>
                    </w:r>
                    <w:r>
                      <w:fldChar w:fldCharType="separate"/>
                    </w:r>
                    <w:r w:rsidR="007133E3">
                      <w:t>Ub323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CA6" w:rsidRPr="00E4127D" w:rsidRDefault="00E4127D" w:rsidP="00AE5A46">
    <w:pPr>
      <w:pStyle w:val="Sidhuvud"/>
    </w:pPr>
    <w:r w:rsidRPr="00E412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274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CA6" w:rsidRDefault="00137CA6">
                          <w:pPr>
                            <w:pStyle w:val="KantRubrikS5H"/>
                            <w:ind w:right="0"/>
                          </w:pPr>
                          <w:r>
                            <w:fldChar w:fldCharType="begin"/>
                          </w:r>
                          <w:r>
                            <w:instrText xml:space="preserve"> DOCPROPERTY "YearUser" *\charformat </w:instrText>
                          </w:r>
                          <w:r>
                            <w:fldChar w:fldCharType="separate"/>
                          </w:r>
                          <w:r w:rsidR="007133E3">
                            <w:t>2005/06</w:t>
                          </w:r>
                          <w:r>
                            <w:fldChar w:fldCharType="end"/>
                          </w:r>
                          <w:r>
                            <w:t>:</w:t>
                          </w:r>
                          <w:r>
                            <w:fldChar w:fldCharType="begin"/>
                          </w:r>
                          <w:r>
                            <w:instrText xml:space="preserve"> DOCPROPERTY "Motionsnummer" *\charformat </w:instrText>
                          </w:r>
                          <w:r>
                            <w:fldChar w:fldCharType="separate"/>
                          </w:r>
                          <w:r w:rsidR="007133E3">
                            <w:t>Ub323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7CA6" w:rsidRDefault="00137CA6">
                    <w:pPr>
                      <w:pStyle w:val="KantRubrikS5H"/>
                      <w:ind w:right="0"/>
                    </w:pPr>
                    <w:r>
                      <w:fldChar w:fldCharType="begin"/>
                    </w:r>
                    <w:r>
                      <w:instrText xml:space="preserve"> DOCPROPERTY "YearUser" *\charformat </w:instrText>
                    </w:r>
                    <w:r>
                      <w:fldChar w:fldCharType="separate"/>
                    </w:r>
                    <w:r w:rsidR="007133E3">
                      <w:t>2005/06</w:t>
                    </w:r>
                    <w:r>
                      <w:fldChar w:fldCharType="end"/>
                    </w:r>
                    <w:r>
                      <w:t>:</w:t>
                    </w:r>
                    <w:r>
                      <w:fldChar w:fldCharType="begin"/>
                    </w:r>
                    <w:r>
                      <w:instrText xml:space="preserve"> DOCPROPERTY "Motionsnummer" *\charformat </w:instrText>
                    </w:r>
                    <w:r>
                      <w:fldChar w:fldCharType="separate"/>
                    </w:r>
                    <w:r w:rsidR="007133E3">
                      <w:t>Ub323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CA6" w:rsidRPr="00E4127D" w:rsidRDefault="00137CA6">
    <w:pPr>
      <w:pStyle w:val="FSHNormal"/>
      <w:tabs>
        <w:tab w:val="right" w:pos="5840"/>
      </w:tabs>
    </w:pPr>
    <w:r w:rsidRPr="00E4127D">
      <w:br/>
    </w:r>
    <w:r w:rsidRPr="00E4127D">
      <w:fldChar w:fldCharType="begin" w:fldLock="1"/>
    </w:r>
    <w:r w:rsidRPr="00E4127D">
      <w:instrText xml:space="preserve"> DOCPROPERTY</w:instrText>
    </w:r>
    <w:r w:rsidRPr="00E4127D">
      <w:rPr>
        <w:sz w:val="18"/>
      </w:rPr>
      <w:instrText xml:space="preserve"> "YearUser" *\charformat </w:instrText>
    </w:r>
    <w:r w:rsidRPr="00E4127D">
      <w:fldChar w:fldCharType="separate"/>
    </w:r>
    <w:r w:rsidR="007133E3" w:rsidRPr="00E4127D">
      <w:t>2005/06</w:t>
    </w:r>
    <w:r w:rsidRPr="00E4127D">
      <w:fldChar w:fldCharType="end"/>
    </w:r>
    <w:r w:rsidRPr="00E4127D">
      <w:t xml:space="preserve"> </w:t>
    </w:r>
    <w:r w:rsidRPr="00E4127D">
      <w:tab/>
      <w:t xml:space="preserve">mnr: </w:t>
    </w:r>
    <w:r w:rsidRPr="00E4127D">
      <w:fldChar w:fldCharType="begin" w:fldLock="1"/>
    </w:r>
    <w:r w:rsidRPr="00E4127D">
      <w:instrText xml:space="preserve"> DOCPROPERTY</w:instrText>
    </w:r>
    <w:r w:rsidRPr="00E4127D">
      <w:rPr>
        <w:sz w:val="18"/>
      </w:rPr>
      <w:instrText xml:space="preserve"> "Motionsnummer" *\charformat </w:instrText>
    </w:r>
    <w:r w:rsidRPr="00E4127D">
      <w:fldChar w:fldCharType="separate"/>
    </w:r>
    <w:r w:rsidR="007133E3" w:rsidRPr="00E4127D">
      <w:t>Ub323</w:t>
    </w:r>
    <w:r w:rsidRPr="00E4127D">
      <w:fldChar w:fldCharType="end"/>
    </w:r>
    <w:r w:rsidRPr="00E4127D">
      <w:br/>
    </w:r>
    <w:r w:rsidRPr="00E4127D">
      <w:fldChar w:fldCharType="begin" w:fldLock="1"/>
    </w:r>
    <w:r w:rsidRPr="00E4127D">
      <w:instrText xml:space="preserve"> DOCPROPERTY</w:instrText>
    </w:r>
    <w:r w:rsidRPr="00E4127D">
      <w:rPr>
        <w:sz w:val="18"/>
      </w:rPr>
      <w:instrText xml:space="preserve"> "Samling" *\charformat </w:instrText>
    </w:r>
    <w:r w:rsidRPr="00E4127D">
      <w:fldChar w:fldCharType="end"/>
    </w:r>
    <w:r w:rsidRPr="00E4127D">
      <w:tab/>
      <w:t xml:space="preserve">pnr: </w:t>
    </w:r>
    <w:r w:rsidRPr="00E4127D">
      <w:fldChar w:fldCharType="begin" w:fldLock="1"/>
    </w:r>
    <w:r w:rsidRPr="00E4127D">
      <w:instrText xml:space="preserve"> DOCPROPERTY</w:instrText>
    </w:r>
    <w:r w:rsidRPr="00E4127D">
      <w:rPr>
        <w:sz w:val="18"/>
      </w:rPr>
      <w:instrText xml:space="preserve"> "Partinummer" *\charformat </w:instrText>
    </w:r>
    <w:r w:rsidRPr="00E4127D">
      <w:fldChar w:fldCharType="separate"/>
    </w:r>
    <w:r w:rsidR="007133E3" w:rsidRPr="00E4127D">
      <w:t>kd754</w:t>
    </w:r>
    <w:r w:rsidRPr="00E4127D">
      <w:fldChar w:fldCharType="end"/>
    </w:r>
  </w:p>
  <w:p w:rsidR="00137CA6" w:rsidRPr="00E4127D" w:rsidRDefault="00137CA6">
    <w:pPr>
      <w:pStyle w:val="FSHRub1"/>
    </w:pPr>
    <w:r w:rsidRPr="00E4127D">
      <w:t>Motion till riksdagen</w:t>
    </w:r>
    <w:r w:rsidRPr="00E4127D">
      <w:br/>
    </w:r>
    <w:r w:rsidRPr="00E4127D">
      <w:fldChar w:fldCharType="begin" w:fldLock="1"/>
    </w:r>
    <w:r w:rsidRPr="00E4127D">
      <w:instrText xml:space="preserve"> DOCPROPERTY "YearUser" *\charformat </w:instrText>
    </w:r>
    <w:r w:rsidRPr="00E4127D">
      <w:fldChar w:fldCharType="separate"/>
    </w:r>
    <w:r w:rsidR="007133E3" w:rsidRPr="00E4127D">
      <w:t>2005/06</w:t>
    </w:r>
    <w:r w:rsidRPr="00E4127D">
      <w:fldChar w:fldCharType="end"/>
    </w:r>
    <w:r w:rsidRPr="00E4127D">
      <w:t>:</w:t>
    </w:r>
    <w:r w:rsidRPr="00E4127D">
      <w:fldChar w:fldCharType="begin" w:fldLock="1"/>
    </w:r>
    <w:r w:rsidRPr="00E4127D">
      <w:instrText xml:space="preserve"> DOCPROPERTY "Motionsnummer" *\charformat </w:instrText>
    </w:r>
    <w:r w:rsidRPr="00E4127D">
      <w:fldChar w:fldCharType="separate"/>
    </w:r>
    <w:r w:rsidR="007133E3" w:rsidRPr="00E4127D">
      <w:t>Ub323</w:t>
    </w:r>
    <w:r w:rsidRPr="00E4127D">
      <w:fldChar w:fldCharType="end"/>
    </w:r>
  </w:p>
  <w:p w:rsidR="00137CA6" w:rsidRPr="00E4127D" w:rsidRDefault="00137CA6">
    <w:pPr>
      <w:pStyle w:val="FSHNormalS5"/>
    </w:pPr>
    <w:r w:rsidRPr="00E4127D">
      <w:fldChar w:fldCharType="begin" w:fldLock="1"/>
    </w:r>
    <w:r w:rsidRPr="00E4127D">
      <w:instrText xml:space="preserve"> DOCPROPERTY "MotionarText" *\charformat </w:instrText>
    </w:r>
    <w:r w:rsidRPr="00E4127D">
      <w:fldChar w:fldCharType="separate"/>
    </w:r>
    <w:r w:rsidR="007133E3" w:rsidRPr="00E4127D">
      <w:t>av Ragnwi Marcelind (kd)</w:t>
    </w:r>
    <w:r w:rsidRPr="00E4127D">
      <w:fldChar w:fldCharType="end"/>
    </w:r>
    <w:r w:rsidRPr="00E4127D">
      <w:br/>
    </w:r>
    <w:r w:rsidRPr="00E4127D">
      <w:fldChar w:fldCharType="begin" w:fldLock="1"/>
    </w:r>
    <w:r w:rsidRPr="00E4127D">
      <w:instrText xml:space="preserve"> DOCPROPERTY "SvarFrasKort" *\charformat </w:instrText>
    </w:r>
    <w:r w:rsidRPr="00E4127D">
      <w:fldChar w:fldCharType="end"/>
    </w:r>
  </w:p>
  <w:p w:rsidR="00137CA6" w:rsidRPr="00E4127D" w:rsidRDefault="00137CA6" w:rsidP="00AE5A46">
    <w:pPr>
      <w:pStyle w:val="FSHTitel"/>
    </w:pPr>
    <w:r w:rsidRPr="00E4127D">
      <w:fldChar w:fldCharType="begin" w:fldLock="1"/>
    </w:r>
    <w:r w:rsidRPr="00E4127D">
      <w:instrText xml:space="preserve"> DOCPROPERTY</w:instrText>
    </w:r>
    <w:r w:rsidRPr="00E4127D">
      <w:rPr>
        <w:sz w:val="18"/>
      </w:rPr>
      <w:instrText xml:space="preserve"> "RubrikSvar" *\charformat </w:instrText>
    </w:r>
    <w:r w:rsidRPr="00E4127D">
      <w:fldChar w:fldCharType="separate"/>
    </w:r>
    <w:r w:rsidR="007133E3" w:rsidRPr="00E4127D">
      <w:t>Söderhamn som ett pilotprojekt för lärlingsutbildning</w:t>
    </w:r>
    <w:r w:rsidRPr="00E4127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93E660E6"/>
    <w:lvl w:ilvl="0" w:tplc="C6C0649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1581779">
    <w:abstractNumId w:val="13"/>
  </w:num>
  <w:num w:numId="2" w16cid:durableId="1310748329">
    <w:abstractNumId w:val="10"/>
  </w:num>
  <w:num w:numId="3" w16cid:durableId="379865626">
    <w:abstractNumId w:val="11"/>
  </w:num>
  <w:num w:numId="4" w16cid:durableId="227040620">
    <w:abstractNumId w:val="12"/>
  </w:num>
  <w:num w:numId="5" w16cid:durableId="1063212602">
    <w:abstractNumId w:val="8"/>
  </w:num>
  <w:num w:numId="6" w16cid:durableId="916356588">
    <w:abstractNumId w:val="3"/>
  </w:num>
  <w:num w:numId="7" w16cid:durableId="695890885">
    <w:abstractNumId w:val="2"/>
  </w:num>
  <w:num w:numId="8" w16cid:durableId="455369164">
    <w:abstractNumId w:val="1"/>
  </w:num>
  <w:num w:numId="9" w16cid:durableId="611939773">
    <w:abstractNumId w:val="0"/>
  </w:num>
  <w:num w:numId="10" w16cid:durableId="628363112">
    <w:abstractNumId w:val="9"/>
  </w:num>
  <w:num w:numId="11" w16cid:durableId="1177188346">
    <w:abstractNumId w:val="7"/>
  </w:num>
  <w:num w:numId="12" w16cid:durableId="339284875">
    <w:abstractNumId w:val="6"/>
  </w:num>
  <w:num w:numId="13" w16cid:durableId="2145344057">
    <w:abstractNumId w:val="5"/>
  </w:num>
  <w:num w:numId="14" w16cid:durableId="111049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9"/>
  </w:docVars>
  <w:rsids>
    <w:rsidRoot w:val="00FE2FAA"/>
    <w:rsid w:val="000501EE"/>
    <w:rsid w:val="00064BC3"/>
    <w:rsid w:val="00066775"/>
    <w:rsid w:val="00072FB9"/>
    <w:rsid w:val="000960FA"/>
    <w:rsid w:val="000C191C"/>
    <w:rsid w:val="00100531"/>
    <w:rsid w:val="00131600"/>
    <w:rsid w:val="00137CA6"/>
    <w:rsid w:val="001F2BD6"/>
    <w:rsid w:val="00201DFB"/>
    <w:rsid w:val="00204A63"/>
    <w:rsid w:val="00212FF1"/>
    <w:rsid w:val="00230193"/>
    <w:rsid w:val="0025068A"/>
    <w:rsid w:val="002620F3"/>
    <w:rsid w:val="00267626"/>
    <w:rsid w:val="002818D3"/>
    <w:rsid w:val="0029052E"/>
    <w:rsid w:val="002B0053"/>
    <w:rsid w:val="002B3B79"/>
    <w:rsid w:val="002D11A8"/>
    <w:rsid w:val="00324210"/>
    <w:rsid w:val="00327AC0"/>
    <w:rsid w:val="00331090"/>
    <w:rsid w:val="003360C6"/>
    <w:rsid w:val="0039639F"/>
    <w:rsid w:val="003D2F05"/>
    <w:rsid w:val="003D72D2"/>
    <w:rsid w:val="003E09E0"/>
    <w:rsid w:val="0041503C"/>
    <w:rsid w:val="00436430"/>
    <w:rsid w:val="00445271"/>
    <w:rsid w:val="004A0504"/>
    <w:rsid w:val="004E38CC"/>
    <w:rsid w:val="004E38D9"/>
    <w:rsid w:val="004F2AC5"/>
    <w:rsid w:val="005F2F37"/>
    <w:rsid w:val="006B1909"/>
    <w:rsid w:val="007133E3"/>
    <w:rsid w:val="00740D6D"/>
    <w:rsid w:val="00794149"/>
    <w:rsid w:val="007B3FD5"/>
    <w:rsid w:val="007B5284"/>
    <w:rsid w:val="007B67A7"/>
    <w:rsid w:val="007C6092"/>
    <w:rsid w:val="00823944"/>
    <w:rsid w:val="008C5D28"/>
    <w:rsid w:val="008F170E"/>
    <w:rsid w:val="00932D47"/>
    <w:rsid w:val="00A053C6"/>
    <w:rsid w:val="00A1546A"/>
    <w:rsid w:val="00A20469"/>
    <w:rsid w:val="00A36364"/>
    <w:rsid w:val="00AA0DDF"/>
    <w:rsid w:val="00AE5A46"/>
    <w:rsid w:val="00B13BF0"/>
    <w:rsid w:val="00B20BCC"/>
    <w:rsid w:val="00B47816"/>
    <w:rsid w:val="00B85743"/>
    <w:rsid w:val="00BB3180"/>
    <w:rsid w:val="00C1285C"/>
    <w:rsid w:val="00C27B7D"/>
    <w:rsid w:val="00C5182B"/>
    <w:rsid w:val="00CA2213"/>
    <w:rsid w:val="00CB5E40"/>
    <w:rsid w:val="00CB7FEB"/>
    <w:rsid w:val="00D1174F"/>
    <w:rsid w:val="00DC6C70"/>
    <w:rsid w:val="00DF02A2"/>
    <w:rsid w:val="00DF55C5"/>
    <w:rsid w:val="00E22893"/>
    <w:rsid w:val="00E360DE"/>
    <w:rsid w:val="00E4127D"/>
    <w:rsid w:val="00E75D28"/>
    <w:rsid w:val="00E84F25"/>
    <w:rsid w:val="00E943A6"/>
    <w:rsid w:val="00EF120B"/>
    <w:rsid w:val="00F5525D"/>
    <w:rsid w:val="00FE2FA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261E97-75AF-47E3-B6C8-D833F8F5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5525D"/>
    <w:pPr>
      <w:spacing w:after="250"/>
    </w:pPr>
  </w:style>
  <w:style w:type="paragraph" w:customStyle="1" w:styleId="Hemstlatt">
    <w:name w:val="Hemstl_att"/>
    <w:aliases w:val="HemstPunkt,HemstPunktFlera,HemställansPunkt,Förslagstext"/>
    <w:basedOn w:val="Normal"/>
    <w:next w:val="Normal"/>
    <w:rsid w:val="001F2BD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1654</Words>
  <Characters>9314</Characters>
  <Application>Microsoft Office Word</Application>
  <DocSecurity>4</DocSecurity>
  <Lines>221</Lines>
  <Paragraphs>102</Paragraphs>
  <ScaleCrop>false</ScaleCrop>
  <HeadingPairs>
    <vt:vector size="2" baseType="variant">
      <vt:variant>
        <vt:lpstr>Rubrik</vt:lpstr>
      </vt:variant>
      <vt:variant>
        <vt:i4>1</vt:i4>
      </vt:variant>
    </vt:vector>
  </HeadingPairs>
  <TitlesOfParts>
    <vt:vector size="1" baseType="lpstr">
      <vt:lpstr>Ub323</vt:lpstr>
    </vt:vector>
  </TitlesOfParts>
  <Company>Riksdagen</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Ub323</dc:title>
  <dc:subject>Ub323</dc:subject>
  <dc:creator>Riksdagen</dc:creator>
  <cp:keywords>Riksdagen</cp:keywords>
  <dc:description/>
  <cp:lastModifiedBy>Lars Brink</cp:lastModifiedBy>
  <cp:revision>2</cp:revision>
  <cp:lastPrinted>2006-01-18T12:21:00Z</cp:lastPrinted>
  <dcterms:created xsi:type="dcterms:W3CDTF">2025-12-16T21:58:00Z</dcterms:created>
  <dcterms:modified xsi:type="dcterms:W3CDTF">2025-12-16T21:58:00Z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mot2000_423_2005-11-19</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Söderhamn som ett pilotprojekt för lärlingsutbildning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Söderhamn som ett pilotprojekt för lärlingsutbildning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Ragnwi Marcelind (kd)</vt:lpwstr>
  </property>
  <property fmtid="{D5CDD505-2E9C-101B-9397-08002B2CF9AE}" pid="26" name="MotionarLista">
    <vt:lpwstr>Marcelind, Ragnwi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Ragnwi Marcelind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Ub323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hanna.toorell@riksdagen.se</vt:lpwstr>
  </property>
  <property fmtid="{D5CDD505-2E9C-101B-9397-08002B2CF9AE}" pid="45" name="ReservUID">
    <vt:lpwstr>peter jansson</vt:lpwstr>
  </property>
  <property fmtid="{D5CDD505-2E9C-101B-9397-08002B2CF9AE}" pid="46" name="MotionID">
    <vt:lpwstr>20052006000001070100000007540069</vt:lpwstr>
  </property>
  <property fmtid="{D5CDD505-2E9C-101B-9397-08002B2CF9AE}" pid="47" name="datum">
    <vt:lpwstr>050927</vt:lpwstr>
  </property>
  <property fmtid="{D5CDD505-2E9C-101B-9397-08002B2CF9AE}" pid="48" name="avsändar-e-post">
    <vt:lpwstr>hanna.toorell@riksdagen.se</vt:lpwstr>
  </property>
  <property fmtid="{D5CDD505-2E9C-101B-9397-08002B2CF9AE}" pid="49" name="id">
    <vt:lpwstr>20052006000001070100000007540069</vt:lpwstr>
  </property>
  <property fmtid="{D5CDD505-2E9C-101B-9397-08002B2CF9AE}" pid="50" name="nummer">
    <vt:lpwstr>323</vt:lpwstr>
  </property>
  <property fmtid="{D5CDD505-2E9C-101B-9397-08002B2CF9AE}" pid="51" name="utskottsbeteckning">
    <vt:lpwstr>Ub</vt:lpwstr>
  </property>
</Properties>
</file>