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863508" w:rsidRPr="00F4710F">
        <w:tblPrEx>
          <w:tblCellMar>
            <w:top w:w="0" w:type="dxa"/>
            <w:bottom w:w="0" w:type="dxa"/>
          </w:tblCellMar>
        </w:tblPrEx>
        <w:tc>
          <w:tcPr>
            <w:tcW w:w="2268" w:type="dxa"/>
          </w:tcPr>
          <w:p w:rsidR="00863508" w:rsidRPr="00F4710F" w:rsidRDefault="00863508" w:rsidP="00863508">
            <w:pPr>
              <w:framePr w:w="5035" w:h="1644" w:wrap="notBeside" w:vAnchor="page" w:hAnchor="page" w:x="6573" w:y="721"/>
              <w:rPr>
                <w:rFonts w:ascii="TradeGothic" w:hAnsi="TradeGothic"/>
                <w:i/>
                <w:sz w:val="18"/>
              </w:rPr>
            </w:pPr>
          </w:p>
        </w:tc>
        <w:tc>
          <w:tcPr>
            <w:tcW w:w="2999" w:type="dxa"/>
            <w:gridSpan w:val="2"/>
          </w:tcPr>
          <w:p w:rsidR="00863508" w:rsidRPr="00F4710F" w:rsidRDefault="00863508" w:rsidP="00863508">
            <w:pPr>
              <w:framePr w:w="5035" w:h="1644" w:wrap="notBeside" w:vAnchor="page" w:hAnchor="page" w:x="6573" w:y="721"/>
              <w:rPr>
                <w:rFonts w:ascii="TradeGothic" w:hAnsi="TradeGothic"/>
                <w:i/>
                <w:sz w:val="18"/>
              </w:rPr>
            </w:pPr>
          </w:p>
        </w:tc>
      </w:tr>
      <w:tr w:rsidR="00863508" w:rsidRPr="00F4710F">
        <w:tblPrEx>
          <w:tblCellMar>
            <w:top w:w="0" w:type="dxa"/>
            <w:bottom w:w="0" w:type="dxa"/>
          </w:tblCellMar>
        </w:tblPrEx>
        <w:tc>
          <w:tcPr>
            <w:tcW w:w="5267" w:type="dxa"/>
            <w:gridSpan w:val="3"/>
          </w:tcPr>
          <w:p w:rsidR="00863508" w:rsidRPr="00F4710F" w:rsidRDefault="00863508" w:rsidP="00863508">
            <w:pPr>
              <w:framePr w:w="5035" w:h="1644" w:wrap="notBeside" w:vAnchor="page" w:hAnchor="page" w:x="6573" w:y="721"/>
              <w:rPr>
                <w:rFonts w:ascii="TradeGothic" w:hAnsi="TradeGothic"/>
                <w:b/>
                <w:sz w:val="22"/>
              </w:rPr>
            </w:pPr>
            <w:r w:rsidRPr="00F4710F">
              <w:rPr>
                <w:rFonts w:ascii="TradeGothic" w:hAnsi="TradeGothic"/>
                <w:b/>
                <w:sz w:val="22"/>
              </w:rPr>
              <w:t>Rådspromemoria</w:t>
            </w:r>
          </w:p>
        </w:tc>
      </w:tr>
      <w:tr w:rsidR="00863508" w:rsidRPr="00F4710F">
        <w:tblPrEx>
          <w:tblCellMar>
            <w:top w:w="0" w:type="dxa"/>
            <w:bottom w:w="0" w:type="dxa"/>
          </w:tblCellMar>
        </w:tblPrEx>
        <w:tc>
          <w:tcPr>
            <w:tcW w:w="3402" w:type="dxa"/>
            <w:gridSpan w:val="2"/>
          </w:tcPr>
          <w:p w:rsidR="00863508" w:rsidRPr="00F4710F" w:rsidRDefault="00863508" w:rsidP="00863508">
            <w:pPr>
              <w:framePr w:w="5035" w:h="1644" w:wrap="notBeside" w:vAnchor="page" w:hAnchor="page" w:x="6573" w:y="721"/>
            </w:pPr>
          </w:p>
        </w:tc>
        <w:tc>
          <w:tcPr>
            <w:tcW w:w="1865" w:type="dxa"/>
          </w:tcPr>
          <w:p w:rsidR="00863508" w:rsidRPr="00F4710F" w:rsidRDefault="00863508" w:rsidP="00863508">
            <w:pPr>
              <w:framePr w:w="5035" w:h="1644" w:wrap="notBeside" w:vAnchor="page" w:hAnchor="page" w:x="6573" w:y="721"/>
            </w:pPr>
          </w:p>
        </w:tc>
      </w:tr>
      <w:tr w:rsidR="00863508" w:rsidRPr="00F4710F">
        <w:tblPrEx>
          <w:tblCellMar>
            <w:top w:w="0" w:type="dxa"/>
            <w:bottom w:w="0" w:type="dxa"/>
          </w:tblCellMar>
        </w:tblPrEx>
        <w:tc>
          <w:tcPr>
            <w:tcW w:w="2268" w:type="dxa"/>
          </w:tcPr>
          <w:p w:rsidR="00863508" w:rsidRPr="00F4710F" w:rsidRDefault="00863508" w:rsidP="00863508">
            <w:pPr>
              <w:framePr w:w="5035" w:h="1644" w:wrap="notBeside" w:vAnchor="page" w:hAnchor="page" w:x="6573" w:y="721"/>
            </w:pPr>
            <w:r w:rsidRPr="00F4710F">
              <w:t>2009-02-1</w:t>
            </w:r>
            <w:r w:rsidR="00BC5201" w:rsidRPr="00F4710F">
              <w:t>6</w:t>
            </w:r>
          </w:p>
        </w:tc>
        <w:tc>
          <w:tcPr>
            <w:tcW w:w="2999" w:type="dxa"/>
            <w:gridSpan w:val="2"/>
          </w:tcPr>
          <w:p w:rsidR="00863508" w:rsidRPr="00F4710F" w:rsidRDefault="00863508" w:rsidP="00863508">
            <w:pPr>
              <w:framePr w:w="5035" w:h="1644" w:wrap="notBeside" w:vAnchor="page" w:hAnchor="page" w:x="6573" w:y="721"/>
            </w:pPr>
          </w:p>
        </w:tc>
      </w:tr>
      <w:tr w:rsidR="00863508" w:rsidRPr="00F4710F">
        <w:tblPrEx>
          <w:tblCellMar>
            <w:top w:w="0" w:type="dxa"/>
            <w:bottom w:w="0" w:type="dxa"/>
          </w:tblCellMar>
        </w:tblPrEx>
        <w:tc>
          <w:tcPr>
            <w:tcW w:w="2268" w:type="dxa"/>
          </w:tcPr>
          <w:p w:rsidR="00863508" w:rsidRPr="00F4710F" w:rsidRDefault="00863508" w:rsidP="00863508">
            <w:pPr>
              <w:framePr w:w="5035" w:h="1644" w:wrap="notBeside" w:vAnchor="page" w:hAnchor="page" w:x="6573" w:y="721"/>
            </w:pPr>
          </w:p>
        </w:tc>
        <w:tc>
          <w:tcPr>
            <w:tcW w:w="2999" w:type="dxa"/>
            <w:gridSpan w:val="2"/>
          </w:tcPr>
          <w:p w:rsidR="00863508" w:rsidRPr="00F4710F" w:rsidRDefault="00863508" w:rsidP="0086350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
                <w:i w:val="0"/>
                <w:sz w:val="22"/>
              </w:rPr>
            </w:pPr>
            <w:r w:rsidRPr="00F4710F">
              <w:rPr>
                <w:b/>
                <w:i w:val="0"/>
                <w:sz w:val="22"/>
              </w:rPr>
              <w:t>Justitiedepartementet</w:t>
            </w: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r w:rsidRPr="00F4710F">
              <w:rPr>
                <w:bCs/>
                <w:iCs/>
              </w:rPr>
              <w:t>Enheten för brottmålsärenden och internationellt rättsligt samarbete (BIRS)</w:t>
            </w: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r w:rsidR="00863508" w:rsidRPr="00F4710F">
        <w:tblPrEx>
          <w:tblCellMar>
            <w:top w:w="0" w:type="dxa"/>
            <w:bottom w:w="0" w:type="dxa"/>
          </w:tblCellMar>
        </w:tblPrEx>
        <w:trPr>
          <w:trHeight w:val="284"/>
        </w:trPr>
        <w:tc>
          <w:tcPr>
            <w:tcW w:w="4911" w:type="dxa"/>
          </w:tcPr>
          <w:p w:rsidR="00863508" w:rsidRPr="00F4710F" w:rsidRDefault="00863508">
            <w:pPr>
              <w:pStyle w:val="Avsndare"/>
              <w:framePr w:h="2483" w:wrap="notBeside" w:x="1504"/>
              <w:rPr>
                <w:bCs/>
                <w:iCs/>
              </w:rPr>
            </w:pPr>
          </w:p>
        </w:tc>
      </w:tr>
    </w:tbl>
    <w:p w:rsidR="00863508" w:rsidRPr="00F4710F" w:rsidRDefault="00863508">
      <w:pPr>
        <w:framePr w:w="4400" w:h="2523" w:wrap="notBeside" w:vAnchor="page" w:hAnchor="page" w:x="6453" w:y="2445"/>
        <w:ind w:left="142"/>
        <w:rPr>
          <w:b/>
        </w:rPr>
      </w:pPr>
    </w:p>
    <w:p w:rsidR="00863508" w:rsidRPr="00F4710F" w:rsidRDefault="00863508" w:rsidP="00863508">
      <w:pPr>
        <w:pStyle w:val="RKrubrik"/>
        <w:pBdr>
          <w:bottom w:val="single" w:sz="6" w:space="1" w:color="auto"/>
        </w:pBdr>
        <w:spacing w:before="0" w:after="0"/>
        <w:rPr>
          <w:rFonts w:ascii="OrigGarmnd BT" w:hAnsi="OrigGarmnd BT"/>
          <w:sz w:val="24"/>
          <w:szCs w:val="24"/>
        </w:rPr>
      </w:pPr>
      <w:bookmarkStart w:id="0" w:name="bRubrik"/>
      <w:bookmarkEnd w:id="0"/>
      <w:r w:rsidRPr="00F4710F">
        <w:t xml:space="preserve">Rådets möte </w:t>
      </w:r>
      <w:r w:rsidR="003B3EF3" w:rsidRPr="00F4710F">
        <w:t>(</w:t>
      </w:r>
      <w:r w:rsidRPr="00F4710F">
        <w:rPr>
          <w:rFonts w:ascii="OrigGarmnd BT" w:hAnsi="OrigGarmnd BT"/>
          <w:sz w:val="24"/>
          <w:szCs w:val="24"/>
        </w:rPr>
        <w:t>rättsliga och inrikes frågor</w:t>
      </w:r>
      <w:r w:rsidR="003B3EF3" w:rsidRPr="00F4710F">
        <w:rPr>
          <w:rFonts w:ascii="OrigGarmnd BT" w:hAnsi="OrigGarmnd BT"/>
          <w:sz w:val="24"/>
          <w:szCs w:val="24"/>
        </w:rPr>
        <w:t>)</w:t>
      </w:r>
      <w:r w:rsidRPr="00F4710F">
        <w:rPr>
          <w:rFonts w:ascii="OrigGarmnd BT" w:hAnsi="OrigGarmnd BT"/>
          <w:sz w:val="24"/>
          <w:szCs w:val="24"/>
        </w:rPr>
        <w:t xml:space="preserve"> </w:t>
      </w:r>
      <w:r w:rsidR="002F54AE" w:rsidRPr="00F4710F">
        <w:rPr>
          <w:rFonts w:ascii="OrigGarmnd BT" w:hAnsi="OrigGarmnd BT"/>
          <w:sz w:val="24"/>
          <w:szCs w:val="24"/>
        </w:rPr>
        <w:t>den 26-</w:t>
      </w:r>
      <w:r w:rsidRPr="00F4710F">
        <w:rPr>
          <w:rFonts w:ascii="OrigGarmnd BT" w:hAnsi="OrigGarmnd BT"/>
          <w:sz w:val="24"/>
          <w:szCs w:val="24"/>
        </w:rPr>
        <w:t xml:space="preserve">27 februari </w:t>
      </w:r>
      <w:r w:rsidR="002F54AE" w:rsidRPr="00F4710F">
        <w:rPr>
          <w:rFonts w:ascii="OrigGarmnd BT" w:hAnsi="OrigGarmnd BT"/>
          <w:sz w:val="24"/>
          <w:szCs w:val="24"/>
        </w:rPr>
        <w:t>2009</w:t>
      </w:r>
    </w:p>
    <w:p w:rsidR="00863508" w:rsidRPr="00F4710F" w:rsidRDefault="00863508">
      <w:pPr>
        <w:pStyle w:val="RKnormal"/>
      </w:pPr>
    </w:p>
    <w:p w:rsidR="00863508" w:rsidRPr="00F4710F" w:rsidRDefault="00863508">
      <w:pPr>
        <w:pStyle w:val="RKnormal"/>
      </w:pPr>
      <w:r w:rsidRPr="00F4710F">
        <w:t>Dagordningspunkt 9</w:t>
      </w:r>
    </w:p>
    <w:p w:rsidR="00863508" w:rsidRPr="00F4710F" w:rsidRDefault="00863508">
      <w:pPr>
        <w:pStyle w:val="RKnormal"/>
      </w:pPr>
    </w:p>
    <w:p w:rsidR="003B3EF3" w:rsidRPr="00F4710F" w:rsidRDefault="00863508" w:rsidP="003B3EF3">
      <w:pPr>
        <w:pStyle w:val="Par-dash"/>
        <w:numPr>
          <w:ilvl w:val="0"/>
          <w:numId w:val="0"/>
        </w:numPr>
        <w:ind w:left="720" w:hanging="720"/>
        <w:rPr>
          <w:rFonts w:ascii="OrigGarmnd BT" w:hAnsi="OrigGarmnd BT"/>
          <w:lang w:val="sv-SE"/>
        </w:rPr>
      </w:pPr>
      <w:r w:rsidRPr="00F4710F">
        <w:rPr>
          <w:lang w:val="sv-SE"/>
        </w:rPr>
        <w:t>Rubrik</w:t>
      </w:r>
      <w:r w:rsidRPr="00F4710F">
        <w:rPr>
          <w:rFonts w:ascii="OrigGarmnd BT" w:hAnsi="OrigGarmnd BT"/>
          <w:lang w:val="sv-SE"/>
        </w:rPr>
        <w:t xml:space="preserve">: </w:t>
      </w:r>
    </w:p>
    <w:p w:rsidR="003B3EF3" w:rsidRPr="00F4710F" w:rsidRDefault="003B3EF3" w:rsidP="003B3EF3">
      <w:pPr>
        <w:pStyle w:val="Par-dash"/>
        <w:numPr>
          <w:ilvl w:val="0"/>
          <w:numId w:val="0"/>
        </w:numPr>
        <w:ind w:left="720" w:hanging="720"/>
        <w:rPr>
          <w:rFonts w:ascii="OrigGarmnd BT" w:hAnsi="OrigGarmnd BT"/>
          <w:bCs/>
          <w:lang w:val="sv-SE"/>
        </w:rPr>
      </w:pPr>
      <w:r w:rsidRPr="00F4710F">
        <w:rPr>
          <w:rFonts w:ascii="OrigGarmnd BT" w:hAnsi="OrigGarmnd BT"/>
          <w:lang w:val="sv-SE"/>
        </w:rPr>
        <w:t xml:space="preserve">Förslag till rådets rambeslut om förebyggande och lösning av tvister om domstolars behörighet i straffrättsliga förfaranden </w:t>
      </w:r>
      <w:r w:rsidRPr="00F4710F">
        <w:rPr>
          <w:rFonts w:ascii="OrigGarmnd BT" w:hAnsi="OrigGarmnd BT"/>
          <w:b/>
          <w:lang w:val="sv-SE"/>
        </w:rPr>
        <w:t>(R)</w:t>
      </w:r>
    </w:p>
    <w:p w:rsidR="003B3EF3" w:rsidRPr="00F4710F" w:rsidRDefault="003B3EF3" w:rsidP="003B3EF3">
      <w:pPr>
        <w:spacing w:line="240" w:lineRule="auto"/>
        <w:ind w:left="567"/>
        <w:rPr>
          <w:bCs/>
          <w:color w:val="000000"/>
        </w:rPr>
      </w:pPr>
      <w:r w:rsidRPr="00F4710F">
        <w:rPr>
          <w:bCs/>
          <w:color w:val="000000"/>
        </w:rPr>
        <w:t>–</w:t>
      </w:r>
      <w:r w:rsidRPr="00F4710F">
        <w:rPr>
          <w:bCs/>
          <w:color w:val="000000"/>
        </w:rPr>
        <w:tab/>
        <w:t>Riktlinjedebatt om utvalda frågor</w:t>
      </w:r>
    </w:p>
    <w:p w:rsidR="00863508" w:rsidRPr="00F4710F" w:rsidRDefault="00863508">
      <w:pPr>
        <w:pStyle w:val="RKnormal"/>
      </w:pPr>
    </w:p>
    <w:p w:rsidR="00863508" w:rsidRPr="00F4710F" w:rsidRDefault="00863508" w:rsidP="00863508">
      <w:pPr>
        <w:pStyle w:val="RKnormal"/>
      </w:pPr>
      <w:r w:rsidRPr="00F4710F">
        <w:t>Dokument: 5804/09 COPEN 17</w:t>
      </w:r>
    </w:p>
    <w:p w:rsidR="00863508" w:rsidRPr="00F4710F" w:rsidRDefault="00863508">
      <w:pPr>
        <w:pStyle w:val="RKnormal"/>
      </w:pPr>
    </w:p>
    <w:p w:rsidR="00863508" w:rsidRPr="00F4710F" w:rsidRDefault="00863508">
      <w:pPr>
        <w:pStyle w:val="RKnormal"/>
      </w:pPr>
      <w:r w:rsidRPr="00F4710F">
        <w:t>Tidigare dokument: --</w:t>
      </w:r>
    </w:p>
    <w:p w:rsidR="00863508" w:rsidRPr="00F4710F" w:rsidRDefault="00863508">
      <w:pPr>
        <w:pStyle w:val="RKnormal"/>
      </w:pPr>
    </w:p>
    <w:p w:rsidR="00863508" w:rsidRPr="00F4710F" w:rsidRDefault="00863508">
      <w:pPr>
        <w:pStyle w:val="RKnormal"/>
      </w:pPr>
      <w:r w:rsidRPr="00F4710F">
        <w:t>Tidigare behandlad vid samråd med EU-nämnden: --</w:t>
      </w:r>
    </w:p>
    <w:p w:rsidR="00863508" w:rsidRPr="00F4710F" w:rsidRDefault="00863508">
      <w:pPr>
        <w:pStyle w:val="RKrubrik"/>
      </w:pPr>
      <w:r w:rsidRPr="00F4710F">
        <w:t>Bakgrund (inkl. syftet med behandlingen i rådet)</w:t>
      </w:r>
    </w:p>
    <w:p w:rsidR="00863508" w:rsidRPr="00F4710F" w:rsidRDefault="00863508">
      <w:pPr>
        <w:pStyle w:val="RKnormal"/>
      </w:pPr>
      <w:r w:rsidRPr="00F4710F">
        <w:t>Tjeckien m.fl. medförslagsställare, bl.a. Sverige, har lagt fram ett förslag till rambeslut om jurisdiktionskonflikter. Rambeslutet ålägger medlems</w:t>
      </w:r>
      <w:r w:rsidRPr="00F4710F">
        <w:softHyphen/>
        <w:t xml:space="preserve">staterna att informera </w:t>
      </w:r>
      <w:r w:rsidR="00171DC8" w:rsidRPr="00F4710F">
        <w:t xml:space="preserve"> </w:t>
      </w:r>
      <w:r w:rsidRPr="00F4710F">
        <w:t xml:space="preserve">varandra i fall där </w:t>
      </w:r>
      <w:r w:rsidR="00171DC8" w:rsidRPr="00F4710F">
        <w:t xml:space="preserve">det skäligen kan antas att </w:t>
      </w:r>
      <w:r w:rsidRPr="00F4710F">
        <w:t xml:space="preserve">fler än en stat utreder samma person för samma gärning. </w:t>
      </w:r>
      <w:r w:rsidR="00171DC8" w:rsidRPr="00F4710F">
        <w:t xml:space="preserve">Om så är fallet, ska staterna samråda med varandra för att avgöra i vilket land utredningen lämpligen ska bedrivas. </w:t>
      </w:r>
      <w:r w:rsidRPr="00F4710F">
        <w:t>Syftena med rambeslutet är att undvika att en person döms för samma gärning mer än en gång (</w:t>
      </w:r>
      <w:r w:rsidRPr="00F4710F">
        <w:rPr>
          <w:i/>
        </w:rPr>
        <w:t>ne bis in idem</w:t>
      </w:r>
      <w:r w:rsidRPr="00F4710F">
        <w:t>) samt sund processekonomi. Rambeslutet kompletterar Euro</w:t>
      </w:r>
      <w:r w:rsidRPr="00F4710F">
        <w:softHyphen/>
        <w:t>justs verksamhet och föreskriver direktkontakter mellan brottsutredande myndigheter i medlemsstaterna, när det är möjligt. Förhandlingar pågår i rådsarbets</w:t>
      </w:r>
      <w:r w:rsidRPr="00F4710F">
        <w:softHyphen/>
        <w:t>gruppen COPEN. Ordförandeskapet har för avsikt att nå en överenskommelse i maj/juni 2009.</w:t>
      </w:r>
    </w:p>
    <w:p w:rsidR="00863508" w:rsidRPr="00F4710F" w:rsidRDefault="00863508">
      <w:pPr>
        <w:pStyle w:val="RKnormal"/>
      </w:pPr>
    </w:p>
    <w:p w:rsidR="00863508" w:rsidRPr="00F4710F" w:rsidRDefault="00863508" w:rsidP="00863508">
      <w:pPr>
        <w:pStyle w:val="RKnormal"/>
      </w:pPr>
      <w:r w:rsidRPr="00F4710F">
        <w:t xml:space="preserve">Rådet inbjuds att bekräfta </w:t>
      </w:r>
      <w:r w:rsidR="00BD393D" w:rsidRPr="00F4710F">
        <w:t xml:space="preserve">(”confirm”) </w:t>
      </w:r>
      <w:r w:rsidRPr="00F4710F">
        <w:t xml:space="preserve">några </w:t>
      </w:r>
      <w:r w:rsidR="00171DC8" w:rsidRPr="00F4710F">
        <w:t xml:space="preserve">av förhandlingarnas </w:t>
      </w:r>
      <w:r w:rsidRPr="00F4710F">
        <w:t>delresultat</w:t>
      </w:r>
      <w:r w:rsidR="00171DC8" w:rsidRPr="00F4710F">
        <w:t>, främst vad gäller tre frågor.</w:t>
      </w:r>
    </w:p>
    <w:p w:rsidR="00171DC8" w:rsidRPr="00F4710F" w:rsidRDefault="00171DC8" w:rsidP="00863508">
      <w:pPr>
        <w:pStyle w:val="RKnormal"/>
      </w:pPr>
    </w:p>
    <w:p w:rsidR="00863508" w:rsidRPr="00F4710F" w:rsidRDefault="00863508" w:rsidP="00863508">
      <w:pPr>
        <w:pStyle w:val="RKnormal"/>
      </w:pPr>
    </w:p>
    <w:p w:rsidR="00863508" w:rsidRPr="00F4710F" w:rsidRDefault="00863508" w:rsidP="00863508">
      <w:pPr>
        <w:pStyle w:val="RKnormal"/>
        <w:rPr>
          <w:b/>
          <w:i/>
          <w:sz w:val="22"/>
          <w:szCs w:val="22"/>
        </w:rPr>
      </w:pPr>
      <w:r w:rsidRPr="00F4710F">
        <w:rPr>
          <w:b/>
          <w:i/>
          <w:sz w:val="22"/>
          <w:szCs w:val="22"/>
        </w:rPr>
        <w:t xml:space="preserve">a) Syftet och tillämpningsområdet </w:t>
      </w:r>
    </w:p>
    <w:p w:rsidR="00863508" w:rsidRPr="00F4710F" w:rsidRDefault="00863508" w:rsidP="00863508">
      <w:pPr>
        <w:pStyle w:val="RKnormal"/>
      </w:pPr>
      <w:r w:rsidRPr="00F4710F">
        <w:lastRenderedPageBreak/>
        <w:t>Under förhandlingarna har syftet och tillämpningsområdet varit de frågor som diskuterats mest intensivt. Flertal medlemsstater har velat ha ett s</w:t>
      </w:r>
      <w:r w:rsidR="00BD393D" w:rsidRPr="00F4710F">
        <w:t xml:space="preserve">nävt tillämpningsområde </w:t>
      </w:r>
      <w:r w:rsidR="0054431D" w:rsidRPr="00F4710F">
        <w:t>–</w:t>
      </w:r>
      <w:r w:rsidR="00BD393D" w:rsidRPr="00F4710F">
        <w:t xml:space="preserve"> rena </w:t>
      </w:r>
      <w:r w:rsidR="00BD393D" w:rsidRPr="00F4710F">
        <w:rPr>
          <w:i/>
        </w:rPr>
        <w:t>ne bis in idem</w:t>
      </w:r>
      <w:r w:rsidR="00BD393D" w:rsidRPr="00F4710F">
        <w:t>-fall</w:t>
      </w:r>
      <w:r w:rsidRPr="00F4710F">
        <w:t xml:space="preserve"> </w:t>
      </w:r>
      <w:r w:rsidR="0054431D" w:rsidRPr="00F4710F">
        <w:t>–</w:t>
      </w:r>
      <w:r w:rsidRPr="00F4710F">
        <w:t xml:space="preserve"> medan andra velat ha ett litet större tillämpningsområde. Vidare har frågan om när informationsskyldigheten ska inträda diskuterats. Med anledning av diskussionerna inbjuds rådet att bekräfta att tillämpningsområdet ska begränsas till rena </w:t>
      </w:r>
      <w:r w:rsidRPr="00F4710F">
        <w:rPr>
          <w:i/>
        </w:rPr>
        <w:t>ne bis in idem</w:t>
      </w:r>
      <w:r w:rsidRPr="00F4710F">
        <w:t>-situationer samt att informations-skyldigheten ska inträder när det finns skälig anledning anta (”reasonable grounds to believe”) att en eller flera andra medlemsstater har inlett ett straffrättslig</w:t>
      </w:r>
      <w:r w:rsidR="00E749DC" w:rsidRPr="00F4710F">
        <w:t>t</w:t>
      </w:r>
      <w:r w:rsidRPr="00F4710F">
        <w:t xml:space="preserve"> förfarande avseende samma person och gärning.</w:t>
      </w:r>
    </w:p>
    <w:p w:rsidR="00863508" w:rsidRPr="00F4710F" w:rsidRDefault="00863508" w:rsidP="00863508">
      <w:pPr>
        <w:pStyle w:val="Punktlista"/>
        <w:numPr>
          <w:ilvl w:val="0"/>
          <w:numId w:val="0"/>
        </w:numPr>
        <w:ind w:left="357" w:hanging="357"/>
      </w:pPr>
    </w:p>
    <w:p w:rsidR="00863508" w:rsidRPr="00F4710F" w:rsidRDefault="00863508" w:rsidP="00863508">
      <w:pPr>
        <w:pStyle w:val="Punktlista"/>
        <w:numPr>
          <w:ilvl w:val="0"/>
          <w:numId w:val="0"/>
        </w:numPr>
        <w:ind w:left="357" w:hanging="357"/>
        <w:rPr>
          <w:sz w:val="22"/>
          <w:szCs w:val="22"/>
        </w:rPr>
      </w:pPr>
      <w:r w:rsidRPr="00F4710F">
        <w:rPr>
          <w:b/>
          <w:i/>
          <w:sz w:val="22"/>
          <w:szCs w:val="22"/>
        </w:rPr>
        <w:t>b) Det straffrättsliga förfarandet och behöriga myndigheter</w:t>
      </w:r>
    </w:p>
    <w:p w:rsidR="00863508" w:rsidRPr="00F4710F" w:rsidRDefault="00863508" w:rsidP="00863508">
      <w:pPr>
        <w:pStyle w:val="Punktlista"/>
        <w:numPr>
          <w:ilvl w:val="0"/>
          <w:numId w:val="0"/>
        </w:numPr>
      </w:pPr>
      <w:r w:rsidRPr="00F4710F">
        <w:t>Vad som s</w:t>
      </w:r>
      <w:r w:rsidR="007C771E" w:rsidRPr="00F4710F">
        <w:t>ka omfattas av begreppen,</w:t>
      </w:r>
      <w:r w:rsidRPr="00F4710F">
        <w:t xml:space="preserve"> det straffrättsliga förfarandet (”cri</w:t>
      </w:r>
      <w:r w:rsidRPr="00F4710F">
        <w:softHyphen/>
      </w:r>
      <w:r w:rsidR="007C771E" w:rsidRPr="00F4710F">
        <w:t>minal proceedings”) respektive behörig myndighet,</w:t>
      </w:r>
      <w:r w:rsidRPr="00F4710F">
        <w:t xml:space="preserve"> har också diskuterats. Det tycks råda en samsyn </w:t>
      </w:r>
      <w:r w:rsidR="0054431D" w:rsidRPr="00F4710F">
        <w:t xml:space="preserve">om </w:t>
      </w:r>
      <w:r w:rsidRPr="00F4710F">
        <w:t>att det förra begreppet ska tolkas brett, dvs. innefatta både förundersökning och processen vid doms</w:t>
      </w:r>
      <w:r w:rsidR="0022373B" w:rsidRPr="00F4710F">
        <w:t>tol, och vad</w:t>
      </w:r>
      <w:r w:rsidR="007C771E" w:rsidRPr="00F4710F">
        <w:t xml:space="preserve"> gäller behörig myndighet</w:t>
      </w:r>
      <w:r w:rsidR="0022373B" w:rsidRPr="00F4710F">
        <w:t>,</w:t>
      </w:r>
      <w:r w:rsidRPr="00F4710F">
        <w:t xml:space="preserve"> att medlemsstaten själv får välja vilken(/a) myn</w:t>
      </w:r>
      <w:r w:rsidR="00BD393D" w:rsidRPr="00F4710F">
        <w:t>dighet(-er) som ska vara behörig</w:t>
      </w:r>
      <w:r w:rsidRPr="00F4710F">
        <w:t>(</w:t>
      </w:r>
      <w:r w:rsidR="00BD393D" w:rsidRPr="00F4710F">
        <w:t>-</w:t>
      </w:r>
      <w:r w:rsidRPr="00F4710F">
        <w:t>a). Det är detta som rådet inbjuds att bekräfta.</w:t>
      </w:r>
    </w:p>
    <w:p w:rsidR="00863508" w:rsidRPr="00F4710F" w:rsidRDefault="00863508" w:rsidP="00863508">
      <w:pPr>
        <w:pStyle w:val="Punktlista"/>
        <w:numPr>
          <w:ilvl w:val="0"/>
          <w:numId w:val="0"/>
        </w:numPr>
        <w:ind w:left="357" w:hanging="357"/>
      </w:pPr>
    </w:p>
    <w:p w:rsidR="00863508" w:rsidRPr="00F4710F" w:rsidRDefault="00E45E03" w:rsidP="00863508">
      <w:pPr>
        <w:pStyle w:val="Punktlista"/>
        <w:numPr>
          <w:ilvl w:val="0"/>
          <w:numId w:val="0"/>
        </w:numPr>
        <w:ind w:left="357" w:hanging="357"/>
        <w:rPr>
          <w:sz w:val="22"/>
          <w:szCs w:val="22"/>
        </w:rPr>
      </w:pPr>
      <w:r w:rsidRPr="00F4710F">
        <w:rPr>
          <w:b/>
          <w:i/>
          <w:sz w:val="22"/>
          <w:szCs w:val="22"/>
        </w:rPr>
        <w:t xml:space="preserve">c) Förfarandet när medlemsstaterna </w:t>
      </w:r>
      <w:r w:rsidR="00863508" w:rsidRPr="00F4710F">
        <w:rPr>
          <w:b/>
          <w:i/>
          <w:sz w:val="22"/>
          <w:szCs w:val="22"/>
        </w:rPr>
        <w:t xml:space="preserve"> kontaktar varandra</w:t>
      </w:r>
    </w:p>
    <w:p w:rsidR="00863508" w:rsidRPr="00F4710F" w:rsidRDefault="00863508" w:rsidP="00863508">
      <w:pPr>
        <w:pStyle w:val="Punktlista"/>
        <w:numPr>
          <w:ilvl w:val="0"/>
          <w:numId w:val="0"/>
        </w:numPr>
      </w:pPr>
      <w:r w:rsidRPr="00F4710F">
        <w:t xml:space="preserve">Även här har förhandlingarna lett till någorlunda samsyn vad gäller </w:t>
      </w:r>
      <w:r w:rsidR="000632C8" w:rsidRPr="00F4710F">
        <w:t xml:space="preserve">frågan </w:t>
      </w:r>
      <w:r w:rsidRPr="00F4710F">
        <w:t>på vilket sätt kontakt ska tas</w:t>
      </w:r>
      <w:r w:rsidR="000632C8" w:rsidRPr="00F4710F">
        <w:t xml:space="preserve"> och</w:t>
      </w:r>
      <w:r w:rsidRPr="00F4710F">
        <w:t xml:space="preserve"> skyldigheten att besvara en förfrågan. Rådet inbjuds att bekräfta</w:t>
      </w:r>
    </w:p>
    <w:p w:rsidR="00863508" w:rsidRPr="00F4710F" w:rsidRDefault="00863508" w:rsidP="00863508">
      <w:pPr>
        <w:pStyle w:val="Punktlista"/>
        <w:numPr>
          <w:ilvl w:val="0"/>
          <w:numId w:val="0"/>
        </w:numPr>
      </w:pPr>
      <w:r w:rsidRPr="00F4710F">
        <w:t>- att det inte ska krävas något särskilt formulär,</w:t>
      </w:r>
    </w:p>
    <w:p w:rsidR="00863508" w:rsidRPr="00F4710F" w:rsidRDefault="00863508" w:rsidP="00863508">
      <w:pPr>
        <w:pStyle w:val="Punktlista"/>
        <w:numPr>
          <w:ilvl w:val="0"/>
          <w:numId w:val="0"/>
        </w:numPr>
      </w:pPr>
      <w:r w:rsidRPr="00F4710F">
        <w:t>- att kommunikationen mellan behöriga myndigheter ska kunna ske på alla sätt som kan ge upphov till ett skriftligt dokument (t.ex. fax och e-post),</w:t>
      </w:r>
    </w:p>
    <w:p w:rsidR="00863508" w:rsidRPr="00F4710F" w:rsidRDefault="00863508" w:rsidP="00863508">
      <w:pPr>
        <w:pStyle w:val="Punktlista"/>
        <w:numPr>
          <w:ilvl w:val="0"/>
          <w:numId w:val="0"/>
        </w:numPr>
      </w:pPr>
      <w:r w:rsidRPr="00F4710F">
        <w:t>- att viss minimiinformation ska tillhandhållas i kommunikationen enligt rambeslutet och</w:t>
      </w:r>
    </w:p>
    <w:p w:rsidR="00863508" w:rsidRPr="00F4710F" w:rsidRDefault="00863508" w:rsidP="00863508">
      <w:pPr>
        <w:pStyle w:val="Punktlista"/>
        <w:numPr>
          <w:ilvl w:val="0"/>
          <w:numId w:val="0"/>
        </w:numPr>
      </w:pPr>
      <w:r w:rsidRPr="00F4710F">
        <w:t>- att det ska finnas en svarsplikt för tillfrågad myndighet</w:t>
      </w:r>
      <w:r w:rsidR="000632C8" w:rsidRPr="00F4710F">
        <w:t xml:space="preserve"> och att svar </w:t>
      </w:r>
      <w:r w:rsidR="00BD393D" w:rsidRPr="00F4710F">
        <w:t>.</w:t>
      </w:r>
    </w:p>
    <w:p w:rsidR="00863508" w:rsidRPr="00F4710F" w:rsidRDefault="00863508">
      <w:pPr>
        <w:pStyle w:val="RKrubrik"/>
      </w:pPr>
      <w:r w:rsidRPr="00F4710F">
        <w:t>Rättslig grund och beslutsförfarande</w:t>
      </w:r>
    </w:p>
    <w:p w:rsidR="00863508" w:rsidRPr="00F4710F" w:rsidRDefault="000632C8">
      <w:pPr>
        <w:pStyle w:val="RKnormal"/>
      </w:pPr>
      <w:r w:rsidRPr="00F4710F">
        <w:t xml:space="preserve">Rättslig grund: </w:t>
      </w:r>
      <w:r w:rsidR="00014DA5" w:rsidRPr="00F4710F">
        <w:t xml:space="preserve">Artiklarna 31.1 c och d samt 34.2 b. </w:t>
      </w:r>
      <w:r w:rsidR="00863508" w:rsidRPr="00F4710F">
        <w:t xml:space="preserve">Rådet fattar beslut med enhällighet. </w:t>
      </w:r>
    </w:p>
    <w:p w:rsidR="00863508" w:rsidRPr="00F4710F" w:rsidRDefault="00863508">
      <w:pPr>
        <w:pStyle w:val="RKnormal"/>
      </w:pPr>
    </w:p>
    <w:p w:rsidR="00863508" w:rsidRPr="00F4710F" w:rsidRDefault="00863508">
      <w:pPr>
        <w:pStyle w:val="RKrubrik"/>
        <w:rPr>
          <w:i/>
          <w:iCs/>
        </w:rPr>
      </w:pPr>
      <w:r w:rsidRPr="00F4710F">
        <w:rPr>
          <w:i/>
          <w:iCs/>
        </w:rPr>
        <w:t>Svensk ståndpunkt</w:t>
      </w:r>
    </w:p>
    <w:p w:rsidR="00863508" w:rsidRPr="00F4710F" w:rsidRDefault="00863508" w:rsidP="00863508">
      <w:pPr>
        <w:pStyle w:val="RKnormal"/>
        <w:tabs>
          <w:tab w:val="clear" w:pos="2835"/>
        </w:tabs>
        <w:rPr>
          <w:b/>
        </w:rPr>
      </w:pPr>
      <w:bookmarkStart w:id="1" w:name="Text12"/>
    </w:p>
    <w:p w:rsidR="00863508" w:rsidRPr="00F4710F" w:rsidRDefault="00863508" w:rsidP="00863508">
      <w:pPr>
        <w:pStyle w:val="RKnormal"/>
        <w:tabs>
          <w:tab w:val="clear" w:pos="2835"/>
        </w:tabs>
        <w:rPr>
          <w:b/>
        </w:rPr>
      </w:pPr>
      <w:r w:rsidRPr="00F4710F">
        <w:rPr>
          <w:b/>
        </w:rPr>
        <w:t>Sverige är som medförslagsställare positivt till de utgångspunkter som ordförandeskape</w:t>
      </w:r>
      <w:bookmarkEnd w:id="1"/>
      <w:r w:rsidRPr="00F4710F">
        <w:rPr>
          <w:b/>
        </w:rPr>
        <w:t>t vill få bekräftat.</w:t>
      </w:r>
    </w:p>
    <w:p w:rsidR="00863508" w:rsidRPr="00F4710F" w:rsidRDefault="00863508" w:rsidP="00863508">
      <w:pPr>
        <w:pStyle w:val="RKnormal"/>
        <w:tabs>
          <w:tab w:val="clear" w:pos="2835"/>
        </w:tabs>
        <w:rPr>
          <w:b/>
        </w:rPr>
      </w:pPr>
    </w:p>
    <w:p w:rsidR="00863508" w:rsidRPr="00F4710F" w:rsidRDefault="00863508" w:rsidP="00863508">
      <w:pPr>
        <w:pStyle w:val="RKnormal"/>
        <w:tabs>
          <w:tab w:val="clear" w:pos="2835"/>
        </w:tabs>
      </w:pPr>
      <w:r w:rsidRPr="00F4710F">
        <w:t>För Sverige är det viktigt att de myndigheter som ska vara behöriga att agera enligt rambeslutet ska innefatta även andra än rent rättsliga myndi</w:t>
      </w:r>
      <w:r w:rsidR="00963825" w:rsidRPr="00F4710F">
        <w:t>gheter, t.ex. polismyndigheter.</w:t>
      </w:r>
    </w:p>
    <w:p w:rsidR="00863508" w:rsidRPr="00F4710F" w:rsidRDefault="00863508">
      <w:pPr>
        <w:pStyle w:val="RKrubrik"/>
      </w:pPr>
      <w:r w:rsidRPr="00F4710F">
        <w:t>Europaparlamentets inställning</w:t>
      </w:r>
    </w:p>
    <w:p w:rsidR="00863508" w:rsidRPr="00F4710F" w:rsidRDefault="00863508">
      <w:pPr>
        <w:pStyle w:val="RKnormal"/>
      </w:pPr>
      <w:r w:rsidRPr="00F4710F">
        <w:t>--</w:t>
      </w:r>
    </w:p>
    <w:p w:rsidR="00863508" w:rsidRPr="00F4710F" w:rsidRDefault="00863508">
      <w:pPr>
        <w:pStyle w:val="RKrubrik"/>
        <w:rPr>
          <w:i/>
          <w:iCs/>
        </w:rPr>
      </w:pPr>
      <w:r w:rsidRPr="00F4710F">
        <w:rPr>
          <w:i/>
          <w:iCs/>
        </w:rPr>
        <w:t>Förslaget</w:t>
      </w:r>
    </w:p>
    <w:p w:rsidR="00863508" w:rsidRPr="00F4710F" w:rsidRDefault="0022373B">
      <w:pPr>
        <w:pStyle w:val="RKnormal"/>
      </w:pPr>
      <w:r w:rsidRPr="00F4710F">
        <w:t>Se ovan under bakgrund.</w:t>
      </w:r>
    </w:p>
    <w:p w:rsidR="00863508" w:rsidRPr="00F4710F" w:rsidRDefault="00863508">
      <w:pPr>
        <w:pStyle w:val="RKrubrik"/>
        <w:rPr>
          <w:i/>
          <w:iCs/>
        </w:rPr>
      </w:pPr>
      <w:r w:rsidRPr="00F4710F">
        <w:rPr>
          <w:i/>
          <w:iCs/>
        </w:rPr>
        <w:t>Gällande svenska regler och förslagets effekter på dessa</w:t>
      </w:r>
    </w:p>
    <w:p w:rsidR="00863508" w:rsidRPr="00F4710F" w:rsidRDefault="00863508">
      <w:pPr>
        <w:pStyle w:val="RKnormal"/>
      </w:pPr>
      <w:r w:rsidRPr="00F4710F">
        <w:t>Sveriges genomförande av förslaget kräver inte lagstiftning. Det utökade samarbete förslaget innebär kan hanteras med stöd av befintliga regler, eventuellt kompletterade med en ny förordning eller myndighetsinstruktion.</w:t>
      </w:r>
    </w:p>
    <w:p w:rsidR="00863508" w:rsidRPr="00F4710F" w:rsidRDefault="00863508">
      <w:pPr>
        <w:pStyle w:val="RKrubrik"/>
      </w:pPr>
      <w:r w:rsidRPr="00F4710F">
        <w:t>Ekonomiska konsekvenser</w:t>
      </w:r>
    </w:p>
    <w:p w:rsidR="00863508" w:rsidRPr="00F4710F" w:rsidRDefault="00863508">
      <w:pPr>
        <w:pStyle w:val="RKnormal"/>
      </w:pPr>
      <w:r w:rsidRPr="00F4710F">
        <w:t>--</w:t>
      </w:r>
    </w:p>
    <w:p w:rsidR="00863508" w:rsidRPr="00F4710F" w:rsidRDefault="00863508">
      <w:pPr>
        <w:pStyle w:val="RKrubrik"/>
      </w:pPr>
      <w:r w:rsidRPr="00F4710F">
        <w:t>Övrigt</w:t>
      </w:r>
    </w:p>
    <w:p w:rsidR="00863508" w:rsidRPr="00F4710F" w:rsidRDefault="00863508">
      <w:pPr>
        <w:pStyle w:val="RKnormal"/>
      </w:pPr>
      <w:r w:rsidRPr="00F4710F">
        <w:t>--</w:t>
      </w:r>
    </w:p>
    <w:p w:rsidR="00863508" w:rsidRPr="00F4710F" w:rsidRDefault="00863508">
      <w:pPr>
        <w:pStyle w:val="RKnormal"/>
        <w:rPr>
          <w:i/>
          <w:iCs/>
        </w:rPr>
      </w:pPr>
    </w:p>
    <w:p w:rsidR="00863508" w:rsidRPr="00F4710F" w:rsidRDefault="00863508">
      <w:pPr>
        <w:pStyle w:val="RKnormal"/>
        <w:ind w:left="-1134"/>
      </w:pPr>
    </w:p>
    <w:p w:rsidR="00863508" w:rsidRPr="00F4710F" w:rsidRDefault="00863508">
      <w:pPr>
        <w:pStyle w:val="RKrubrik"/>
        <w:spacing w:before="0" w:after="0"/>
      </w:pPr>
    </w:p>
    <w:p w:rsidR="00863508" w:rsidRPr="00F4710F" w:rsidRDefault="00863508">
      <w:pPr>
        <w:pStyle w:val="RKnormal"/>
      </w:pPr>
    </w:p>
    <w:p w:rsidR="00863508" w:rsidRPr="00F4710F" w:rsidRDefault="00863508">
      <w:pPr>
        <w:pStyle w:val="RKnormal"/>
      </w:pPr>
    </w:p>
    <w:sectPr w:rsidR="00863508" w:rsidRPr="00F471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732" w:rsidRPr="00F4710F" w:rsidRDefault="00342732">
      <w:r w:rsidRPr="00F4710F">
        <w:separator/>
      </w:r>
    </w:p>
  </w:endnote>
  <w:endnote w:type="continuationSeparator" w:id="0">
    <w:p w:rsidR="00342732" w:rsidRPr="00F4710F" w:rsidRDefault="00342732">
      <w:r w:rsidRPr="00F47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732" w:rsidRPr="00F4710F" w:rsidRDefault="00342732">
      <w:r w:rsidRPr="00F4710F">
        <w:separator/>
      </w:r>
    </w:p>
  </w:footnote>
  <w:footnote w:type="continuationSeparator" w:id="0">
    <w:p w:rsidR="00342732" w:rsidRPr="00F4710F" w:rsidRDefault="00342732">
      <w:r w:rsidRPr="00F47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AE" w:rsidRPr="00F4710F" w:rsidRDefault="002F54AE">
    <w:pPr>
      <w:pStyle w:val="Sidhuvud"/>
      <w:framePr w:wrap="around" w:vAnchor="text" w:hAnchor="margin" w:xAlign="right" w:y="1"/>
      <w:rPr>
        <w:rStyle w:val="Sidnummer"/>
      </w:rPr>
    </w:pPr>
    <w:r w:rsidRPr="00F4710F">
      <w:rPr>
        <w:rStyle w:val="Sidnummer"/>
      </w:rPr>
      <w:fldChar w:fldCharType="begin" w:fldLock="1"/>
    </w:r>
    <w:r w:rsidRPr="00F4710F">
      <w:rPr>
        <w:rStyle w:val="Sidnummer"/>
      </w:rPr>
      <w:instrText xml:space="preserve">PAGE  </w:instrText>
    </w:r>
    <w:r w:rsidRPr="00F4710F">
      <w:rPr>
        <w:rStyle w:val="Sidnummer"/>
      </w:rPr>
      <w:fldChar w:fldCharType="separate"/>
    </w:r>
    <w:r w:rsidR="00BC5201" w:rsidRPr="00F4710F">
      <w:rPr>
        <w:rStyle w:val="Sidnummer"/>
      </w:rPr>
      <w:t>2</w:t>
    </w:r>
    <w:r w:rsidRPr="00F4710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F54AE" w:rsidRPr="00F4710F">
      <w:tblPrEx>
        <w:tblCellMar>
          <w:top w:w="0" w:type="dxa"/>
          <w:bottom w:w="0" w:type="dxa"/>
        </w:tblCellMar>
      </w:tblPrEx>
      <w:trPr>
        <w:cantSplit/>
      </w:trPr>
      <w:tc>
        <w:tcPr>
          <w:tcW w:w="3119" w:type="dxa"/>
        </w:tcPr>
        <w:p w:rsidR="002F54AE" w:rsidRPr="00F4710F" w:rsidRDefault="002F54AE">
          <w:pPr>
            <w:pStyle w:val="Sidhuvud"/>
            <w:spacing w:line="200" w:lineRule="atLeast"/>
            <w:ind w:right="357"/>
            <w:rPr>
              <w:rFonts w:ascii="TradeGothic" w:hAnsi="TradeGothic"/>
              <w:b/>
              <w:bCs/>
              <w:sz w:val="16"/>
            </w:rPr>
          </w:pPr>
        </w:p>
      </w:tc>
      <w:tc>
        <w:tcPr>
          <w:tcW w:w="4111" w:type="dxa"/>
          <w:tcMar>
            <w:left w:w="567" w:type="dxa"/>
          </w:tcMar>
        </w:tcPr>
        <w:p w:rsidR="002F54AE" w:rsidRPr="00F4710F" w:rsidRDefault="002F54AE">
          <w:pPr>
            <w:pStyle w:val="Sidhuvud"/>
            <w:ind w:right="360"/>
          </w:pPr>
        </w:p>
      </w:tc>
      <w:tc>
        <w:tcPr>
          <w:tcW w:w="1525" w:type="dxa"/>
        </w:tcPr>
        <w:p w:rsidR="002F54AE" w:rsidRPr="00F4710F" w:rsidRDefault="002F54AE">
          <w:pPr>
            <w:pStyle w:val="Sidhuvud"/>
            <w:ind w:right="360"/>
          </w:pPr>
        </w:p>
      </w:tc>
    </w:tr>
  </w:tbl>
  <w:p w:rsidR="002F54AE" w:rsidRPr="00F4710F" w:rsidRDefault="002F54A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AE" w:rsidRPr="00F4710F" w:rsidRDefault="002F54AE">
    <w:pPr>
      <w:pStyle w:val="Sidhuvud"/>
      <w:framePr w:wrap="around" w:vAnchor="text" w:hAnchor="margin" w:xAlign="right" w:y="1"/>
      <w:rPr>
        <w:rStyle w:val="Sidnummer"/>
      </w:rPr>
    </w:pPr>
    <w:r w:rsidRPr="00F4710F">
      <w:rPr>
        <w:rStyle w:val="Sidnummer"/>
      </w:rPr>
      <w:fldChar w:fldCharType="begin" w:fldLock="1"/>
    </w:r>
    <w:r w:rsidRPr="00F4710F">
      <w:rPr>
        <w:rStyle w:val="Sidnummer"/>
      </w:rPr>
      <w:instrText xml:space="preserve">PAGE  </w:instrText>
    </w:r>
    <w:r w:rsidRPr="00F4710F">
      <w:rPr>
        <w:rStyle w:val="Sidnummer"/>
      </w:rPr>
      <w:fldChar w:fldCharType="separate"/>
    </w:r>
    <w:r w:rsidR="00BC5201" w:rsidRPr="00F4710F">
      <w:rPr>
        <w:rStyle w:val="Sidnummer"/>
      </w:rPr>
      <w:t>3</w:t>
    </w:r>
    <w:r w:rsidRPr="00F4710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F54AE" w:rsidRPr="00F4710F">
      <w:tblPrEx>
        <w:tblCellMar>
          <w:top w:w="0" w:type="dxa"/>
          <w:bottom w:w="0" w:type="dxa"/>
        </w:tblCellMar>
      </w:tblPrEx>
      <w:trPr>
        <w:cantSplit/>
      </w:trPr>
      <w:tc>
        <w:tcPr>
          <w:tcW w:w="3119" w:type="dxa"/>
        </w:tcPr>
        <w:p w:rsidR="002F54AE" w:rsidRPr="00F4710F" w:rsidRDefault="002F54AE">
          <w:pPr>
            <w:pStyle w:val="Sidhuvud"/>
            <w:spacing w:line="200" w:lineRule="atLeast"/>
            <w:ind w:right="357"/>
            <w:rPr>
              <w:rFonts w:ascii="TradeGothic" w:hAnsi="TradeGothic"/>
              <w:b/>
              <w:bCs/>
              <w:sz w:val="16"/>
            </w:rPr>
          </w:pPr>
        </w:p>
      </w:tc>
      <w:tc>
        <w:tcPr>
          <w:tcW w:w="4111" w:type="dxa"/>
          <w:tcMar>
            <w:left w:w="567" w:type="dxa"/>
          </w:tcMar>
        </w:tcPr>
        <w:p w:rsidR="002F54AE" w:rsidRPr="00F4710F" w:rsidRDefault="002F54AE">
          <w:pPr>
            <w:pStyle w:val="Sidhuvud"/>
            <w:ind w:right="360"/>
          </w:pPr>
        </w:p>
      </w:tc>
      <w:tc>
        <w:tcPr>
          <w:tcW w:w="1525" w:type="dxa"/>
        </w:tcPr>
        <w:p w:rsidR="002F54AE" w:rsidRPr="00F4710F" w:rsidRDefault="002F54AE">
          <w:pPr>
            <w:pStyle w:val="Sidhuvud"/>
            <w:ind w:right="360"/>
          </w:pPr>
        </w:p>
      </w:tc>
    </w:tr>
  </w:tbl>
  <w:p w:rsidR="002F54AE" w:rsidRPr="00F4710F" w:rsidRDefault="002F54A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AE" w:rsidRPr="00F4710F" w:rsidRDefault="00F4710F">
    <w:pPr>
      <w:framePr w:w="2948" w:h="1321" w:hRule="exact" w:wrap="notBeside" w:vAnchor="page" w:hAnchor="page" w:x="1362" w:y="653"/>
    </w:pPr>
    <w:r w:rsidRPr="00F4710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F54AE" w:rsidRPr="00F4710F" w:rsidRDefault="002F54AE">
    <w:pPr>
      <w:pStyle w:val="RKrubrik"/>
      <w:keepNext w:val="0"/>
      <w:tabs>
        <w:tab w:val="clear" w:pos="1134"/>
        <w:tab w:val="clear" w:pos="2835"/>
      </w:tabs>
      <w:spacing w:before="0" w:after="0" w:line="320" w:lineRule="atLeast"/>
      <w:rPr>
        <w:bCs/>
      </w:rPr>
    </w:pPr>
  </w:p>
  <w:p w:rsidR="002F54AE" w:rsidRPr="00F4710F" w:rsidRDefault="002F54AE">
    <w:pPr>
      <w:rPr>
        <w:rFonts w:ascii="TradeGothic" w:hAnsi="TradeGothic"/>
        <w:b/>
        <w:bCs/>
        <w:spacing w:val="12"/>
        <w:sz w:val="22"/>
      </w:rPr>
    </w:pPr>
  </w:p>
  <w:p w:rsidR="002F54AE" w:rsidRPr="00F4710F" w:rsidRDefault="002F54AE">
    <w:pPr>
      <w:pStyle w:val="RKrubrik"/>
      <w:keepNext w:val="0"/>
      <w:tabs>
        <w:tab w:val="clear" w:pos="1134"/>
        <w:tab w:val="clear" w:pos="2835"/>
      </w:tabs>
      <w:spacing w:before="0" w:after="0" w:line="320" w:lineRule="atLeast"/>
      <w:rPr>
        <w:bCs/>
      </w:rPr>
    </w:pPr>
  </w:p>
  <w:p w:rsidR="002F54AE" w:rsidRPr="00F4710F" w:rsidRDefault="002F54A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6FB7E"/>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305C6766"/>
    <w:multiLevelType w:val="hybridMultilevel"/>
    <w:tmpl w:val="CD2E1624"/>
    <w:lvl w:ilvl="0" w:tplc="518CE40A">
      <w:start w:val="1"/>
      <w:numFmt w:val="bullet"/>
      <w:pStyle w:val="Par-dash"/>
      <w:lvlText w:val=""/>
      <w:lvlJc w:val="left"/>
      <w:pPr>
        <w:tabs>
          <w:tab w:val="num" w:pos="687"/>
        </w:tabs>
        <w:ind w:left="687" w:hanging="567"/>
      </w:pPr>
      <w:rPr>
        <w:rFonts w:ascii="Symbol" w:hAnsi="Symbol" w:hint="default"/>
      </w:rPr>
    </w:lvl>
    <w:lvl w:ilvl="1" w:tplc="080C0001">
      <w:start w:val="1"/>
      <w:numFmt w:val="bullet"/>
      <w:lvlText w:val=""/>
      <w:lvlJc w:val="left"/>
      <w:pPr>
        <w:tabs>
          <w:tab w:val="num" w:pos="993"/>
        </w:tabs>
        <w:ind w:left="993" w:hanging="360"/>
      </w:pPr>
      <w:rPr>
        <w:rFonts w:ascii="Symbol" w:hAnsi="Symbol" w:hint="default"/>
      </w:rPr>
    </w:lvl>
    <w:lvl w:ilvl="2" w:tplc="04070005" w:tentative="1">
      <w:start w:val="1"/>
      <w:numFmt w:val="bullet"/>
      <w:lvlText w:val=""/>
      <w:lvlJc w:val="left"/>
      <w:pPr>
        <w:tabs>
          <w:tab w:val="num" w:pos="1713"/>
        </w:tabs>
        <w:ind w:left="1713" w:hanging="360"/>
      </w:pPr>
      <w:rPr>
        <w:rFonts w:ascii="Wingdings" w:hAnsi="Wingdings" w:hint="default"/>
      </w:rPr>
    </w:lvl>
    <w:lvl w:ilvl="3" w:tplc="04070001" w:tentative="1">
      <w:start w:val="1"/>
      <w:numFmt w:val="bullet"/>
      <w:lvlText w:val=""/>
      <w:lvlJc w:val="left"/>
      <w:pPr>
        <w:tabs>
          <w:tab w:val="num" w:pos="2433"/>
        </w:tabs>
        <w:ind w:left="2433" w:hanging="360"/>
      </w:pPr>
      <w:rPr>
        <w:rFonts w:ascii="Symbol" w:hAnsi="Symbol" w:hint="default"/>
      </w:rPr>
    </w:lvl>
    <w:lvl w:ilvl="4" w:tplc="04070003" w:tentative="1">
      <w:start w:val="1"/>
      <w:numFmt w:val="bullet"/>
      <w:lvlText w:val="o"/>
      <w:lvlJc w:val="left"/>
      <w:pPr>
        <w:tabs>
          <w:tab w:val="num" w:pos="3153"/>
        </w:tabs>
        <w:ind w:left="3153" w:hanging="360"/>
      </w:pPr>
      <w:rPr>
        <w:rFonts w:ascii="Courier New" w:hAnsi="Courier New" w:cs="Arial" w:hint="default"/>
      </w:rPr>
    </w:lvl>
    <w:lvl w:ilvl="5" w:tplc="04070005" w:tentative="1">
      <w:start w:val="1"/>
      <w:numFmt w:val="bullet"/>
      <w:lvlText w:val=""/>
      <w:lvlJc w:val="left"/>
      <w:pPr>
        <w:tabs>
          <w:tab w:val="num" w:pos="3873"/>
        </w:tabs>
        <w:ind w:left="3873" w:hanging="360"/>
      </w:pPr>
      <w:rPr>
        <w:rFonts w:ascii="Wingdings" w:hAnsi="Wingdings" w:hint="default"/>
      </w:rPr>
    </w:lvl>
    <w:lvl w:ilvl="6" w:tplc="04070001" w:tentative="1">
      <w:start w:val="1"/>
      <w:numFmt w:val="bullet"/>
      <w:lvlText w:val=""/>
      <w:lvlJc w:val="left"/>
      <w:pPr>
        <w:tabs>
          <w:tab w:val="num" w:pos="4593"/>
        </w:tabs>
        <w:ind w:left="4593" w:hanging="360"/>
      </w:pPr>
      <w:rPr>
        <w:rFonts w:ascii="Symbol" w:hAnsi="Symbol" w:hint="default"/>
      </w:rPr>
    </w:lvl>
    <w:lvl w:ilvl="7" w:tplc="04070003" w:tentative="1">
      <w:start w:val="1"/>
      <w:numFmt w:val="bullet"/>
      <w:lvlText w:val="o"/>
      <w:lvlJc w:val="left"/>
      <w:pPr>
        <w:tabs>
          <w:tab w:val="num" w:pos="5313"/>
        </w:tabs>
        <w:ind w:left="5313" w:hanging="360"/>
      </w:pPr>
      <w:rPr>
        <w:rFonts w:ascii="Courier New" w:hAnsi="Courier New" w:cs="Arial" w:hint="default"/>
      </w:rPr>
    </w:lvl>
    <w:lvl w:ilvl="8" w:tplc="04070005" w:tentative="1">
      <w:start w:val="1"/>
      <w:numFmt w:val="bullet"/>
      <w:lvlText w:val=""/>
      <w:lvlJc w:val="left"/>
      <w:pPr>
        <w:tabs>
          <w:tab w:val="num" w:pos="6033"/>
        </w:tabs>
        <w:ind w:left="6033" w:hanging="360"/>
      </w:pPr>
      <w:rPr>
        <w:rFonts w:ascii="Wingdings" w:hAnsi="Wingdings" w:hint="default"/>
      </w:rPr>
    </w:lvl>
  </w:abstractNum>
  <w:num w:numId="1" w16cid:durableId="604269230">
    <w:abstractNumId w:val="1"/>
  </w:num>
  <w:num w:numId="2" w16cid:durableId="1605768172">
    <w:abstractNumId w:val="0"/>
  </w:num>
  <w:num w:numId="3" w16cid:durableId="54285632">
    <w:abstractNumId w:val="0"/>
    <w:lvlOverride w:ilvl="0">
      <w:startOverride w:val="1"/>
    </w:lvlOverride>
  </w:num>
  <w:num w:numId="4" w16cid:durableId="1223173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14DA5"/>
    <w:rsid w:val="000632C8"/>
    <w:rsid w:val="00171DC8"/>
    <w:rsid w:val="001E21F8"/>
    <w:rsid w:val="0021616E"/>
    <w:rsid w:val="0022373B"/>
    <w:rsid w:val="002F54AE"/>
    <w:rsid w:val="00342732"/>
    <w:rsid w:val="003B3EF3"/>
    <w:rsid w:val="0054431D"/>
    <w:rsid w:val="007C771E"/>
    <w:rsid w:val="00863508"/>
    <w:rsid w:val="008C72C1"/>
    <w:rsid w:val="009301F9"/>
    <w:rsid w:val="00963825"/>
    <w:rsid w:val="009D38D0"/>
    <w:rsid w:val="00BC5201"/>
    <w:rsid w:val="00BD393D"/>
    <w:rsid w:val="00C60FE0"/>
    <w:rsid w:val="00DE7CA4"/>
    <w:rsid w:val="00E35013"/>
    <w:rsid w:val="00E45E03"/>
    <w:rsid w:val="00E749DC"/>
    <w:rsid w:val="00EF69EE"/>
    <w:rsid w:val="00F4710F"/>
    <w:rsid w:val="00F74EA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546737-7F5F-4A5B-A551-61FF2432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B41D90"/>
    <w:pPr>
      <w:overflowPunct/>
      <w:autoSpaceDE/>
      <w:autoSpaceDN/>
      <w:adjustRightInd/>
      <w:spacing w:line="240" w:lineRule="auto"/>
      <w:textAlignment w:val="auto"/>
    </w:pPr>
    <w:rPr>
      <w:rFonts w:ascii="Times New Roman" w:hAnsi="Times New Roman"/>
      <w:sz w:val="20"/>
      <w:lang w:val="fr-BE" w:eastAsia="fr-BE"/>
    </w:rPr>
  </w:style>
  <w:style w:type="character" w:customStyle="1" w:styleId="FotnotstextChar">
    <w:name w:val="Fotnotstext Char"/>
    <w:basedOn w:val="Standardstycketeckensnitt"/>
    <w:link w:val="Fotnotstext"/>
    <w:rsid w:val="00B41D90"/>
    <w:rPr>
      <w:lang w:val="fr-BE" w:eastAsia="fr-BE"/>
    </w:rPr>
  </w:style>
  <w:style w:type="paragraph" w:customStyle="1" w:styleId="Char1CharCarcterCarcterCharCharChar">
    <w:name w:val=" Char1 Char Carácter Carácter Char Char Char"/>
    <w:basedOn w:val="Normal"/>
    <w:rsid w:val="00B41D90"/>
    <w:pPr>
      <w:overflowPunct/>
      <w:autoSpaceDE/>
      <w:autoSpaceDN/>
      <w:adjustRightInd/>
      <w:spacing w:line="240" w:lineRule="auto"/>
      <w:textAlignment w:val="auto"/>
    </w:pPr>
    <w:rPr>
      <w:rFonts w:ascii="Times New Roman" w:hAnsi="Times New Roman"/>
      <w:szCs w:val="24"/>
      <w:lang w:val="pl-PL" w:eastAsia="pl-PL"/>
    </w:rPr>
  </w:style>
  <w:style w:type="paragraph" w:customStyle="1" w:styleId="Par-dash">
    <w:name w:val="Par-dash"/>
    <w:basedOn w:val="Normal"/>
    <w:next w:val="Normal"/>
    <w:rsid w:val="00B41D90"/>
    <w:pPr>
      <w:widowControl w:val="0"/>
      <w:numPr>
        <w:numId w:val="1"/>
      </w:numPr>
      <w:overflowPunct/>
      <w:autoSpaceDE/>
      <w:autoSpaceDN/>
      <w:adjustRightInd/>
      <w:spacing w:line="240" w:lineRule="auto"/>
      <w:textAlignment w:val="auto"/>
    </w:pPr>
    <w:rPr>
      <w:rFonts w:ascii="Times New Roman" w:hAnsi="Times New Roman"/>
      <w:lang w:val="en-GB" w:eastAsia="fr-BE"/>
    </w:rPr>
  </w:style>
  <w:style w:type="paragraph" w:styleId="Punktlista">
    <w:name w:val="List Bullet"/>
    <w:basedOn w:val="Normal"/>
    <w:rsid w:val="00290555"/>
    <w:pPr>
      <w:numPr>
        <w:numId w:val="2"/>
      </w:numPr>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3565</Characters>
  <Application>Microsoft Office Word</Application>
  <DocSecurity>4</DocSecurity>
  <Lines>118</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2009-02-13T14:42:00Z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