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63F0B520" w14:textId="77777777" w:rsidR="007A5F1A" w:rsidRDefault="007A5F1A" w:rsidP="00F65DF8"/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7EE75FCB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107FF8">
              <w:rPr>
                <w:b/>
              </w:rPr>
              <w:t>6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7A0C68C7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952C72">
              <w:t>10</w:t>
            </w:r>
            <w:r w:rsidR="004D2A50">
              <w:t>-</w:t>
            </w:r>
            <w:r w:rsidR="00107FF8">
              <w:t>12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0A5BAD7A" w:rsidR="00141DA2" w:rsidRPr="0012669A" w:rsidRDefault="00B2547A" w:rsidP="008C57B9">
            <w:r>
              <w:t>1</w:t>
            </w:r>
            <w:r w:rsidR="00952C72">
              <w:t>1</w:t>
            </w:r>
            <w:r w:rsidR="00744133">
              <w:t>.00</w:t>
            </w:r>
            <w:r w:rsidR="00197781" w:rsidRPr="0012669A">
              <w:t>–</w:t>
            </w:r>
            <w:r w:rsidR="00A52529">
              <w:t>11.50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2D799DE" w14:textId="77777777" w:rsidR="00224578" w:rsidRDefault="00224578"/>
    <w:p w14:paraId="0436CCBE" w14:textId="2D9A9EE4" w:rsidR="0005545D" w:rsidRDefault="0005545D"/>
    <w:p w14:paraId="1FCE6AF8" w14:textId="77777777" w:rsidR="00523CB0" w:rsidRPr="0012669A" w:rsidRDefault="00523CB0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952C72" w:rsidRPr="0012669A" w14:paraId="62616F9A" w14:textId="77777777" w:rsidTr="00B83053">
        <w:trPr>
          <w:trHeight w:val="567"/>
        </w:trPr>
        <w:tc>
          <w:tcPr>
            <w:tcW w:w="567" w:type="dxa"/>
          </w:tcPr>
          <w:p w14:paraId="14D80A37" w14:textId="04889D21" w:rsidR="00952C72" w:rsidRDefault="00952C7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4FB4D3E1" w14:textId="77777777" w:rsidR="00107FF8" w:rsidRPr="00107FF8" w:rsidRDefault="00107FF8" w:rsidP="00107FF8">
            <w:pPr>
              <w:ind w:right="68"/>
              <w:rPr>
                <w:b/>
              </w:rPr>
            </w:pPr>
            <w:r w:rsidRPr="00107FF8">
              <w:rPr>
                <w:b/>
              </w:rPr>
              <w:t>Justering av protokoll</w:t>
            </w:r>
          </w:p>
          <w:p w14:paraId="67313B0C" w14:textId="77777777" w:rsidR="00107FF8" w:rsidRPr="00107FF8" w:rsidRDefault="00107FF8" w:rsidP="00107FF8">
            <w:pPr>
              <w:ind w:right="68"/>
              <w:rPr>
                <w:b/>
              </w:rPr>
            </w:pPr>
          </w:p>
          <w:p w14:paraId="4D294D2E" w14:textId="6940A5EE" w:rsidR="00952C72" w:rsidRPr="00A52529" w:rsidRDefault="00107FF8" w:rsidP="00107FF8">
            <w:pPr>
              <w:ind w:right="68"/>
            </w:pPr>
            <w:r w:rsidRPr="00A52529">
              <w:t>Utskottet justerade protokoll 2021/22:5.</w:t>
            </w:r>
          </w:p>
          <w:p w14:paraId="3F0C9FF6" w14:textId="03BEE379" w:rsidR="00107FF8" w:rsidRPr="00D4529D" w:rsidRDefault="00107FF8" w:rsidP="00107FF8">
            <w:pPr>
              <w:ind w:right="68"/>
              <w:rPr>
                <w:b/>
              </w:rPr>
            </w:pPr>
          </w:p>
        </w:tc>
      </w:tr>
      <w:tr w:rsidR="00D4529D" w:rsidRPr="0012669A" w14:paraId="6D9B6E48" w14:textId="77777777" w:rsidTr="00B83053">
        <w:trPr>
          <w:trHeight w:val="567"/>
        </w:trPr>
        <w:tc>
          <w:tcPr>
            <w:tcW w:w="567" w:type="dxa"/>
          </w:tcPr>
          <w:p w14:paraId="7A869CE3" w14:textId="07A7A3E7" w:rsidR="00D4529D" w:rsidRDefault="00D4529D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5B2B8029" w14:textId="67E07B15" w:rsidR="00107FF8" w:rsidRDefault="00107FF8" w:rsidP="00107FF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En möjlighet till ny anmälan om avstämning av stöd vid korttidsarbete och ett nytt förfarande vid sen anmälan om avstämning (NU6)</w:t>
            </w:r>
          </w:p>
          <w:p w14:paraId="29DEC5B3" w14:textId="62531B2C" w:rsidR="00107FF8" w:rsidRDefault="00107FF8" w:rsidP="00107FF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2089F18" w14:textId="18BDFB20" w:rsidR="00107FF8" w:rsidRDefault="00107FF8" w:rsidP="00107FF8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 xml:space="preserve">Utskottet fortsatte behandlingen av proposition 2021/22:14 om </w:t>
            </w:r>
            <w:r>
              <w:rPr>
                <w:rFonts w:eastAsiaTheme="minorHAnsi"/>
                <w:bCs/>
                <w:color w:val="000000"/>
                <w:lang w:eastAsia="en-US"/>
              </w:rPr>
              <w:t>e</w:t>
            </w:r>
            <w:r w:rsidRPr="00952C72">
              <w:rPr>
                <w:rFonts w:eastAsiaTheme="minorHAnsi"/>
                <w:bCs/>
                <w:color w:val="000000"/>
                <w:lang w:eastAsia="en-US"/>
              </w:rPr>
              <w:t>n möjlighet till ny anmälan om avstämning av stöd vid korttidsarbete och ett nytt förfarande vid sen anmälan om avstämning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193DA97A" w14:textId="5682035E" w:rsidR="00D4529D" w:rsidRPr="00107FF8" w:rsidRDefault="00107FF8" w:rsidP="00107FF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07FF8">
              <w:rPr>
                <w:color w:val="222222"/>
                <w:sz w:val="24"/>
                <w:szCs w:val="24"/>
              </w:rPr>
              <w:t>Ärendet bordlades.</w:t>
            </w:r>
            <w:r w:rsidRPr="00107FF8">
              <w:rPr>
                <w:color w:val="222222"/>
                <w:sz w:val="24"/>
                <w:szCs w:val="24"/>
              </w:rPr>
              <w:br/>
            </w:r>
          </w:p>
        </w:tc>
      </w:tr>
      <w:tr w:rsidR="00A52529" w:rsidRPr="0012669A" w14:paraId="37D683EB" w14:textId="77777777" w:rsidTr="00B83053">
        <w:trPr>
          <w:trHeight w:val="567"/>
        </w:trPr>
        <w:tc>
          <w:tcPr>
            <w:tcW w:w="567" w:type="dxa"/>
          </w:tcPr>
          <w:p w14:paraId="3B2D3EEA" w14:textId="5B1ECFB4" w:rsidR="00A52529" w:rsidRDefault="00A52529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706A2912" w14:textId="77777777" w:rsidR="00A52529" w:rsidRDefault="00A52529" w:rsidP="00107FF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Ajournering av sammanträdet</w:t>
            </w:r>
          </w:p>
          <w:p w14:paraId="7C5E82FF" w14:textId="77777777" w:rsidR="00A52529" w:rsidRDefault="00A52529" w:rsidP="00107FF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1D37258" w14:textId="4AEA50E2" w:rsidR="00A52529" w:rsidRPr="00A52529" w:rsidRDefault="00A52529" w:rsidP="00107FF8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Sammanträdet ajournerades mellan kl. 11.15–11.25.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br/>
            </w:r>
          </w:p>
        </w:tc>
      </w:tr>
      <w:tr w:rsidR="00523CB0" w:rsidRPr="0012669A" w14:paraId="61883F93" w14:textId="77777777" w:rsidTr="00B83053">
        <w:trPr>
          <w:trHeight w:val="567"/>
        </w:trPr>
        <w:tc>
          <w:tcPr>
            <w:tcW w:w="567" w:type="dxa"/>
          </w:tcPr>
          <w:p w14:paraId="2DF66B1F" w14:textId="1F0ABE47" w:rsidR="00523CB0" w:rsidRDefault="00523CB0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52529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014C8B03" w14:textId="77777777" w:rsidR="00952C72" w:rsidRDefault="00107FF8" w:rsidP="00107FF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Riksrevisionens rapport om transportbidraget (NU5)</w:t>
            </w:r>
          </w:p>
          <w:p w14:paraId="1C4E9F7E" w14:textId="77777777" w:rsidR="00107FF8" w:rsidRDefault="00107FF8" w:rsidP="00107FF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422DED8" w14:textId="6690D154" w:rsidR="005A0B16" w:rsidRDefault="005A0B16" w:rsidP="005A0B16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 xml:space="preserve">Utskottet fortsatte behandlingen av skrivelse 2020/21:210 om </w:t>
            </w:r>
            <w:r>
              <w:rPr>
                <w:rFonts w:eastAsiaTheme="minorHAnsi"/>
                <w:bCs/>
                <w:color w:val="000000"/>
                <w:lang w:eastAsia="en-US"/>
              </w:rPr>
              <w:t>Riksrevisionens rapport om transportbidraget.</w:t>
            </w:r>
          </w:p>
          <w:p w14:paraId="6D2E4BE7" w14:textId="68CBDD1B" w:rsidR="005A0B16" w:rsidRDefault="005A0B16" w:rsidP="005A0B16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07FF8">
              <w:rPr>
                <w:color w:val="222222"/>
                <w:sz w:val="24"/>
                <w:szCs w:val="24"/>
              </w:rPr>
              <w:t>Ärendet bordlades.</w:t>
            </w:r>
          </w:p>
          <w:p w14:paraId="61785CAD" w14:textId="7345F82A" w:rsidR="00107FF8" w:rsidRPr="00523CB0" w:rsidRDefault="00107FF8" w:rsidP="00107FF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52C72" w:rsidRPr="0012669A" w14:paraId="5B7D8082" w14:textId="77777777" w:rsidTr="00B83053">
        <w:trPr>
          <w:trHeight w:val="567"/>
        </w:trPr>
        <w:tc>
          <w:tcPr>
            <w:tcW w:w="567" w:type="dxa"/>
          </w:tcPr>
          <w:p w14:paraId="1C922AC2" w14:textId="7B4799AE" w:rsidR="00952C72" w:rsidRDefault="00952C7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52529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7B006FD4" w14:textId="77777777" w:rsidR="005A0B16" w:rsidRDefault="00107FF8" w:rsidP="00107FF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Utgiftsramar för utgiftsområdena 19 Regional utveckling, 21 Energi och 24 Näringsliv</w:t>
            </w:r>
          </w:p>
          <w:p w14:paraId="72316C20" w14:textId="0E69F6A1" w:rsidR="005A0B16" w:rsidRDefault="00107FF8" w:rsidP="005A0B16"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A0B16">
              <w:t xml:space="preserve">Utskottet behandlade frågan om yttrande till finansutskottet över proposition 2021/22:1 (budgetpropositionen) såvitt gäller budgetens utgiftsramar m.m. och motioner. </w:t>
            </w:r>
          </w:p>
          <w:p w14:paraId="6D0E0D25" w14:textId="77777777" w:rsidR="005A0B16" w:rsidRDefault="005A0B16" w:rsidP="005A0B16"/>
          <w:p w14:paraId="4F1B38A8" w14:textId="77777777" w:rsidR="005A0B16" w:rsidRDefault="005A0B16" w:rsidP="005A0B16">
            <w:r>
              <w:t xml:space="preserve">Utskottet beslutade att avge yttrande. </w:t>
            </w:r>
          </w:p>
          <w:p w14:paraId="62595461" w14:textId="77777777" w:rsidR="005A0B16" w:rsidRDefault="005A0B16" w:rsidP="005A0B16"/>
          <w:p w14:paraId="1806F4CB" w14:textId="77777777" w:rsidR="005A0B16" w:rsidRDefault="005A0B16" w:rsidP="005A0B16">
            <w:r>
              <w:t>Ärendet bordlades.</w:t>
            </w:r>
          </w:p>
          <w:p w14:paraId="2E7F0F5F" w14:textId="13FA0E39" w:rsidR="00952C72" w:rsidRPr="00952C72" w:rsidRDefault="00952C72" w:rsidP="00107FF8">
            <w:pPr>
              <w:tabs>
                <w:tab w:val="left" w:pos="1701"/>
              </w:tabs>
              <w:rPr>
                <w:bCs/>
                <w:color w:val="000000"/>
              </w:rPr>
            </w:pPr>
          </w:p>
        </w:tc>
      </w:tr>
      <w:tr w:rsidR="006F49DB" w:rsidRPr="0012669A" w14:paraId="3AADD81C" w14:textId="77777777" w:rsidTr="001462A7">
        <w:trPr>
          <w:trHeight w:val="1135"/>
        </w:trPr>
        <w:tc>
          <w:tcPr>
            <w:tcW w:w="567" w:type="dxa"/>
          </w:tcPr>
          <w:p w14:paraId="0F32DAA8" w14:textId="13583BBE" w:rsidR="006F49DB" w:rsidRDefault="006F49DB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52529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599EC361" w14:textId="77777777" w:rsidR="00EF2CF4" w:rsidRDefault="00107FF8" w:rsidP="001462A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Höständringsbudget för 2021</w:t>
            </w:r>
          </w:p>
          <w:p w14:paraId="156CC1C7" w14:textId="77777777" w:rsidR="005A0B16" w:rsidRDefault="005A0B16" w:rsidP="001462A7">
            <w:pPr>
              <w:pStyle w:val="Kommentarer"/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6DA9C397" w14:textId="04BA3D55" w:rsidR="005A0B16" w:rsidRDefault="005A0B16" w:rsidP="005A0B16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5A0B1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behandlade fråga om yttrande till finansutskottet över proposition 202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Pr="005A0B1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/2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2</w:t>
            </w:r>
            <w:r w:rsidRPr="005A0B1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:2 med förslag om höständringsbudget för 202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Pr="005A0B1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77CFA710" w14:textId="77777777" w:rsidR="005A0B16" w:rsidRPr="005A0B16" w:rsidRDefault="005A0B16" w:rsidP="005A0B16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6CF4005F" w14:textId="77777777" w:rsidR="005A0B16" w:rsidRDefault="005A0B16" w:rsidP="005A0B16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5A0B1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beslutade att inte avge yttrande.</w:t>
            </w:r>
          </w:p>
          <w:p w14:paraId="2CFB2B03" w14:textId="3AF89189" w:rsidR="00A52529" w:rsidRPr="00ED75FB" w:rsidRDefault="00A52529" w:rsidP="005A0B16">
            <w:pPr>
              <w:pStyle w:val="Kommentar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C26001" w:rsidRPr="0012669A" w14:paraId="585B4E14" w14:textId="77777777" w:rsidTr="001462A7">
        <w:trPr>
          <w:trHeight w:val="1135"/>
        </w:trPr>
        <w:tc>
          <w:tcPr>
            <w:tcW w:w="567" w:type="dxa"/>
          </w:tcPr>
          <w:p w14:paraId="1905BC6A" w14:textId="1CFD1D3E" w:rsidR="00C26001" w:rsidRDefault="00C2600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25911AF4" w14:textId="77777777" w:rsidR="00C26001" w:rsidRDefault="00C26001" w:rsidP="001462A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Inbjudan till regeringen</w:t>
            </w:r>
          </w:p>
          <w:p w14:paraId="5150ED05" w14:textId="77777777" w:rsidR="00C26001" w:rsidRDefault="00C26001" w:rsidP="001462A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460F893" w14:textId="77777777" w:rsidR="00C26001" w:rsidRDefault="00C26001" w:rsidP="001462A7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Utskottet beslutade att bjuda in företrädare för regeringen för information om vad som görs för att lösa problem som uppkommit för arbetsgivare som hamnat hos Kronofogden då utlovat </w:t>
            </w:r>
            <w:proofErr w:type="spellStart"/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coronastöd</w:t>
            </w:r>
            <w:proofErr w:type="spellEnd"/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försenats eller uteblivit.</w:t>
            </w:r>
          </w:p>
          <w:p w14:paraId="0C19E462" w14:textId="4CABC2E7" w:rsidR="00C26001" w:rsidRPr="00C26001" w:rsidRDefault="00C26001" w:rsidP="001462A7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84E78" w:rsidRPr="0012669A" w14:paraId="60A1ECD3" w14:textId="77777777" w:rsidTr="00744133">
        <w:trPr>
          <w:trHeight w:val="1150"/>
        </w:trPr>
        <w:tc>
          <w:tcPr>
            <w:tcW w:w="567" w:type="dxa"/>
          </w:tcPr>
          <w:p w14:paraId="4116B75F" w14:textId="1F54A28F" w:rsidR="00D84E78" w:rsidRDefault="002A20D3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Pr="002A20D3">
              <w:rPr>
                <w:b/>
                <w:snapToGrid w:val="0"/>
              </w:rPr>
              <w:t xml:space="preserve"> </w:t>
            </w:r>
            <w:r w:rsidR="00C26001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76068E12" w14:textId="4E8AB769" w:rsidR="005A0B16" w:rsidRDefault="00107FF8" w:rsidP="005A0B16">
            <w:pPr>
              <w:spacing w:after="100" w:afterAutospacing="1"/>
              <w:rPr>
                <w:color w:val="222222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Inbjudningar</w:t>
            </w:r>
            <w:r w:rsidR="005A0B16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A0B16">
              <w:rPr>
                <w:rFonts w:eastAsiaTheme="minorHAnsi"/>
                <w:color w:val="000000"/>
                <w:lang w:eastAsia="en-US"/>
              </w:rPr>
              <w:br/>
            </w:r>
            <w:r w:rsidR="005A0B16" w:rsidRPr="00A66C14">
              <w:rPr>
                <w:color w:val="222222"/>
              </w:rPr>
              <w:t xml:space="preserve">Utskottet informerades om inbjudan </w:t>
            </w:r>
            <w:r w:rsidR="005A0B16">
              <w:rPr>
                <w:color w:val="222222"/>
              </w:rPr>
              <w:t>från socialutskottet till offentlig utfrågning om precisionsmedicin den 26 oktober 2021.</w:t>
            </w:r>
          </w:p>
          <w:p w14:paraId="1F85873D" w14:textId="442A6334" w:rsidR="005A0B16" w:rsidRPr="00FB4B61" w:rsidRDefault="005A0B16" w:rsidP="00FB4B61">
            <w:pPr>
              <w:spacing w:after="100" w:afterAutospacing="1"/>
              <w:rPr>
                <w:rStyle w:val="bold"/>
                <w:color w:val="222222"/>
              </w:rPr>
            </w:pPr>
            <w:r>
              <w:rPr>
                <w:color w:val="222222"/>
              </w:rPr>
              <w:t>Utskottet informerades om inbjudan från utrikesutskottet till möte om kommissionens arbetsprogram för 2022 den 28 oktober 2021.</w:t>
            </w:r>
            <w:r w:rsidR="00A52529">
              <w:rPr>
                <w:color w:val="222222"/>
              </w:rPr>
              <w:br/>
            </w:r>
          </w:p>
        </w:tc>
      </w:tr>
      <w:tr w:rsidR="00952C72" w:rsidRPr="0012669A" w14:paraId="50FDBB22" w14:textId="77777777" w:rsidTr="00744133">
        <w:trPr>
          <w:trHeight w:val="1150"/>
        </w:trPr>
        <w:tc>
          <w:tcPr>
            <w:tcW w:w="567" w:type="dxa"/>
          </w:tcPr>
          <w:p w14:paraId="1895A305" w14:textId="25343C52" w:rsidR="00952C72" w:rsidRDefault="00952C7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26001">
              <w:rPr>
                <w:b/>
                <w:snapToGrid w:val="0"/>
              </w:rPr>
              <w:t>9</w:t>
            </w:r>
          </w:p>
        </w:tc>
        <w:tc>
          <w:tcPr>
            <w:tcW w:w="7020" w:type="dxa"/>
          </w:tcPr>
          <w:p w14:paraId="1126C469" w14:textId="77777777" w:rsidR="005A0B16" w:rsidRPr="001210A1" w:rsidRDefault="005A0B16" w:rsidP="005A0B16">
            <w:pPr>
              <w:spacing w:after="100" w:afterAutospacing="1"/>
              <w:rPr>
                <w:b/>
                <w:color w:val="222222"/>
              </w:rPr>
            </w:pPr>
            <w:r w:rsidRPr="001210A1">
              <w:rPr>
                <w:b/>
                <w:color w:val="222222"/>
              </w:rPr>
              <w:t>Anmälan av inkom</w:t>
            </w:r>
            <w:r>
              <w:rPr>
                <w:b/>
                <w:color w:val="222222"/>
              </w:rPr>
              <w:t>na</w:t>
            </w:r>
            <w:r w:rsidRPr="001210A1">
              <w:rPr>
                <w:b/>
                <w:color w:val="222222"/>
              </w:rPr>
              <w:t xml:space="preserve"> skrivelse</w:t>
            </w:r>
            <w:r>
              <w:rPr>
                <w:b/>
                <w:color w:val="222222"/>
              </w:rPr>
              <w:t>r</w:t>
            </w:r>
          </w:p>
          <w:p w14:paraId="6C7932B8" w14:textId="6E7D0C09" w:rsidR="00952C72" w:rsidRDefault="005A0B16" w:rsidP="005A0B16">
            <w:pPr>
              <w:tabs>
                <w:tab w:val="left" w:pos="1701"/>
              </w:tabs>
            </w:pPr>
            <w:r w:rsidRPr="001210A1">
              <w:rPr>
                <w:color w:val="222222"/>
              </w:rPr>
              <w:t xml:space="preserve">Anmäldes </w:t>
            </w:r>
            <w:r>
              <w:rPr>
                <w:color w:val="222222"/>
              </w:rPr>
              <w:t>inkomna skrivelser</w:t>
            </w:r>
            <w:r w:rsidRPr="001210A1">
              <w:rPr>
                <w:color w:val="222222"/>
              </w:rPr>
              <w:t xml:space="preserve"> (enligt bilaga </w:t>
            </w:r>
            <w:r>
              <w:rPr>
                <w:color w:val="222222"/>
              </w:rPr>
              <w:t>2</w:t>
            </w:r>
            <w:r w:rsidRPr="001210A1">
              <w:rPr>
                <w:color w:val="222222"/>
              </w:rPr>
              <w:t>).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br/>
              <w:t>Skrivelserna lades till handlingarna.</w:t>
            </w:r>
          </w:p>
          <w:p w14:paraId="3F9BA460" w14:textId="2D3885FE" w:rsidR="005A0B16" w:rsidRDefault="005A0B16" w:rsidP="005A0B1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C26001" w:rsidRPr="0012669A" w14:paraId="5EAF22C3" w14:textId="77777777" w:rsidTr="00744133">
        <w:trPr>
          <w:trHeight w:val="1150"/>
        </w:trPr>
        <w:tc>
          <w:tcPr>
            <w:tcW w:w="567" w:type="dxa"/>
          </w:tcPr>
          <w:p w14:paraId="198AEF31" w14:textId="26F8880B" w:rsidR="00C26001" w:rsidRDefault="00C2600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020" w:type="dxa"/>
          </w:tcPr>
          <w:p w14:paraId="7D3521CE" w14:textId="77777777" w:rsidR="00C26001" w:rsidRDefault="00C26001" w:rsidP="005A0B16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Information om utskottens utrikesresor</w:t>
            </w:r>
          </w:p>
          <w:p w14:paraId="0206EC98" w14:textId="2ED34398" w:rsidR="00C26001" w:rsidRPr="00C26001" w:rsidRDefault="00C26001" w:rsidP="005A0B16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Utskottet informerades om den inriktning för utskottens och EU-nämndens utrikesresor som ordförandekonferensen ställde sig bakom i april 2021.</w:t>
            </w:r>
            <w:r>
              <w:rPr>
                <w:color w:val="222222"/>
              </w:rPr>
              <w:br/>
            </w:r>
          </w:p>
        </w:tc>
      </w:tr>
      <w:tr w:rsidR="00454AB8" w:rsidRPr="0012669A" w14:paraId="43DB7B35" w14:textId="77777777" w:rsidTr="00823B30">
        <w:tc>
          <w:tcPr>
            <w:tcW w:w="567" w:type="dxa"/>
          </w:tcPr>
          <w:p w14:paraId="27553614" w14:textId="2028564C" w:rsidR="00454AB8" w:rsidRPr="0012669A" w:rsidRDefault="00454AB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C26001">
              <w:rPr>
                <w:b/>
                <w:snapToGrid w:val="0"/>
              </w:rPr>
              <w:t>11</w:t>
            </w:r>
          </w:p>
        </w:tc>
        <w:tc>
          <w:tcPr>
            <w:tcW w:w="7020" w:type="dxa"/>
          </w:tcPr>
          <w:p w14:paraId="0B0853AB" w14:textId="77777777" w:rsidR="00454AB8" w:rsidRDefault="00454AB8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97E75A6" w14:textId="77777777" w:rsidR="004D2A50" w:rsidRDefault="004D2A50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6B8F57BF" w14:textId="36D2879A" w:rsidR="007C5B19" w:rsidRDefault="00454AB8" w:rsidP="00DE5C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7C1001">
              <w:rPr>
                <w:bCs/>
                <w:snapToGrid w:val="0"/>
              </w:rPr>
              <w:t>t</w:t>
            </w:r>
            <w:r w:rsidR="00107FF8">
              <w:rPr>
                <w:bCs/>
                <w:snapToGrid w:val="0"/>
              </w:rPr>
              <w:t>ors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dagen den </w:t>
            </w:r>
            <w:r w:rsidR="00C02B6B">
              <w:rPr>
                <w:rFonts w:eastAsiaTheme="minorHAnsi"/>
                <w:color w:val="000000"/>
                <w:lang w:eastAsia="en-US"/>
              </w:rPr>
              <w:t>1</w:t>
            </w:r>
            <w:r w:rsidR="00107FF8">
              <w:rPr>
                <w:rFonts w:eastAsiaTheme="minorHAnsi"/>
                <w:color w:val="000000"/>
                <w:lang w:eastAsia="en-US"/>
              </w:rPr>
              <w:t>4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13E7B">
              <w:rPr>
                <w:rFonts w:eastAsiaTheme="minorHAnsi"/>
                <w:color w:val="000000"/>
                <w:lang w:eastAsia="en-US"/>
              </w:rPr>
              <w:t>oktober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 kl. 1</w:t>
            </w:r>
            <w:r w:rsidR="00107FF8">
              <w:rPr>
                <w:rFonts w:eastAsiaTheme="minorHAnsi"/>
                <w:color w:val="000000"/>
                <w:lang w:eastAsia="en-US"/>
              </w:rPr>
              <w:t>0</w:t>
            </w:r>
            <w:r w:rsidR="00645A75">
              <w:rPr>
                <w:rFonts w:eastAsiaTheme="minorHAnsi"/>
                <w:color w:val="000000"/>
                <w:lang w:eastAsia="en-US"/>
              </w:rPr>
              <w:t>.00</w:t>
            </w:r>
            <w:r w:rsidR="005F47A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64C487B" w14:textId="77777777" w:rsidR="00DE5C3F" w:rsidRDefault="00DE5C3F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DEF89C8" w14:textId="77777777" w:rsidR="00DE5C3F" w:rsidRDefault="00DE5C3F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54E1219" w14:textId="77777777" w:rsidR="0037329D" w:rsidRDefault="0037329D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1A57739" w14:textId="29859912" w:rsidR="0037329D" w:rsidRPr="0012669A" w:rsidRDefault="0037329D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56126E41" w14:textId="77777777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7A58EF64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C02B6B">
              <w:t>1</w:t>
            </w:r>
            <w:r w:rsidR="00107FF8">
              <w:t>4</w:t>
            </w:r>
            <w:r w:rsidR="00413E7B">
              <w:t xml:space="preserve"> oktober</w:t>
            </w:r>
            <w:r w:rsidRPr="00210FD3">
              <w:t xml:space="preserve"> 2021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77777777" w:rsidR="00454AB8" w:rsidRPr="00355D1B" w:rsidRDefault="00210FD3" w:rsidP="00454AB8">
            <w:pPr>
              <w:tabs>
                <w:tab w:val="left" w:pos="1701"/>
              </w:tabs>
            </w:pPr>
            <w:r>
              <w:t>Lars Hjälmered</w:t>
            </w:r>
            <w:r w:rsidR="00454AB8">
              <w:br/>
            </w:r>
          </w:p>
        </w:tc>
      </w:tr>
    </w:tbl>
    <w:p w14:paraId="2CFD36A8" w14:textId="77777777" w:rsidR="00986A35" w:rsidRDefault="00986A35"/>
    <w:p w14:paraId="0B8EAF8D" w14:textId="77777777" w:rsidR="00EA6ACA" w:rsidRDefault="00EA6ACA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17"/>
        <w:gridCol w:w="434"/>
        <w:gridCol w:w="426"/>
        <w:gridCol w:w="425"/>
        <w:gridCol w:w="425"/>
        <w:gridCol w:w="425"/>
        <w:gridCol w:w="348"/>
        <w:gridCol w:w="361"/>
        <w:gridCol w:w="29"/>
        <w:gridCol w:w="390"/>
        <w:gridCol w:w="391"/>
      </w:tblGrid>
      <w:tr w:rsidR="002770CB" w:rsidRPr="0012669A" w14:paraId="5F140E42" w14:textId="77777777" w:rsidTr="004D2A50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0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7F9C1A55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107FF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2770CB" w:rsidRPr="0012669A" w14:paraId="16C34944" w14:textId="77777777" w:rsidTr="004D2A50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4F1F4DA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  <w:r w:rsidR="00AE79D3">
              <w:rPr>
                <w:rFonts w:ascii="Times New Roman" w:hAnsi="Times New Roman"/>
                <w:sz w:val="20"/>
                <w:szCs w:val="20"/>
              </w:rPr>
              <w:t>–</w:t>
            </w:r>
            <w:r w:rsidR="00A5252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22AB318E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7A0EC66" w14:textId="3A40F61F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2E7F26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7A68CD3" w14:textId="77777777" w:rsidTr="004D2A50">
        <w:tc>
          <w:tcPr>
            <w:tcW w:w="3401" w:type="dxa"/>
          </w:tcPr>
          <w:p w14:paraId="5CDE6A2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61A8F689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4F9625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E3DB9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4C8D5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D85C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00A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D88AF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A93A139" w14:textId="77777777" w:rsidTr="004D2A50">
        <w:tc>
          <w:tcPr>
            <w:tcW w:w="3401" w:type="dxa"/>
          </w:tcPr>
          <w:p w14:paraId="7B75656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8F2C6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4B64B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F015F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87E9A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1B1F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6A3CD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232D2A" w14:textId="77777777" w:rsidTr="004D2A50">
        <w:tc>
          <w:tcPr>
            <w:tcW w:w="3401" w:type="dxa"/>
          </w:tcPr>
          <w:p w14:paraId="6C9CE07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595D4B57" w14:textId="33E61BDE" w:rsidR="002770CB" w:rsidRPr="0012669A" w:rsidRDefault="00523CB0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1C98E609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BFE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3D1AAAB" w14:textId="2A06E05B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D8D20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DBDB0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6EED3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8E537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625781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8F46B" w14:textId="77777777" w:rsidTr="004D2A50">
        <w:tc>
          <w:tcPr>
            <w:tcW w:w="3401" w:type="dxa"/>
          </w:tcPr>
          <w:p w14:paraId="3C886778" w14:textId="77777777" w:rsidR="002770CB" w:rsidRPr="0012669A" w:rsidRDefault="002C5A9C" w:rsidP="00206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v. ordf.</w:t>
            </w:r>
          </w:p>
        </w:tc>
        <w:tc>
          <w:tcPr>
            <w:tcW w:w="426" w:type="dxa"/>
          </w:tcPr>
          <w:p w14:paraId="57F63DCF" w14:textId="7EF2E9B0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30BDABC1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613EA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9AE20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81DFA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113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2A87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989E1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CF6540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26D715F" w14:textId="77777777" w:rsidTr="004D2A50">
        <w:tc>
          <w:tcPr>
            <w:tcW w:w="3401" w:type="dxa"/>
          </w:tcPr>
          <w:p w14:paraId="78C5951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47FC05F7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7772E5B3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DD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2621F0" w14:textId="102DEC95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5F0DC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09E6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D7E0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D2DA4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10C038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38D6735" w14:textId="77777777" w:rsidTr="004D2A50">
        <w:tc>
          <w:tcPr>
            <w:tcW w:w="3401" w:type="dxa"/>
          </w:tcPr>
          <w:p w14:paraId="6BA331E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2A7DA67B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0DE2F506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7630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3AEC83" w14:textId="58FE254F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7900E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539C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9A91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D1CB4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670E0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DDC079" w14:textId="77777777" w:rsidTr="004D2A50">
        <w:tc>
          <w:tcPr>
            <w:tcW w:w="3401" w:type="dxa"/>
          </w:tcPr>
          <w:p w14:paraId="22BD2BD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316876AE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5CCCB19F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7DDE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7D6DB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89DFB6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4F0F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0791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5CA0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693285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FB13D9" w14:textId="77777777" w:rsidTr="004D2A50">
        <w:tc>
          <w:tcPr>
            <w:tcW w:w="3401" w:type="dxa"/>
          </w:tcPr>
          <w:p w14:paraId="222DA44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54752A5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38BA6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56DE975C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18A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D690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4686E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3C233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1F5A0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CCC99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D5E1E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BE67703" w14:textId="77777777" w:rsidTr="004D2A50">
        <w:tc>
          <w:tcPr>
            <w:tcW w:w="3401" w:type="dxa"/>
          </w:tcPr>
          <w:p w14:paraId="14352FB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0F9DBB51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34617665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43E5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BB531A7" w14:textId="4D613899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13EA8C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CDB2D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52728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0003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78C6B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2022121" w14:textId="77777777" w:rsidTr="004D2A50">
        <w:tc>
          <w:tcPr>
            <w:tcW w:w="3401" w:type="dxa"/>
          </w:tcPr>
          <w:p w14:paraId="137072C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3127DE8E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B3093E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1A07CF98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90F12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5806CB7" w14:textId="18168F9B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AD772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65225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2BC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632ED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4098D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398FC9E" w14:textId="77777777" w:rsidTr="004D2A50">
        <w:tc>
          <w:tcPr>
            <w:tcW w:w="3401" w:type="dxa"/>
          </w:tcPr>
          <w:p w14:paraId="76BDABF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6191B60A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38B3B7F6" w:rsidR="001527D1" w:rsidRPr="0093041C" w:rsidRDefault="001527D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F5149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244292" w14:textId="0F64688C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A1AA0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3869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45457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86332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36457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90BC82" w14:textId="77777777" w:rsidTr="004D2A50">
        <w:tc>
          <w:tcPr>
            <w:tcW w:w="3401" w:type="dxa"/>
          </w:tcPr>
          <w:p w14:paraId="7F2018E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0D695302" w14:textId="2E019046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2209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61A5259E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E52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990DC6" w14:textId="460C644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7B233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650E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F2FF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3E4D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7400F3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BEA4CCF" w14:textId="77777777" w:rsidTr="004D2A50">
        <w:tc>
          <w:tcPr>
            <w:tcW w:w="3401" w:type="dxa"/>
          </w:tcPr>
          <w:p w14:paraId="749C93B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0D08A3D3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33C702EB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BE4E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C190865" w14:textId="526B2231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7763F7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C3A04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E7A51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B56E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85CE3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117BF8D" w14:textId="77777777" w:rsidTr="004D2A50">
        <w:tc>
          <w:tcPr>
            <w:tcW w:w="3401" w:type="dxa"/>
          </w:tcPr>
          <w:p w14:paraId="569167A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1F8199B1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17A102A8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20E34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3BC847F" w14:textId="1E77330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233C44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1D81F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0FC9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70A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422F7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9DBAEB7" w14:textId="77777777" w:rsidTr="004D2A50">
        <w:tc>
          <w:tcPr>
            <w:tcW w:w="3401" w:type="dxa"/>
          </w:tcPr>
          <w:p w14:paraId="471C4F1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49F1CC14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16EF9BDC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AD47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AE848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01F18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EC4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06D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D66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C55EB9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6727A43" w14:textId="77777777" w:rsidTr="004D2A50">
        <w:tc>
          <w:tcPr>
            <w:tcW w:w="3401" w:type="dxa"/>
          </w:tcPr>
          <w:p w14:paraId="3BCA6923" w14:textId="06C74DB6" w:rsidR="002770CB" w:rsidRPr="0012669A" w:rsidRDefault="005F47A3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5C2EFE9F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013AFC93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16D2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6965CDE" w14:textId="1953A0A5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175A4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E457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073F1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0BFC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0ECD9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D4AB0FE" w14:textId="77777777" w:rsidTr="004D2A50">
        <w:tc>
          <w:tcPr>
            <w:tcW w:w="3401" w:type="dxa"/>
          </w:tcPr>
          <w:p w14:paraId="60C91C2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11EAEE0F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4EF848FA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221F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4350F" w14:textId="077DBE99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4443D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5F2B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14F0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4E88A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7DD18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D04C07D" w14:textId="77777777" w:rsidTr="004D2A50">
        <w:tc>
          <w:tcPr>
            <w:tcW w:w="3401" w:type="dxa"/>
          </w:tcPr>
          <w:p w14:paraId="6574E9B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51364162" w14:textId="7CBB762F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9771FC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261473CB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12461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BC7481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2FCB8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A0158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66657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501B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B4F40C6" w14:textId="77777777" w:rsidTr="004D2A50">
        <w:tc>
          <w:tcPr>
            <w:tcW w:w="3401" w:type="dxa"/>
          </w:tcPr>
          <w:p w14:paraId="3A596F7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41228479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F061B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79AAF0EF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09B3207" w14:textId="3785578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CDB14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11DC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B17D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0F04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2D6BF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68621C1" w14:textId="77777777" w:rsidTr="004D2A50">
        <w:tc>
          <w:tcPr>
            <w:tcW w:w="3401" w:type="dxa"/>
          </w:tcPr>
          <w:p w14:paraId="6A74C4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E02C1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AB9258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F14F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76B0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CC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D34EE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AC107AC" w14:textId="77777777" w:rsidTr="004D2A50">
        <w:tc>
          <w:tcPr>
            <w:tcW w:w="3401" w:type="dxa"/>
          </w:tcPr>
          <w:p w14:paraId="62C9AAC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6DA86615" w14:textId="435ECF6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6127C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2DE9F7E3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2A7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1E9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261EA7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8C3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6295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08FA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073B2E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D67D3E9" w14:textId="77777777" w:rsidTr="004D2A50">
        <w:tc>
          <w:tcPr>
            <w:tcW w:w="3401" w:type="dxa"/>
          </w:tcPr>
          <w:p w14:paraId="1A501200" w14:textId="77777777" w:rsidR="002770CB" w:rsidRPr="00EA6ACA" w:rsidRDefault="00EA6ACA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3EB1E6E1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7B8090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03D78B12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B9B7B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7CAAE79" w14:textId="60FD8BA5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593FF2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37A3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99CB8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154C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2BF321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31A1A11" w14:textId="77777777" w:rsidTr="004D2A50">
        <w:tc>
          <w:tcPr>
            <w:tcW w:w="3401" w:type="dxa"/>
          </w:tcPr>
          <w:p w14:paraId="3339535C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E1B5F0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B18757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6742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7716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A763A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3A5C8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59BB5B" w14:textId="77777777" w:rsidTr="004D2A50">
        <w:tc>
          <w:tcPr>
            <w:tcW w:w="3401" w:type="dxa"/>
          </w:tcPr>
          <w:p w14:paraId="5B66D70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35484C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BB7AE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2679E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A853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9ACC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A7EB2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F48A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77250AB" w14:textId="77777777" w:rsidTr="004D2A50">
        <w:tc>
          <w:tcPr>
            <w:tcW w:w="3401" w:type="dxa"/>
          </w:tcPr>
          <w:p w14:paraId="52754DB3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7D9634B6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70608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7EFEEF94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DA58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F33416C" w14:textId="1C61DA22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C6193D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72755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0D30B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121A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49406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A7BFC78" w14:textId="77777777" w:rsidTr="004D2A50">
        <w:tc>
          <w:tcPr>
            <w:tcW w:w="3401" w:type="dxa"/>
          </w:tcPr>
          <w:p w14:paraId="078D89A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6445A595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40D57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6504A1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13860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1554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6030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9AD7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DEFE67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0E67BE1" w14:textId="77777777" w:rsidTr="004D2A50">
        <w:tc>
          <w:tcPr>
            <w:tcW w:w="3401" w:type="dxa"/>
          </w:tcPr>
          <w:p w14:paraId="319168A1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6B5A1D3D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1539E9E5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4BC3C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CA2CA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BDF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667D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ECDED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82D1D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CB77086" w14:textId="77777777" w:rsidTr="004D2A50">
        <w:tc>
          <w:tcPr>
            <w:tcW w:w="3401" w:type="dxa"/>
          </w:tcPr>
          <w:p w14:paraId="452B1AA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49F31EAE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EB6386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69CEA3AC" w:rsidR="002D58EB" w:rsidRPr="0093041C" w:rsidRDefault="002D58E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35E2D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4B2F5D" w14:textId="4545D4C0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764C8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910BC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7E9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0F61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32CE67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A24286" w14:textId="77777777" w:rsidTr="004D2A50">
        <w:tc>
          <w:tcPr>
            <w:tcW w:w="3401" w:type="dxa"/>
          </w:tcPr>
          <w:p w14:paraId="5464C209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A4DFB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CA409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048E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7DF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A8382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17E394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90C0701" w14:textId="77777777" w:rsidTr="004D2A50">
        <w:tc>
          <w:tcPr>
            <w:tcW w:w="3401" w:type="dxa"/>
          </w:tcPr>
          <w:p w14:paraId="59DED8C8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EFE01C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1972C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3B68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E2E19D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A2C5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46E12C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F70D34" w14:textId="77777777" w:rsidTr="004D2A50">
        <w:tc>
          <w:tcPr>
            <w:tcW w:w="3401" w:type="dxa"/>
          </w:tcPr>
          <w:p w14:paraId="6D757EB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F5C6E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81031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BB6C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DFFC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E315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B2E8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F04EFC6" w14:textId="77777777" w:rsidTr="004D2A50">
        <w:tc>
          <w:tcPr>
            <w:tcW w:w="3401" w:type="dxa"/>
          </w:tcPr>
          <w:p w14:paraId="74C27F98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D62D1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30214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8FBB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2A81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BF2F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39DBCD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40BB685" w14:textId="77777777" w:rsidTr="004D2A50">
        <w:tc>
          <w:tcPr>
            <w:tcW w:w="3401" w:type="dxa"/>
          </w:tcPr>
          <w:p w14:paraId="3B6F4F7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1FF66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E1EB0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8615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AE3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D4F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A31BB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AF56887" w14:textId="77777777" w:rsidTr="004D2A50">
        <w:tc>
          <w:tcPr>
            <w:tcW w:w="3401" w:type="dxa"/>
          </w:tcPr>
          <w:p w14:paraId="1065E2DD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653E82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BFDFB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CF984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0F1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150BB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26F1B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9D5B66" w14:textId="77777777" w:rsidTr="004D2A50">
        <w:tc>
          <w:tcPr>
            <w:tcW w:w="3401" w:type="dxa"/>
          </w:tcPr>
          <w:p w14:paraId="63B7F2AF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1E806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D5296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F6C6F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3ADB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1EF6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B1AF4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1974D9" w14:textId="77777777" w:rsidTr="004D2A50">
        <w:tc>
          <w:tcPr>
            <w:tcW w:w="3401" w:type="dxa"/>
          </w:tcPr>
          <w:p w14:paraId="2FC8116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294F67F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9DF8B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008E28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6435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69CD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0E141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3251D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807AC05" w14:textId="77777777" w:rsidTr="004D2A50">
        <w:tc>
          <w:tcPr>
            <w:tcW w:w="3401" w:type="dxa"/>
          </w:tcPr>
          <w:p w14:paraId="14A483B9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C1EE6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88E0D3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A2A3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71715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505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07FACA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5812CFD" w14:textId="77777777" w:rsidTr="004D2A50">
        <w:tc>
          <w:tcPr>
            <w:tcW w:w="3401" w:type="dxa"/>
          </w:tcPr>
          <w:p w14:paraId="395F1ED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9C928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CAE34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6B134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CF3E4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94AE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00620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B4649F" w14:textId="77777777" w:rsidTr="004D2A50">
        <w:tc>
          <w:tcPr>
            <w:tcW w:w="3401" w:type="dxa"/>
          </w:tcPr>
          <w:p w14:paraId="17A7941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819FB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7C591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5DF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F88F2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993E2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3F287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48B8BB9" w14:textId="77777777" w:rsidTr="004D2A50">
        <w:tc>
          <w:tcPr>
            <w:tcW w:w="3401" w:type="dxa"/>
          </w:tcPr>
          <w:p w14:paraId="568501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53EE0B5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2BE7D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0CF2F8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6D6F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53325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BEFF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06B57A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B6523C" w14:textId="77777777" w:rsidTr="004D2A50">
        <w:tc>
          <w:tcPr>
            <w:tcW w:w="3401" w:type="dxa"/>
          </w:tcPr>
          <w:p w14:paraId="787BDE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DB3B7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729E38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89635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B5E7A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8528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F6C6B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222248" w14:paraId="37F692D8" w14:textId="77777777" w:rsidTr="004D2A50">
        <w:tc>
          <w:tcPr>
            <w:tcW w:w="3401" w:type="dxa"/>
          </w:tcPr>
          <w:p w14:paraId="007D97A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0D661D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4" w:type="dxa"/>
          </w:tcPr>
          <w:p w14:paraId="218215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BA7C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60A8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335D8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8" w:type="dxa"/>
          </w:tcPr>
          <w:p w14:paraId="13B383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37FBAABC" w14:textId="77777777" w:rsidTr="004D2A50">
        <w:trPr>
          <w:trHeight w:val="130"/>
        </w:trPr>
        <w:tc>
          <w:tcPr>
            <w:tcW w:w="3401" w:type="dxa"/>
          </w:tcPr>
          <w:p w14:paraId="096C4A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428323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3769E124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AB7532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5FD02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A7763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6FCE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46D5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7B0CD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52C27D4" w14:textId="77777777" w:rsidTr="004D2A50">
        <w:tc>
          <w:tcPr>
            <w:tcW w:w="3401" w:type="dxa"/>
          </w:tcPr>
          <w:p w14:paraId="4CD1AFB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31CBD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0AE515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B5885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3C72D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0F22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9A85D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3F72BB0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0BF5D8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71737A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B0FE3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B878CF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3704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2BB6202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AEE4AF4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BFA46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2B5DB4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B1436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874B5D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71D6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A3E9F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691F13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0F1055A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00B2AD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8BC3A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80D209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A8A0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121749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7E5E0FC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14D9D6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41500F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D35A1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3464C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0AC4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2C507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4B17282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26CAB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05AC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AA778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5C581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35038A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3E3DC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9E9C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AF158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D460F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3917088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2E37EBF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326527F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66589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06AD7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DEB1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33ED6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E176C8B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77777777" w:rsidR="002770CB" w:rsidRPr="004F43CB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2FC02E3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1F5F8D65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46FDE75A" w14:textId="6B30F710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15A138B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9557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44935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D5A90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44C165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5F47A3" w14:paraId="05D7D601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13AC102D" w14:textId="629F94BD" w:rsidR="0032557B" w:rsidRPr="005F47A3" w:rsidRDefault="000D6ABD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8" w:history="1">
              <w:r w:rsidR="0032557B" w:rsidRPr="005F47A3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32557B" w:rsidRPr="005F47A3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F5559B" w14:textId="77777777" w:rsidR="0032557B" w:rsidRPr="005F47A3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E1EB2F" w14:textId="77777777" w:rsidR="0032557B" w:rsidRPr="005F47A3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0835AE" w14:textId="44C54A6D" w:rsidR="0032557B" w:rsidRPr="005F47A3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001240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41C90A60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589FD8B8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749EE81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4F6E4E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477CF5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917595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08589FE9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FB6BC2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A61E192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8176DB1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2529" w:rsidRPr="005F47A3" w14:paraId="5CCEC173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669E00F1" w14:textId="294F0AE3" w:rsidR="00A52529" w:rsidRPr="00A52529" w:rsidRDefault="00A52529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A52529">
              <w:rPr>
                <w:rFonts w:ascii="Times New Roman" w:hAnsi="Times New Roman"/>
                <w:sz w:val="20"/>
                <w:szCs w:val="20"/>
              </w:rPr>
              <w:t>Alexander Christiansson (SD)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6971A28" w14:textId="30450E62" w:rsidR="00A52529" w:rsidRPr="005F47A3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D34CFD" w14:textId="77777777" w:rsidR="00A52529" w:rsidRPr="005F47A3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3D8BA9" w14:textId="77777777" w:rsidR="00A52529" w:rsidRPr="005F47A3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A238EB7" w14:textId="77777777" w:rsidR="00A52529" w:rsidRPr="005F47A3" w:rsidRDefault="00A52529" w:rsidP="0023601A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126BE6D" w14:textId="77777777" w:rsidR="00A52529" w:rsidRPr="005F47A3" w:rsidRDefault="00A52529" w:rsidP="0023601A">
            <w:pPr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16641B11" w14:textId="77777777" w:rsidR="00A52529" w:rsidRPr="005F47A3" w:rsidRDefault="00A52529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96F08E2" w14:textId="77777777" w:rsidR="00A52529" w:rsidRPr="005F47A3" w:rsidRDefault="00A52529" w:rsidP="0023601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3B4984C" w14:textId="77777777" w:rsidR="00A52529" w:rsidRPr="005F47A3" w:rsidRDefault="00A52529" w:rsidP="0023601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437F6A" w14:textId="77777777" w:rsidR="00A52529" w:rsidRPr="005F47A3" w:rsidRDefault="00A52529" w:rsidP="0023601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27BDD41" w14:textId="77777777" w:rsidR="00A52529" w:rsidRPr="005F47A3" w:rsidRDefault="00A52529" w:rsidP="0023601A">
            <w:pPr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4E3AEA0" w14:textId="77777777" w:rsidR="00A52529" w:rsidRPr="005F47A3" w:rsidRDefault="00A52529" w:rsidP="0023601A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DAF09D2" w14:textId="77777777" w:rsidR="00A52529" w:rsidRPr="005F47A3" w:rsidRDefault="00A52529" w:rsidP="0023601A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0F1871AB" w14:textId="77777777" w:rsidR="00A52529" w:rsidRPr="005F47A3" w:rsidRDefault="00A52529" w:rsidP="0023601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7CD5F53" w14:textId="77777777" w:rsidR="00A52529" w:rsidRPr="005F47A3" w:rsidRDefault="00A52529" w:rsidP="0023601A">
            <w:pPr>
              <w:rPr>
                <w:sz w:val="20"/>
                <w:szCs w:val="20"/>
              </w:rPr>
            </w:pPr>
          </w:p>
        </w:tc>
      </w:tr>
      <w:tr w:rsidR="002770CB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7134E678" w14:textId="2E056784" w:rsidR="00744133" w:rsidRDefault="00744133" w:rsidP="0093041C">
      <w:bookmarkStart w:id="1" w:name="_GoBack"/>
      <w:bookmarkEnd w:id="1"/>
    </w:p>
    <w:sectPr w:rsidR="00744133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D6D8C" w14:textId="77777777" w:rsidR="00545D9F" w:rsidRDefault="00545D9F" w:rsidP="002130F1">
      <w:r>
        <w:separator/>
      </w:r>
    </w:p>
  </w:endnote>
  <w:endnote w:type="continuationSeparator" w:id="0">
    <w:p w14:paraId="48BE1559" w14:textId="77777777" w:rsidR="00545D9F" w:rsidRDefault="00545D9F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848D8" w14:textId="77777777" w:rsidR="00545D9F" w:rsidRDefault="00545D9F" w:rsidP="002130F1">
      <w:r>
        <w:separator/>
      </w:r>
    </w:p>
  </w:footnote>
  <w:footnote w:type="continuationSeparator" w:id="0">
    <w:p w14:paraId="2863CFFD" w14:textId="77777777" w:rsidR="00545D9F" w:rsidRDefault="00545D9F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"/>
  </w:num>
  <w:num w:numId="3">
    <w:abstractNumId w:val="2"/>
  </w:num>
  <w:num w:numId="4">
    <w:abstractNumId w:val="15"/>
  </w:num>
  <w:num w:numId="5">
    <w:abstractNumId w:val="3"/>
  </w:num>
  <w:num w:numId="6">
    <w:abstractNumId w:val="12"/>
  </w:num>
  <w:num w:numId="7">
    <w:abstractNumId w:val="7"/>
  </w:num>
  <w:num w:numId="8">
    <w:abstractNumId w:val="21"/>
  </w:num>
  <w:num w:numId="9">
    <w:abstractNumId w:val="11"/>
  </w:num>
  <w:num w:numId="10">
    <w:abstractNumId w:val="19"/>
  </w:num>
  <w:num w:numId="11">
    <w:abstractNumId w:val="30"/>
  </w:num>
  <w:num w:numId="12">
    <w:abstractNumId w:val="25"/>
  </w:num>
  <w:num w:numId="13">
    <w:abstractNumId w:val="32"/>
  </w:num>
  <w:num w:numId="14">
    <w:abstractNumId w:val="4"/>
  </w:num>
  <w:num w:numId="15">
    <w:abstractNumId w:val="31"/>
  </w:num>
  <w:num w:numId="16">
    <w:abstractNumId w:val="14"/>
  </w:num>
  <w:num w:numId="17">
    <w:abstractNumId w:val="22"/>
  </w:num>
  <w:num w:numId="18">
    <w:abstractNumId w:val="27"/>
  </w:num>
  <w:num w:numId="19">
    <w:abstractNumId w:val="17"/>
  </w:num>
  <w:num w:numId="20">
    <w:abstractNumId w:val="0"/>
  </w:num>
  <w:num w:numId="21">
    <w:abstractNumId w:val="6"/>
  </w:num>
  <w:num w:numId="22">
    <w:abstractNumId w:val="23"/>
  </w:num>
  <w:num w:numId="23">
    <w:abstractNumId w:val="16"/>
  </w:num>
  <w:num w:numId="24">
    <w:abstractNumId w:val="24"/>
  </w:num>
  <w:num w:numId="25">
    <w:abstractNumId w:val="9"/>
  </w:num>
  <w:num w:numId="26">
    <w:abstractNumId w:val="18"/>
  </w:num>
  <w:num w:numId="27">
    <w:abstractNumId w:val="26"/>
  </w:num>
  <w:num w:numId="28">
    <w:abstractNumId w:val="8"/>
  </w:num>
  <w:num w:numId="29">
    <w:abstractNumId w:val="13"/>
  </w:num>
  <w:num w:numId="30">
    <w:abstractNumId w:val="28"/>
  </w:num>
  <w:num w:numId="31">
    <w:abstractNumId w:val="29"/>
  </w:num>
  <w:num w:numId="32">
    <w:abstractNumId w:val="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1F79"/>
    <w:rsid w:val="00042475"/>
    <w:rsid w:val="000427D7"/>
    <w:rsid w:val="000442DA"/>
    <w:rsid w:val="00044E80"/>
    <w:rsid w:val="00045281"/>
    <w:rsid w:val="00045A8A"/>
    <w:rsid w:val="00052937"/>
    <w:rsid w:val="00053421"/>
    <w:rsid w:val="000536D9"/>
    <w:rsid w:val="00054831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D6ABD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603B4"/>
    <w:rsid w:val="00161C62"/>
    <w:rsid w:val="00161CC2"/>
    <w:rsid w:val="00163E80"/>
    <w:rsid w:val="00165662"/>
    <w:rsid w:val="001673BD"/>
    <w:rsid w:val="00170C7E"/>
    <w:rsid w:val="001710C0"/>
    <w:rsid w:val="0017416D"/>
    <w:rsid w:val="00176050"/>
    <w:rsid w:val="00187C01"/>
    <w:rsid w:val="00192F1B"/>
    <w:rsid w:val="00193522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B48"/>
    <w:rsid w:val="00216C89"/>
    <w:rsid w:val="00216E89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A48"/>
    <w:rsid w:val="0023601A"/>
    <w:rsid w:val="00236769"/>
    <w:rsid w:val="00241FF0"/>
    <w:rsid w:val="0024203D"/>
    <w:rsid w:val="00242D8C"/>
    <w:rsid w:val="00243F79"/>
    <w:rsid w:val="00247064"/>
    <w:rsid w:val="0025002F"/>
    <w:rsid w:val="00253354"/>
    <w:rsid w:val="00253AD1"/>
    <w:rsid w:val="00255734"/>
    <w:rsid w:val="00257D2B"/>
    <w:rsid w:val="0026023A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91D94"/>
    <w:rsid w:val="0029208A"/>
    <w:rsid w:val="00292B8E"/>
    <w:rsid w:val="002959B7"/>
    <w:rsid w:val="00297258"/>
    <w:rsid w:val="00297761"/>
    <w:rsid w:val="002A057E"/>
    <w:rsid w:val="002A1912"/>
    <w:rsid w:val="002A2024"/>
    <w:rsid w:val="002A20D3"/>
    <w:rsid w:val="002A294F"/>
    <w:rsid w:val="002A3009"/>
    <w:rsid w:val="002A61C3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5A9C"/>
    <w:rsid w:val="002C5B13"/>
    <w:rsid w:val="002C7F50"/>
    <w:rsid w:val="002D0CCA"/>
    <w:rsid w:val="002D1551"/>
    <w:rsid w:val="002D1DB8"/>
    <w:rsid w:val="002D58EB"/>
    <w:rsid w:val="002D7754"/>
    <w:rsid w:val="002E23EC"/>
    <w:rsid w:val="002E24EE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27F5B"/>
    <w:rsid w:val="003307F3"/>
    <w:rsid w:val="00330813"/>
    <w:rsid w:val="0033084F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111E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1552"/>
    <w:rsid w:val="00395D3B"/>
    <w:rsid w:val="003977B2"/>
    <w:rsid w:val="00397E10"/>
    <w:rsid w:val="003A0707"/>
    <w:rsid w:val="003A09E2"/>
    <w:rsid w:val="003A0C53"/>
    <w:rsid w:val="003A0F50"/>
    <w:rsid w:val="003A2CAF"/>
    <w:rsid w:val="003A33A5"/>
    <w:rsid w:val="003A54BB"/>
    <w:rsid w:val="003B2611"/>
    <w:rsid w:val="003B2E37"/>
    <w:rsid w:val="003B3B53"/>
    <w:rsid w:val="003B6A6B"/>
    <w:rsid w:val="003B72FF"/>
    <w:rsid w:val="003B792B"/>
    <w:rsid w:val="003B7F4F"/>
    <w:rsid w:val="003C0AB7"/>
    <w:rsid w:val="003C0D5F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4F9A"/>
    <w:rsid w:val="003E5390"/>
    <w:rsid w:val="003F2C61"/>
    <w:rsid w:val="003F2EE8"/>
    <w:rsid w:val="003F46CF"/>
    <w:rsid w:val="003F4CCA"/>
    <w:rsid w:val="00403845"/>
    <w:rsid w:val="00407018"/>
    <w:rsid w:val="00410E09"/>
    <w:rsid w:val="004110BF"/>
    <w:rsid w:val="004123D7"/>
    <w:rsid w:val="00413802"/>
    <w:rsid w:val="00413E7B"/>
    <w:rsid w:val="00414CA2"/>
    <w:rsid w:val="00416A4C"/>
    <w:rsid w:val="0042141D"/>
    <w:rsid w:val="004214EA"/>
    <w:rsid w:val="0042152D"/>
    <w:rsid w:val="00423168"/>
    <w:rsid w:val="00423E2A"/>
    <w:rsid w:val="004250D2"/>
    <w:rsid w:val="004259BF"/>
    <w:rsid w:val="00426A43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1F92"/>
    <w:rsid w:val="004446A8"/>
    <w:rsid w:val="00444C32"/>
    <w:rsid w:val="0044542E"/>
    <w:rsid w:val="004541EF"/>
    <w:rsid w:val="00454AB8"/>
    <w:rsid w:val="00454B1A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91DBB"/>
    <w:rsid w:val="00492095"/>
    <w:rsid w:val="004930B5"/>
    <w:rsid w:val="004940A0"/>
    <w:rsid w:val="004940EE"/>
    <w:rsid w:val="004949A9"/>
    <w:rsid w:val="00494D85"/>
    <w:rsid w:val="0049640C"/>
    <w:rsid w:val="0049687D"/>
    <w:rsid w:val="00496A50"/>
    <w:rsid w:val="004A0737"/>
    <w:rsid w:val="004A0ADD"/>
    <w:rsid w:val="004A1272"/>
    <w:rsid w:val="004A12B4"/>
    <w:rsid w:val="004A14CD"/>
    <w:rsid w:val="004A3552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78A"/>
    <w:rsid w:val="004D09A0"/>
    <w:rsid w:val="004D13A9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5D9F"/>
    <w:rsid w:val="0054639F"/>
    <w:rsid w:val="00553D8C"/>
    <w:rsid w:val="005562F4"/>
    <w:rsid w:val="00556956"/>
    <w:rsid w:val="005606BF"/>
    <w:rsid w:val="0056490E"/>
    <w:rsid w:val="0056532C"/>
    <w:rsid w:val="00565818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B16"/>
    <w:rsid w:val="005A1A51"/>
    <w:rsid w:val="005A1EC1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87A"/>
    <w:rsid w:val="005E4341"/>
    <w:rsid w:val="005E6024"/>
    <w:rsid w:val="005E6C08"/>
    <w:rsid w:val="005E7551"/>
    <w:rsid w:val="005F072E"/>
    <w:rsid w:val="005F09E0"/>
    <w:rsid w:val="005F1DA3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5A75"/>
    <w:rsid w:val="00646158"/>
    <w:rsid w:val="0064768C"/>
    <w:rsid w:val="00651C34"/>
    <w:rsid w:val="0065416A"/>
    <w:rsid w:val="006542F9"/>
    <w:rsid w:val="006569DD"/>
    <w:rsid w:val="006570E7"/>
    <w:rsid w:val="0065759A"/>
    <w:rsid w:val="00657D80"/>
    <w:rsid w:val="00660B4D"/>
    <w:rsid w:val="00660D81"/>
    <w:rsid w:val="00662303"/>
    <w:rsid w:val="0066516C"/>
    <w:rsid w:val="00667AE0"/>
    <w:rsid w:val="00671B72"/>
    <w:rsid w:val="00671BAC"/>
    <w:rsid w:val="00674E2D"/>
    <w:rsid w:val="00675C7C"/>
    <w:rsid w:val="00675DE4"/>
    <w:rsid w:val="00676B07"/>
    <w:rsid w:val="00677699"/>
    <w:rsid w:val="00677B0A"/>
    <w:rsid w:val="00682C95"/>
    <w:rsid w:val="00684611"/>
    <w:rsid w:val="00684658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2402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806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9DB"/>
    <w:rsid w:val="006F4F00"/>
    <w:rsid w:val="006F7B9C"/>
    <w:rsid w:val="0070143E"/>
    <w:rsid w:val="0070503A"/>
    <w:rsid w:val="0070729C"/>
    <w:rsid w:val="007077FA"/>
    <w:rsid w:val="00710069"/>
    <w:rsid w:val="00710E1A"/>
    <w:rsid w:val="007114CA"/>
    <w:rsid w:val="007119C9"/>
    <w:rsid w:val="00711CCB"/>
    <w:rsid w:val="007120CC"/>
    <w:rsid w:val="00712B19"/>
    <w:rsid w:val="00720924"/>
    <w:rsid w:val="0072119B"/>
    <w:rsid w:val="00721D54"/>
    <w:rsid w:val="0072255C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78A6"/>
    <w:rsid w:val="00740CCF"/>
    <w:rsid w:val="00744133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370D"/>
    <w:rsid w:val="00764128"/>
    <w:rsid w:val="00766D9C"/>
    <w:rsid w:val="00766EF7"/>
    <w:rsid w:val="007670DE"/>
    <w:rsid w:val="00767753"/>
    <w:rsid w:val="0077059F"/>
    <w:rsid w:val="007709E7"/>
    <w:rsid w:val="00771BF2"/>
    <w:rsid w:val="00772FEE"/>
    <w:rsid w:val="00773E28"/>
    <w:rsid w:val="00774543"/>
    <w:rsid w:val="007763E9"/>
    <w:rsid w:val="0078029A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2E4"/>
    <w:rsid w:val="007A3B0F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7F76C3"/>
    <w:rsid w:val="008008ED"/>
    <w:rsid w:val="00801A0F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23636"/>
    <w:rsid w:val="00823B30"/>
    <w:rsid w:val="008248B5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B12"/>
    <w:rsid w:val="00853E8B"/>
    <w:rsid w:val="00854A24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3BD7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52DA"/>
    <w:rsid w:val="008D7422"/>
    <w:rsid w:val="008D7A19"/>
    <w:rsid w:val="008E2702"/>
    <w:rsid w:val="008E3BA3"/>
    <w:rsid w:val="008E6577"/>
    <w:rsid w:val="008E77C4"/>
    <w:rsid w:val="008F0875"/>
    <w:rsid w:val="008F0C8C"/>
    <w:rsid w:val="008F0F47"/>
    <w:rsid w:val="008F3A08"/>
    <w:rsid w:val="008F41E3"/>
    <w:rsid w:val="008F7F3A"/>
    <w:rsid w:val="009019F0"/>
    <w:rsid w:val="00901C5F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78C3"/>
    <w:rsid w:val="00957FEC"/>
    <w:rsid w:val="009639F9"/>
    <w:rsid w:val="00964FE8"/>
    <w:rsid w:val="00965288"/>
    <w:rsid w:val="00965875"/>
    <w:rsid w:val="00966DFD"/>
    <w:rsid w:val="009678A0"/>
    <w:rsid w:val="00972FB0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BFD"/>
    <w:rsid w:val="009A62F0"/>
    <w:rsid w:val="009A62F8"/>
    <w:rsid w:val="009B0293"/>
    <w:rsid w:val="009B27B8"/>
    <w:rsid w:val="009B4288"/>
    <w:rsid w:val="009B6981"/>
    <w:rsid w:val="009C0D35"/>
    <w:rsid w:val="009C2E2A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D16"/>
    <w:rsid w:val="009D2F12"/>
    <w:rsid w:val="009D2F41"/>
    <w:rsid w:val="009D3AF7"/>
    <w:rsid w:val="009E0D2B"/>
    <w:rsid w:val="009E2308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E39"/>
    <w:rsid w:val="00A00009"/>
    <w:rsid w:val="00A02494"/>
    <w:rsid w:val="00A03524"/>
    <w:rsid w:val="00A03A03"/>
    <w:rsid w:val="00A13700"/>
    <w:rsid w:val="00A13E1F"/>
    <w:rsid w:val="00A14AFA"/>
    <w:rsid w:val="00A16FCD"/>
    <w:rsid w:val="00A204CA"/>
    <w:rsid w:val="00A20798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277C"/>
    <w:rsid w:val="00A737ED"/>
    <w:rsid w:val="00A74486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B0726"/>
    <w:rsid w:val="00AB3B3E"/>
    <w:rsid w:val="00AB46EA"/>
    <w:rsid w:val="00AB49A4"/>
    <w:rsid w:val="00AB62EF"/>
    <w:rsid w:val="00AB677E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E79D3"/>
    <w:rsid w:val="00AF0AA7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FA"/>
    <w:rsid w:val="00B52791"/>
    <w:rsid w:val="00B532E0"/>
    <w:rsid w:val="00B545F6"/>
    <w:rsid w:val="00B54D33"/>
    <w:rsid w:val="00B559D8"/>
    <w:rsid w:val="00B55D3F"/>
    <w:rsid w:val="00B564FF"/>
    <w:rsid w:val="00B65826"/>
    <w:rsid w:val="00B66723"/>
    <w:rsid w:val="00B670B4"/>
    <w:rsid w:val="00B67165"/>
    <w:rsid w:val="00B7168F"/>
    <w:rsid w:val="00B7186A"/>
    <w:rsid w:val="00B72482"/>
    <w:rsid w:val="00B7332F"/>
    <w:rsid w:val="00B74D7C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4DB5"/>
    <w:rsid w:val="00B85682"/>
    <w:rsid w:val="00B86AC0"/>
    <w:rsid w:val="00B872B2"/>
    <w:rsid w:val="00B9100A"/>
    <w:rsid w:val="00B92626"/>
    <w:rsid w:val="00B96438"/>
    <w:rsid w:val="00B969CD"/>
    <w:rsid w:val="00B97C57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F4A20"/>
    <w:rsid w:val="00C00C6D"/>
    <w:rsid w:val="00C00E97"/>
    <w:rsid w:val="00C01F32"/>
    <w:rsid w:val="00C028F3"/>
    <w:rsid w:val="00C02B6B"/>
    <w:rsid w:val="00C054A4"/>
    <w:rsid w:val="00C05B27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6555"/>
    <w:rsid w:val="00CA3C45"/>
    <w:rsid w:val="00CA41CC"/>
    <w:rsid w:val="00CA4A64"/>
    <w:rsid w:val="00CA4B8D"/>
    <w:rsid w:val="00CA4BBA"/>
    <w:rsid w:val="00CA5AB1"/>
    <w:rsid w:val="00CA6B8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D8D"/>
    <w:rsid w:val="00CC3E19"/>
    <w:rsid w:val="00CC4461"/>
    <w:rsid w:val="00CC4712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A50"/>
    <w:rsid w:val="00CF4245"/>
    <w:rsid w:val="00CF47DC"/>
    <w:rsid w:val="00CF58E8"/>
    <w:rsid w:val="00CF65FD"/>
    <w:rsid w:val="00D04756"/>
    <w:rsid w:val="00D04CE6"/>
    <w:rsid w:val="00D061BA"/>
    <w:rsid w:val="00D10A59"/>
    <w:rsid w:val="00D1483F"/>
    <w:rsid w:val="00D14D98"/>
    <w:rsid w:val="00D1675A"/>
    <w:rsid w:val="00D17389"/>
    <w:rsid w:val="00D20968"/>
    <w:rsid w:val="00D26D90"/>
    <w:rsid w:val="00D273B9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529D"/>
    <w:rsid w:val="00D4691C"/>
    <w:rsid w:val="00D46F51"/>
    <w:rsid w:val="00D476BB"/>
    <w:rsid w:val="00D47F33"/>
    <w:rsid w:val="00D47FF3"/>
    <w:rsid w:val="00D50BF1"/>
    <w:rsid w:val="00D51ACC"/>
    <w:rsid w:val="00D52365"/>
    <w:rsid w:val="00D5740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3977"/>
    <w:rsid w:val="00D741CB"/>
    <w:rsid w:val="00D7441E"/>
    <w:rsid w:val="00D7662F"/>
    <w:rsid w:val="00D76C23"/>
    <w:rsid w:val="00D80E3C"/>
    <w:rsid w:val="00D829BA"/>
    <w:rsid w:val="00D82EB2"/>
    <w:rsid w:val="00D849EC"/>
    <w:rsid w:val="00D84E78"/>
    <w:rsid w:val="00D84EAF"/>
    <w:rsid w:val="00D9119E"/>
    <w:rsid w:val="00D915A9"/>
    <w:rsid w:val="00D91D4F"/>
    <w:rsid w:val="00D923E0"/>
    <w:rsid w:val="00D92D19"/>
    <w:rsid w:val="00D93CDC"/>
    <w:rsid w:val="00D94682"/>
    <w:rsid w:val="00D97971"/>
    <w:rsid w:val="00DA00DC"/>
    <w:rsid w:val="00DA7002"/>
    <w:rsid w:val="00DB28EE"/>
    <w:rsid w:val="00DB4445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6C4"/>
    <w:rsid w:val="00E305C3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856B7"/>
    <w:rsid w:val="00E85EF0"/>
    <w:rsid w:val="00E911EA"/>
    <w:rsid w:val="00E9263F"/>
    <w:rsid w:val="00E9297D"/>
    <w:rsid w:val="00E92BC5"/>
    <w:rsid w:val="00E93352"/>
    <w:rsid w:val="00E9414B"/>
    <w:rsid w:val="00E94C32"/>
    <w:rsid w:val="00E9545E"/>
    <w:rsid w:val="00E96262"/>
    <w:rsid w:val="00E9631D"/>
    <w:rsid w:val="00EA0C08"/>
    <w:rsid w:val="00EA1031"/>
    <w:rsid w:val="00EA2D27"/>
    <w:rsid w:val="00EA4307"/>
    <w:rsid w:val="00EA5B50"/>
    <w:rsid w:val="00EA6ACA"/>
    <w:rsid w:val="00EB3A71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1096"/>
    <w:rsid w:val="00ED2E4F"/>
    <w:rsid w:val="00ED44A6"/>
    <w:rsid w:val="00ED5715"/>
    <w:rsid w:val="00ED610A"/>
    <w:rsid w:val="00ED75FB"/>
    <w:rsid w:val="00EE263F"/>
    <w:rsid w:val="00EE281E"/>
    <w:rsid w:val="00EE29BF"/>
    <w:rsid w:val="00EE4103"/>
    <w:rsid w:val="00EE48C1"/>
    <w:rsid w:val="00EE4DA6"/>
    <w:rsid w:val="00EE5677"/>
    <w:rsid w:val="00EE68CF"/>
    <w:rsid w:val="00EE6D7D"/>
    <w:rsid w:val="00EE734D"/>
    <w:rsid w:val="00EE76D8"/>
    <w:rsid w:val="00EF035C"/>
    <w:rsid w:val="00EF15C7"/>
    <w:rsid w:val="00EF2CF4"/>
    <w:rsid w:val="00EF35A1"/>
    <w:rsid w:val="00EF49D1"/>
    <w:rsid w:val="00EF6AC8"/>
    <w:rsid w:val="00EF7BDB"/>
    <w:rsid w:val="00F004A9"/>
    <w:rsid w:val="00F00990"/>
    <w:rsid w:val="00F01F8F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DF3"/>
    <w:rsid w:val="00F37EFC"/>
    <w:rsid w:val="00F40ADD"/>
    <w:rsid w:val="00F41018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A0259"/>
    <w:rsid w:val="00FA0CA1"/>
    <w:rsid w:val="00FA3BEA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C077E"/>
    <w:rsid w:val="00FC0A04"/>
    <w:rsid w:val="00FC1B7D"/>
    <w:rsid w:val="00FC29F0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58C1"/>
    <w:rsid w:val="00FE7E2D"/>
    <w:rsid w:val="00FF0520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27368-312E-4022-8F5B-41697BF0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524</Words>
  <Characters>4062</Characters>
  <Application>Microsoft Office Word</Application>
  <DocSecurity>0</DocSecurity>
  <Lines>1354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2021-10-12T10:04:00Z</cp:lastPrinted>
  <dcterms:created xsi:type="dcterms:W3CDTF">2021-10-21T13:50:00Z</dcterms:created>
  <dcterms:modified xsi:type="dcterms:W3CDTF">2021-10-21T13:50:00Z</dcterms:modified>
</cp:coreProperties>
</file>