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charts/colors1.xml" ContentType="application/vnd.ms-office.chartcolorstyle+xml"/>
  <Override PartName="/word/charts/colors2.xml" ContentType="application/vnd.ms-office.chartcolorstyle+xml"/>
  <Override PartName="/word/charts/style2.xml" ContentType="application/vnd.ms-office.chartstyle+xml"/>
  <Override PartName="/word/charts/chart1.xml" ContentType="application/vnd.openxmlformats-officedocument.drawingml.chart+xml"/>
  <Override PartName="/word/charts/style1.xml" ContentType="application/vnd.ms-office.chartstyle+xml"/>
  <Override PartName="/word/charts/chart2.xml" ContentType="application/vnd.openxmlformats-officedocument.drawingml.chart+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docProps/app.xml" ContentType="application/vnd.openxmlformats-officedocument.extended-properti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glossary/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c="http://schemas.openxmlformats.org/drawingml/2006/char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9294B" w:rsidR="00AF30DD" w:rsidP="00C9294B" w:rsidRDefault="00815BE1" w14:paraId="78A66708" w14:textId="77777777">
      <w:pPr>
        <w:pStyle w:val="RubrikFrslagTIllRiksdagsbeslut"/>
      </w:pPr>
      <w:sdt>
        <w:sdtPr>
          <w:alias w:val="CC_Boilerplate_4"/>
          <w:tag w:val="CC_Boilerplate_4"/>
          <w:id w:val="-1644581176"/>
          <w:lock w:val="sdtLocked"/>
          <w:placeholder>
            <w:docPart w:val="1721DAA521C4475E9DD7E72A406D9D72"/>
          </w:placeholder>
          <w15:appearance w15:val="hidden"/>
          <w:text/>
        </w:sdtPr>
        <w:sdtEndPr/>
        <w:sdtContent>
          <w:r w:rsidRPr="00C9294B" w:rsidR="00AF30DD">
            <w:t>Förslag till riksdagsbeslut</w:t>
          </w:r>
        </w:sdtContent>
      </w:sdt>
    </w:p>
    <w:sdt>
      <w:sdtPr>
        <w:alias w:val="Yrkande 3"/>
        <w:tag w:val="f87f0fde-c51e-4d63-b447-8e7f40ba84f8"/>
        <w:id w:val="-1343161476"/>
        <w:lock w:val="sdtLocked"/>
      </w:sdtPr>
      <w:sdtEndPr/>
      <w:sdtContent>
        <w:p w:rsidR="00744378" w:rsidRDefault="00E84914" w14:paraId="22CB932C" w14:textId="77777777">
          <w:pPr>
            <w:pStyle w:val="Frslagstext"/>
            <w:numPr>
              <w:ilvl w:val="0"/>
              <w:numId w:val="0"/>
            </w:numPr>
          </w:pPr>
          <w:r>
            <w:t>Riksdagen ställer sig bakom det som anförs i motionen om att regeringen bör tillsätta en utredning i syfte att analysera hur skattesystemets utjämnande effekter har utvecklats över tid och tillkännager detta för regeringen.</w:t>
          </w:r>
        </w:p>
      </w:sdtContent>
    </w:sdt>
    <w:bookmarkStart w:name="MotionsStart" w:id="0"/>
    <w:bookmarkEnd w:id="0"/>
    <w:p w:rsidR="00652B73" w:rsidP="00DC2F34" w:rsidRDefault="00815BE1" w14:paraId="76D9BCCC" w14:textId="77777777">
      <w:pPr>
        <w:pStyle w:val="Rubrik1"/>
      </w:pPr>
      <w:sdt>
        <w:sdtPr>
          <w:alias w:val="CC_Motivering_Rubrik"/>
          <w:tag w:val="CC_Motivering_Rubrik"/>
          <w:id w:val="1433397530"/>
          <w:lock w:val="sdtLocked"/>
          <w:placeholder>
            <w:docPart w:val="55F5C264AC174981A238C16FCA0209A9"/>
          </w:placeholder>
          <w15:appearance w15:val="hidden"/>
          <w:text/>
        </w:sdtPr>
        <w:sdtEndPr/>
        <w:sdtContent>
          <w:r w:rsidR="006D79C9">
            <w:t>Motivering</w:t>
          </w:r>
        </w:sdtContent>
      </w:sdt>
    </w:p>
    <w:p w:rsidR="00DC2F34" w:rsidP="00CE2DD3" w:rsidRDefault="00EE620D" w14:paraId="1A2CD8B2" w14:textId="62E64D02">
      <w:pPr>
        <w:pStyle w:val="Normalutanindragellerluft"/>
      </w:pPr>
      <w:r w:rsidRPr="00CE2DD3">
        <w:t xml:space="preserve">Skattesystemets utformning är, tillsammans med socialförsäkringarna </w:t>
      </w:r>
      <w:r w:rsidR="0009633C">
        <w:t>och välfärdstjänsterna, central</w:t>
      </w:r>
      <w:r w:rsidRPr="00CE2DD3">
        <w:t xml:space="preserve"> för ett lands fördelnin</w:t>
      </w:r>
      <w:r w:rsidRPr="00CE2DD3" w:rsidR="00F40D3E">
        <w:t>gspolitiska ambitioner. E</w:t>
      </w:r>
      <w:r w:rsidRPr="00CE2DD3">
        <w:t>n studie från E</w:t>
      </w:r>
      <w:r w:rsidRPr="00CE2DD3" w:rsidR="0009633C">
        <w:t>uromod</w:t>
      </w:r>
      <w:r w:rsidRPr="00CE2DD3">
        <w:t xml:space="preserve"> har </w:t>
      </w:r>
      <w:r w:rsidRPr="00CE2DD3" w:rsidR="00F40D3E">
        <w:t>analyserat skattesystemens omfördelande effekter inom EU</w:t>
      </w:r>
      <w:r w:rsidR="0009633C">
        <w:t>.</w:t>
      </w:r>
      <w:r w:rsidR="005666F0">
        <w:rPr>
          <w:rStyle w:val="Fotnotsreferens"/>
        </w:rPr>
        <w:footnoteReference w:id="1"/>
      </w:r>
      <w:r w:rsidR="00F40D3E">
        <w:t xml:space="preserve"> </w:t>
      </w:r>
      <w:r w:rsidR="00E22BAC">
        <w:t xml:space="preserve">Rapporten </w:t>
      </w:r>
      <w:r w:rsidR="00C00EF4">
        <w:t>har 1999 och 2008</w:t>
      </w:r>
      <w:r w:rsidR="00F40D3E">
        <w:t xml:space="preserve"> </w:t>
      </w:r>
      <w:r w:rsidR="00C00EF4">
        <w:t xml:space="preserve">som jämförelseår och omfattar ländernas direkta skatter (indirekta skatter som t.ex. moms ingår således inte i studien). Analysen visar att </w:t>
      </w:r>
      <w:r>
        <w:t xml:space="preserve">Sverige </w:t>
      </w:r>
      <w:r w:rsidR="00C00EF4">
        <w:t xml:space="preserve">under denna period </w:t>
      </w:r>
      <w:r>
        <w:t xml:space="preserve">gått från att vara ett av de länder vars skattesystem omfördelar mest till att ha </w:t>
      </w:r>
      <w:r w:rsidR="00F40D3E">
        <w:t>det mins</w:t>
      </w:r>
      <w:r w:rsidR="00A10C40">
        <w:t>t</w:t>
      </w:r>
      <w:r w:rsidR="00A36426">
        <w:t xml:space="preserve"> omfördelande skattesystemet inom EU</w:t>
      </w:r>
      <w:r w:rsidR="00A10C40">
        <w:t>:s ”kärnländer”</w:t>
      </w:r>
      <w:r w:rsidR="00A10C40">
        <w:rPr>
          <w:rStyle w:val="Fotnotsreferens"/>
        </w:rPr>
        <w:footnoteReference w:id="2"/>
      </w:r>
      <w:r w:rsidR="005666F0">
        <w:t xml:space="preserve">. </w:t>
      </w:r>
      <w:r w:rsidR="00E22BAC">
        <w:t>Detta är en anmärkningsvärd utveckling. Vad är det då som har orsakat denna utveckling? Rapporten ger inga svar</w:t>
      </w:r>
      <w:r w:rsidR="00E1790A">
        <w:t xml:space="preserve"> på det</w:t>
      </w:r>
      <w:r w:rsidR="00E22BAC">
        <w:t>. Men låt oss gå igenom några av de större förändringar</w:t>
      </w:r>
      <w:r w:rsidR="0009633C">
        <w:t>na</w:t>
      </w:r>
      <w:r w:rsidR="00E22BAC">
        <w:t xml:space="preserve"> på skatteområdet under tidsperioden.</w:t>
      </w:r>
    </w:p>
    <w:p w:rsidRPr="00E22BAC" w:rsidR="00B804D8" w:rsidP="00B804D8" w:rsidRDefault="00E55813" w14:paraId="4581DE6F" w14:textId="6BC77583">
      <w:r>
        <w:lastRenderedPageBreak/>
        <w:t>År 2005 avskaffades såväl arvs- som gåvoskatten, 2007 avskaffades förmögenhetsskatten och 2008 avskaffades fastighetsskatten. Dessa förändringar torde vara en starkt bidragande orsak till att det svenska skattesystemet</w:t>
      </w:r>
      <w:r w:rsidR="00613556">
        <w:t xml:space="preserve">s utjämnande effekter har minskat så markant. </w:t>
      </w:r>
      <w:r w:rsidR="00B804D8">
        <w:t>Sverige är i</w:t>
      </w:r>
      <w:r w:rsidR="0021580B">
        <w:t> </w:t>
      </w:r>
      <w:r w:rsidR="00B804D8">
        <w:t>dag ett ut</w:t>
      </w:r>
      <w:r w:rsidR="0009633C">
        <w:t>av mycket få länder som varken har skatt på arv, gåvor eller</w:t>
      </w:r>
      <w:r w:rsidR="00B804D8">
        <w:t xml:space="preserve"> förmögenheter eller en fastighetsskatt som är kopplad till taxeringsvärdet. </w:t>
      </w:r>
    </w:p>
    <w:p w:rsidR="00DC2F34" w:rsidP="00DC2F34" w:rsidRDefault="00D06E95" w14:paraId="223F23E4" w14:textId="01BFA04E">
      <w:r>
        <w:t xml:space="preserve">Till dessa förändringar ska </w:t>
      </w:r>
      <w:r w:rsidR="00495075">
        <w:t xml:space="preserve">bl.a. </w:t>
      </w:r>
      <w:r>
        <w:t xml:space="preserve">läggas att </w:t>
      </w:r>
      <w:r w:rsidR="00495075">
        <w:t>bolagsskattesatsen har sänkts i flera steg och att skatten på förvärvsinkomster</w:t>
      </w:r>
      <w:r>
        <w:t xml:space="preserve"> </w:t>
      </w:r>
      <w:r w:rsidR="00495075">
        <w:t xml:space="preserve">har sänkts med över 100 miljarder kronor genom de olika jobbskatteavdragen. Dessutom har skattereglerna för delägare </w:t>
      </w:r>
      <w:r w:rsidR="0009633C">
        <w:t>i fåmansföretag (de s.k. 3:12-</w:t>
      </w:r>
      <w:r w:rsidR="00495075">
        <w:t>reglerna) gjorts mer förmånliga</w:t>
      </w:r>
      <w:r w:rsidR="009B68BB">
        <w:t>, vilket framför</w:t>
      </w:r>
      <w:r w:rsidR="0021580B">
        <w:t> </w:t>
      </w:r>
      <w:r w:rsidR="009B68BB">
        <w:t>allt har gynnat</w:t>
      </w:r>
      <w:r w:rsidR="0009633C">
        <w:t xml:space="preserve"> den tiondel av befolkningen som har</w:t>
      </w:r>
      <w:r w:rsidR="009B68BB">
        <w:t xml:space="preserve"> de högsta inkomsterna</w:t>
      </w:r>
      <w:r w:rsidR="00495075">
        <w:t xml:space="preserve">. </w:t>
      </w:r>
      <w:r w:rsidR="00B804D8">
        <w:t xml:space="preserve">Delar av ovan nämnda skatteförändringar har genomförts efter 2008, varför det finns skäl att tro att skattesystemets omfördelande effekter minskat ytterligare. </w:t>
      </w:r>
    </w:p>
    <w:p w:rsidR="00D15E80" w:rsidP="00DC2F34" w:rsidRDefault="00B804D8" w14:paraId="6B5093F4" w14:textId="59E80CB5">
      <w:r>
        <w:t>Den ekonomiska ojämlikheten har ökat i de flesta västländer under de senast</w:t>
      </w:r>
      <w:r w:rsidR="0009633C">
        <w:t>e 25 </w:t>
      </w:r>
      <w:r w:rsidR="00B9379A">
        <w:t xml:space="preserve">åren. Sverige är inget undantag, </w:t>
      </w:r>
      <w:r>
        <w:t>tvärtom. Faktum är att Sverige är det OECD-land där den ekonomiska ojämlikheten öka</w:t>
      </w:r>
      <w:r w:rsidR="0006438B">
        <w:t>t mest sedan mitten av 1980</w:t>
      </w:r>
      <w:r w:rsidR="00CC58A4">
        <w:t>-talet</w:t>
      </w:r>
      <w:r w:rsidR="0006438B">
        <w:rPr>
          <w:rStyle w:val="Fotnotsreferens"/>
        </w:rPr>
        <w:footnoteReference w:id="3"/>
      </w:r>
      <w:r w:rsidR="00CC58A4">
        <w:t>.</w:t>
      </w:r>
      <w:r w:rsidR="001C0A24">
        <w:t xml:space="preserve"> I figuren nedan visas förändringen av de disponibla inkomsterna (</w:t>
      </w:r>
      <w:r w:rsidR="00BD1C94">
        <w:t xml:space="preserve">såväl </w:t>
      </w:r>
      <w:r w:rsidR="001C0A24">
        <w:t xml:space="preserve">inklusive </w:t>
      </w:r>
      <w:r w:rsidR="00BD1C94">
        <w:t xml:space="preserve">som exklusive </w:t>
      </w:r>
      <w:r w:rsidR="001C0A24">
        <w:t>kapitalinkomste</w:t>
      </w:r>
      <w:r w:rsidR="0021580B">
        <w:t>r) per de</w:t>
      </w:r>
      <w:r w:rsidR="00815BE1">
        <w:t xml:space="preserve">cilgrupp mellan 1991 och </w:t>
      </w:r>
      <w:bookmarkStart w:name="_GoBack" w:id="1"/>
      <w:bookmarkEnd w:id="1"/>
      <w:r w:rsidR="001C0A24">
        <w:t xml:space="preserve">2015. </w:t>
      </w:r>
    </w:p>
    <w:p w:rsidRPr="0009633C" w:rsidR="00D15E80" w:rsidP="0009633C" w:rsidRDefault="00D15E80" w14:paraId="0D48E557" w14:textId="4E733BA4">
      <w:pPr>
        <w:pStyle w:val="Tabellrubrik"/>
      </w:pPr>
      <w:r w:rsidRPr="0009633C">
        <w:t>Figur 1 Förändring av disponibel inkomst per k</w:t>
      </w:r>
      <w:r w:rsidRPr="0009633C" w:rsidR="0009633C">
        <w:t>onsumtionsenhet och efter deciler och kapitalvinst, 1991–</w:t>
      </w:r>
      <w:r w:rsidRPr="0009633C">
        <w:t>2015, fasta</w:t>
      </w:r>
      <w:r w:rsidRPr="0009633C" w:rsidR="0009633C">
        <w:t xml:space="preserve"> priser, procentuell förändring</w:t>
      </w:r>
    </w:p>
    <w:p w:rsidR="00D15E80" w:rsidP="00DC2F34" w:rsidRDefault="00D15E80" w14:paraId="4092EB16" w14:textId="77777777">
      <w:r>
        <w:rPr>
          <w:noProof/>
          <w:lang w:eastAsia="sv-SE"/>
          <w14:numSpacing w14:val="default"/>
        </w:rPr>
        <w:lastRenderedPageBreak/>
        <w:drawing>
          <wp:inline distT="0" distB="0" distL="0" distR="0" wp14:anchorId="338B1AFE" wp14:editId="7A975DE8">
            <wp:extent cx="4752975" cy="3079115"/>
            <wp:effectExtent l="0" t="0" r="9525" b="6985"/>
            <wp:docPr id="2" name="Diagram 2"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Pr="00D15E80" w:rsidR="00D15E80" w:rsidP="00DC2F34" w:rsidRDefault="00D15E80" w14:paraId="5F517279" w14:textId="455AF2C8">
      <w:pPr>
        <w:rPr>
          <w:sz w:val="20"/>
          <w:szCs w:val="20"/>
        </w:rPr>
      </w:pPr>
      <w:r>
        <w:rPr>
          <w:sz w:val="20"/>
          <w:szCs w:val="20"/>
        </w:rPr>
        <w:t>Källa: SCB</w:t>
      </w:r>
      <w:r w:rsidR="0009633C">
        <w:rPr>
          <w:sz w:val="20"/>
          <w:szCs w:val="20"/>
        </w:rPr>
        <w:t>.</w:t>
      </w:r>
    </w:p>
    <w:p w:rsidRPr="0009633C" w:rsidR="00B804D8" w:rsidP="0009633C" w:rsidRDefault="001C0A24" w14:paraId="52A170BC" w14:textId="36B9595B">
      <w:pPr>
        <w:pStyle w:val="Normalutanindragellerluft"/>
      </w:pPr>
      <w:r w:rsidRPr="0009633C">
        <w:t xml:space="preserve">Som framgår av diagrammet har inkomsterna i de övre inkomstskikten ökat betydligt mer jämfört med de lägre inkomstskikten. Inkomsterna </w:t>
      </w:r>
      <w:r w:rsidRPr="0009633C" w:rsidR="00BD1C94">
        <w:t xml:space="preserve">(inkl. kapitalvinster) </w:t>
      </w:r>
      <w:r w:rsidRPr="0009633C">
        <w:t xml:space="preserve">i de två översta decilgrupperna har ökat med 72 procent respektive 127 procent under perioden, medan inkomsterna i de två lägsta grupperna </w:t>
      </w:r>
      <w:r w:rsidRPr="0009633C" w:rsidR="00BD1C94">
        <w:t xml:space="preserve">endast </w:t>
      </w:r>
      <w:r w:rsidRPr="0009633C">
        <w:t>har ökat med 25 respektive 35 procent.</w:t>
      </w:r>
      <w:r w:rsidRPr="0009633C" w:rsidR="00587BD6">
        <w:t xml:space="preserve"> Av figuren går det också att utläsa att inkomstskillnaderna ökar betydligt mer när kapitalinkomster ingår i inkomstmåttet. Detta är särskilt ty</w:t>
      </w:r>
      <w:r w:rsidRPr="0009633C" w:rsidR="00276CAD">
        <w:t xml:space="preserve">dligt i de två övre decilierna. </w:t>
      </w:r>
      <w:r w:rsidRPr="0009633C" w:rsidR="0021682D">
        <w:t xml:space="preserve">År 1995 utgjorde kapitalinkomsterna 3 procent av den totala disponibla inkomsten för Sveriges hushåll. </w:t>
      </w:r>
      <w:r w:rsidRPr="0009633C" w:rsidR="00C47EAE">
        <w:t xml:space="preserve">År </w:t>
      </w:r>
      <w:r w:rsidRPr="0009633C" w:rsidR="0021682D">
        <w:t>2015 hade kapitalinkomsterna växt till 15 procent av de disponibla inkomsterna och uppgick sammantaget till 340 miljarder kronor, där över 85 procent av kapitalinkomsterna gick till den tiondel av befolkningen som hade högst inkomst</w:t>
      </w:r>
      <w:r w:rsidR="0009633C">
        <w:t>.</w:t>
      </w:r>
      <w:r w:rsidRPr="0009633C" w:rsidR="0021682D">
        <w:rPr>
          <w:vertAlign w:val="superscript"/>
        </w:rPr>
        <w:footnoteReference w:id="4"/>
      </w:r>
      <w:r w:rsidRPr="0009633C" w:rsidR="0021682D">
        <w:t xml:space="preserve"> </w:t>
      </w:r>
      <w:r w:rsidRPr="0009633C" w:rsidR="0006438B">
        <w:t xml:space="preserve">Det </w:t>
      </w:r>
      <w:r w:rsidRPr="0009633C" w:rsidR="0006438B">
        <w:lastRenderedPageBreak/>
        <w:t xml:space="preserve">förefaller således som att den ökade ojämlikheten till stor del drivits av växande kapitalinkomster hos toppinkomsttagarna. </w:t>
      </w:r>
      <w:r w:rsidRPr="0009633C" w:rsidR="00A02649">
        <w:t xml:space="preserve">Figur 2 nedan visar utvecklingen </w:t>
      </w:r>
      <w:r w:rsidR="0009633C">
        <w:t>av taxerade kapitalvinster 1991–</w:t>
      </w:r>
      <w:r w:rsidRPr="0009633C" w:rsidR="00A02649">
        <w:t xml:space="preserve">2015. I likhet med kapitalinkomsterna har dessa vuxit markant sedan början av 1990-talet. </w:t>
      </w:r>
    </w:p>
    <w:p w:rsidRPr="0009633C" w:rsidR="0021682D" w:rsidP="0009633C" w:rsidRDefault="0021682D" w14:paraId="166EC1E7" w14:textId="014C0DA1">
      <w:pPr>
        <w:pStyle w:val="Tabellrubrik"/>
      </w:pPr>
      <w:r w:rsidRPr="0009633C">
        <w:t>Figur 2</w:t>
      </w:r>
      <w:r w:rsidRPr="0009633C" w:rsidR="0009633C">
        <w:t xml:space="preserve"> Taxerade kapitalinkomster 1991–</w:t>
      </w:r>
      <w:r w:rsidRPr="0009633C">
        <w:t>2015, mdkr</w:t>
      </w:r>
      <w:r w:rsidRPr="0009633C" w:rsidR="003A359F">
        <w:t>, löpande priser</w:t>
      </w:r>
    </w:p>
    <w:p w:rsidR="00A02649" w:rsidP="00DC2F34" w:rsidRDefault="00A02649" w14:paraId="32117A15" w14:textId="035BD5FE">
      <w:r>
        <w:rPr>
          <w:noProof/>
          <w:lang w:eastAsia="sv-SE"/>
          <w14:numSpacing w14:val="default"/>
        </w:rPr>
        <w:drawing>
          <wp:inline distT="0" distB="0" distL="0" distR="0" wp14:anchorId="1BFA931B" wp14:editId="3D8185D2">
            <wp:extent cx="4940497" cy="2898532"/>
            <wp:effectExtent l="0" t="0" r="12700" b="16510"/>
            <wp:docPr id="3" name="Diagram 3"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Pr="0021682D" w:rsidR="00A02649" w:rsidP="00DC2F34" w:rsidRDefault="0021682D" w14:paraId="63855630" w14:textId="77F168A7">
      <w:pPr>
        <w:rPr>
          <w:sz w:val="20"/>
          <w:szCs w:val="20"/>
        </w:rPr>
      </w:pPr>
      <w:r>
        <w:rPr>
          <w:sz w:val="20"/>
          <w:szCs w:val="20"/>
        </w:rPr>
        <w:t>Källa: SCB</w:t>
      </w:r>
      <w:r w:rsidR="001B7677">
        <w:rPr>
          <w:sz w:val="20"/>
          <w:szCs w:val="20"/>
        </w:rPr>
        <w:t>.</w:t>
      </w:r>
    </w:p>
    <w:p w:rsidRPr="001B7677" w:rsidR="00DF0609" w:rsidP="001B7677" w:rsidRDefault="00005A9E" w14:paraId="0D48521F" w14:textId="3BA03228">
      <w:pPr>
        <w:pStyle w:val="Normalutanindragellerluft"/>
      </w:pPr>
      <w:r w:rsidRPr="001B7677">
        <w:t xml:space="preserve">Den ökade ojämlikheten för med sig en rad negativa </w:t>
      </w:r>
      <w:r w:rsidRPr="001B7677" w:rsidR="007C64D8">
        <w:t xml:space="preserve">sociala </w:t>
      </w:r>
      <w:r w:rsidRPr="001B7677">
        <w:t>effekter, alltifrån försämrad folkhälsa</w:t>
      </w:r>
      <w:r w:rsidRPr="001B7677" w:rsidR="007C64D8">
        <w:t xml:space="preserve"> till bristande tillit och </w:t>
      </w:r>
      <w:r w:rsidRPr="001B7677">
        <w:t>lägre valdeltagande. På senare tid har också allt</w:t>
      </w:r>
      <w:r w:rsidRPr="001B7677" w:rsidR="008F473E">
        <w:t xml:space="preserve"> </w:t>
      </w:r>
      <w:r w:rsidRPr="001B7677">
        <w:t>fler ekonomer och institutioner visat att ökad ojämlikhet påverkar den ekonomiska tillväxten negativt.</w:t>
      </w:r>
      <w:r w:rsidRPr="001B7677" w:rsidR="00786994">
        <w:t xml:space="preserve"> OECD uppskattar i en rapport att den ökade ojämlikheten har minskat den sammanlagda BNP-tillväxten med 4,7 procentenheter mellan 1990 och 2010 </w:t>
      </w:r>
      <w:r w:rsidRPr="001B7677" w:rsidR="004235BF">
        <w:t>i en studie över 19 OECD-länder</w:t>
      </w:r>
      <w:r w:rsidR="001B7677">
        <w:t>.</w:t>
      </w:r>
      <w:r w:rsidRPr="001B7677" w:rsidR="004D2EC3">
        <w:rPr>
          <w:vertAlign w:val="superscript"/>
        </w:rPr>
        <w:footnoteReference w:id="5"/>
      </w:r>
      <w:r w:rsidRPr="001B7677" w:rsidR="004235BF">
        <w:t xml:space="preserve"> </w:t>
      </w:r>
      <w:r w:rsidRPr="001B7677" w:rsidR="00786994">
        <w:t>Föga förvånande finner man också ett starkt negativt samband mellan ekonomisk ojämlikhet och social rörlighet.</w:t>
      </w:r>
      <w:r w:rsidRPr="001B7677" w:rsidR="007C64D8">
        <w:t xml:space="preserve"> För Sveriges del finner en annan OECD-studie att den ökade ojämlikheten har minskat den </w:t>
      </w:r>
      <w:r w:rsidRPr="001B7677" w:rsidR="007C64D8">
        <w:lastRenderedPageBreak/>
        <w:t>sammanlagda BNP-tillväxten med hela 7 proc</w:t>
      </w:r>
      <w:r w:rsidRPr="001B7677" w:rsidR="004235BF">
        <w:t>entenheter mellan 1990 och 2010</w:t>
      </w:r>
      <w:r w:rsidR="001B7677">
        <w:t>.</w:t>
      </w:r>
      <w:r w:rsidRPr="001B7677" w:rsidR="007C64D8">
        <w:rPr>
          <w:vertAlign w:val="superscript"/>
        </w:rPr>
        <w:footnoteReference w:id="6"/>
      </w:r>
      <w:r w:rsidRPr="001B7677" w:rsidR="007C64D8">
        <w:t xml:space="preserve"> Även en IMF-rapport finner ett starkt samband mellan ökad </w:t>
      </w:r>
      <w:r w:rsidRPr="001B7677" w:rsidR="006E1D34">
        <w:t>ojämlikhet och minskad</w:t>
      </w:r>
      <w:r w:rsidRPr="001B7677" w:rsidR="004235BF">
        <w:t xml:space="preserve"> tillväxt</w:t>
      </w:r>
      <w:r w:rsidR="001B7677">
        <w:t>.</w:t>
      </w:r>
      <w:r w:rsidRPr="001B7677" w:rsidR="007C64D8">
        <w:rPr>
          <w:vertAlign w:val="superscript"/>
        </w:rPr>
        <w:footnoteReference w:id="7"/>
      </w:r>
    </w:p>
    <w:p w:rsidRPr="009E7A98" w:rsidR="00CF0683" w:rsidP="00DC2F34" w:rsidRDefault="007C64D8" w14:paraId="2A832B35" w14:textId="1ED5EE2E">
      <w:r>
        <w:t>Sammanfattningsvis kan vi konstatera att Sverige är det land där den ekonomiska ojämlikheten ökat mest s</w:t>
      </w:r>
      <w:r w:rsidR="00861064">
        <w:t>edan mitten av 1980-talet. V</w:t>
      </w:r>
      <w:r>
        <w:t>i betalar ett pris för den ökade ojämlikheten, såväl socialt som i form a</w:t>
      </w:r>
      <w:r w:rsidR="00861064">
        <w:t xml:space="preserve">v lägre ekonomisk tillväxt. </w:t>
      </w:r>
      <w:r>
        <w:t xml:space="preserve">Sverige </w:t>
      </w:r>
      <w:r w:rsidR="00861064">
        <w:t xml:space="preserve">har </w:t>
      </w:r>
      <w:r>
        <w:t>gått från att vara ett land med ett utjämnande skattesystem till det land inom EU-</w:t>
      </w:r>
      <w:r w:rsidR="001B7677">
        <w:t>15 som har</w:t>
      </w:r>
      <w:r>
        <w:t xml:space="preserve"> det minst utjämnande skattesystemet. </w:t>
      </w:r>
      <w:r w:rsidRPr="009E7A98" w:rsidR="00CF0683">
        <w:t>Sverige bör ha ett skattesystem som bidrar till en ekonomi som är bra för all</w:t>
      </w:r>
      <w:r w:rsidRPr="009E7A98" w:rsidR="00A22FB0">
        <w:t>a</w:t>
      </w:r>
      <w:r w:rsidRPr="009E7A98" w:rsidR="00CF0683">
        <w:t>, inte bara några få.</w:t>
      </w:r>
    </w:p>
    <w:p w:rsidR="009E7A98" w:rsidP="00861064" w:rsidRDefault="00CF0683" w14:paraId="051D4FB9" w14:textId="2873BCFF">
      <w:r w:rsidRPr="009E7A98">
        <w:t xml:space="preserve">Mot </w:t>
      </w:r>
      <w:r w:rsidRPr="009E7A98" w:rsidR="007C64D8">
        <w:t xml:space="preserve">bakgrund </w:t>
      </w:r>
      <w:r w:rsidRPr="009E7A98">
        <w:t xml:space="preserve">av det ovan anförda </w:t>
      </w:r>
      <w:r w:rsidRPr="009E7A98" w:rsidR="007C64D8">
        <w:t>bör regeringen til</w:t>
      </w:r>
      <w:r w:rsidR="007C64D8">
        <w:t>lsätt</w:t>
      </w:r>
      <w:r w:rsidR="009B68BB">
        <w:t xml:space="preserve">a en utredning i syfte att </w:t>
      </w:r>
      <w:r w:rsidR="007C64D8">
        <w:t xml:space="preserve">analysera </w:t>
      </w:r>
      <w:r w:rsidR="009B68BB">
        <w:t xml:space="preserve">hur </w:t>
      </w:r>
      <w:r w:rsidR="007C64D8">
        <w:t>skatt</w:t>
      </w:r>
      <w:r w:rsidR="009B68BB">
        <w:t>esystemets utjämnande effekter utvecklats över tid</w:t>
      </w:r>
      <w:r w:rsidRPr="007C64D8" w:rsidR="007C64D8">
        <w:t>.</w:t>
      </w:r>
      <w:r w:rsidR="00861064">
        <w:t xml:space="preserve"> Detta bör riksdagen ställa sig bakom och ge regeringen till känna. </w:t>
      </w:r>
    </w:p>
    <w:p w:rsidRPr="00DC2F34" w:rsidR="001B7677" w:rsidP="00861064" w:rsidRDefault="001B7677" w14:paraId="7B263A74" w14:textId="77777777"/>
    <w:sdt>
      <w:sdtPr>
        <w:alias w:val="CC_Underskrifter"/>
        <w:tag w:val="CC_Underskrifter"/>
        <w:id w:val="583496634"/>
        <w:lock w:val="sdtContentLocked"/>
        <w:placeholder>
          <w:docPart w:val="B6F8FD0CC1AE4B92B8DD986D67987B30"/>
        </w:placeholder>
        <w15:appearance w15:val="hidden"/>
      </w:sdtPr>
      <w:sdtEndPr/>
      <w:sdtContent>
        <w:p w:rsidR="004801AC" w:rsidP="00E41CA5" w:rsidRDefault="00815BE1" w14:paraId="508819E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Momodou Jallow (V)</w:t>
            </w:r>
          </w:p>
        </w:tc>
        <w:tc>
          <w:tcPr>
            <w:tcW w:w="50" w:type="pct"/>
            <w:vAlign w:val="bottom"/>
          </w:tcPr>
          <w:p>
            <w:pPr>
              <w:pStyle w:val="Underskrifter"/>
            </w:pPr>
            <w:r>
              <w:t> </w:t>
            </w:r>
          </w:p>
        </w:tc>
      </w:tr>
      <w:tr>
        <w:trPr>
          <w:cantSplit/>
        </w:trPr>
        <w:tc>
          <w:tcPr>
            <w:tcW w:w="50" w:type="pct"/>
            <w:vAlign w:val="bottom"/>
          </w:tcPr>
          <w:p>
            <w:pPr>
              <w:pStyle w:val="Underskrifter"/>
            </w:pPr>
            <w:r>
              <w:t>Ulla Andersson (V)</w:t>
            </w:r>
          </w:p>
        </w:tc>
        <w:tc>
          <w:tcPr>
            <w:tcW w:w="50" w:type="pct"/>
            <w:vAlign w:val="bottom"/>
          </w:tcPr>
          <w:p>
            <w:pPr>
              <w:pStyle w:val="Underskrifter"/>
            </w:pPr>
            <w:r>
              <w:t>Ali Esbati (V)</w:t>
            </w:r>
          </w:p>
        </w:tc>
      </w:tr>
      <w:tr>
        <w:trPr>
          <w:cantSplit/>
        </w:trPr>
        <w:tc>
          <w:tcPr>
            <w:tcW w:w="50" w:type="pct"/>
            <w:vAlign w:val="bottom"/>
          </w:tcPr>
          <w:p>
            <w:pPr>
              <w:pStyle w:val="Underskrifter"/>
            </w:pPr>
            <w:r>
              <w:t>Christina Höj Larsen (V)</w:t>
            </w:r>
          </w:p>
        </w:tc>
        <w:tc>
          <w:tcPr>
            <w:tcW w:w="50" w:type="pct"/>
            <w:vAlign w:val="bottom"/>
          </w:tcPr>
          <w:p>
            <w:pPr>
              <w:pStyle w:val="Underskrifter"/>
            </w:pPr>
            <w:r>
              <w:t>Wiwi-Anne Johansson (V)</w:t>
            </w:r>
          </w:p>
        </w:tc>
      </w:tr>
      <w:tr>
        <w:trPr>
          <w:cantSplit/>
        </w:trPr>
        <w:tc>
          <w:tcPr>
            <w:tcW w:w="50" w:type="pct"/>
            <w:vAlign w:val="bottom"/>
          </w:tcPr>
          <w:p>
            <w:pPr>
              <w:pStyle w:val="Underskrifter"/>
            </w:pPr>
            <w:r>
              <w:t>Daniel Riazat (V)</w:t>
            </w:r>
          </w:p>
        </w:tc>
        <w:tc>
          <w:tcPr>
            <w:tcW w:w="50" w:type="pct"/>
            <w:vAlign w:val="bottom"/>
          </w:tcPr>
          <w:p>
            <w:pPr>
              <w:pStyle w:val="Underskrifter"/>
            </w:pPr>
            <w:r>
              <w:t> </w:t>
            </w:r>
          </w:p>
        </w:tc>
      </w:tr>
    </w:tbl>
    <w:p w:rsidR="003A19FC" w:rsidRDefault="003A19FC" w14:paraId="45B6970D" w14:textId="77777777"/>
    <w:sectPr w:rsidR="003A19FC" w:rsidSect="00C16A70">
      <w:headerReference w:type="even" r:id="rId14"/>
      <w:headerReference w:type="default" r:id="rId15"/>
      <w:footerReference w:type="even" r:id="rId16"/>
      <w:footerReference w:type="default" r:id="rId17"/>
      <w:head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250B28" w14:textId="77777777" w:rsidR="00DC2F34" w:rsidRDefault="00DC2F34" w:rsidP="000C1CAD">
      <w:pPr>
        <w:spacing w:line="240" w:lineRule="auto"/>
      </w:pPr>
      <w:r>
        <w:separator/>
      </w:r>
    </w:p>
  </w:endnote>
  <w:endnote w:type="continuationSeparator" w:id="0">
    <w:p w14:paraId="6C3D91FA" w14:textId="77777777" w:rsidR="00DC2F34" w:rsidRDefault="00DC2F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06206" w14:textId="77777777" w:rsidR="00A060BB" w:rsidRDefault="00A060B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1EF76" w14:textId="7B1B7F33" w:rsidR="00A060BB" w:rsidRDefault="00A060B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15BE1">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2CF4C7" w14:textId="77777777" w:rsidR="00DC2F34" w:rsidRDefault="00DC2F34" w:rsidP="000C1CAD">
      <w:pPr>
        <w:spacing w:line="240" w:lineRule="auto"/>
      </w:pPr>
      <w:r>
        <w:separator/>
      </w:r>
    </w:p>
  </w:footnote>
  <w:footnote w:type="continuationSeparator" w:id="0">
    <w:p w14:paraId="4C0C2DC1" w14:textId="77777777" w:rsidR="00DC2F34" w:rsidRDefault="00DC2F34" w:rsidP="000C1CAD">
      <w:pPr>
        <w:spacing w:line="240" w:lineRule="auto"/>
      </w:pPr>
      <w:r>
        <w:continuationSeparator/>
      </w:r>
    </w:p>
  </w:footnote>
  <w:footnote w:id="1">
    <w:p w14:paraId="2D603080" w14:textId="303F7639" w:rsidR="005666F0" w:rsidRDefault="005666F0">
      <w:pPr>
        <w:pStyle w:val="Fotnotstext"/>
      </w:pPr>
      <w:r>
        <w:rPr>
          <w:rStyle w:val="Fotnotsreferens"/>
        </w:rPr>
        <w:footnoteRef/>
      </w:r>
      <w:r w:rsidRPr="00E84914">
        <w:rPr>
          <w:lang w:val="en-GB"/>
        </w:rPr>
        <w:t xml:space="preserve"> Verbist, G</w:t>
      </w:r>
      <w:r w:rsidR="0009633C">
        <w:rPr>
          <w:lang w:val="en-GB"/>
        </w:rPr>
        <w:t>.</w:t>
      </w:r>
      <w:r w:rsidRPr="00E84914">
        <w:rPr>
          <w:lang w:val="en-GB"/>
        </w:rPr>
        <w:t xml:space="preserve"> &amp; Figari, F. (2014), ”The redistributive effect and progressivity of taxes revisited: An International Comparison across the European Union”, EUROMOD Working Paper No. </w:t>
      </w:r>
      <w:r>
        <w:t>EM 6/14.</w:t>
      </w:r>
    </w:p>
  </w:footnote>
  <w:footnote w:id="2">
    <w:p w14:paraId="5E3174BE" w14:textId="77777777" w:rsidR="00A10C40" w:rsidRDefault="00A10C40">
      <w:pPr>
        <w:pStyle w:val="Fotnotstext"/>
      </w:pPr>
      <w:r>
        <w:rPr>
          <w:rStyle w:val="Fotnotsreferens"/>
        </w:rPr>
        <w:footnoteRef/>
      </w:r>
      <w:r>
        <w:t xml:space="preserve"> Studien omfattar de 15 länder som ingick i EU 1998.</w:t>
      </w:r>
    </w:p>
  </w:footnote>
  <w:footnote w:id="3">
    <w:p w14:paraId="2A58797D" w14:textId="0498639E" w:rsidR="0006438B" w:rsidRDefault="0006438B">
      <w:pPr>
        <w:pStyle w:val="Fotnotstext"/>
      </w:pPr>
      <w:r>
        <w:rPr>
          <w:rStyle w:val="Fotnotsreferens"/>
        </w:rPr>
        <w:footnoteRef/>
      </w:r>
      <w:r>
        <w:t xml:space="preserve"> OECD (2015), ”In It Together – Why Less Inequality Benefits All”.</w:t>
      </w:r>
      <w:r w:rsidR="00AC09E0">
        <w:t xml:space="preserve"> Jämförelseåren i studien är 1985 och 2013 (eller det senaste</w:t>
      </w:r>
      <w:r w:rsidR="0009633C">
        <w:t xml:space="preserve"> året då data finns tillgängliga</w:t>
      </w:r>
      <w:r w:rsidR="00AC09E0">
        <w:t>).</w:t>
      </w:r>
    </w:p>
  </w:footnote>
  <w:footnote w:id="4">
    <w:p w14:paraId="1F39696F" w14:textId="2EA5FD15" w:rsidR="0021682D" w:rsidRDefault="0021682D" w:rsidP="0021682D">
      <w:pPr>
        <w:pStyle w:val="Fotnotstext"/>
      </w:pPr>
      <w:r>
        <w:rPr>
          <w:rStyle w:val="Fotnotsreferens"/>
        </w:rPr>
        <w:footnoteRef/>
      </w:r>
      <w:r>
        <w:t xml:space="preserve"> </w:t>
      </w:r>
      <w:r w:rsidRPr="00DF0609">
        <w:t>http://www.scb.se/hitta-statistik/statistik-efter-amne/hushallens-ekonomi/inkomster-och-inkomstfordelning/inkomster-och-skatter/pong/statistiknyhet/slutliga-inkomster-och-skatter-2015/</w:t>
      </w:r>
      <w:r w:rsidR="001B7677">
        <w:t>.</w:t>
      </w:r>
    </w:p>
  </w:footnote>
  <w:footnote w:id="5">
    <w:p w14:paraId="788E8390" w14:textId="77777777" w:rsidR="004D2EC3" w:rsidRPr="00E84914" w:rsidRDefault="004D2EC3">
      <w:pPr>
        <w:pStyle w:val="Fotnotstext"/>
        <w:rPr>
          <w:lang w:val="en-GB"/>
        </w:rPr>
      </w:pPr>
      <w:r>
        <w:rPr>
          <w:rStyle w:val="Fotnotsreferens"/>
        </w:rPr>
        <w:footnoteRef/>
      </w:r>
      <w:r w:rsidRPr="00E84914">
        <w:rPr>
          <w:lang w:val="en-GB"/>
        </w:rPr>
        <w:t xml:space="preserve"> OECD (2015), ”In It Together – Why Less Inequality Benefits All”.</w:t>
      </w:r>
    </w:p>
  </w:footnote>
  <w:footnote w:id="6">
    <w:p w14:paraId="0E5A2D04" w14:textId="0E425783" w:rsidR="007C64D8" w:rsidRPr="00E84914" w:rsidRDefault="007C64D8">
      <w:pPr>
        <w:pStyle w:val="Fotnotstext"/>
        <w:rPr>
          <w:lang w:val="en-GB"/>
        </w:rPr>
      </w:pPr>
      <w:r>
        <w:rPr>
          <w:rStyle w:val="Fotnotsreferens"/>
        </w:rPr>
        <w:footnoteRef/>
      </w:r>
      <w:r w:rsidRPr="00E84914">
        <w:rPr>
          <w:lang w:val="en-GB"/>
        </w:rPr>
        <w:t xml:space="preserve"> Cingano, F. (2014), ”Trends i</w:t>
      </w:r>
      <w:r w:rsidR="001B7677">
        <w:rPr>
          <w:lang w:val="en-GB"/>
        </w:rPr>
        <w:t>n</w:t>
      </w:r>
      <w:r w:rsidRPr="00E84914">
        <w:rPr>
          <w:lang w:val="en-GB"/>
        </w:rPr>
        <w:t xml:space="preserve"> Income Inequality and its Impact on Economic Growth”. OECD Social, Employment and Migration Working Papers No. 163.</w:t>
      </w:r>
    </w:p>
  </w:footnote>
  <w:footnote w:id="7">
    <w:p w14:paraId="347DB61D" w14:textId="77777777" w:rsidR="007C64D8" w:rsidRPr="00E84914" w:rsidRDefault="007C64D8">
      <w:pPr>
        <w:pStyle w:val="Fotnotstext"/>
        <w:rPr>
          <w:lang w:val="en-GB"/>
        </w:rPr>
      </w:pPr>
      <w:r>
        <w:rPr>
          <w:rStyle w:val="Fotnotsreferens"/>
        </w:rPr>
        <w:footnoteRef/>
      </w:r>
      <w:r w:rsidRPr="00E84914">
        <w:rPr>
          <w:lang w:val="en-GB"/>
        </w:rPr>
        <w:t xml:space="preserve"> Ostry, J. D., A. Berg &amp; C. G. Tsangarides (2014), ”Redistribution, Inequality, and Growth”, IMF Staff Discussion Note.</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776B74" w:rsidRDefault="00A060BB" w14:paraId="187C76F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193DAE" wp14:anchorId="4BB3F7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060BB" w:rsidP="008103B5" w:rsidRDefault="00815BE1" w14:paraId="4DF7E320" w14:textId="77777777">
                          <w:pPr>
                            <w:jc w:val="right"/>
                          </w:pPr>
                          <w:sdt>
                            <w:sdtPr>
                              <w:alias w:val="CC_Noformat_Partikod"/>
                              <w:tag w:val="CC_Noformat_Partikod"/>
                              <w:id w:val="-53464382"/>
                              <w:placeholder>
                                <w:docPart w:val="383D0DE4D6874134B60D080025CF6142"/>
                              </w:placeholder>
                              <w:text/>
                            </w:sdtPr>
                            <w:sdtEndPr/>
                            <w:sdtContent>
                              <w:r w:rsidR="00DC2F34">
                                <w:t>V</w:t>
                              </w:r>
                            </w:sdtContent>
                          </w:sdt>
                          <w:sdt>
                            <w:sdtPr>
                              <w:alias w:val="CC_Noformat_Partinummer"/>
                              <w:tag w:val="CC_Noformat_Partinummer"/>
                              <w:id w:val="-1709555926"/>
                              <w:placeholder>
                                <w:docPart w:val="2290C9D5C495436F9CAE5C1B88C25B03"/>
                              </w:placeholder>
                              <w:text/>
                            </w:sdtPr>
                            <w:sdtEndPr/>
                            <w:sdtContent>
                              <w:r w:rsidR="009E7A98">
                                <w:t>621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BB3F70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060BB" w:rsidP="008103B5" w:rsidRDefault="001B7677" w14:paraId="4DF7E320" w14:textId="77777777">
                    <w:pPr>
                      <w:jc w:val="right"/>
                    </w:pPr>
                    <w:sdt>
                      <w:sdtPr>
                        <w:alias w:val="CC_Noformat_Partikod"/>
                        <w:tag w:val="CC_Noformat_Partikod"/>
                        <w:id w:val="-53464382"/>
                        <w:placeholder>
                          <w:docPart w:val="383D0DE4D6874134B60D080025CF6142"/>
                        </w:placeholder>
                        <w:text/>
                      </w:sdtPr>
                      <w:sdtEndPr/>
                      <w:sdtContent>
                        <w:r w:rsidR="00DC2F34">
                          <w:t>V</w:t>
                        </w:r>
                      </w:sdtContent>
                    </w:sdt>
                    <w:sdt>
                      <w:sdtPr>
                        <w:alias w:val="CC_Noformat_Partinummer"/>
                        <w:tag w:val="CC_Noformat_Partinummer"/>
                        <w:id w:val="-1709555926"/>
                        <w:placeholder>
                          <w:docPart w:val="2290C9D5C495436F9CAE5C1B88C25B03"/>
                        </w:placeholder>
                        <w:text/>
                      </w:sdtPr>
                      <w:sdtEndPr/>
                      <w:sdtContent>
                        <w:r w:rsidR="009E7A98">
                          <w:t>621</w:t>
                        </w:r>
                      </w:sdtContent>
                    </w:sdt>
                  </w:p>
                </w:txbxContent>
              </v:textbox>
              <w10:wrap anchorx="page"/>
            </v:shape>
          </w:pict>
        </mc:Fallback>
      </mc:AlternateContent>
    </w:r>
  </w:p>
  <w:p w:rsidRPr="00293C4F" w:rsidR="00A060BB" w:rsidP="00776B74" w:rsidRDefault="00A060BB" w14:paraId="79EDDA9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815BE1" w14:paraId="62D73FB6" w14:textId="77777777">
    <w:pPr>
      <w:jc w:val="right"/>
    </w:pPr>
    <w:sdt>
      <w:sdtPr>
        <w:alias w:val="CC_Noformat_Partikod"/>
        <w:tag w:val="CC_Noformat_Partikod"/>
        <w:id w:val="559911109"/>
        <w:placeholder>
          <w:docPart w:val="2290C9D5C495436F9CAE5C1B88C25B03"/>
        </w:placeholder>
        <w:text/>
      </w:sdtPr>
      <w:sdtEndPr/>
      <w:sdtContent>
        <w:r w:rsidR="00DC2F34">
          <w:t>V</w:t>
        </w:r>
      </w:sdtContent>
    </w:sdt>
    <w:sdt>
      <w:sdtPr>
        <w:alias w:val="CC_Noformat_Partinummer"/>
        <w:tag w:val="CC_Noformat_Partinummer"/>
        <w:id w:val="1197820850"/>
        <w:text/>
      </w:sdtPr>
      <w:sdtEndPr/>
      <w:sdtContent>
        <w:r w:rsidR="009E7A98">
          <w:t>621</w:t>
        </w:r>
      </w:sdtContent>
    </w:sdt>
  </w:p>
  <w:p w:rsidR="00A060BB" w:rsidP="00776B74" w:rsidRDefault="00A060BB" w14:paraId="76B40E1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815BE1" w14:paraId="781860C1" w14:textId="77777777">
    <w:pPr>
      <w:jc w:val="right"/>
    </w:pPr>
    <w:sdt>
      <w:sdtPr>
        <w:alias w:val="CC_Noformat_Partikod"/>
        <w:tag w:val="CC_Noformat_Partikod"/>
        <w:id w:val="1471015553"/>
        <w:text/>
      </w:sdtPr>
      <w:sdtEndPr/>
      <w:sdtContent>
        <w:r w:rsidR="00DC2F34">
          <w:t>V</w:t>
        </w:r>
      </w:sdtContent>
    </w:sdt>
    <w:sdt>
      <w:sdtPr>
        <w:alias w:val="CC_Noformat_Partinummer"/>
        <w:tag w:val="CC_Noformat_Partinummer"/>
        <w:id w:val="-2014525982"/>
        <w:text/>
      </w:sdtPr>
      <w:sdtEndPr/>
      <w:sdtContent>
        <w:r w:rsidR="009E7A98">
          <w:t>621</w:t>
        </w:r>
      </w:sdtContent>
    </w:sdt>
  </w:p>
  <w:p w:rsidR="00A060BB" w:rsidP="00A314CF" w:rsidRDefault="00815BE1" w14:paraId="5A44C65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A060BB" w:rsidP="008227B3" w:rsidRDefault="00815BE1" w14:paraId="1B791B85" w14:textId="77777777">
    <w:pPr>
      <w:pStyle w:val="MotionTIllRiksdagen"/>
    </w:pPr>
    <w:sdt>
      <w:sdtPr>
        <w:alias w:val="CC_Boilerplate_1"/>
        <w:tag w:val="CC_Boilerplate_1"/>
        <w:id w:val="2134750458"/>
        <w:lock w:val="sdtContentLocked"/>
        <w15:appearance w15:val="hidden"/>
        <w:text/>
      </w:sdtPr>
      <w:sdtEndPr/>
      <w:sdtContent>
        <w:r w:rsidRPr="008227B3" w:rsidR="00A060BB">
          <w:t>Motion till riksdagen </w:t>
        </w:r>
      </w:sdtContent>
    </w:sdt>
  </w:p>
  <w:p w:rsidRPr="008227B3" w:rsidR="00A060BB" w:rsidP="00B37A37" w:rsidRDefault="00815BE1" w14:paraId="10218E1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:1147</w:t>
        </w:r>
      </w:sdtContent>
    </w:sdt>
  </w:p>
  <w:p w:rsidR="00A060BB" w:rsidP="00E03A3D" w:rsidRDefault="00815BE1" w14:paraId="7254DAD9" w14:textId="77777777">
    <w:pPr>
      <w:pStyle w:val="Motionr"/>
    </w:pPr>
    <w:sdt>
      <w:sdtPr>
        <w:alias w:val="CC_Noformat_Avtext"/>
        <w:tag w:val="CC_Noformat_Avtext"/>
        <w:id w:val="-2020768203"/>
        <w:lock w:val="sdtContentLocked"/>
        <w15:appearance w15:val="hidden"/>
        <w:text/>
      </w:sdtPr>
      <w:sdtEndPr/>
      <w:sdtContent>
        <w:r>
          <w:t>av Momodou Jallow m.fl. (V)</w:t>
        </w:r>
      </w:sdtContent>
    </w:sdt>
  </w:p>
  <w:sdt>
    <w:sdtPr>
      <w:alias w:val="CC_Noformat_Rubtext"/>
      <w:tag w:val="CC_Noformat_Rubtext"/>
      <w:id w:val="-218060500"/>
      <w:lock w:val="sdtLocked"/>
      <w15:appearance w15:val="hidden"/>
      <w:text/>
    </w:sdtPr>
    <w:sdtEndPr/>
    <w:sdtContent>
      <w:p w:rsidR="00A060BB" w:rsidP="00283E0F" w:rsidRDefault="00DC2F34" w14:paraId="3C5CB683" w14:textId="77777777">
        <w:pPr>
          <w:pStyle w:val="FSHRub2"/>
        </w:pPr>
        <w:r>
          <w:t>Utred skattesystemets omfördelande effekter</w:t>
        </w:r>
      </w:p>
    </w:sdtContent>
  </w:sdt>
  <w:sdt>
    <w:sdtPr>
      <w:alias w:val="CC_Boilerplate_3"/>
      <w:tag w:val="CC_Boilerplate_3"/>
      <w:id w:val="1606463544"/>
      <w:lock w:val="sdtContentLocked"/>
      <w15:appearance w15:val="hidden"/>
      <w:text w:multiLine="1"/>
    </w:sdtPr>
    <w:sdtEndPr/>
    <w:sdtContent>
      <w:p w:rsidR="00A060BB" w:rsidP="00283E0F" w:rsidRDefault="00A060BB" w14:paraId="4BD286D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F34"/>
    <w:rsid w:val="000000E0"/>
    <w:rsid w:val="00000761"/>
    <w:rsid w:val="000008FB"/>
    <w:rsid w:val="000014AF"/>
    <w:rsid w:val="000030B6"/>
    <w:rsid w:val="00003CCB"/>
    <w:rsid w:val="00004250"/>
    <w:rsid w:val="00005A9E"/>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05A0"/>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438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9633C"/>
    <w:rsid w:val="000A1014"/>
    <w:rsid w:val="000A19A5"/>
    <w:rsid w:val="000A1D1D"/>
    <w:rsid w:val="000A2547"/>
    <w:rsid w:val="000A3770"/>
    <w:rsid w:val="000A3A14"/>
    <w:rsid w:val="000A52B8"/>
    <w:rsid w:val="000A61A1"/>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6943"/>
    <w:rsid w:val="000F7BDA"/>
    <w:rsid w:val="00100EC4"/>
    <w:rsid w:val="001020F3"/>
    <w:rsid w:val="00102143"/>
    <w:rsid w:val="00102980"/>
    <w:rsid w:val="00104ACE"/>
    <w:rsid w:val="0010544C"/>
    <w:rsid w:val="00105589"/>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64A1"/>
    <w:rsid w:val="0013692B"/>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677"/>
    <w:rsid w:val="001B7753"/>
    <w:rsid w:val="001C0A24"/>
    <w:rsid w:val="001C2470"/>
    <w:rsid w:val="001C5944"/>
    <w:rsid w:val="001C756B"/>
    <w:rsid w:val="001C774A"/>
    <w:rsid w:val="001D0E3E"/>
    <w:rsid w:val="001D2FF1"/>
    <w:rsid w:val="001D3EE8"/>
    <w:rsid w:val="001D4A9A"/>
    <w:rsid w:val="001D5A93"/>
    <w:rsid w:val="001D5C51"/>
    <w:rsid w:val="001D6A7A"/>
    <w:rsid w:val="001D79F1"/>
    <w:rsid w:val="001D7E6D"/>
    <w:rsid w:val="001E000C"/>
    <w:rsid w:val="001E1962"/>
    <w:rsid w:val="001E1C98"/>
    <w:rsid w:val="001E1ECB"/>
    <w:rsid w:val="001E2120"/>
    <w:rsid w:val="001E2474"/>
    <w:rsid w:val="001E25EB"/>
    <w:rsid w:val="001E4A86"/>
    <w:rsid w:val="001F22DC"/>
    <w:rsid w:val="001F369D"/>
    <w:rsid w:val="001F3FA8"/>
    <w:rsid w:val="001F4293"/>
    <w:rsid w:val="001F5A5C"/>
    <w:rsid w:val="001F6E2C"/>
    <w:rsid w:val="00200B9A"/>
    <w:rsid w:val="00200BAB"/>
    <w:rsid w:val="002013EA"/>
    <w:rsid w:val="00201655"/>
    <w:rsid w:val="00202D08"/>
    <w:rsid w:val="002032E3"/>
    <w:rsid w:val="00203C39"/>
    <w:rsid w:val="002048F3"/>
    <w:rsid w:val="00206041"/>
    <w:rsid w:val="0020768B"/>
    <w:rsid w:val="00207EDF"/>
    <w:rsid w:val="0021239A"/>
    <w:rsid w:val="00212A8C"/>
    <w:rsid w:val="00213E34"/>
    <w:rsid w:val="002140EF"/>
    <w:rsid w:val="00215274"/>
    <w:rsid w:val="0021580B"/>
    <w:rsid w:val="00215AD1"/>
    <w:rsid w:val="00215FE8"/>
    <w:rsid w:val="002166EB"/>
    <w:rsid w:val="0021682D"/>
    <w:rsid w:val="00216C56"/>
    <w:rsid w:val="00223315"/>
    <w:rsid w:val="00223328"/>
    <w:rsid w:val="00225404"/>
    <w:rsid w:val="002257F5"/>
    <w:rsid w:val="0023042C"/>
    <w:rsid w:val="00232D3A"/>
    <w:rsid w:val="00233501"/>
    <w:rsid w:val="002336C7"/>
    <w:rsid w:val="00237A4F"/>
    <w:rsid w:val="00237EA6"/>
    <w:rsid w:val="00242295"/>
    <w:rsid w:val="00242A12"/>
    <w:rsid w:val="00242E25"/>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6CAD"/>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4E63"/>
    <w:rsid w:val="0029533F"/>
    <w:rsid w:val="00296108"/>
    <w:rsid w:val="002A0F24"/>
    <w:rsid w:val="002A1626"/>
    <w:rsid w:val="002A1670"/>
    <w:rsid w:val="002A1FE8"/>
    <w:rsid w:val="002A2EA1"/>
    <w:rsid w:val="002A3955"/>
    <w:rsid w:val="002A3C6C"/>
    <w:rsid w:val="002A3EE7"/>
    <w:rsid w:val="002A5523"/>
    <w:rsid w:val="002A63C7"/>
    <w:rsid w:val="002A7737"/>
    <w:rsid w:val="002B2021"/>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2F9E"/>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27521"/>
    <w:rsid w:val="00333E95"/>
    <w:rsid w:val="00334938"/>
    <w:rsid w:val="00335F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9FC"/>
    <w:rsid w:val="003A1D3C"/>
    <w:rsid w:val="003A359F"/>
    <w:rsid w:val="003A4576"/>
    <w:rsid w:val="003A45BC"/>
    <w:rsid w:val="003A50FA"/>
    <w:rsid w:val="003A517F"/>
    <w:rsid w:val="003A63D3"/>
    <w:rsid w:val="003A7434"/>
    <w:rsid w:val="003A7C19"/>
    <w:rsid w:val="003B0D95"/>
    <w:rsid w:val="003B1AFC"/>
    <w:rsid w:val="003B2109"/>
    <w:rsid w:val="003B2154"/>
    <w:rsid w:val="003B2811"/>
    <w:rsid w:val="003B38E9"/>
    <w:rsid w:val="003B64EB"/>
    <w:rsid w:val="003B7796"/>
    <w:rsid w:val="003C0D8C"/>
    <w:rsid w:val="003C10FB"/>
    <w:rsid w:val="003C1239"/>
    <w:rsid w:val="003C1A2D"/>
    <w:rsid w:val="003C3343"/>
    <w:rsid w:val="003C48F5"/>
    <w:rsid w:val="003C7235"/>
    <w:rsid w:val="003C72A0"/>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80C"/>
    <w:rsid w:val="00420C14"/>
    <w:rsid w:val="00422D45"/>
    <w:rsid w:val="004235BF"/>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95075"/>
    <w:rsid w:val="004A1326"/>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BF5"/>
    <w:rsid w:val="004D2EC3"/>
    <w:rsid w:val="004D3929"/>
    <w:rsid w:val="004D471C"/>
    <w:rsid w:val="004D50EE"/>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08ED"/>
    <w:rsid w:val="005231E7"/>
    <w:rsid w:val="0052357B"/>
    <w:rsid w:val="00524798"/>
    <w:rsid w:val="00526C4A"/>
    <w:rsid w:val="005305C6"/>
    <w:rsid w:val="005315D0"/>
    <w:rsid w:val="005322F9"/>
    <w:rsid w:val="00532A3C"/>
    <w:rsid w:val="00535EE7"/>
    <w:rsid w:val="00536192"/>
    <w:rsid w:val="00536C91"/>
    <w:rsid w:val="00537502"/>
    <w:rsid w:val="005376A1"/>
    <w:rsid w:val="0054000D"/>
    <w:rsid w:val="00540B1D"/>
    <w:rsid w:val="005412BD"/>
    <w:rsid w:val="00542743"/>
    <w:rsid w:val="00542806"/>
    <w:rsid w:val="00543302"/>
    <w:rsid w:val="0054517B"/>
    <w:rsid w:val="00545C84"/>
    <w:rsid w:val="005518E6"/>
    <w:rsid w:val="00552763"/>
    <w:rsid w:val="00552A2A"/>
    <w:rsid w:val="00552AFC"/>
    <w:rsid w:val="00552F3C"/>
    <w:rsid w:val="00553508"/>
    <w:rsid w:val="00553967"/>
    <w:rsid w:val="00555C97"/>
    <w:rsid w:val="00557C3D"/>
    <w:rsid w:val="00560085"/>
    <w:rsid w:val="00565611"/>
    <w:rsid w:val="005656F2"/>
    <w:rsid w:val="005666F0"/>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4EB4"/>
    <w:rsid w:val="00585C22"/>
    <w:rsid w:val="00585D07"/>
    <w:rsid w:val="00587296"/>
    <w:rsid w:val="00587BD6"/>
    <w:rsid w:val="00587EEC"/>
    <w:rsid w:val="0059006E"/>
    <w:rsid w:val="00590118"/>
    <w:rsid w:val="00590E2A"/>
    <w:rsid w:val="005913C9"/>
    <w:rsid w:val="00592695"/>
    <w:rsid w:val="005927D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155C"/>
    <w:rsid w:val="005D2AEC"/>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272E"/>
    <w:rsid w:val="00602D39"/>
    <w:rsid w:val="006039EC"/>
    <w:rsid w:val="006064BC"/>
    <w:rsid w:val="00606834"/>
    <w:rsid w:val="00611260"/>
    <w:rsid w:val="0061176B"/>
    <w:rsid w:val="006119A5"/>
    <w:rsid w:val="00612D6C"/>
    <w:rsid w:val="00613556"/>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A20"/>
    <w:rsid w:val="00662B4C"/>
    <w:rsid w:val="00664E38"/>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79C9"/>
    <w:rsid w:val="006D7AEE"/>
    <w:rsid w:val="006D7EF8"/>
    <w:rsid w:val="006E0173"/>
    <w:rsid w:val="006E0569"/>
    <w:rsid w:val="006E0ABF"/>
    <w:rsid w:val="006E1103"/>
    <w:rsid w:val="006E1B2E"/>
    <w:rsid w:val="006E1D34"/>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378"/>
    <w:rsid w:val="00744588"/>
    <w:rsid w:val="007451A3"/>
    <w:rsid w:val="00746376"/>
    <w:rsid w:val="00750A72"/>
    <w:rsid w:val="00751817"/>
    <w:rsid w:val="00751DF5"/>
    <w:rsid w:val="00751E99"/>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994"/>
    <w:rsid w:val="00786B46"/>
    <w:rsid w:val="00787297"/>
    <w:rsid w:val="00787508"/>
    <w:rsid w:val="007877C6"/>
    <w:rsid w:val="007902F4"/>
    <w:rsid w:val="00790B64"/>
    <w:rsid w:val="00791682"/>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6310"/>
    <w:rsid w:val="007C64D8"/>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5BE1"/>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1064"/>
    <w:rsid w:val="00862501"/>
    <w:rsid w:val="00862502"/>
    <w:rsid w:val="00863B4E"/>
    <w:rsid w:val="0086434E"/>
    <w:rsid w:val="00865E70"/>
    <w:rsid w:val="00865F0E"/>
    <w:rsid w:val="00865FA2"/>
    <w:rsid w:val="0086638E"/>
    <w:rsid w:val="00866FA9"/>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A70D3"/>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45CC"/>
    <w:rsid w:val="008F473E"/>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7DEA"/>
    <w:rsid w:val="009303EF"/>
    <w:rsid w:val="00930A6D"/>
    <w:rsid w:val="00930CAC"/>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4D67"/>
    <w:rsid w:val="00955EC2"/>
    <w:rsid w:val="009564E1"/>
    <w:rsid w:val="009566C8"/>
    <w:rsid w:val="009573B3"/>
    <w:rsid w:val="00957B98"/>
    <w:rsid w:val="0096057C"/>
    <w:rsid w:val="009606E5"/>
    <w:rsid w:val="00961460"/>
    <w:rsid w:val="009616DC"/>
    <w:rsid w:val="009618CD"/>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4A0"/>
    <w:rsid w:val="009B04E7"/>
    <w:rsid w:val="009B0556"/>
    <w:rsid w:val="009B062B"/>
    <w:rsid w:val="009B0BA1"/>
    <w:rsid w:val="009B0C68"/>
    <w:rsid w:val="009B13D9"/>
    <w:rsid w:val="009B36AC"/>
    <w:rsid w:val="009B4205"/>
    <w:rsid w:val="009B42D9"/>
    <w:rsid w:val="009B68BB"/>
    <w:rsid w:val="009B7574"/>
    <w:rsid w:val="009B76C8"/>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F5B"/>
    <w:rsid w:val="009E67EF"/>
    <w:rsid w:val="009E78CF"/>
    <w:rsid w:val="009E7A98"/>
    <w:rsid w:val="009F1108"/>
    <w:rsid w:val="009F1AD3"/>
    <w:rsid w:val="009F2CDD"/>
    <w:rsid w:val="009F3372"/>
    <w:rsid w:val="009F382A"/>
    <w:rsid w:val="009F612C"/>
    <w:rsid w:val="009F673E"/>
    <w:rsid w:val="009F6B5E"/>
    <w:rsid w:val="009F72D5"/>
    <w:rsid w:val="009F753E"/>
    <w:rsid w:val="00A00BD5"/>
    <w:rsid w:val="00A02649"/>
    <w:rsid w:val="00A02C00"/>
    <w:rsid w:val="00A033BB"/>
    <w:rsid w:val="00A03952"/>
    <w:rsid w:val="00A03BC8"/>
    <w:rsid w:val="00A05703"/>
    <w:rsid w:val="00A060BB"/>
    <w:rsid w:val="00A0652D"/>
    <w:rsid w:val="00A07879"/>
    <w:rsid w:val="00A07DB9"/>
    <w:rsid w:val="00A10C40"/>
    <w:rsid w:val="00A10D69"/>
    <w:rsid w:val="00A125D3"/>
    <w:rsid w:val="00A1284E"/>
    <w:rsid w:val="00A13B3B"/>
    <w:rsid w:val="00A148A5"/>
    <w:rsid w:val="00A157CB"/>
    <w:rsid w:val="00A165DB"/>
    <w:rsid w:val="00A16721"/>
    <w:rsid w:val="00A1750A"/>
    <w:rsid w:val="00A17676"/>
    <w:rsid w:val="00A200AF"/>
    <w:rsid w:val="00A21529"/>
    <w:rsid w:val="00A2153D"/>
    <w:rsid w:val="00A22FB0"/>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426"/>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5957"/>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09E0"/>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23CC"/>
    <w:rsid w:val="00B0266A"/>
    <w:rsid w:val="00B026D0"/>
    <w:rsid w:val="00B03325"/>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200"/>
    <w:rsid w:val="00B40FC6"/>
    <w:rsid w:val="00B410F6"/>
    <w:rsid w:val="00B4168B"/>
    <w:rsid w:val="00B42EC0"/>
    <w:rsid w:val="00B432C4"/>
    <w:rsid w:val="00B44FAB"/>
    <w:rsid w:val="00B44FDF"/>
    <w:rsid w:val="00B45E15"/>
    <w:rsid w:val="00B46973"/>
    <w:rsid w:val="00B46A70"/>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4D8"/>
    <w:rsid w:val="00B80F88"/>
    <w:rsid w:val="00B80FED"/>
    <w:rsid w:val="00B81ED7"/>
    <w:rsid w:val="00B832E8"/>
    <w:rsid w:val="00B85727"/>
    <w:rsid w:val="00B85BF9"/>
    <w:rsid w:val="00B86112"/>
    <w:rsid w:val="00B87133"/>
    <w:rsid w:val="00B87FDA"/>
    <w:rsid w:val="00B911CA"/>
    <w:rsid w:val="00B91803"/>
    <w:rsid w:val="00B931F8"/>
    <w:rsid w:val="00B9379A"/>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C94"/>
    <w:rsid w:val="00BD1E02"/>
    <w:rsid w:val="00BD4332"/>
    <w:rsid w:val="00BD5E8C"/>
    <w:rsid w:val="00BE03D5"/>
    <w:rsid w:val="00BE0AAB"/>
    <w:rsid w:val="00BE0F28"/>
    <w:rsid w:val="00BE130C"/>
    <w:rsid w:val="00BE358C"/>
    <w:rsid w:val="00BE3D0F"/>
    <w:rsid w:val="00BE65CF"/>
    <w:rsid w:val="00BE75A8"/>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0EF4"/>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27862"/>
    <w:rsid w:val="00C30D70"/>
    <w:rsid w:val="00C316AE"/>
    <w:rsid w:val="00C32392"/>
    <w:rsid w:val="00C3271D"/>
    <w:rsid w:val="00C330F0"/>
    <w:rsid w:val="00C35733"/>
    <w:rsid w:val="00C362D1"/>
    <w:rsid w:val="00C369D4"/>
    <w:rsid w:val="00C37833"/>
    <w:rsid w:val="00C37957"/>
    <w:rsid w:val="00C4288F"/>
    <w:rsid w:val="00C451E0"/>
    <w:rsid w:val="00C463D5"/>
    <w:rsid w:val="00C47EAE"/>
    <w:rsid w:val="00C51FE8"/>
    <w:rsid w:val="00C529B7"/>
    <w:rsid w:val="00C536E8"/>
    <w:rsid w:val="00C53883"/>
    <w:rsid w:val="00C53B95"/>
    <w:rsid w:val="00C53BDA"/>
    <w:rsid w:val="00C5678E"/>
    <w:rsid w:val="00C5786A"/>
    <w:rsid w:val="00C57A48"/>
    <w:rsid w:val="00C57C2E"/>
    <w:rsid w:val="00C60742"/>
    <w:rsid w:val="00C610EA"/>
    <w:rsid w:val="00C6293E"/>
    <w:rsid w:val="00C6310C"/>
    <w:rsid w:val="00C65A7F"/>
    <w:rsid w:val="00C665BA"/>
    <w:rsid w:val="00C678A4"/>
    <w:rsid w:val="00C7077B"/>
    <w:rsid w:val="00C71283"/>
    <w:rsid w:val="00C728C2"/>
    <w:rsid w:val="00C730C6"/>
    <w:rsid w:val="00C73200"/>
    <w:rsid w:val="00C73C3A"/>
    <w:rsid w:val="00C744E0"/>
    <w:rsid w:val="00C75D5B"/>
    <w:rsid w:val="00C77104"/>
    <w:rsid w:val="00C810D2"/>
    <w:rsid w:val="00C838EE"/>
    <w:rsid w:val="00C850B3"/>
    <w:rsid w:val="00C85801"/>
    <w:rsid w:val="00C8635A"/>
    <w:rsid w:val="00C87F19"/>
    <w:rsid w:val="00C90723"/>
    <w:rsid w:val="00C918A0"/>
    <w:rsid w:val="00C925AD"/>
    <w:rsid w:val="00C9294B"/>
    <w:rsid w:val="00C92BF5"/>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EC4"/>
    <w:rsid w:val="00CA699F"/>
    <w:rsid w:val="00CA7301"/>
    <w:rsid w:val="00CB0385"/>
    <w:rsid w:val="00CB0A61"/>
    <w:rsid w:val="00CB0B7D"/>
    <w:rsid w:val="00CB4538"/>
    <w:rsid w:val="00CB5655"/>
    <w:rsid w:val="00CB5C69"/>
    <w:rsid w:val="00CB6984"/>
    <w:rsid w:val="00CB6B0C"/>
    <w:rsid w:val="00CC11BF"/>
    <w:rsid w:val="00CC12A8"/>
    <w:rsid w:val="00CC1D33"/>
    <w:rsid w:val="00CC24B9"/>
    <w:rsid w:val="00CC2F7D"/>
    <w:rsid w:val="00CC37C7"/>
    <w:rsid w:val="00CC4C93"/>
    <w:rsid w:val="00CC4E7C"/>
    <w:rsid w:val="00CC5187"/>
    <w:rsid w:val="00CC521F"/>
    <w:rsid w:val="00CC5238"/>
    <w:rsid w:val="00CC58A4"/>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2DD3"/>
    <w:rsid w:val="00CE35E9"/>
    <w:rsid w:val="00CE3EE2"/>
    <w:rsid w:val="00CE7274"/>
    <w:rsid w:val="00CF0683"/>
    <w:rsid w:val="00CF0C44"/>
    <w:rsid w:val="00CF1A9C"/>
    <w:rsid w:val="00CF28B1"/>
    <w:rsid w:val="00CF2CBD"/>
    <w:rsid w:val="00CF4519"/>
    <w:rsid w:val="00CF4FAC"/>
    <w:rsid w:val="00CF58E4"/>
    <w:rsid w:val="00CF746D"/>
    <w:rsid w:val="00D0227E"/>
    <w:rsid w:val="00D02ED2"/>
    <w:rsid w:val="00D03CE4"/>
    <w:rsid w:val="00D047CF"/>
    <w:rsid w:val="00D05CA6"/>
    <w:rsid w:val="00D067D5"/>
    <w:rsid w:val="00D06E95"/>
    <w:rsid w:val="00D0725D"/>
    <w:rsid w:val="00D12A28"/>
    <w:rsid w:val="00D131C0"/>
    <w:rsid w:val="00D15504"/>
    <w:rsid w:val="00D15950"/>
    <w:rsid w:val="00D15E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8724C"/>
    <w:rsid w:val="00D90892"/>
    <w:rsid w:val="00D90E18"/>
    <w:rsid w:val="00D92CD6"/>
    <w:rsid w:val="00D936E6"/>
    <w:rsid w:val="00D95382"/>
    <w:rsid w:val="00DA0A9B"/>
    <w:rsid w:val="00DA2077"/>
    <w:rsid w:val="00DA38BD"/>
    <w:rsid w:val="00DA451B"/>
    <w:rsid w:val="00DA5731"/>
    <w:rsid w:val="00DA5854"/>
    <w:rsid w:val="00DA6396"/>
    <w:rsid w:val="00DA7F72"/>
    <w:rsid w:val="00DB01C7"/>
    <w:rsid w:val="00DB2A83"/>
    <w:rsid w:val="00DB30AF"/>
    <w:rsid w:val="00DB4FA4"/>
    <w:rsid w:val="00DB65E8"/>
    <w:rsid w:val="00DB7E7F"/>
    <w:rsid w:val="00DC2A5B"/>
    <w:rsid w:val="00DC2F34"/>
    <w:rsid w:val="00DC3EF5"/>
    <w:rsid w:val="00DC668D"/>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609"/>
    <w:rsid w:val="00DF079D"/>
    <w:rsid w:val="00DF0B8A"/>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1790A"/>
    <w:rsid w:val="00E20446"/>
    <w:rsid w:val="00E2212B"/>
    <w:rsid w:val="00E22BAC"/>
    <w:rsid w:val="00E23BE5"/>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37E06"/>
    <w:rsid w:val="00E402FF"/>
    <w:rsid w:val="00E40453"/>
    <w:rsid w:val="00E40BCA"/>
    <w:rsid w:val="00E41CA5"/>
    <w:rsid w:val="00E43927"/>
    <w:rsid w:val="00E43A12"/>
    <w:rsid w:val="00E4460D"/>
    <w:rsid w:val="00E45A1C"/>
    <w:rsid w:val="00E460D0"/>
    <w:rsid w:val="00E478BF"/>
    <w:rsid w:val="00E51761"/>
    <w:rsid w:val="00E51BE6"/>
    <w:rsid w:val="00E51CBA"/>
    <w:rsid w:val="00E54337"/>
    <w:rsid w:val="00E54674"/>
    <w:rsid w:val="00E5562D"/>
    <w:rsid w:val="00E5577B"/>
    <w:rsid w:val="00E55813"/>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803FC"/>
    <w:rsid w:val="00E81920"/>
    <w:rsid w:val="00E82AC2"/>
    <w:rsid w:val="00E83C11"/>
    <w:rsid w:val="00E83DD2"/>
    <w:rsid w:val="00E84914"/>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9AA"/>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6E1C"/>
    <w:rsid w:val="00ED7180"/>
    <w:rsid w:val="00EE07D6"/>
    <w:rsid w:val="00EE131A"/>
    <w:rsid w:val="00EE271B"/>
    <w:rsid w:val="00EE32A8"/>
    <w:rsid w:val="00EE5558"/>
    <w:rsid w:val="00EE5F54"/>
    <w:rsid w:val="00EE620D"/>
    <w:rsid w:val="00EE7502"/>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844"/>
    <w:rsid w:val="00F349D9"/>
    <w:rsid w:val="00F35571"/>
    <w:rsid w:val="00F37610"/>
    <w:rsid w:val="00F40D3E"/>
    <w:rsid w:val="00F42101"/>
    <w:rsid w:val="00F423D5"/>
    <w:rsid w:val="00F449F0"/>
    <w:rsid w:val="00F46284"/>
    <w:rsid w:val="00F46C6E"/>
    <w:rsid w:val="00F506CD"/>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7004"/>
    <w:rsid w:val="00FB0CFB"/>
    <w:rsid w:val="00FB34C5"/>
    <w:rsid w:val="00FB399F"/>
    <w:rsid w:val="00FB4560"/>
    <w:rsid w:val="00FB610C"/>
    <w:rsid w:val="00FB6EB8"/>
    <w:rsid w:val="00FC0AB0"/>
    <w:rsid w:val="00FC364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55B6A57"/>
  <w15:chartTrackingRefBased/>
  <w15:docId w15:val="{206E4B9A-F3E9-4FA4-936D-9BA15111A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F40D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hart" Target="charts/chart2.xml"/><Relationship Id="rId18" Type="http://schemas.openxmlformats.org/officeDocument/2006/relationships/header" Target="header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chart" Target="charts/chart1.xml"/><Relationship Id="rId17" Type="http://schemas.openxmlformats.org/officeDocument/2006/relationships/footer" Target="footer2.xml"/><Relationship Id="rId16" Type="http://schemas.openxmlformats.org/officeDocument/2006/relationships/footer" Target="footer1.xml"/><Relationship Id="rId20" Type="http://schemas.openxmlformats.org/officeDocument/2006/relationships/glossaryDocument" Target="glossary/document.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ustomXml" Target="../customXml/item3.xml"/><Relationship Id="rId15" Type="http://schemas.openxmlformats.org/officeDocument/2006/relationships/header" Target="header2.xml"/><Relationship Id="rId23" Type="http://schemas.openxmlformats.org/officeDocument/2006/relationships/customXml" Target="../customXml/item2.xml"/><Relationship Id="rId10" Type="http://schemas.openxmlformats.org/officeDocument/2006/relationships/footnotes" Target="footnotes.xml"/><Relationship Id="rId19" Type="http://schemas.openxmlformats.org/officeDocument/2006/relationships/fontTable" Target="fontTable.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customXml" Target="../customXml/item1.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charts/_rels/chart1.xml.rels><?xml version="1.0" encoding="UTF-8" standalone="yes"?>
<Relationships xmlns="http://schemas.openxmlformats.org/package/2006/relationships"><Relationship Id="rId3" Type="http://schemas.openxmlformats.org/officeDocument/2006/relationships/oleObject" Target="file:///\\fshome2\fshome2share\jn0106aa\Arbetsdokument\Documents\A_H&#246;st%202016\Diagram%20disp%20inkomst%201991_2015.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fshome2\fshome2share\jn0106aa\Arbetsdokument\Documents\A_H&#246;st%202016\Taxerade%20kapitalvinster.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Blad1!$B$21</c:f>
              <c:strCache>
                <c:ptCount val="1"/>
                <c:pt idx="0">
                  <c:v>Exkl. kapitalvinst</c:v>
                </c:pt>
              </c:strCache>
            </c:strRef>
          </c:tx>
          <c:spPr>
            <a:pattFill prst="wdUpDiag">
              <a:fgClr>
                <a:schemeClr val="tx1"/>
              </a:fgClr>
              <a:bgClr>
                <a:schemeClr val="bg1"/>
              </a:bgClr>
            </a:pattFill>
            <a:ln>
              <a:noFill/>
            </a:ln>
            <a:effectLst/>
          </c:spPr>
          <c:invertIfNegative val="0"/>
          <c:cat>
            <c:strRef>
              <c:f>Blad1!$C$20:$L$20</c:f>
              <c:strCache>
                <c:ptCount val="10"/>
                <c:pt idx="0">
                  <c:v>Decil 1</c:v>
                </c:pt>
                <c:pt idx="1">
                  <c:v>Decil 2</c:v>
                </c:pt>
                <c:pt idx="2">
                  <c:v>Decil 3</c:v>
                </c:pt>
                <c:pt idx="3">
                  <c:v>Decil 4</c:v>
                </c:pt>
                <c:pt idx="4">
                  <c:v>Decil 5</c:v>
                </c:pt>
                <c:pt idx="5">
                  <c:v>Decil 6</c:v>
                </c:pt>
                <c:pt idx="6">
                  <c:v>Decil 7</c:v>
                </c:pt>
                <c:pt idx="7">
                  <c:v>Decil 8</c:v>
                </c:pt>
                <c:pt idx="8">
                  <c:v>Decil 9</c:v>
                </c:pt>
                <c:pt idx="9">
                  <c:v>Decil 10</c:v>
                </c:pt>
              </c:strCache>
            </c:strRef>
          </c:cat>
          <c:val>
            <c:numRef>
              <c:f>Blad1!$C$21:$L$21</c:f>
              <c:numCache>
                <c:formatCode>0.0</c:formatCode>
                <c:ptCount val="10"/>
                <c:pt idx="0">
                  <c:v>26.8</c:v>
                </c:pt>
                <c:pt idx="1">
                  <c:v>35.5</c:v>
                </c:pt>
                <c:pt idx="2">
                  <c:v>42.6</c:v>
                </c:pt>
                <c:pt idx="3">
                  <c:v>48.8</c:v>
                </c:pt>
                <c:pt idx="4">
                  <c:v>54.1</c:v>
                </c:pt>
                <c:pt idx="5">
                  <c:v>57.9</c:v>
                </c:pt>
                <c:pt idx="6">
                  <c:v>60.4</c:v>
                </c:pt>
                <c:pt idx="7">
                  <c:v>63.1</c:v>
                </c:pt>
                <c:pt idx="8">
                  <c:v>66.900000000000006</c:v>
                </c:pt>
                <c:pt idx="9">
                  <c:v>99.9</c:v>
                </c:pt>
              </c:numCache>
            </c:numRef>
          </c:val>
          <c:extLst>
            <c:ext xmlns:c16="http://schemas.microsoft.com/office/drawing/2014/chart" uri="{C3380CC4-5D6E-409C-BE32-E72D297353CC}">
              <c16:uniqueId val="{00000000-36B7-4277-AD23-F60ED331B147}"/>
            </c:ext>
          </c:extLst>
        </c:ser>
        <c:ser>
          <c:idx val="1"/>
          <c:order val="1"/>
          <c:tx>
            <c:strRef>
              <c:f>Blad1!$B$22</c:f>
              <c:strCache>
                <c:ptCount val="1"/>
                <c:pt idx="0">
                  <c:v>Inkl. kapitalvinst</c:v>
                </c:pt>
              </c:strCache>
            </c:strRef>
          </c:tx>
          <c:spPr>
            <a:solidFill>
              <a:schemeClr val="tx1"/>
            </a:solidFill>
            <a:ln>
              <a:noFill/>
            </a:ln>
            <a:effectLst/>
          </c:spPr>
          <c:invertIfNegative val="0"/>
          <c:cat>
            <c:strRef>
              <c:f>Blad1!$C$20:$L$20</c:f>
              <c:strCache>
                <c:ptCount val="10"/>
                <c:pt idx="0">
                  <c:v>Decil 1</c:v>
                </c:pt>
                <c:pt idx="1">
                  <c:v>Decil 2</c:v>
                </c:pt>
                <c:pt idx="2">
                  <c:v>Decil 3</c:v>
                </c:pt>
                <c:pt idx="3">
                  <c:v>Decil 4</c:v>
                </c:pt>
                <c:pt idx="4">
                  <c:v>Decil 5</c:v>
                </c:pt>
                <c:pt idx="5">
                  <c:v>Decil 6</c:v>
                </c:pt>
                <c:pt idx="6">
                  <c:v>Decil 7</c:v>
                </c:pt>
                <c:pt idx="7">
                  <c:v>Decil 8</c:v>
                </c:pt>
                <c:pt idx="8">
                  <c:v>Decil 9</c:v>
                </c:pt>
                <c:pt idx="9">
                  <c:v>Decil 10</c:v>
                </c:pt>
              </c:strCache>
            </c:strRef>
          </c:cat>
          <c:val>
            <c:numRef>
              <c:f>Blad1!$C$22:$L$22</c:f>
              <c:numCache>
                <c:formatCode>0.0</c:formatCode>
                <c:ptCount val="10"/>
                <c:pt idx="0">
                  <c:v>25.4</c:v>
                </c:pt>
                <c:pt idx="1">
                  <c:v>35.5</c:v>
                </c:pt>
                <c:pt idx="2">
                  <c:v>43.3</c:v>
                </c:pt>
                <c:pt idx="3">
                  <c:v>50</c:v>
                </c:pt>
                <c:pt idx="4">
                  <c:v>55.6</c:v>
                </c:pt>
                <c:pt idx="5">
                  <c:v>59.7</c:v>
                </c:pt>
                <c:pt idx="6">
                  <c:v>63</c:v>
                </c:pt>
                <c:pt idx="7">
                  <c:v>66.599999999999994</c:v>
                </c:pt>
                <c:pt idx="8">
                  <c:v>72.5</c:v>
                </c:pt>
                <c:pt idx="9">
                  <c:v>126.8</c:v>
                </c:pt>
              </c:numCache>
            </c:numRef>
          </c:val>
          <c:extLst>
            <c:ext xmlns:c16="http://schemas.microsoft.com/office/drawing/2014/chart" uri="{C3380CC4-5D6E-409C-BE32-E72D297353CC}">
              <c16:uniqueId val="{00000001-36B7-4277-AD23-F60ED331B147}"/>
            </c:ext>
          </c:extLst>
        </c:ser>
        <c:dLbls>
          <c:showLegendKey val="0"/>
          <c:showVal val="0"/>
          <c:showCatName val="0"/>
          <c:showSerName val="0"/>
          <c:showPercent val="0"/>
          <c:showBubbleSize val="0"/>
        </c:dLbls>
        <c:gapWidth val="219"/>
        <c:overlap val="-27"/>
        <c:axId val="273627560"/>
        <c:axId val="273621680"/>
      </c:barChart>
      <c:catAx>
        <c:axId val="273627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273621680"/>
        <c:crosses val="autoZero"/>
        <c:auto val="1"/>
        <c:lblAlgn val="ctr"/>
        <c:lblOffset val="100"/>
        <c:noMultiLvlLbl val="0"/>
      </c:catAx>
      <c:valAx>
        <c:axId val="27362168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27362756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cat>
            <c:numRef>
              <c:f>'[Taxerade kapitalvinster.xlsx]1991-2014'!$J$35:$AH$35</c:f>
              <c:numCache>
                <c:formatCode>@</c:formatCode>
                <c:ptCount val="25"/>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numCache>
            </c:numRef>
          </c:cat>
          <c:val>
            <c:numRef>
              <c:f>'[Taxerade kapitalvinster.xlsx]1991-2014'!$J$36:$AH$36</c:f>
              <c:numCache>
                <c:formatCode>0</c:formatCode>
                <c:ptCount val="25"/>
                <c:pt idx="0">
                  <c:v>40.1</c:v>
                </c:pt>
                <c:pt idx="1">
                  <c:v>18.399999999999999</c:v>
                </c:pt>
                <c:pt idx="2">
                  <c:v>19</c:v>
                </c:pt>
                <c:pt idx="3">
                  <c:v>37.799999999999997</c:v>
                </c:pt>
                <c:pt idx="4">
                  <c:v>20.7</c:v>
                </c:pt>
                <c:pt idx="5">
                  <c:v>41.2</c:v>
                </c:pt>
                <c:pt idx="6">
                  <c:v>57.8</c:v>
                </c:pt>
                <c:pt idx="7">
                  <c:v>64.099999999999994</c:v>
                </c:pt>
                <c:pt idx="8">
                  <c:v>100.3</c:v>
                </c:pt>
                <c:pt idx="9">
                  <c:v>130.19999999999999</c:v>
                </c:pt>
                <c:pt idx="10">
                  <c:v>68.300000000000011</c:v>
                </c:pt>
                <c:pt idx="11">
                  <c:v>50.5</c:v>
                </c:pt>
                <c:pt idx="12">
                  <c:v>53.400000000000006</c:v>
                </c:pt>
                <c:pt idx="13">
                  <c:v>64.599999999999994</c:v>
                </c:pt>
                <c:pt idx="14">
                  <c:v>95.9</c:v>
                </c:pt>
                <c:pt idx="15">
                  <c:v>129.9</c:v>
                </c:pt>
                <c:pt idx="16">
                  <c:v>167.2</c:v>
                </c:pt>
                <c:pt idx="17">
                  <c:v>97.288775998999995</c:v>
                </c:pt>
                <c:pt idx="18">
                  <c:v>89.236892304999998</c:v>
                </c:pt>
                <c:pt idx="19">
                  <c:v>114</c:v>
                </c:pt>
                <c:pt idx="20">
                  <c:v>108.953198696</c:v>
                </c:pt>
                <c:pt idx="21">
                  <c:v>98</c:v>
                </c:pt>
                <c:pt idx="22">
                  <c:v>112</c:v>
                </c:pt>
                <c:pt idx="23">
                  <c:v>145.11435336299999</c:v>
                </c:pt>
                <c:pt idx="24">
                  <c:v>194.33498259000001</c:v>
                </c:pt>
              </c:numCache>
            </c:numRef>
          </c:val>
          <c:smooth val="0"/>
          <c:extLst>
            <c:ext xmlns:c16="http://schemas.microsoft.com/office/drawing/2014/chart" uri="{C3380CC4-5D6E-409C-BE32-E72D297353CC}">
              <c16:uniqueId val="{00000000-F22E-4BB4-A0F4-43FE3EC564A7}"/>
            </c:ext>
          </c:extLst>
        </c:ser>
        <c:dLbls>
          <c:showLegendKey val="0"/>
          <c:showVal val="0"/>
          <c:showCatName val="0"/>
          <c:showSerName val="0"/>
          <c:showPercent val="0"/>
          <c:showBubbleSize val="0"/>
        </c:dLbls>
        <c:smooth val="0"/>
        <c:axId val="273621288"/>
        <c:axId val="273625600"/>
      </c:lineChart>
      <c:catAx>
        <c:axId val="273621288"/>
        <c:scaling>
          <c:orientation val="minMax"/>
        </c:scaling>
        <c:delete val="0"/>
        <c:axPos val="b"/>
        <c:numFmt formatCode="@"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273625600"/>
        <c:crosses val="autoZero"/>
        <c:auto val="1"/>
        <c:lblAlgn val="ctr"/>
        <c:lblOffset val="100"/>
        <c:noMultiLvlLbl val="0"/>
      </c:catAx>
      <c:valAx>
        <c:axId val="273625600"/>
        <c:scaling>
          <c:orientation val="minMax"/>
          <c:max val="20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2736212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721DAA521C4475E9DD7E72A406D9D72"/>
        <w:category>
          <w:name w:val="Allmänt"/>
          <w:gallery w:val="placeholder"/>
        </w:category>
        <w:types>
          <w:type w:val="bbPlcHdr"/>
        </w:types>
        <w:behaviors>
          <w:behavior w:val="content"/>
        </w:behaviors>
        <w:guid w:val="{399A9F7C-053E-4D95-8D30-32F1726BEDFC}"/>
      </w:docPartPr>
      <w:docPartBody>
        <w:p w:rsidR="00420C65" w:rsidRDefault="00420C65">
          <w:pPr>
            <w:pStyle w:val="1721DAA521C4475E9DD7E72A406D9D72"/>
          </w:pPr>
          <w:r w:rsidRPr="005A0A93">
            <w:rPr>
              <w:rStyle w:val="Platshllartext"/>
            </w:rPr>
            <w:t>Förslag till riksdagsbeslut</w:t>
          </w:r>
        </w:p>
      </w:docPartBody>
    </w:docPart>
    <w:docPart>
      <w:docPartPr>
        <w:name w:val="55F5C264AC174981A238C16FCA0209A9"/>
        <w:category>
          <w:name w:val="Allmänt"/>
          <w:gallery w:val="placeholder"/>
        </w:category>
        <w:types>
          <w:type w:val="bbPlcHdr"/>
        </w:types>
        <w:behaviors>
          <w:behavior w:val="content"/>
        </w:behaviors>
        <w:guid w:val="{C5CDCE17-6036-4E3B-8DBD-07BCF07069CF}"/>
      </w:docPartPr>
      <w:docPartBody>
        <w:p w:rsidR="00420C65" w:rsidRDefault="00420C65">
          <w:pPr>
            <w:pStyle w:val="55F5C264AC174981A238C16FCA0209A9"/>
          </w:pPr>
          <w:r w:rsidRPr="005A0A93">
            <w:rPr>
              <w:rStyle w:val="Platshllartext"/>
            </w:rPr>
            <w:t>Motivering</w:t>
          </w:r>
        </w:p>
      </w:docPartBody>
    </w:docPart>
    <w:docPart>
      <w:docPartPr>
        <w:name w:val="B6F8FD0CC1AE4B92B8DD986D67987B30"/>
        <w:category>
          <w:name w:val="Allmänt"/>
          <w:gallery w:val="placeholder"/>
        </w:category>
        <w:types>
          <w:type w:val="bbPlcHdr"/>
        </w:types>
        <w:behaviors>
          <w:behavior w:val="content"/>
        </w:behaviors>
        <w:guid w:val="{9E831CFD-7582-4851-B8FA-75527B4737B8}"/>
      </w:docPartPr>
      <w:docPartBody>
        <w:p w:rsidR="00420C65" w:rsidRDefault="00420C65">
          <w:pPr>
            <w:pStyle w:val="B6F8FD0CC1AE4B92B8DD986D67987B30"/>
          </w:pPr>
          <w:r w:rsidRPr="00490DAC">
            <w:rPr>
              <w:rStyle w:val="Platshllartext"/>
            </w:rPr>
            <w:t>Skriv ej här, motionärer infogas via panel!</w:t>
          </w:r>
        </w:p>
      </w:docPartBody>
    </w:docPart>
    <w:docPart>
      <w:docPartPr>
        <w:name w:val="383D0DE4D6874134B60D080025CF6142"/>
        <w:category>
          <w:name w:val="Allmänt"/>
          <w:gallery w:val="placeholder"/>
        </w:category>
        <w:types>
          <w:type w:val="bbPlcHdr"/>
        </w:types>
        <w:behaviors>
          <w:behavior w:val="content"/>
        </w:behaviors>
        <w:guid w:val="{6EDEE01A-A1D6-48A3-8CE3-C0E5453C77AD}"/>
      </w:docPartPr>
      <w:docPartBody>
        <w:p w:rsidR="00420C65" w:rsidRDefault="00420C65">
          <w:pPr>
            <w:pStyle w:val="383D0DE4D6874134B60D080025CF6142"/>
          </w:pPr>
          <w:r>
            <w:rPr>
              <w:rStyle w:val="Platshllartext"/>
            </w:rPr>
            <w:t xml:space="preserve"> </w:t>
          </w:r>
        </w:p>
      </w:docPartBody>
    </w:docPart>
    <w:docPart>
      <w:docPartPr>
        <w:name w:val="2290C9D5C495436F9CAE5C1B88C25B03"/>
        <w:category>
          <w:name w:val="Allmänt"/>
          <w:gallery w:val="placeholder"/>
        </w:category>
        <w:types>
          <w:type w:val="bbPlcHdr"/>
        </w:types>
        <w:behaviors>
          <w:behavior w:val="content"/>
        </w:behaviors>
        <w:guid w:val="{93175D44-3471-473A-81DA-DCAFF0DE3E3F}"/>
      </w:docPartPr>
      <w:docPartBody>
        <w:p w:rsidR="00420C65" w:rsidRDefault="00420C65">
          <w:pPr>
            <w:pStyle w:val="2290C9D5C495436F9CAE5C1B88C25B0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C65"/>
    <w:rsid w:val="00420C65"/>
    <w:rsid w:val="00E86B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86BC5"/>
    <w:rPr>
      <w:color w:val="F4B083" w:themeColor="accent2" w:themeTint="99"/>
    </w:rPr>
  </w:style>
  <w:style w:type="paragraph" w:customStyle="1" w:styleId="1721DAA521C4475E9DD7E72A406D9D72">
    <w:name w:val="1721DAA521C4475E9DD7E72A406D9D72"/>
  </w:style>
  <w:style w:type="paragraph" w:customStyle="1" w:styleId="AC2BFF6558E2482FBB9CE94A64A6D1EC">
    <w:name w:val="AC2BFF6558E2482FBB9CE94A64A6D1EC"/>
  </w:style>
  <w:style w:type="paragraph" w:customStyle="1" w:styleId="6E0352E8AB59408E98EEF5D17F206A8D">
    <w:name w:val="6E0352E8AB59408E98EEF5D17F206A8D"/>
  </w:style>
  <w:style w:type="paragraph" w:customStyle="1" w:styleId="55F5C264AC174981A238C16FCA0209A9">
    <w:name w:val="55F5C264AC174981A238C16FCA0209A9"/>
  </w:style>
  <w:style w:type="paragraph" w:customStyle="1" w:styleId="B6F8FD0CC1AE4B92B8DD986D67987B30">
    <w:name w:val="B6F8FD0CC1AE4B92B8DD986D67987B30"/>
  </w:style>
  <w:style w:type="paragraph" w:customStyle="1" w:styleId="383D0DE4D6874134B60D080025CF6142">
    <w:name w:val="383D0DE4D6874134B60D080025CF6142"/>
  </w:style>
  <w:style w:type="paragraph" w:customStyle="1" w:styleId="2290C9D5C495436F9CAE5C1B88C25B03">
    <w:name w:val="2290C9D5C495436F9CAE5C1B88C25B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E25880-F654-4FE1-9194-262DA7D196B0}"/>
</file>

<file path=customXml/itemProps2.xml><?xml version="1.0" encoding="utf-8"?>
<ds:datastoreItem xmlns:ds="http://schemas.openxmlformats.org/officeDocument/2006/customXml" ds:itemID="{930B4A93-83A3-4AC0-8523-52C129001258}"/>
</file>

<file path=customXml/itemProps3.xml><?xml version="1.0" encoding="utf-8"?>
<ds:datastoreItem xmlns:ds="http://schemas.openxmlformats.org/officeDocument/2006/customXml" ds:itemID="{A15A69D7-4481-46DD-8BCF-C8D4659C73D2}"/>
</file>

<file path=docProps/app.xml><?xml version="1.0" encoding="utf-8"?>
<Properties xmlns="http://schemas.openxmlformats.org/officeDocument/2006/extended-properties" xmlns:vt="http://schemas.openxmlformats.org/officeDocument/2006/docPropsVTypes">
  <Template>Normal</Template>
  <TotalTime>97</TotalTime>
  <Pages>4</Pages>
  <Words>789</Words>
  <Characters>4665</Characters>
  <Application>Microsoft Office Word</Application>
  <DocSecurity>0</DocSecurity>
  <Lines>84</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V621 Utred skattesystemets omfördelande effekter</vt:lpstr>
      <vt:lpstr>
      </vt:lpstr>
    </vt:vector>
  </TitlesOfParts>
  <Company>Sveriges riksdag</Company>
  <LinksUpToDate>false</LinksUpToDate>
  <CharactersWithSpaces>5430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