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85539">
        <w:tblPrEx>
          <w:tblCellMar>
            <w:top w:w="0" w:type="dxa"/>
            <w:bottom w:w="0" w:type="dxa"/>
          </w:tblCellMar>
        </w:tblPrEx>
        <w:trPr>
          <w:cantSplit/>
          <w:trHeight w:val="1720"/>
        </w:trPr>
        <w:tc>
          <w:tcPr>
            <w:tcW w:w="6024" w:type="dxa"/>
            <w:gridSpan w:val="2"/>
          </w:tcPr>
          <w:p w:rsidR="00F53A97" w:rsidRPr="00685539" w:rsidRDefault="007C2D20">
            <w:pPr>
              <w:pStyle w:val="HuvudRubrik"/>
            </w:pPr>
            <w:r w:rsidRPr="00685539">
              <w:t>Redogörelse till riksdagen</w:t>
            </w:r>
          </w:p>
          <w:p w:rsidR="00F53A97" w:rsidRPr="00685539" w:rsidRDefault="00785B5E">
            <w:pPr>
              <w:pStyle w:val="HuvudRubrikRad2"/>
            </w:pPr>
            <w:bookmarkStart w:id="0" w:name="BetänkandeNr"/>
            <w:bookmarkEnd w:id="0"/>
            <w:r w:rsidRPr="00685539">
              <w:t>2007/08</w:t>
            </w:r>
            <w:r w:rsidR="00F53A97" w:rsidRPr="00685539">
              <w:t>:</w:t>
            </w:r>
            <w:r w:rsidRPr="00685539">
              <w:t>ER1</w:t>
            </w:r>
          </w:p>
        </w:tc>
        <w:tc>
          <w:tcPr>
            <w:tcW w:w="1418" w:type="dxa"/>
            <w:tcBorders>
              <w:bottom w:val="nil"/>
            </w:tcBorders>
          </w:tcPr>
          <w:p w:rsidR="00F53A97" w:rsidRPr="00685539" w:rsidRDefault="00685539">
            <w:pPr>
              <w:spacing w:line="230" w:lineRule="auto"/>
              <w:jc w:val="center"/>
            </w:pPr>
            <w:r w:rsidRPr="0068553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685539" w:rsidRDefault="00F53A97">
            <w:pPr>
              <w:pStyle w:val="Normaltindrag"/>
              <w:jc w:val="center"/>
            </w:pPr>
          </w:p>
          <w:p w:rsidR="00F53A97" w:rsidRPr="00685539" w:rsidRDefault="00F53A97">
            <w:pPr>
              <w:pStyle w:val="StatusSida1"/>
            </w:pPr>
          </w:p>
          <w:p w:rsidR="00F53A97" w:rsidRPr="00685539" w:rsidRDefault="00F53A97">
            <w:pPr>
              <w:pStyle w:val="UtskriftsdatumSida1"/>
              <w:framePr w:wrap="around"/>
            </w:pPr>
          </w:p>
        </w:tc>
      </w:tr>
      <w:tr w:rsidR="00F53A97" w:rsidRPr="00685539">
        <w:tblPrEx>
          <w:tblCellMar>
            <w:top w:w="0" w:type="dxa"/>
            <w:bottom w:w="0" w:type="dxa"/>
          </w:tblCellMar>
        </w:tblPrEx>
        <w:trPr>
          <w:cantSplit/>
        </w:trPr>
        <w:tc>
          <w:tcPr>
            <w:tcW w:w="6024" w:type="dxa"/>
            <w:gridSpan w:val="2"/>
            <w:tcBorders>
              <w:bottom w:val="single" w:sz="4" w:space="0" w:color="auto"/>
            </w:tcBorders>
          </w:tcPr>
          <w:p w:rsidR="00F53A97" w:rsidRPr="00685539" w:rsidRDefault="007C2D20">
            <w:pPr>
              <w:pStyle w:val="DokumentRubrik"/>
              <w:rPr>
                <w:noProof w:val="0"/>
              </w:rPr>
            </w:pPr>
            <w:bookmarkStart w:id="1" w:name="Huvudrubrik"/>
            <w:bookmarkEnd w:id="1"/>
            <w:r w:rsidRPr="00685539">
              <w:rPr>
                <w:noProof w:val="0"/>
              </w:rPr>
              <w:t>Från Sveriges delegation vid Europarådets parlamentariska församling</w:t>
            </w:r>
          </w:p>
        </w:tc>
        <w:tc>
          <w:tcPr>
            <w:tcW w:w="1418" w:type="dxa"/>
            <w:tcBorders>
              <w:bottom w:val="nil"/>
            </w:tcBorders>
          </w:tcPr>
          <w:p w:rsidR="00F53A97" w:rsidRPr="00685539" w:rsidRDefault="00F53A97"/>
        </w:tc>
      </w:tr>
      <w:tr w:rsidR="00F53A97" w:rsidRPr="00685539">
        <w:tblPrEx>
          <w:tblCellMar>
            <w:top w:w="0" w:type="dxa"/>
            <w:bottom w:w="0" w:type="dxa"/>
          </w:tblCellMar>
        </w:tblPrEx>
        <w:trPr>
          <w:cantSplit/>
          <w:trHeight w:hRule="exact" w:val="360"/>
        </w:trPr>
        <w:tc>
          <w:tcPr>
            <w:tcW w:w="3012" w:type="dxa"/>
          </w:tcPr>
          <w:p w:rsidR="00F53A97" w:rsidRPr="00685539" w:rsidRDefault="00F53A97"/>
        </w:tc>
        <w:tc>
          <w:tcPr>
            <w:tcW w:w="3012" w:type="dxa"/>
          </w:tcPr>
          <w:p w:rsidR="00F53A97" w:rsidRPr="00685539" w:rsidRDefault="00F53A97"/>
        </w:tc>
        <w:tc>
          <w:tcPr>
            <w:tcW w:w="1418" w:type="dxa"/>
          </w:tcPr>
          <w:p w:rsidR="00F53A97" w:rsidRPr="00685539" w:rsidRDefault="00F53A97"/>
        </w:tc>
      </w:tr>
    </w:tbl>
    <w:p w:rsidR="00F53A97" w:rsidRPr="00685539" w:rsidRDefault="00F53A97"/>
    <w:p w:rsidR="007C2D20" w:rsidRPr="00685539" w:rsidRDefault="007C2D20" w:rsidP="007C2D20">
      <w:pPr>
        <w:pStyle w:val="Rubrik1"/>
        <w:spacing w:after="180"/>
        <w:rPr>
          <w:noProof w:val="0"/>
        </w:rPr>
      </w:pPr>
      <w:bookmarkStart w:id="2" w:name="_Toc192059475"/>
      <w:r w:rsidRPr="00685539">
        <w:rPr>
          <w:noProof w:val="0"/>
        </w:rPr>
        <w:t>Sammanfattning</w:t>
      </w:r>
      <w:bookmarkEnd w:id="2"/>
    </w:p>
    <w:p w:rsidR="005F2D60" w:rsidRPr="00685539" w:rsidRDefault="005F2D60" w:rsidP="00075C4B">
      <w:r w:rsidRPr="00685539">
        <w:t>Riksdagens Europarådsdelegation överlämnar bifogade redogörelse för ver</w:t>
      </w:r>
      <w:r w:rsidRPr="00685539">
        <w:t>k</w:t>
      </w:r>
      <w:r w:rsidRPr="00685539">
        <w:t>samheten inom den parlamentariska församlingen under 2007. Till redogöre</w:t>
      </w:r>
      <w:r w:rsidRPr="00685539">
        <w:t>l</w:t>
      </w:r>
      <w:r w:rsidRPr="00685539">
        <w:t>sen är fogad en förteckning över av församlingen under perioden anta</w:t>
      </w:r>
      <w:r w:rsidRPr="00685539">
        <w:t>g</w:t>
      </w:r>
      <w:r w:rsidRPr="00685539">
        <w:t>na rekommendationer, resolutioner och yttranden.</w:t>
      </w:r>
    </w:p>
    <w:p w:rsidR="005F2D60" w:rsidRPr="00685539" w:rsidRDefault="005F2D60" w:rsidP="005F2D60">
      <w:pPr>
        <w:rPr>
          <w:sz w:val="22"/>
          <w:szCs w:val="22"/>
        </w:rPr>
      </w:pPr>
    </w:p>
    <w:p w:rsidR="005F2D60" w:rsidRPr="00685539" w:rsidRDefault="005F2D60" w:rsidP="005F2D60">
      <w:pPr>
        <w:rPr>
          <w:sz w:val="22"/>
          <w:szCs w:val="22"/>
        </w:rPr>
      </w:pPr>
    </w:p>
    <w:p w:rsidR="005F2D60" w:rsidRPr="00685539" w:rsidRDefault="005F2D60" w:rsidP="007F380F">
      <w:r w:rsidRPr="00685539">
        <w:t>Stockholm den 29 februari 2008</w:t>
      </w:r>
    </w:p>
    <w:p w:rsidR="005F2D60" w:rsidRPr="00685539" w:rsidRDefault="005F2D60" w:rsidP="007F380F"/>
    <w:p w:rsidR="005F2D60" w:rsidRPr="00685539" w:rsidRDefault="005F2D60" w:rsidP="007F380F"/>
    <w:p w:rsidR="005F2D60" w:rsidRPr="00685539" w:rsidRDefault="005F2D60" w:rsidP="007F380F">
      <w:r w:rsidRPr="00685539">
        <w:t>På delegationens vägnar</w:t>
      </w:r>
    </w:p>
    <w:p w:rsidR="005F2D60" w:rsidRPr="00685539" w:rsidRDefault="005F2D60" w:rsidP="007F380F"/>
    <w:p w:rsidR="005F2D60" w:rsidRPr="00685539" w:rsidRDefault="005F2D60" w:rsidP="007F380F">
      <w:pPr>
        <w:rPr>
          <w:i/>
        </w:rPr>
      </w:pPr>
      <w:r w:rsidRPr="00685539">
        <w:br/>
      </w:r>
      <w:r w:rsidRPr="00685539">
        <w:rPr>
          <w:i/>
        </w:rPr>
        <w:t>Göran Lindblad</w:t>
      </w:r>
    </w:p>
    <w:p w:rsidR="00075C4B" w:rsidRPr="00685539" w:rsidRDefault="00075C4B" w:rsidP="007F380F"/>
    <w:p w:rsidR="00075C4B" w:rsidRPr="00685539" w:rsidRDefault="00075C4B" w:rsidP="007F380F"/>
    <w:p w:rsidR="00075C4B" w:rsidRPr="00685539" w:rsidRDefault="007F380F" w:rsidP="007F380F">
      <w:pPr>
        <w:rPr>
          <w:i/>
        </w:rPr>
      </w:pPr>
      <w:r w:rsidRPr="00685539">
        <w:t xml:space="preserve">                </w:t>
      </w:r>
      <w:r w:rsidR="00075C4B" w:rsidRPr="00685539">
        <w:t xml:space="preserve">                                                                        </w:t>
      </w:r>
      <w:r w:rsidR="00075C4B" w:rsidRPr="00685539">
        <w:rPr>
          <w:i/>
        </w:rPr>
        <w:t>Kirsti Pulkka-Ericson</w:t>
      </w:r>
    </w:p>
    <w:p w:rsidR="00075C4B" w:rsidRPr="00685539" w:rsidRDefault="00075C4B" w:rsidP="00075C4B">
      <w:pPr>
        <w:pStyle w:val="Normaltindrag"/>
      </w:pPr>
    </w:p>
    <w:p w:rsidR="00AC17B1" w:rsidRPr="00685539" w:rsidRDefault="00AC17B1" w:rsidP="00AC17B1"/>
    <w:p w:rsidR="005F2D60" w:rsidRPr="00685539" w:rsidRDefault="005F2D60" w:rsidP="007C2D20">
      <w:pPr>
        <w:pStyle w:val="Rubrik1"/>
        <w:spacing w:after="180"/>
        <w:rPr>
          <w:noProof w:val="0"/>
        </w:rPr>
        <w:sectPr w:rsidR="005F2D60" w:rsidRPr="006855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2D20" w:rsidRPr="00685539" w:rsidRDefault="005F2D60" w:rsidP="007C2D20">
      <w:pPr>
        <w:pStyle w:val="Rubrik1"/>
        <w:spacing w:after="180"/>
        <w:rPr>
          <w:noProof w:val="0"/>
        </w:rPr>
      </w:pPr>
      <w:bookmarkStart w:id="3" w:name="_Toc192059476"/>
      <w:r w:rsidRPr="00685539">
        <w:rPr>
          <w:noProof w:val="0"/>
        </w:rPr>
        <w:lastRenderedPageBreak/>
        <w:t>Europarådets medlemsstater 2007</w:t>
      </w:r>
      <w:bookmarkEnd w:id="3"/>
    </w:p>
    <w:p w:rsidR="007C2D20" w:rsidRPr="00685539" w:rsidRDefault="00685539" w:rsidP="001E5BC8">
      <w:bookmarkStart w:id="4" w:name="TextStart"/>
      <w:bookmarkEnd w:id="4"/>
      <w:r w:rsidRPr="00685539">
        <w:rPr>
          <w:noProof/>
        </w:rPr>
        <w:drawing>
          <wp:inline distT="0" distB="0" distL="0" distR="0">
            <wp:extent cx="3810000" cy="33204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0" cy="3320415"/>
                    </a:xfrm>
                    <a:prstGeom prst="rect">
                      <a:avLst/>
                    </a:prstGeom>
                    <a:noFill/>
                    <a:ln>
                      <a:noFill/>
                    </a:ln>
                  </pic:spPr>
                </pic:pic>
              </a:graphicData>
            </a:graphic>
          </wp:inline>
        </w:drawing>
      </w:r>
    </w:p>
    <w:p w:rsidR="001C6495" w:rsidRPr="00685539" w:rsidRDefault="001C6495" w:rsidP="001C6495"/>
    <w:p w:rsidR="001E5BC8" w:rsidRPr="00685539" w:rsidRDefault="001C6495" w:rsidP="001C6495">
      <w:r w:rsidRPr="00685539">
        <w:t>1 Albanien, 2 Andorra, 3 Armenien, 4 Azerbajdzjan, 5 Belgien, 6 Bosnien och Herceg</w:t>
      </w:r>
      <w:r w:rsidRPr="00685539">
        <w:t>o</w:t>
      </w:r>
      <w:r w:rsidRPr="00685539">
        <w:t>vina, 7 Bulgarien, 8 Cypern, 9 Danmark, 10 Estland, 11 Finland, 12 Frankrike, 13 Georg</w:t>
      </w:r>
      <w:r w:rsidRPr="00685539">
        <w:t>i</w:t>
      </w:r>
      <w:r w:rsidRPr="00685539">
        <w:t>en, 14 Grekland, 15 Irland, 16 Island, 17 Italien, 18 Kroatien, 19 Lettland, 20 Liec</w:t>
      </w:r>
      <w:r w:rsidRPr="00685539">
        <w:t>h</w:t>
      </w:r>
      <w:r w:rsidRPr="00685539">
        <w:t>tenstein, 21 Litauen, 22 Luxemburg, 23 Makedonien, 24 Malta, 25 Moldavien, 26 Monaco</w:t>
      </w:r>
      <w:r w:rsidR="00404B62" w:rsidRPr="00685539">
        <w:t>,</w:t>
      </w:r>
      <w:r w:rsidRPr="00685539">
        <w:t xml:space="preserve"> 27 </w:t>
      </w:r>
      <w:r w:rsidR="00B373E1" w:rsidRPr="00685539">
        <w:t>Montenegro</w:t>
      </w:r>
      <w:r w:rsidR="00404B62" w:rsidRPr="00685539">
        <w:t>,</w:t>
      </w:r>
      <w:r w:rsidR="00B373E1" w:rsidRPr="00685539">
        <w:t xml:space="preserve"> 28 </w:t>
      </w:r>
      <w:r w:rsidRPr="00685539">
        <w:t>Nede</w:t>
      </w:r>
      <w:r w:rsidRPr="00685539">
        <w:t>r</w:t>
      </w:r>
      <w:r w:rsidRPr="00685539">
        <w:t>länderna, 2</w:t>
      </w:r>
      <w:r w:rsidR="00B373E1" w:rsidRPr="00685539">
        <w:t>9</w:t>
      </w:r>
      <w:r w:rsidRPr="00685539">
        <w:t> Norge,</w:t>
      </w:r>
      <w:r w:rsidR="00B373E1" w:rsidRPr="00685539">
        <w:t xml:space="preserve"> 30</w:t>
      </w:r>
      <w:r w:rsidRPr="00685539">
        <w:t> Polen, 3</w:t>
      </w:r>
      <w:r w:rsidR="00B373E1" w:rsidRPr="00685539">
        <w:t>1 Portugal, 32 Rumänien, 33</w:t>
      </w:r>
      <w:r w:rsidRPr="00685539">
        <w:t> Ryss</w:t>
      </w:r>
      <w:r w:rsidR="00404B62" w:rsidRPr="00685539">
        <w:t>-</w:t>
      </w:r>
      <w:r w:rsidRPr="00685539">
        <w:t>land, 3</w:t>
      </w:r>
      <w:r w:rsidR="00B373E1" w:rsidRPr="00685539">
        <w:t>4</w:t>
      </w:r>
      <w:r w:rsidRPr="00685539">
        <w:t> San Marino, 3</w:t>
      </w:r>
      <w:r w:rsidR="00B373E1" w:rsidRPr="00685539">
        <w:t>5 Schweiz, 36 </w:t>
      </w:r>
      <w:r w:rsidRPr="00685539">
        <w:t>Serbien, 3</w:t>
      </w:r>
      <w:r w:rsidR="00B373E1" w:rsidRPr="00685539">
        <w:t>7 Slovakien, 38</w:t>
      </w:r>
      <w:r w:rsidRPr="00685539">
        <w:t> Slovenien, 3</w:t>
      </w:r>
      <w:r w:rsidR="00B373E1" w:rsidRPr="00685539">
        <w:t>9</w:t>
      </w:r>
      <w:r w:rsidRPr="00685539">
        <w:t> Spanien,</w:t>
      </w:r>
      <w:r w:rsidR="00B373E1" w:rsidRPr="00685539">
        <w:t xml:space="preserve"> 40</w:t>
      </w:r>
      <w:r w:rsidRPr="00685539">
        <w:t> Storbr</w:t>
      </w:r>
      <w:r w:rsidRPr="00685539">
        <w:t>i</w:t>
      </w:r>
      <w:r w:rsidRPr="00685539">
        <w:t>tannien, 4</w:t>
      </w:r>
      <w:r w:rsidR="00B373E1" w:rsidRPr="00685539">
        <w:t>1</w:t>
      </w:r>
      <w:r w:rsidRPr="00685539">
        <w:t> Sverige, 4</w:t>
      </w:r>
      <w:r w:rsidR="00B373E1" w:rsidRPr="00685539">
        <w:t>2</w:t>
      </w:r>
      <w:r w:rsidRPr="00685539">
        <w:t> Tjeckien, 4</w:t>
      </w:r>
      <w:r w:rsidR="00B373E1" w:rsidRPr="00685539">
        <w:t>3</w:t>
      </w:r>
      <w:r w:rsidRPr="00685539">
        <w:t> Turkiet, 4</w:t>
      </w:r>
      <w:r w:rsidR="00B373E1" w:rsidRPr="00685539">
        <w:t>4</w:t>
      </w:r>
      <w:r w:rsidRPr="00685539">
        <w:t> Tysk</w:t>
      </w:r>
      <w:r w:rsidR="00404B62" w:rsidRPr="00685539">
        <w:t>-</w:t>
      </w:r>
      <w:r w:rsidRPr="00685539">
        <w:t>land, 4</w:t>
      </w:r>
      <w:r w:rsidR="00B373E1" w:rsidRPr="00685539">
        <w:t>5</w:t>
      </w:r>
      <w:r w:rsidRPr="00685539">
        <w:t> Uk</w:t>
      </w:r>
      <w:r w:rsidR="001E5BC8" w:rsidRPr="00685539">
        <w:t>raina, 4</w:t>
      </w:r>
      <w:r w:rsidR="00B373E1" w:rsidRPr="00685539">
        <w:t>6</w:t>
      </w:r>
      <w:r w:rsidR="001E5BC8" w:rsidRPr="00685539">
        <w:t> Ungern, 4</w:t>
      </w:r>
      <w:r w:rsidR="00B373E1" w:rsidRPr="00685539">
        <w:t>7</w:t>
      </w:r>
      <w:r w:rsidR="001E5BC8" w:rsidRPr="00685539">
        <w:t> Österrike.</w:t>
      </w:r>
    </w:p>
    <w:p w:rsidR="001E5BC8" w:rsidRPr="00685539" w:rsidRDefault="001E5BC8" w:rsidP="001E5BC8">
      <w:pPr>
        <w:pStyle w:val="Normaltindrag"/>
        <w:sectPr w:rsidR="001E5BC8" w:rsidRPr="00685539">
          <w:pgSz w:w="11906" w:h="16838" w:code="9"/>
          <w:pgMar w:top="907" w:right="4649" w:bottom="4508" w:left="1304" w:header="340" w:footer="227" w:gutter="0"/>
          <w:cols w:space="720"/>
          <w:titlePg/>
        </w:sectPr>
      </w:pPr>
    </w:p>
    <w:p w:rsidR="007C2D20" w:rsidRPr="00685539" w:rsidRDefault="007C2D20" w:rsidP="0050136C">
      <w:pPr>
        <w:pStyle w:val="R1"/>
      </w:pPr>
      <w:r w:rsidRPr="00685539">
        <w:t>Innehållsförteckning</w:t>
      </w:r>
    </w:p>
    <w:p w:rsidR="00BA6202" w:rsidRPr="00685539" w:rsidRDefault="00BA6202">
      <w:pPr>
        <w:pStyle w:val="Innehll1"/>
        <w:rPr>
          <w:sz w:val="24"/>
          <w:szCs w:val="24"/>
        </w:rPr>
      </w:pPr>
      <w:r w:rsidRPr="00685539">
        <w:t>Sammanfattning</w:t>
      </w:r>
      <w:r w:rsidRPr="00685539">
        <w:tab/>
        <w:t>1</w:t>
      </w:r>
    </w:p>
    <w:p w:rsidR="00BA6202" w:rsidRPr="00685539" w:rsidRDefault="00BA6202">
      <w:pPr>
        <w:pStyle w:val="Innehll1"/>
        <w:rPr>
          <w:sz w:val="24"/>
          <w:szCs w:val="24"/>
        </w:rPr>
      </w:pPr>
      <w:r w:rsidRPr="00685539">
        <w:t>Europarådets medlemsstater 2007</w:t>
      </w:r>
      <w:r w:rsidRPr="00685539">
        <w:tab/>
        <w:t>2</w:t>
      </w:r>
    </w:p>
    <w:p w:rsidR="00BA6202" w:rsidRPr="00685539" w:rsidRDefault="00BA6202">
      <w:pPr>
        <w:pStyle w:val="Innehll1"/>
        <w:rPr>
          <w:sz w:val="24"/>
          <w:szCs w:val="24"/>
        </w:rPr>
      </w:pPr>
      <w:r w:rsidRPr="00685539">
        <w:t>1 Europarådets roll i det europeiska samarbetet</w:t>
      </w:r>
      <w:r w:rsidRPr="00685539">
        <w:tab/>
        <w:t>6</w:t>
      </w:r>
    </w:p>
    <w:p w:rsidR="00BA6202" w:rsidRPr="00685539" w:rsidRDefault="00BA6202">
      <w:pPr>
        <w:pStyle w:val="Innehll2"/>
        <w:rPr>
          <w:sz w:val="24"/>
          <w:szCs w:val="24"/>
        </w:rPr>
      </w:pPr>
      <w:r w:rsidRPr="00685539">
        <w:t>1.1 Den parlamentariska församlingens roll och uppgifter</w:t>
      </w:r>
      <w:r w:rsidRPr="00685539">
        <w:tab/>
        <w:t>6</w:t>
      </w:r>
    </w:p>
    <w:p w:rsidR="00BA6202" w:rsidRPr="00685539" w:rsidRDefault="00BA6202">
      <w:pPr>
        <w:pStyle w:val="Innehll1"/>
        <w:rPr>
          <w:sz w:val="24"/>
          <w:szCs w:val="24"/>
        </w:rPr>
      </w:pPr>
      <w:r w:rsidRPr="00685539">
        <w:t>2 Den parlamentariska församlingens verksamhet under 2007</w:t>
      </w:r>
      <w:r w:rsidRPr="00685539">
        <w:tab/>
        <w:t>9</w:t>
      </w:r>
    </w:p>
    <w:p w:rsidR="00BA6202" w:rsidRPr="00685539" w:rsidRDefault="00BA6202">
      <w:pPr>
        <w:pStyle w:val="Innehll2"/>
        <w:rPr>
          <w:sz w:val="24"/>
          <w:szCs w:val="24"/>
        </w:rPr>
      </w:pPr>
      <w:r w:rsidRPr="00685539">
        <w:t>2.1 Sessionen 2007</w:t>
      </w:r>
      <w:r w:rsidRPr="00685539">
        <w:tab/>
        <w:t>9</w:t>
      </w:r>
    </w:p>
    <w:p w:rsidR="00BA6202" w:rsidRPr="00685539" w:rsidRDefault="00BA6202">
      <w:pPr>
        <w:pStyle w:val="Innehll2"/>
        <w:rPr>
          <w:sz w:val="24"/>
          <w:szCs w:val="24"/>
        </w:rPr>
      </w:pPr>
      <w:r w:rsidRPr="00685539">
        <w:t>2.2 Den svenska delegationen</w:t>
      </w:r>
      <w:r w:rsidRPr="00685539">
        <w:tab/>
        <w:t>9</w:t>
      </w:r>
    </w:p>
    <w:p w:rsidR="00BA6202" w:rsidRPr="00685539" w:rsidRDefault="00BA6202">
      <w:pPr>
        <w:pStyle w:val="Innehll2"/>
        <w:rPr>
          <w:sz w:val="24"/>
          <w:szCs w:val="24"/>
        </w:rPr>
      </w:pPr>
      <w:r w:rsidRPr="00685539">
        <w:t>2.3 Budget och omstrukturering av verksamheten</w:t>
      </w:r>
      <w:r w:rsidRPr="00685539">
        <w:tab/>
        <w:t>10</w:t>
      </w:r>
    </w:p>
    <w:p w:rsidR="00BA6202" w:rsidRPr="00685539" w:rsidRDefault="00BA6202">
      <w:pPr>
        <w:pStyle w:val="Innehll2"/>
        <w:rPr>
          <w:sz w:val="24"/>
          <w:szCs w:val="24"/>
        </w:rPr>
      </w:pPr>
      <w:r w:rsidRPr="00685539">
        <w:t>2.4 Granskningen av åtaganden</w:t>
      </w:r>
      <w:r w:rsidRPr="00685539">
        <w:tab/>
        <w:t>11</w:t>
      </w:r>
    </w:p>
    <w:p w:rsidR="00BA6202" w:rsidRPr="00685539" w:rsidRDefault="00BA6202">
      <w:pPr>
        <w:pStyle w:val="Innehll3"/>
        <w:rPr>
          <w:sz w:val="24"/>
          <w:szCs w:val="24"/>
        </w:rPr>
      </w:pPr>
      <w:r w:rsidRPr="00685539">
        <w:t>2.4.1 Granskningsverksamhetens omfattning</w:t>
      </w:r>
      <w:r w:rsidRPr="00685539">
        <w:tab/>
        <w:t>12</w:t>
      </w:r>
    </w:p>
    <w:p w:rsidR="00BA6202" w:rsidRPr="00685539" w:rsidRDefault="00BA6202">
      <w:pPr>
        <w:pStyle w:val="Innehll3"/>
        <w:rPr>
          <w:sz w:val="24"/>
          <w:szCs w:val="24"/>
        </w:rPr>
      </w:pPr>
      <w:r w:rsidRPr="00685539">
        <w:t>2.4.2 Granskning genom frågor till ministerkommittén</w:t>
      </w:r>
      <w:r w:rsidRPr="00685539">
        <w:tab/>
        <w:t>13</w:t>
      </w:r>
    </w:p>
    <w:p w:rsidR="00BA6202" w:rsidRPr="00685539" w:rsidRDefault="00BA6202">
      <w:pPr>
        <w:pStyle w:val="Innehll3"/>
        <w:rPr>
          <w:sz w:val="24"/>
          <w:szCs w:val="24"/>
        </w:rPr>
      </w:pPr>
      <w:r w:rsidRPr="00685539">
        <w:t>2.4.3 Valövervakning</w:t>
      </w:r>
      <w:r w:rsidRPr="00685539">
        <w:tab/>
        <w:t>14</w:t>
      </w:r>
    </w:p>
    <w:p w:rsidR="00BA6202" w:rsidRPr="00685539" w:rsidRDefault="00BA6202">
      <w:pPr>
        <w:pStyle w:val="Innehll3"/>
        <w:rPr>
          <w:sz w:val="24"/>
          <w:szCs w:val="24"/>
        </w:rPr>
      </w:pPr>
      <w:r w:rsidRPr="00685539">
        <w:t>2.4.4 Observatörer och andra samarbetspartner</w:t>
      </w:r>
      <w:r w:rsidRPr="00685539">
        <w:tab/>
        <w:t>14</w:t>
      </w:r>
    </w:p>
    <w:p w:rsidR="00BA6202" w:rsidRPr="00685539" w:rsidRDefault="00BA6202">
      <w:pPr>
        <w:pStyle w:val="Innehll2"/>
        <w:rPr>
          <w:sz w:val="24"/>
          <w:szCs w:val="24"/>
        </w:rPr>
      </w:pPr>
      <w:r w:rsidRPr="00685539">
        <w:t>2.5 Politiska frågor</w:t>
      </w:r>
      <w:r w:rsidRPr="00685539">
        <w:tab/>
        <w:t>15</w:t>
      </w:r>
    </w:p>
    <w:p w:rsidR="00BA6202" w:rsidRPr="00685539" w:rsidRDefault="00BA6202">
      <w:pPr>
        <w:pStyle w:val="Innehll3"/>
        <w:rPr>
          <w:sz w:val="24"/>
          <w:szCs w:val="24"/>
        </w:rPr>
      </w:pPr>
      <w:r w:rsidRPr="00685539">
        <w:t>2.5.1 Europeiskt forum för demokratins framtid</w:t>
      </w:r>
      <w:r w:rsidRPr="00685539">
        <w:tab/>
        <w:t>15</w:t>
      </w:r>
    </w:p>
    <w:p w:rsidR="00BA6202" w:rsidRPr="00685539" w:rsidRDefault="00BA6202">
      <w:pPr>
        <w:pStyle w:val="Innehll3"/>
        <w:rPr>
          <w:sz w:val="24"/>
          <w:szCs w:val="24"/>
        </w:rPr>
      </w:pPr>
      <w:r w:rsidRPr="00685539">
        <w:t>2.5.2 Europarådets relationer med andra internationella organisationer</w:t>
      </w:r>
      <w:r w:rsidRPr="00685539">
        <w:tab/>
        <w:t>16</w:t>
      </w:r>
    </w:p>
    <w:p w:rsidR="00BA6202" w:rsidRPr="00685539" w:rsidRDefault="00BA6202">
      <w:pPr>
        <w:pStyle w:val="Innehll3"/>
        <w:rPr>
          <w:sz w:val="24"/>
          <w:szCs w:val="24"/>
        </w:rPr>
      </w:pPr>
      <w:r w:rsidRPr="00685539">
        <w:t>2.5.2.1 FN</w:t>
      </w:r>
      <w:r w:rsidRPr="00685539">
        <w:tab/>
        <w:t>16</w:t>
      </w:r>
    </w:p>
    <w:p w:rsidR="00BA6202" w:rsidRPr="00685539" w:rsidRDefault="00BA6202">
      <w:pPr>
        <w:pStyle w:val="Innehll3"/>
        <w:rPr>
          <w:sz w:val="24"/>
          <w:szCs w:val="24"/>
        </w:rPr>
      </w:pPr>
      <w:r w:rsidRPr="00685539">
        <w:t>2.5.2.2 EU</w:t>
      </w:r>
      <w:r w:rsidRPr="00685539">
        <w:tab/>
        <w:t>17</w:t>
      </w:r>
    </w:p>
    <w:p w:rsidR="00BA6202" w:rsidRPr="00685539" w:rsidRDefault="00BA6202">
      <w:pPr>
        <w:pStyle w:val="Innehll4"/>
        <w:rPr>
          <w:sz w:val="24"/>
          <w:szCs w:val="24"/>
        </w:rPr>
      </w:pPr>
      <w:r w:rsidRPr="00685539">
        <w:t>2.5.2.2.1 Samarbetsöverenskommelse mellan Europarådet och EU</w:t>
      </w:r>
      <w:r w:rsidRPr="00685539">
        <w:tab/>
        <w:t>17</w:t>
      </w:r>
    </w:p>
    <w:p w:rsidR="00BA6202" w:rsidRPr="00685539" w:rsidRDefault="00BA6202">
      <w:pPr>
        <w:pStyle w:val="Innehll4"/>
        <w:rPr>
          <w:sz w:val="24"/>
          <w:szCs w:val="24"/>
        </w:rPr>
      </w:pPr>
      <w:r w:rsidRPr="00685539">
        <w:t>2.5.2.2.2 EU:s myndighet för grundläggande rättigheter</w:t>
      </w:r>
      <w:r w:rsidRPr="00685539">
        <w:tab/>
        <w:t>17</w:t>
      </w:r>
    </w:p>
    <w:p w:rsidR="00BA6202" w:rsidRPr="00685539" w:rsidRDefault="00BA6202">
      <w:pPr>
        <w:pStyle w:val="Innehll3"/>
        <w:rPr>
          <w:sz w:val="24"/>
          <w:szCs w:val="24"/>
        </w:rPr>
      </w:pPr>
      <w:r w:rsidRPr="00685539">
        <w:t>2.5.3 Balkan</w:t>
      </w:r>
      <w:r w:rsidRPr="00685539">
        <w:tab/>
        <w:t>18</w:t>
      </w:r>
    </w:p>
    <w:p w:rsidR="00BA6202" w:rsidRPr="00685539" w:rsidRDefault="00BA6202">
      <w:pPr>
        <w:pStyle w:val="Innehll3"/>
        <w:rPr>
          <w:sz w:val="24"/>
          <w:szCs w:val="24"/>
        </w:rPr>
      </w:pPr>
      <w:r w:rsidRPr="00685539">
        <w:t>2.5.3.1 Montenegro 47:e medlemsstaten</w:t>
      </w:r>
      <w:r w:rsidRPr="00685539">
        <w:tab/>
        <w:t>18</w:t>
      </w:r>
    </w:p>
    <w:p w:rsidR="00BA6202" w:rsidRPr="00685539" w:rsidRDefault="00BA6202">
      <w:pPr>
        <w:pStyle w:val="Innehll3"/>
        <w:rPr>
          <w:sz w:val="24"/>
          <w:szCs w:val="24"/>
        </w:rPr>
      </w:pPr>
      <w:r w:rsidRPr="00685539">
        <w:t>2.5.3.2 Kosovo</w:t>
      </w:r>
      <w:r w:rsidRPr="00685539">
        <w:tab/>
        <w:t>18</w:t>
      </w:r>
    </w:p>
    <w:p w:rsidR="00BA6202" w:rsidRPr="00685539" w:rsidRDefault="00BA6202">
      <w:pPr>
        <w:pStyle w:val="Innehll3"/>
        <w:rPr>
          <w:sz w:val="24"/>
          <w:szCs w:val="24"/>
        </w:rPr>
      </w:pPr>
      <w:r w:rsidRPr="00685539">
        <w:t>2.5.4 Kampen mot terrorismen</w:t>
      </w:r>
      <w:r w:rsidRPr="00685539">
        <w:tab/>
        <w:t>19</w:t>
      </w:r>
    </w:p>
    <w:p w:rsidR="00BA6202" w:rsidRPr="00685539" w:rsidRDefault="00BA6202">
      <w:pPr>
        <w:pStyle w:val="Innehll3"/>
        <w:rPr>
          <w:sz w:val="24"/>
          <w:szCs w:val="24"/>
        </w:rPr>
      </w:pPr>
      <w:r w:rsidRPr="00685539">
        <w:t>2.5.5 Globalisering</w:t>
      </w:r>
      <w:r w:rsidRPr="00685539">
        <w:tab/>
        <w:t>19</w:t>
      </w:r>
    </w:p>
    <w:p w:rsidR="00BA6202" w:rsidRPr="00685539" w:rsidRDefault="00BA6202">
      <w:pPr>
        <w:pStyle w:val="Innehll2"/>
        <w:rPr>
          <w:sz w:val="24"/>
          <w:szCs w:val="24"/>
        </w:rPr>
      </w:pPr>
      <w:r w:rsidRPr="00685539">
        <w:t>2.6 Mänskliga rättigheter</w:t>
      </w:r>
      <w:r w:rsidRPr="00685539">
        <w:tab/>
        <w:t>20</w:t>
      </w:r>
    </w:p>
    <w:p w:rsidR="00BA6202" w:rsidRPr="00685539" w:rsidRDefault="00BA6202">
      <w:pPr>
        <w:pStyle w:val="Innehll3"/>
        <w:rPr>
          <w:sz w:val="24"/>
          <w:szCs w:val="24"/>
        </w:rPr>
      </w:pPr>
      <w:r w:rsidRPr="00685539">
        <w:t>2.6.1 Avskaffandet av dödsstraffet</w:t>
      </w:r>
      <w:r w:rsidRPr="00685539">
        <w:tab/>
        <w:t>20</w:t>
      </w:r>
    </w:p>
    <w:p w:rsidR="00BA6202" w:rsidRPr="00685539" w:rsidRDefault="00BA6202">
      <w:pPr>
        <w:pStyle w:val="Innehll3"/>
        <w:rPr>
          <w:sz w:val="24"/>
          <w:szCs w:val="24"/>
        </w:rPr>
      </w:pPr>
      <w:r w:rsidRPr="00685539">
        <w:t>2.6.2 Uppföljning av verkställighet av Europadomstolens beslut</w:t>
      </w:r>
      <w:r w:rsidRPr="00685539">
        <w:tab/>
        <w:t>21</w:t>
      </w:r>
    </w:p>
    <w:p w:rsidR="00BA6202" w:rsidRPr="00685539" w:rsidRDefault="00BA6202">
      <w:pPr>
        <w:pStyle w:val="Innehll3"/>
        <w:rPr>
          <w:sz w:val="24"/>
          <w:szCs w:val="24"/>
        </w:rPr>
      </w:pPr>
      <w:r w:rsidRPr="00685539">
        <w:t>2.6.3 Mekanismer för att skydda de mänskliga rättigheterna</w:t>
      </w:r>
      <w:r w:rsidRPr="00685539">
        <w:tab/>
        <w:t>22</w:t>
      </w:r>
    </w:p>
    <w:p w:rsidR="00BA6202" w:rsidRPr="00685539" w:rsidRDefault="00BA6202">
      <w:pPr>
        <w:pStyle w:val="Innehll3"/>
        <w:rPr>
          <w:sz w:val="24"/>
          <w:szCs w:val="24"/>
        </w:rPr>
      </w:pPr>
      <w:r w:rsidRPr="00685539">
        <w:t>2.6.4 Europapris för främjandet av mänskliga rättigheter</w:t>
      </w:r>
      <w:r w:rsidRPr="00685539">
        <w:tab/>
        <w:t>22</w:t>
      </w:r>
    </w:p>
    <w:p w:rsidR="00BA6202" w:rsidRPr="00685539" w:rsidRDefault="00BA6202">
      <w:pPr>
        <w:pStyle w:val="Innehll3"/>
        <w:rPr>
          <w:sz w:val="24"/>
          <w:szCs w:val="24"/>
        </w:rPr>
      </w:pPr>
      <w:r w:rsidRPr="00685539">
        <w:t>2.6.5 Jämställdhet mellan kvinnor och män</w:t>
      </w:r>
      <w:r w:rsidRPr="00685539">
        <w:tab/>
        <w:t>23</w:t>
      </w:r>
    </w:p>
    <w:p w:rsidR="00BA6202" w:rsidRPr="00685539" w:rsidRDefault="00BA6202">
      <w:pPr>
        <w:pStyle w:val="Innehll3"/>
        <w:rPr>
          <w:sz w:val="24"/>
          <w:szCs w:val="24"/>
        </w:rPr>
      </w:pPr>
      <w:r w:rsidRPr="00685539">
        <w:t>2.6.6 Europarådets kampanj mot våld mot kvinnor i nära relationer</w:t>
      </w:r>
      <w:r w:rsidRPr="00685539">
        <w:tab/>
        <w:t>23</w:t>
      </w:r>
    </w:p>
    <w:p w:rsidR="00BA6202" w:rsidRPr="00685539" w:rsidRDefault="00BA6202">
      <w:pPr>
        <w:pStyle w:val="Innehll2"/>
        <w:rPr>
          <w:sz w:val="24"/>
          <w:szCs w:val="24"/>
        </w:rPr>
      </w:pPr>
      <w:r w:rsidRPr="00685539">
        <w:t>2.7 Ekonomiska, kulturella och sociala frågor m.m.</w:t>
      </w:r>
      <w:r w:rsidRPr="00685539">
        <w:tab/>
        <w:t>24</w:t>
      </w:r>
    </w:p>
    <w:p w:rsidR="00BA6202" w:rsidRPr="00685539" w:rsidRDefault="00BA6202">
      <w:pPr>
        <w:pStyle w:val="Innehll3"/>
        <w:rPr>
          <w:sz w:val="24"/>
          <w:szCs w:val="24"/>
        </w:rPr>
      </w:pPr>
      <w:r w:rsidRPr="00685539">
        <w:t>2.7.1 Möte om interkulturell dialog</w:t>
      </w:r>
      <w:r w:rsidRPr="00685539">
        <w:tab/>
        <w:t>24</w:t>
      </w:r>
    </w:p>
    <w:p w:rsidR="00BA6202" w:rsidRPr="00685539" w:rsidRDefault="00BA6202">
      <w:pPr>
        <w:pStyle w:val="Innehll2"/>
        <w:rPr>
          <w:sz w:val="24"/>
          <w:szCs w:val="24"/>
        </w:rPr>
      </w:pPr>
      <w:r w:rsidRPr="00685539">
        <w:t>2.8 Gäster</w:t>
      </w:r>
      <w:r w:rsidRPr="00685539">
        <w:tab/>
        <w:t>25</w:t>
      </w:r>
    </w:p>
    <w:p w:rsidR="00BA6202" w:rsidRPr="00685539" w:rsidRDefault="00BA6202">
      <w:pPr>
        <w:pStyle w:val="Innehll1"/>
        <w:rPr>
          <w:sz w:val="24"/>
          <w:szCs w:val="24"/>
        </w:rPr>
      </w:pPr>
      <w:r w:rsidRPr="00685539">
        <w:t>3 Den svenska representationen</w:t>
      </w:r>
      <w:r w:rsidRPr="00685539">
        <w:tab/>
        <w:t>26</w:t>
      </w:r>
    </w:p>
    <w:p w:rsidR="00BA6202" w:rsidRPr="00685539" w:rsidRDefault="00BA6202">
      <w:pPr>
        <w:pStyle w:val="Innehll1"/>
        <w:rPr>
          <w:sz w:val="24"/>
          <w:szCs w:val="24"/>
        </w:rPr>
      </w:pPr>
      <w:r w:rsidRPr="00685539">
        <w:t>4 Huvudområden för församlingens verksamhet</w:t>
      </w:r>
      <w:r w:rsidRPr="00685539">
        <w:tab/>
        <w:t>29</w:t>
      </w:r>
    </w:p>
    <w:p w:rsidR="00BA6202" w:rsidRPr="00685539" w:rsidRDefault="00BA6202">
      <w:pPr>
        <w:pStyle w:val="Innehll2"/>
        <w:rPr>
          <w:sz w:val="24"/>
          <w:szCs w:val="24"/>
        </w:rPr>
      </w:pPr>
      <w:r w:rsidRPr="00685539">
        <w:t>4.1 Granskning av hur medlemsländerna uppfyller sina åtaganden</w:t>
      </w:r>
      <w:r w:rsidRPr="00685539">
        <w:tab/>
        <w:t>29</w:t>
      </w:r>
    </w:p>
    <w:p w:rsidR="00BA6202" w:rsidRPr="00685539" w:rsidRDefault="00BA6202">
      <w:pPr>
        <w:pStyle w:val="Innehll3"/>
        <w:rPr>
          <w:sz w:val="24"/>
          <w:szCs w:val="24"/>
        </w:rPr>
      </w:pPr>
      <w:r w:rsidRPr="00685539">
        <w:t>4.1.1 Albanien</w:t>
      </w:r>
      <w:r w:rsidRPr="00685539">
        <w:tab/>
        <w:t>29</w:t>
      </w:r>
    </w:p>
    <w:p w:rsidR="00BA6202" w:rsidRPr="00685539" w:rsidRDefault="00BA6202">
      <w:pPr>
        <w:pStyle w:val="Innehll3"/>
        <w:rPr>
          <w:sz w:val="24"/>
          <w:szCs w:val="24"/>
        </w:rPr>
      </w:pPr>
      <w:r w:rsidRPr="00685539">
        <w:t>4.1.2 Azerbajdzjan</w:t>
      </w:r>
      <w:r w:rsidRPr="00685539">
        <w:tab/>
        <w:t>29</w:t>
      </w:r>
    </w:p>
    <w:p w:rsidR="00BA6202" w:rsidRPr="00685539" w:rsidRDefault="00BA6202">
      <w:pPr>
        <w:pStyle w:val="Innehll3"/>
        <w:rPr>
          <w:sz w:val="24"/>
          <w:szCs w:val="24"/>
        </w:rPr>
      </w:pPr>
      <w:r w:rsidRPr="00685539">
        <w:t>4.1.3 Moldavien</w:t>
      </w:r>
      <w:r w:rsidRPr="00685539">
        <w:tab/>
        <w:t>30</w:t>
      </w:r>
    </w:p>
    <w:p w:rsidR="00BA6202" w:rsidRPr="00685539" w:rsidRDefault="00BA6202">
      <w:pPr>
        <w:pStyle w:val="Innehll3"/>
        <w:rPr>
          <w:sz w:val="24"/>
          <w:szCs w:val="24"/>
        </w:rPr>
      </w:pPr>
      <w:r w:rsidRPr="00685539">
        <w:t>4.1.4 Monaco</w:t>
      </w:r>
      <w:r w:rsidRPr="00685539">
        <w:tab/>
        <w:t>31</w:t>
      </w:r>
    </w:p>
    <w:p w:rsidR="00BA6202" w:rsidRPr="00685539" w:rsidRDefault="00BA6202">
      <w:pPr>
        <w:pStyle w:val="Innehll2"/>
        <w:rPr>
          <w:sz w:val="24"/>
          <w:szCs w:val="24"/>
        </w:rPr>
      </w:pPr>
      <w:r w:rsidRPr="00685539">
        <w:t>4.2 Politiska frågor</w:t>
      </w:r>
      <w:r w:rsidRPr="00685539">
        <w:tab/>
        <w:t>31</w:t>
      </w:r>
    </w:p>
    <w:p w:rsidR="00BA6202" w:rsidRPr="00685539" w:rsidRDefault="00BA6202">
      <w:pPr>
        <w:pStyle w:val="Innehll3"/>
        <w:rPr>
          <w:sz w:val="24"/>
          <w:szCs w:val="24"/>
        </w:rPr>
      </w:pPr>
      <w:r w:rsidRPr="00685539">
        <w:t>4.2.1 Demokratins utveckling i Europa</w:t>
      </w:r>
      <w:r w:rsidRPr="00685539">
        <w:tab/>
        <w:t>31</w:t>
      </w:r>
    </w:p>
    <w:p w:rsidR="00BA6202" w:rsidRPr="00685539" w:rsidRDefault="00BA6202">
      <w:pPr>
        <w:pStyle w:val="Innehll3"/>
        <w:rPr>
          <w:sz w:val="24"/>
          <w:szCs w:val="24"/>
        </w:rPr>
      </w:pPr>
      <w:r w:rsidRPr="00685539">
        <w:t>4.2.2 Kosovo</w:t>
      </w:r>
      <w:r w:rsidRPr="00685539">
        <w:tab/>
        <w:t>32</w:t>
      </w:r>
    </w:p>
    <w:p w:rsidR="00BA6202" w:rsidRPr="00685539" w:rsidRDefault="00BA6202">
      <w:pPr>
        <w:pStyle w:val="Innehll3"/>
        <w:rPr>
          <w:sz w:val="24"/>
          <w:szCs w:val="24"/>
        </w:rPr>
      </w:pPr>
      <w:r w:rsidRPr="00685539">
        <w:t>4.2.3 Konsekvenser när energin används som politiskt påtryckningsmedel</w:t>
      </w:r>
      <w:r w:rsidRPr="00685539">
        <w:tab/>
        <w:t>33</w:t>
      </w:r>
    </w:p>
    <w:p w:rsidR="00BA6202" w:rsidRPr="00685539" w:rsidRDefault="00BA6202">
      <w:pPr>
        <w:pStyle w:val="Innehll3"/>
        <w:rPr>
          <w:sz w:val="24"/>
          <w:szCs w:val="24"/>
        </w:rPr>
      </w:pPr>
      <w:r w:rsidRPr="00685539">
        <w:t>4.2.4 Situationen i Mellanöstern</w:t>
      </w:r>
      <w:r w:rsidRPr="00685539">
        <w:tab/>
        <w:t>33</w:t>
      </w:r>
    </w:p>
    <w:p w:rsidR="00BA6202" w:rsidRPr="00685539" w:rsidRDefault="00BA6202">
      <w:pPr>
        <w:pStyle w:val="Innehll3"/>
        <w:rPr>
          <w:sz w:val="24"/>
          <w:szCs w:val="24"/>
        </w:rPr>
      </w:pPr>
      <w:r w:rsidRPr="00685539">
        <w:t>4.2.5 Irans kärnteknikprogram</w:t>
      </w:r>
      <w:r w:rsidRPr="00685539">
        <w:tab/>
        <w:t>34</w:t>
      </w:r>
    </w:p>
    <w:p w:rsidR="00BA6202" w:rsidRPr="00685539" w:rsidRDefault="00BA6202">
      <w:pPr>
        <w:pStyle w:val="Innehll3"/>
        <w:rPr>
          <w:sz w:val="24"/>
          <w:szCs w:val="24"/>
        </w:rPr>
      </w:pPr>
      <w:r w:rsidRPr="00685539">
        <w:t>4.2.6 Kampen mot antisemitism</w:t>
      </w:r>
      <w:r w:rsidRPr="00685539">
        <w:tab/>
        <w:t>34</w:t>
      </w:r>
    </w:p>
    <w:p w:rsidR="00BA6202" w:rsidRPr="00685539" w:rsidRDefault="00BA6202">
      <w:pPr>
        <w:pStyle w:val="Innehll3"/>
        <w:rPr>
          <w:sz w:val="24"/>
          <w:szCs w:val="24"/>
        </w:rPr>
      </w:pPr>
      <w:r w:rsidRPr="00685539">
        <w:t>4.2.7 Preventivt krig och internationella relationer</w:t>
      </w:r>
      <w:r w:rsidRPr="00685539">
        <w:tab/>
        <w:t>34</w:t>
      </w:r>
    </w:p>
    <w:p w:rsidR="00BA6202" w:rsidRPr="00685539" w:rsidRDefault="00BA6202">
      <w:pPr>
        <w:pStyle w:val="Innehll3"/>
        <w:rPr>
          <w:sz w:val="24"/>
          <w:szCs w:val="24"/>
        </w:rPr>
      </w:pPr>
      <w:r w:rsidRPr="00685539">
        <w:t>4.2.8 Kodex för bra uppförande för politiska partier</w:t>
      </w:r>
      <w:r w:rsidRPr="00685539">
        <w:tab/>
        <w:t>35</w:t>
      </w:r>
    </w:p>
    <w:p w:rsidR="00BA6202" w:rsidRPr="00685539" w:rsidRDefault="00BA6202">
      <w:pPr>
        <w:pStyle w:val="Innehll3"/>
        <w:rPr>
          <w:sz w:val="24"/>
          <w:szCs w:val="24"/>
        </w:rPr>
      </w:pPr>
      <w:r w:rsidRPr="00685539">
        <w:t>4.2.9 Situationen i Darfur</w:t>
      </w:r>
      <w:r w:rsidRPr="00685539">
        <w:tab/>
        <w:t>35</w:t>
      </w:r>
    </w:p>
    <w:p w:rsidR="00BA6202" w:rsidRPr="00685539" w:rsidRDefault="00BA6202">
      <w:pPr>
        <w:pStyle w:val="Innehll2"/>
        <w:rPr>
          <w:sz w:val="24"/>
          <w:szCs w:val="24"/>
        </w:rPr>
      </w:pPr>
      <w:r w:rsidRPr="00685539">
        <w:t>4.3 Juridiska frågor och mänskliga rättigheter</w:t>
      </w:r>
      <w:r w:rsidRPr="00685539">
        <w:tab/>
        <w:t>36</w:t>
      </w:r>
    </w:p>
    <w:p w:rsidR="00BA6202" w:rsidRPr="00685539" w:rsidRDefault="00BA6202">
      <w:pPr>
        <w:pStyle w:val="Innehll3"/>
        <w:rPr>
          <w:sz w:val="24"/>
          <w:szCs w:val="24"/>
        </w:rPr>
      </w:pPr>
      <w:r w:rsidRPr="00685539">
        <w:t>4.3.1 Fokus på mänskliga rättigheter och demokrati</w:t>
      </w:r>
      <w:r w:rsidRPr="00685539">
        <w:tab/>
        <w:t>36</w:t>
      </w:r>
    </w:p>
    <w:p w:rsidR="00BA6202" w:rsidRPr="00685539" w:rsidRDefault="00BA6202">
      <w:pPr>
        <w:pStyle w:val="Innehll3"/>
        <w:rPr>
          <w:sz w:val="24"/>
          <w:szCs w:val="24"/>
        </w:rPr>
      </w:pPr>
      <w:r w:rsidRPr="00685539">
        <w:t>4.3.2 Hemliga fängelsecentrum i Europa</w:t>
      </w:r>
      <w:r w:rsidRPr="00685539">
        <w:tab/>
        <w:t>36</w:t>
      </w:r>
    </w:p>
    <w:p w:rsidR="00BA6202" w:rsidRPr="00685539" w:rsidRDefault="00BA6202">
      <w:pPr>
        <w:pStyle w:val="Innehll3"/>
        <w:rPr>
          <w:sz w:val="24"/>
          <w:szCs w:val="24"/>
        </w:rPr>
      </w:pPr>
      <w:r w:rsidRPr="00685539">
        <w:t>4.3.3 Att förebygga IT-relaterade brott mot statliga institutioner</w:t>
      </w:r>
      <w:r w:rsidRPr="00685539">
        <w:tab/>
        <w:t>37</w:t>
      </w:r>
    </w:p>
    <w:p w:rsidR="00BA6202" w:rsidRPr="00685539" w:rsidRDefault="00BA6202">
      <w:pPr>
        <w:pStyle w:val="Innehll3"/>
        <w:rPr>
          <w:sz w:val="24"/>
          <w:szCs w:val="24"/>
        </w:rPr>
      </w:pPr>
      <w:r w:rsidRPr="00685539">
        <w:t>4.3.4 Nominering av domarkandidater</w:t>
      </w:r>
      <w:r w:rsidRPr="00685539">
        <w:tab/>
        <w:t>37</w:t>
      </w:r>
    </w:p>
    <w:p w:rsidR="00BA6202" w:rsidRPr="00685539" w:rsidRDefault="00BA6202">
      <w:pPr>
        <w:pStyle w:val="Innehll2"/>
        <w:rPr>
          <w:sz w:val="24"/>
          <w:szCs w:val="24"/>
        </w:rPr>
      </w:pPr>
      <w:r w:rsidRPr="00685539">
        <w:t>4.4 Ekonomiska frågor</w:t>
      </w:r>
      <w:r w:rsidRPr="00685539">
        <w:tab/>
        <w:t>38</w:t>
      </w:r>
    </w:p>
    <w:p w:rsidR="00BA6202" w:rsidRPr="00685539" w:rsidRDefault="00BA6202">
      <w:pPr>
        <w:pStyle w:val="Innehll3"/>
        <w:rPr>
          <w:sz w:val="24"/>
          <w:szCs w:val="24"/>
        </w:rPr>
      </w:pPr>
      <w:r w:rsidRPr="00685539">
        <w:t>4.4.1 OECD och världsekonomin</w:t>
      </w:r>
      <w:r w:rsidRPr="00685539">
        <w:tab/>
        <w:t>38</w:t>
      </w:r>
    </w:p>
    <w:p w:rsidR="00BA6202" w:rsidRPr="00685539" w:rsidRDefault="00BA6202">
      <w:pPr>
        <w:pStyle w:val="Innehll3"/>
        <w:rPr>
          <w:sz w:val="24"/>
          <w:szCs w:val="24"/>
        </w:rPr>
      </w:pPr>
      <w:r w:rsidRPr="00685539">
        <w:t>4.4.2 Förbud mot piratkopior och handel med förfalskade produkter</w:t>
      </w:r>
      <w:r w:rsidRPr="00685539">
        <w:tab/>
        <w:t>39</w:t>
      </w:r>
    </w:p>
    <w:p w:rsidR="00BA6202" w:rsidRPr="00685539" w:rsidRDefault="00BA6202">
      <w:pPr>
        <w:pStyle w:val="Innehll3"/>
        <w:rPr>
          <w:sz w:val="24"/>
          <w:szCs w:val="24"/>
        </w:rPr>
      </w:pPr>
      <w:r w:rsidRPr="00685539">
        <w:t>4.4.3 Ekonomisk tillväxt och socialt skydd i Europa</w:t>
      </w:r>
      <w:r w:rsidRPr="00685539">
        <w:tab/>
        <w:t>39</w:t>
      </w:r>
    </w:p>
    <w:p w:rsidR="00BA6202" w:rsidRPr="00685539" w:rsidRDefault="00BA6202">
      <w:pPr>
        <w:pStyle w:val="Innehll2"/>
        <w:rPr>
          <w:sz w:val="24"/>
          <w:szCs w:val="24"/>
        </w:rPr>
      </w:pPr>
      <w:r w:rsidRPr="00685539">
        <w:t>4.5 Kultur, utbildning och vetenskap</w:t>
      </w:r>
      <w:r w:rsidRPr="00685539">
        <w:tab/>
        <w:t>40</w:t>
      </w:r>
    </w:p>
    <w:p w:rsidR="00BA6202" w:rsidRPr="00685539" w:rsidRDefault="00BA6202">
      <w:pPr>
        <w:pStyle w:val="Innehll3"/>
        <w:rPr>
          <w:sz w:val="24"/>
          <w:szCs w:val="24"/>
        </w:rPr>
      </w:pPr>
      <w:r w:rsidRPr="00685539">
        <w:t>4.5.1 Hot mot journalisters liv och yttrandefrihet</w:t>
      </w:r>
      <w:r w:rsidRPr="00685539">
        <w:tab/>
        <w:t>40</w:t>
      </w:r>
    </w:p>
    <w:p w:rsidR="00BA6202" w:rsidRPr="00685539" w:rsidRDefault="00BA6202">
      <w:pPr>
        <w:pStyle w:val="Innehll3"/>
        <w:rPr>
          <w:sz w:val="24"/>
          <w:szCs w:val="24"/>
        </w:rPr>
      </w:pPr>
      <w:r w:rsidRPr="00685539">
        <w:t>4.5.2 Farorna med skapelseberättelsen</w:t>
      </w:r>
      <w:r w:rsidRPr="00685539">
        <w:tab/>
        <w:t>40</w:t>
      </w:r>
    </w:p>
    <w:p w:rsidR="00BA6202" w:rsidRPr="00685539" w:rsidRDefault="00BA6202">
      <w:pPr>
        <w:pStyle w:val="Innehll2"/>
        <w:rPr>
          <w:sz w:val="24"/>
          <w:szCs w:val="24"/>
        </w:rPr>
      </w:pPr>
      <w:r w:rsidRPr="00685539">
        <w:t>4.6 Sociala frågor, hälso- och familjefrågor</w:t>
      </w:r>
      <w:r w:rsidRPr="00685539">
        <w:tab/>
        <w:t>41</w:t>
      </w:r>
    </w:p>
    <w:p w:rsidR="00BA6202" w:rsidRPr="00685539" w:rsidRDefault="00BA6202">
      <w:pPr>
        <w:pStyle w:val="Innehll3"/>
        <w:rPr>
          <w:sz w:val="24"/>
          <w:szCs w:val="24"/>
        </w:rPr>
      </w:pPr>
      <w:r w:rsidRPr="00685539">
        <w:t>4.6.1 Europarådets konvention om skydd för barn mot sexuellt utnyttjande och sexuella övergrepp</w:t>
      </w:r>
      <w:r w:rsidRPr="00685539">
        <w:tab/>
        <w:t>41</w:t>
      </w:r>
    </w:p>
    <w:p w:rsidR="00BA6202" w:rsidRPr="00685539" w:rsidRDefault="00BA6202">
      <w:pPr>
        <w:pStyle w:val="Innehll3"/>
        <w:rPr>
          <w:sz w:val="24"/>
          <w:szCs w:val="24"/>
        </w:rPr>
      </w:pPr>
      <w:r w:rsidRPr="00685539">
        <w:t>4.6.2 Insatser mot våld mot barn</w:t>
      </w:r>
      <w:r w:rsidRPr="00685539">
        <w:tab/>
        <w:t>42</w:t>
      </w:r>
    </w:p>
    <w:p w:rsidR="00BA6202" w:rsidRPr="00685539" w:rsidRDefault="00BA6202">
      <w:pPr>
        <w:pStyle w:val="Innehll3"/>
        <w:rPr>
          <w:sz w:val="24"/>
          <w:szCs w:val="24"/>
        </w:rPr>
      </w:pPr>
      <w:r w:rsidRPr="00685539">
        <w:t>4.6.3 Situationen för de äldre i Europa</w:t>
      </w:r>
      <w:r w:rsidRPr="00685539">
        <w:tab/>
        <w:t>42</w:t>
      </w:r>
    </w:p>
    <w:p w:rsidR="00BA6202" w:rsidRPr="00685539" w:rsidRDefault="00BA6202">
      <w:pPr>
        <w:pStyle w:val="Innehll3"/>
        <w:rPr>
          <w:sz w:val="24"/>
          <w:szCs w:val="24"/>
        </w:rPr>
      </w:pPr>
      <w:r w:rsidRPr="00685539">
        <w:t>4.6.4 Situationen för barn i konfliktdrabbade zoner på Balkan</w:t>
      </w:r>
      <w:r w:rsidRPr="00685539">
        <w:tab/>
        <w:t>42</w:t>
      </w:r>
    </w:p>
    <w:p w:rsidR="00BA6202" w:rsidRPr="00685539" w:rsidRDefault="00BA6202">
      <w:pPr>
        <w:pStyle w:val="Innehll2"/>
        <w:rPr>
          <w:sz w:val="24"/>
          <w:szCs w:val="24"/>
        </w:rPr>
      </w:pPr>
      <w:r w:rsidRPr="00685539">
        <w:t>4.7 Befolknings- och flyktingfrågor</w:t>
      </w:r>
      <w:r w:rsidRPr="00685539">
        <w:tab/>
        <w:t>43</w:t>
      </w:r>
    </w:p>
    <w:p w:rsidR="00BA6202" w:rsidRPr="00685539" w:rsidRDefault="00BA6202">
      <w:pPr>
        <w:pStyle w:val="Innehll3"/>
        <w:rPr>
          <w:sz w:val="24"/>
          <w:szCs w:val="24"/>
        </w:rPr>
      </w:pPr>
      <w:r w:rsidRPr="00685539">
        <w:t>4.7.1 Internationella migrationsorganisationens aktiviteter</w:t>
      </w:r>
      <w:r w:rsidRPr="00685539">
        <w:tab/>
        <w:t>43</w:t>
      </w:r>
    </w:p>
    <w:p w:rsidR="00BA6202" w:rsidRPr="00685539" w:rsidRDefault="00BA6202">
      <w:pPr>
        <w:pStyle w:val="Innehll3"/>
        <w:rPr>
          <w:sz w:val="24"/>
          <w:szCs w:val="24"/>
        </w:rPr>
      </w:pPr>
      <w:r w:rsidRPr="00685539">
        <w:t>4.7.2 Irreguljära invandrare</w:t>
      </w:r>
      <w:r w:rsidRPr="00685539">
        <w:tab/>
        <w:t>43</w:t>
      </w:r>
    </w:p>
    <w:p w:rsidR="00BA6202" w:rsidRPr="00685539" w:rsidRDefault="00BA6202">
      <w:pPr>
        <w:pStyle w:val="Innehll3"/>
        <w:rPr>
          <w:sz w:val="24"/>
          <w:szCs w:val="24"/>
        </w:rPr>
      </w:pPr>
      <w:r w:rsidRPr="00685539">
        <w:t>4.7.3 Transitcentrum för invandrare</w:t>
      </w:r>
      <w:r w:rsidRPr="00685539">
        <w:tab/>
        <w:t>44</w:t>
      </w:r>
    </w:p>
    <w:p w:rsidR="00BA6202" w:rsidRPr="00685539" w:rsidRDefault="00BA6202">
      <w:pPr>
        <w:pStyle w:val="Innehll3"/>
        <w:rPr>
          <w:sz w:val="24"/>
          <w:szCs w:val="24"/>
        </w:rPr>
      </w:pPr>
      <w:r w:rsidRPr="00685539">
        <w:t>4.7.4 Försvinnanden i Armenien, Azerbajdzjan och Georgien</w:t>
      </w:r>
      <w:r w:rsidRPr="00685539">
        <w:tab/>
        <w:t>44</w:t>
      </w:r>
    </w:p>
    <w:p w:rsidR="00BA6202" w:rsidRPr="00685539" w:rsidRDefault="00BA6202">
      <w:pPr>
        <w:pStyle w:val="Innehll2"/>
        <w:rPr>
          <w:sz w:val="24"/>
          <w:szCs w:val="24"/>
        </w:rPr>
      </w:pPr>
      <w:r w:rsidRPr="00685539">
        <w:t>4.8 Jordbruk och miljö</w:t>
      </w:r>
      <w:r w:rsidRPr="00685539">
        <w:tab/>
        <w:t>45</w:t>
      </w:r>
    </w:p>
    <w:p w:rsidR="00BA6202" w:rsidRPr="00685539" w:rsidRDefault="00BA6202">
      <w:pPr>
        <w:pStyle w:val="Innehll3"/>
        <w:rPr>
          <w:sz w:val="24"/>
          <w:szCs w:val="24"/>
        </w:rPr>
      </w:pPr>
      <w:r w:rsidRPr="00685539">
        <w:t>4.8.1 Lagring av koldioxid som metod i kampen mot klimatförändring</w:t>
      </w:r>
      <w:r w:rsidRPr="00685539">
        <w:tab/>
        <w:t>45</w:t>
      </w:r>
    </w:p>
    <w:p w:rsidR="00BA6202" w:rsidRPr="00685539" w:rsidRDefault="00BA6202">
      <w:pPr>
        <w:pStyle w:val="Innehll2"/>
        <w:rPr>
          <w:sz w:val="24"/>
          <w:szCs w:val="24"/>
        </w:rPr>
      </w:pPr>
      <w:r w:rsidRPr="00685539">
        <w:t>4.9 Jämställdhet</w:t>
      </w:r>
      <w:r w:rsidRPr="00685539">
        <w:tab/>
        <w:t>45</w:t>
      </w:r>
    </w:p>
    <w:p w:rsidR="00BA6202" w:rsidRPr="00685539" w:rsidRDefault="00BA6202">
      <w:pPr>
        <w:pStyle w:val="Innehll3"/>
        <w:rPr>
          <w:sz w:val="24"/>
          <w:szCs w:val="24"/>
        </w:rPr>
      </w:pPr>
      <w:r w:rsidRPr="00685539">
        <w:t>4.9.1 Utvärdering av kampanjen om kampen mot våld mot kvinnor</w:t>
      </w:r>
      <w:r w:rsidRPr="00685539">
        <w:tab/>
        <w:t>45</w:t>
      </w:r>
    </w:p>
    <w:p w:rsidR="00BA6202" w:rsidRPr="00685539" w:rsidRDefault="00BA6202">
      <w:pPr>
        <w:pStyle w:val="Innehll3"/>
        <w:rPr>
          <w:sz w:val="24"/>
          <w:szCs w:val="24"/>
        </w:rPr>
      </w:pPr>
      <w:r w:rsidRPr="00685539">
        <w:t>4.9.2 Hantering av prostitution</w:t>
      </w:r>
      <w:r w:rsidRPr="00685539">
        <w:tab/>
        <w:t>46</w:t>
      </w:r>
    </w:p>
    <w:p w:rsidR="00BA6202" w:rsidRPr="00685539" w:rsidRDefault="00BA6202">
      <w:pPr>
        <w:pStyle w:val="Innehll3"/>
        <w:rPr>
          <w:sz w:val="24"/>
          <w:szCs w:val="24"/>
        </w:rPr>
      </w:pPr>
      <w:r w:rsidRPr="00685539">
        <w:t>4.9.3 Kvinnobilden i reklam</w:t>
      </w:r>
      <w:r w:rsidRPr="00685539">
        <w:tab/>
        <w:t>47</w:t>
      </w:r>
    </w:p>
    <w:p w:rsidR="007C2D20" w:rsidRPr="00685539" w:rsidRDefault="007C2D20" w:rsidP="007C2D20"/>
    <w:p w:rsidR="007C2D20" w:rsidRPr="00685539" w:rsidRDefault="007C2D20" w:rsidP="007C2D20">
      <w:pPr>
        <w:pStyle w:val="Normaltindrag"/>
        <w:sectPr w:rsidR="007C2D20" w:rsidRPr="00685539">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C6495" w:rsidRPr="00685539" w:rsidRDefault="001C6495" w:rsidP="001C6495">
      <w:pPr>
        <w:pStyle w:val="Rubrik1"/>
        <w:rPr>
          <w:noProof w:val="0"/>
        </w:rPr>
      </w:pPr>
      <w:bookmarkStart w:id="5" w:name="_Toc192059477"/>
      <w:r w:rsidRPr="00685539">
        <w:rPr>
          <w:noProof w:val="0"/>
        </w:rPr>
        <w:t>1 Europarådets roll i det europeiska samarbetet</w:t>
      </w:r>
      <w:bookmarkEnd w:id="5"/>
    </w:p>
    <w:p w:rsidR="001C6495" w:rsidRPr="00685539" w:rsidRDefault="001C6495" w:rsidP="001E5BC8">
      <w:r w:rsidRPr="00685539">
        <w:t>Europarådet har under nästan sextio år varit en huvudaktör när det gällt att skapa en gemensam europeisk värdegrund kring krav på mänskliga rättigh</w:t>
      </w:r>
      <w:r w:rsidRPr="00685539">
        <w:t>e</w:t>
      </w:r>
      <w:r w:rsidRPr="00685539">
        <w:t>ter, demokrati och rättsstatens principer. Genom sina 201 konventioner är Europarådet en viktig normgivande institution inom europeisk politik. Eur</w:t>
      </w:r>
      <w:r w:rsidRPr="00685539">
        <w:t>o</w:t>
      </w:r>
      <w:r w:rsidRPr="00685539">
        <w:t>parådets historiska uppdrag är att åstadkomma ett fastare samarbete mellan medlemmarna bl.a. genom att upprätta internationella konventioner och r</w:t>
      </w:r>
      <w:r w:rsidRPr="00685539">
        <w:t>e</w:t>
      </w:r>
      <w:r w:rsidRPr="00685539">
        <w:t>kommendationer. Sverige var en av grundarna när Europarådets stadgar u</w:t>
      </w:r>
      <w:r w:rsidRPr="00685539">
        <w:t>n</w:t>
      </w:r>
      <w:r w:rsidRPr="00685539">
        <w:t xml:space="preserve">dertecknades av tio västeuropeiska stater i London den 5 maj 1949. </w:t>
      </w:r>
    </w:p>
    <w:p w:rsidR="001C6495" w:rsidRPr="00685539" w:rsidRDefault="001C6495" w:rsidP="001E5BC8">
      <w:pPr>
        <w:pStyle w:val="Normaltindrag"/>
      </w:pPr>
      <w:r w:rsidRPr="00685539">
        <w:t>Under de senaste två årtionden</w:t>
      </w:r>
      <w:r w:rsidR="00BA6202" w:rsidRPr="00685539">
        <w:t>a</w:t>
      </w:r>
      <w:r w:rsidRPr="00685539">
        <w:t xml:space="preserve"> har Europarådets medlemskrets mer än fördubblats. Vid årsskiftet 2007/08 hade Europarådet 47 medlemsländer. Samtl</w:t>
      </w:r>
      <w:r w:rsidRPr="00685539">
        <w:t>i</w:t>
      </w:r>
      <w:r w:rsidRPr="00685539">
        <w:t>ga europeiska stater utom Vitryssland ingår i rådet. Medlemskap i Europar</w:t>
      </w:r>
      <w:r w:rsidRPr="00685539">
        <w:t>å</w:t>
      </w:r>
      <w:r w:rsidRPr="00685539">
        <w:t>det bidrar till att stärka de rättsstatliga institutionerna och främjar säkerställandet av de mänskliga fri- och rättigheterna. Stöd för och uppföl</w:t>
      </w:r>
      <w:r w:rsidRPr="00685539">
        <w:t>j</w:t>
      </w:r>
      <w:r w:rsidRPr="00685539">
        <w:t>ning av den samhälleliga utvecklingen i Öst- och Centraleuropas nya dem</w:t>
      </w:r>
      <w:r w:rsidRPr="00685539">
        <w:t>o</w:t>
      </w:r>
      <w:r w:rsidRPr="00685539">
        <w:t>kratier har varit en viktig del av arbetet i den parlamentariska församlingen under u</w:t>
      </w:r>
      <w:r w:rsidRPr="00685539">
        <w:t>t</w:t>
      </w:r>
      <w:r w:rsidRPr="00685539">
        <w:t xml:space="preserve">vidgningen. </w:t>
      </w:r>
    </w:p>
    <w:p w:rsidR="001C6495" w:rsidRPr="00685539" w:rsidRDefault="001C6495" w:rsidP="001E5BC8">
      <w:pPr>
        <w:pStyle w:val="Normaltindrag"/>
      </w:pPr>
      <w:r w:rsidRPr="00685539">
        <w:t>EU:s utvidgning och fördjupade integration har av Europarådets parlame</w:t>
      </w:r>
      <w:r w:rsidRPr="00685539">
        <w:t>n</w:t>
      </w:r>
      <w:r w:rsidRPr="00685539">
        <w:t>tariska församling setts som en fråga som direkt påverkar Europarådets egen framtid och dess roll i det europeiska samarbetet. Genom EU:s senaste u</w:t>
      </w:r>
      <w:r w:rsidRPr="00685539">
        <w:t>t</w:t>
      </w:r>
      <w:r w:rsidRPr="00685539">
        <w:t>vidgning i januari 2007 kom ytterligare två av Europarådets medlemsländer att tillhöra unionen. En major</w:t>
      </w:r>
      <w:r w:rsidRPr="00685539">
        <w:t>i</w:t>
      </w:r>
      <w:r w:rsidRPr="00685539">
        <w:t xml:space="preserve">tet inom Europarådet utgörs numera av EU-medlemmar. </w:t>
      </w:r>
    </w:p>
    <w:p w:rsidR="001C6495" w:rsidRPr="00685539" w:rsidRDefault="001C6495" w:rsidP="001E5BC8">
      <w:pPr>
        <w:pStyle w:val="Normaltindrag"/>
      </w:pPr>
      <w:r w:rsidRPr="00685539">
        <w:t>Dessa förändringar i Europas samarbetsstrukturer har ställt Europarådet i</w:t>
      </w:r>
      <w:r w:rsidRPr="00685539">
        <w:t>n</w:t>
      </w:r>
      <w:r w:rsidRPr="00685539">
        <w:t>för nya utmaningar och ledde till ett tredje toppmöte mellan medlemslände</w:t>
      </w:r>
      <w:r w:rsidRPr="00685539">
        <w:t>r</w:t>
      </w:r>
      <w:r w:rsidRPr="00685539">
        <w:t>nas stats- och regeringschefer i maj 2005. Det tredje toppmötet lade grunden för en reformprocess med syfte att skapa en mer tydlig och effektiv organis</w:t>
      </w:r>
      <w:r w:rsidRPr="00685539">
        <w:t>a</w:t>
      </w:r>
      <w:r w:rsidRPr="00685539">
        <w:t>tion med fokus på kärnuppdraget att främja de grundläggande värdena: r</w:t>
      </w:r>
      <w:r w:rsidRPr="00685539">
        <w:t>e</w:t>
      </w:r>
      <w:r w:rsidRPr="00685539">
        <w:t>spekten för de mänskliga rättigheterna, demokrati och rättsstatens principer. Uppföljningen av toppmötets beslut har fortsatt att ange tonen för församlin</w:t>
      </w:r>
      <w:r w:rsidRPr="00685539">
        <w:t>g</w:t>
      </w:r>
      <w:r w:rsidRPr="00685539">
        <w:t>ens verksamhet under det gångna året och kommer att göra det även under den närmaste framtiden.</w:t>
      </w:r>
    </w:p>
    <w:p w:rsidR="001C6495" w:rsidRPr="00685539" w:rsidRDefault="001C6495" w:rsidP="001E5BC8">
      <w:pPr>
        <w:pStyle w:val="Rubrik2"/>
      </w:pPr>
      <w:bookmarkStart w:id="6" w:name="_Toc192059478"/>
      <w:r w:rsidRPr="00685539">
        <w:t>1.1 Den parlamentariska församlingens roll och uppgifter</w:t>
      </w:r>
      <w:bookmarkEnd w:id="6"/>
    </w:p>
    <w:p w:rsidR="001C6495" w:rsidRPr="00685539" w:rsidRDefault="001C6495" w:rsidP="001E5BC8">
      <w:r w:rsidRPr="00685539">
        <w:t>Europarådet arbetar på tre politiska nivåer: ett beslutande och verkställa</w:t>
      </w:r>
      <w:r w:rsidRPr="00685539">
        <w:t>n</w:t>
      </w:r>
      <w:r w:rsidRPr="00685539">
        <w:t>de organ – ministerkommittén, ett rådgivande och pådrivande organ – den pa</w:t>
      </w:r>
      <w:r w:rsidRPr="00685539">
        <w:t>r</w:t>
      </w:r>
      <w:r w:rsidRPr="00685539">
        <w:t>lamentariska församlingen,</w:t>
      </w:r>
      <w:r w:rsidR="00464EF6" w:rsidRPr="00685539">
        <w:t xml:space="preserve"> </w:t>
      </w:r>
      <w:r w:rsidRPr="00685539">
        <w:t>och ett organ för samarbete på lokal och regi</w:t>
      </w:r>
      <w:r w:rsidRPr="00685539">
        <w:t>o</w:t>
      </w:r>
      <w:r w:rsidRPr="00685539">
        <w:t>nal nivå – den europeiska kongressen för lokala och regionala organ, kommuna</w:t>
      </w:r>
      <w:r w:rsidRPr="00685539">
        <w:t>l</w:t>
      </w:r>
      <w:r w:rsidRPr="00685539">
        <w:t xml:space="preserve">kongressen. </w:t>
      </w:r>
    </w:p>
    <w:p w:rsidR="001C6495" w:rsidRPr="00685539" w:rsidRDefault="001C6495" w:rsidP="001E5BC8">
      <w:pPr>
        <w:pStyle w:val="Normaltindrag"/>
      </w:pPr>
      <w:r w:rsidRPr="00685539">
        <w:t>Den parlamentariska församlingen var den första av sitt slag i E</w:t>
      </w:r>
      <w:r w:rsidRPr="00685539">
        <w:t>u</w:t>
      </w:r>
      <w:r w:rsidRPr="00685539">
        <w:t>ropa. Även om den från början kallades den rådgivande försa</w:t>
      </w:r>
      <w:r w:rsidRPr="00685539">
        <w:t>m</w:t>
      </w:r>
      <w:r w:rsidRPr="00685539">
        <w:t>lingen, har man successivt gått över till beteckningen den parl</w:t>
      </w:r>
      <w:r w:rsidRPr="00685539">
        <w:t>a</w:t>
      </w:r>
      <w:r w:rsidRPr="00685539">
        <w:t>mentariska församlingen. Ledamöterna utses av medlemsländernas parlament och är medlemmar av dessa parlament. Antalet representanter i de nationella delegationerna fas</w:t>
      </w:r>
      <w:r w:rsidRPr="00685539">
        <w:t>t</w:t>
      </w:r>
      <w:r w:rsidRPr="00685539">
        <w:t>ställs i förhållande till la</w:t>
      </w:r>
      <w:r w:rsidRPr="00685539">
        <w:t>n</w:t>
      </w:r>
      <w:r w:rsidRPr="00685539">
        <w:t>dets invånarantal. Sedan Montenegro blev medlem under våren 2007 är antalet delegater i församlingen 318. Lika många suppl</w:t>
      </w:r>
      <w:r w:rsidRPr="00685539">
        <w:t>e</w:t>
      </w:r>
      <w:r w:rsidRPr="00685539">
        <w:t xml:space="preserve">anter utses. Dessutom deltar parlamentariker från Israel, Kanada och Mexiko med observatörsstatus i församlingens arbete. </w:t>
      </w:r>
    </w:p>
    <w:p w:rsidR="001C6495" w:rsidRPr="00685539" w:rsidRDefault="001C6495" w:rsidP="001E5BC8">
      <w:pPr>
        <w:pStyle w:val="Normaltindrag"/>
      </w:pPr>
      <w:r w:rsidRPr="00685539">
        <w:t>Sedan det treåriga statsförbundet mellan Serbien och Montenegro upplö</w:t>
      </w:r>
      <w:r w:rsidRPr="00685539">
        <w:t>s</w:t>
      </w:r>
      <w:r w:rsidRPr="00685539">
        <w:t>tes efter Montenegros självständighetsförklaring i juni 2006 övertog Serbien statsförbundets plats i Europarådet. Montenegro i sin tur ansökte om medle</w:t>
      </w:r>
      <w:r w:rsidRPr="00685539">
        <w:t>m</w:t>
      </w:r>
      <w:r w:rsidRPr="00685539">
        <w:t>skap. Den parlamentariska församlingen tillstyrkte Montenegros ansökan och landet blev den 47:e me</w:t>
      </w:r>
      <w:r w:rsidRPr="00685539">
        <w:t>d</w:t>
      </w:r>
      <w:r w:rsidRPr="00685539">
        <w:t xml:space="preserve">lemmen under våren 2007. </w:t>
      </w:r>
    </w:p>
    <w:p w:rsidR="001C6495" w:rsidRPr="00685539" w:rsidRDefault="001C6495" w:rsidP="001E5BC8">
      <w:pPr>
        <w:pStyle w:val="Normaltindrag"/>
      </w:pPr>
      <w:r w:rsidRPr="00685539">
        <w:t>Stora förändringar i omvärlden och Europarådets egen utvidgning under 1990-talet har motiverat en kontinuerlig översyn av ver</w:t>
      </w:r>
      <w:r w:rsidRPr="00685539">
        <w:t>k</w:t>
      </w:r>
      <w:r w:rsidRPr="00685539">
        <w:t>samhetens inriktning och organisation samt formerna för det eur</w:t>
      </w:r>
      <w:r w:rsidRPr="00685539">
        <w:t>o</w:t>
      </w:r>
      <w:r w:rsidRPr="00685539">
        <w:t>peiska samarbetet. Församlingen har genom sina dagsaktuella debatter och ställningstaganden blivit en plat</w:t>
      </w:r>
      <w:r w:rsidRPr="00685539">
        <w:t>t</w:t>
      </w:r>
      <w:r w:rsidRPr="00685539">
        <w:t>form där Europas centrala framtidsfrågor dryftas. Vid utvidgningen av Eur</w:t>
      </w:r>
      <w:r w:rsidRPr="00685539">
        <w:t>o</w:t>
      </w:r>
      <w:r w:rsidRPr="00685539">
        <w:t>parådet har församlingen medverkat aktivt genom att förbereda kandidatlä</w:t>
      </w:r>
      <w:r w:rsidRPr="00685539">
        <w:t>n</w:t>
      </w:r>
      <w:r w:rsidRPr="00685539">
        <w:t>der för medlemskap, bedöma om villkoren för medlemskap är uppfyl</w:t>
      </w:r>
      <w:r w:rsidRPr="00685539">
        <w:t>l</w:t>
      </w:r>
      <w:r w:rsidRPr="00685539">
        <w:t>da och bistå de nya medlemsländerna i deras demokratiska utvec</w:t>
      </w:r>
      <w:r w:rsidRPr="00685539">
        <w:t>k</w:t>
      </w:r>
      <w:r w:rsidRPr="00685539">
        <w:t>ling. Församlingen har varit pådrivande i frågor om de mänskliga rättigheterna och minoriteters rättigheter samt har bidragit vid til</w:t>
      </w:r>
      <w:r w:rsidRPr="00685539">
        <w:t>l</w:t>
      </w:r>
      <w:r w:rsidRPr="00685539">
        <w:t xml:space="preserve">komsten av ett stort antal konventioner. </w:t>
      </w:r>
    </w:p>
    <w:p w:rsidR="001C6495" w:rsidRPr="00685539" w:rsidRDefault="001C6495" w:rsidP="001E5BC8">
      <w:pPr>
        <w:pStyle w:val="Normaltindrag"/>
      </w:pPr>
      <w:r w:rsidRPr="00685539">
        <w:t>Genom utvidgningen av medlemskretsen har Europarådet fått en mer het</w:t>
      </w:r>
      <w:r w:rsidRPr="00685539">
        <w:t>e</w:t>
      </w:r>
      <w:r w:rsidRPr="00685539">
        <w:t>rogen sammansättning, vilket ställer speciella krav när det gäller att upprät</w:t>
      </w:r>
      <w:r w:rsidRPr="00685539">
        <w:t>t</w:t>
      </w:r>
      <w:r w:rsidRPr="00685539">
        <w:t>hålla värderingar och principer. Den parlament</w:t>
      </w:r>
      <w:r w:rsidRPr="00685539">
        <w:t>a</w:t>
      </w:r>
      <w:r w:rsidRPr="00685539">
        <w:t>riska församlingen anser att det är viktigt att säkerställa att Europarådets grundläggande värderingar – och därigenom dess trovärdi</w:t>
      </w:r>
      <w:r w:rsidRPr="00685539">
        <w:t>g</w:t>
      </w:r>
      <w:r w:rsidRPr="00685539">
        <w:t>het – inte försvagas. Det räcker inte med att ett land ingår en pri</w:t>
      </w:r>
      <w:r w:rsidRPr="00685539">
        <w:t>n</w:t>
      </w:r>
      <w:r w:rsidRPr="00685539">
        <w:t>cipiell förbindelse att respektera de mänskliga rättigheterna och rättsstatens principer. Uppföljningen och kontrollen av efterlevn</w:t>
      </w:r>
      <w:r w:rsidRPr="00685539">
        <w:t>a</w:t>
      </w:r>
      <w:r w:rsidRPr="00685539">
        <w:t>den av dessa principer är en mycket viktig del av verksamheten.</w:t>
      </w:r>
    </w:p>
    <w:p w:rsidR="001C6495" w:rsidRPr="00685539" w:rsidRDefault="001C6495" w:rsidP="001E5BC8">
      <w:pPr>
        <w:pStyle w:val="Normaltindrag"/>
      </w:pPr>
      <w:r w:rsidRPr="00685539">
        <w:t>Församlingens ambition är att stärka den parlamentariska dimensionen. Den parlamentariska församlingens inflytande i beslutspr</w:t>
      </w:r>
      <w:r w:rsidRPr="00685539">
        <w:t>o</w:t>
      </w:r>
      <w:r w:rsidRPr="00685539">
        <w:t>cessen måste bli större för att öka öppenhet, demokratisk legitimitet och ansvarsutkrävande i Europ</w:t>
      </w:r>
      <w:r w:rsidRPr="00685539">
        <w:t>a</w:t>
      </w:r>
      <w:r w:rsidRPr="00685539">
        <w:t>rådet.  Sedan Europarådets grundande har institutionella ändringar skett utan att de fastställts i stadgan. Parlamentarikerna har rekommenderat ändringar som berör framför allt relationerna mellan olika organ i Europar</w:t>
      </w:r>
      <w:r w:rsidRPr="00685539">
        <w:t>å</w:t>
      </w:r>
      <w:r w:rsidRPr="00685539">
        <w:t>det och reglerna för beslutsfattandet. Vidare har församlingen uppmanat ministerkommittén att använda Europarådet som en plattform för dialog me</w:t>
      </w:r>
      <w:r w:rsidRPr="00685539">
        <w:t>l</w:t>
      </w:r>
      <w:r w:rsidRPr="00685539">
        <w:t>lan medlemsländer i och utanför EU. Det är viktigt att utveckla bättre syne</w:t>
      </w:r>
      <w:r w:rsidRPr="00685539">
        <w:t>r</w:t>
      </w:r>
      <w:r w:rsidRPr="00685539">
        <w:t>gier mellan Europadomstolen och Europarådets övriga institutioner och o</w:t>
      </w:r>
      <w:r w:rsidRPr="00685539">
        <w:t>r</w:t>
      </w:r>
      <w:r w:rsidRPr="00685539">
        <w:t xml:space="preserve">gan. </w:t>
      </w:r>
    </w:p>
    <w:p w:rsidR="001C6495" w:rsidRPr="00685539" w:rsidRDefault="001C6495" w:rsidP="001E5BC8">
      <w:pPr>
        <w:pStyle w:val="Normaltindrag"/>
      </w:pPr>
      <w:r w:rsidRPr="00685539">
        <w:t>Församlingen representerar nästan hela den partipolitiska skalan i me</w:t>
      </w:r>
      <w:r w:rsidRPr="00685539">
        <w:t>d</w:t>
      </w:r>
      <w:r w:rsidRPr="00685539">
        <w:t>lemsländerna, något som bidrar till parlamentets auktoritet. Fem partigrupp</w:t>
      </w:r>
      <w:r w:rsidRPr="00685539">
        <w:t>e</w:t>
      </w:r>
      <w:r w:rsidRPr="00685539">
        <w:t>ringar är verksamma inom Europarådets parlame</w:t>
      </w:r>
      <w:r w:rsidRPr="00685539">
        <w:t>n</w:t>
      </w:r>
      <w:r w:rsidRPr="00685539">
        <w:t>tariska församling: den socialistiska gruppen (SOC), det europeiska folkpartiet (EPP/CD), alliansen för Europas liberaler och demokr</w:t>
      </w:r>
      <w:r w:rsidRPr="00685539">
        <w:t>a</w:t>
      </w:r>
      <w:r w:rsidRPr="00685539">
        <w:t>ter (ALDE), den europeiska demokratiska gruppen (EDG), samt den förenade europeiska vänstern (UEL). Ett trettiotal parlament</w:t>
      </w:r>
      <w:r w:rsidRPr="00685539">
        <w:t>a</w:t>
      </w:r>
      <w:r w:rsidRPr="00685539">
        <w:t>riker står utanför dessa partigrupperingar.</w:t>
      </w:r>
    </w:p>
    <w:p w:rsidR="001C6495" w:rsidRPr="00685539" w:rsidRDefault="001C6495" w:rsidP="001E5BC8">
      <w:pPr>
        <w:pStyle w:val="Normaltindrag"/>
      </w:pPr>
      <w:r w:rsidRPr="00685539">
        <w:t>För att medlemsländernas ombud ska kunna fullgöra sina uppgifter i m</w:t>
      </w:r>
      <w:r w:rsidRPr="00685539">
        <w:t>i</w:t>
      </w:r>
      <w:r w:rsidRPr="00685539">
        <w:t>nisterkommittén, i den parlamentariska församlingen och i sekretariatet e</w:t>
      </w:r>
      <w:r w:rsidRPr="00685539">
        <w:t>r</w:t>
      </w:r>
      <w:r w:rsidRPr="00685539">
        <w:t>fordras privilegier och immunitet. Dessa är fastställda i Europarådets konve</w:t>
      </w:r>
      <w:r w:rsidRPr="00685539">
        <w:t>n</w:t>
      </w:r>
      <w:r w:rsidRPr="00685539">
        <w:t>tioner nr 1 och 2, som är allmänna öve</w:t>
      </w:r>
      <w:r w:rsidRPr="00685539">
        <w:t>r</w:t>
      </w:r>
      <w:r w:rsidRPr="00685539">
        <w:t>enskommelser om privilegier och immunitet, samt protokoll nr 10. Genom en stadgeförändring år 2006 tydli</w:t>
      </w:r>
      <w:r w:rsidRPr="00685539">
        <w:t>g</w:t>
      </w:r>
      <w:r w:rsidRPr="00685539">
        <w:t>gjordes fö</w:t>
      </w:r>
      <w:r w:rsidRPr="00685539">
        <w:t>r</w:t>
      </w:r>
      <w:r w:rsidRPr="00685539">
        <w:t>samlingsmedlemmarnas privilegier och immunitet som gäller vid delegate</w:t>
      </w:r>
      <w:r w:rsidRPr="00685539">
        <w:t>r</w:t>
      </w:r>
      <w:r w:rsidR="00464EF6" w:rsidRPr="00685539">
        <w:t>nas mandatutövning</w:t>
      </w:r>
      <w:r w:rsidRPr="00685539">
        <w:t xml:space="preserve"> (res. 1490). Parlamentarikerna har en ambition att också höja värdet av den identitetshandling (laissez-passer) som försa</w:t>
      </w:r>
      <w:r w:rsidRPr="00685539">
        <w:t>m</w:t>
      </w:r>
      <w:r w:rsidRPr="00685539">
        <w:t xml:space="preserve">lingen förser sina medlemmar med. </w:t>
      </w:r>
    </w:p>
    <w:p w:rsidR="007C2D20" w:rsidRPr="00685539" w:rsidRDefault="007C2D20" w:rsidP="007C2D20">
      <w:pPr>
        <w:pStyle w:val="Normaltindrag"/>
      </w:pPr>
      <w:bookmarkStart w:id="7" w:name="Nästa_Hpunkt"/>
      <w:bookmarkStart w:id="8" w:name="Ordförande"/>
      <w:bookmarkEnd w:id="7"/>
      <w:bookmarkEnd w:id="8"/>
    </w:p>
    <w:p w:rsidR="007C2D20" w:rsidRPr="00685539" w:rsidRDefault="007C2D20" w:rsidP="007C2D20">
      <w:pPr>
        <w:pStyle w:val="Normaltindrag"/>
      </w:pPr>
      <w:bookmarkStart w:id="9" w:name="Deltagare"/>
      <w:bookmarkEnd w:id="9"/>
    </w:p>
    <w:p w:rsidR="007C2D20" w:rsidRPr="00685539" w:rsidRDefault="007C2D20" w:rsidP="007C2D20">
      <w:pPr>
        <w:pStyle w:val="Normaltindrag"/>
      </w:pPr>
    </w:p>
    <w:p w:rsidR="007C2D20" w:rsidRPr="00685539" w:rsidRDefault="007C2D20" w:rsidP="007C2D20">
      <w:pPr>
        <w:pStyle w:val="Normaltindrag"/>
        <w:sectPr w:rsidR="007C2D20" w:rsidRPr="00685539">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075C4B" w:rsidRPr="00685539" w:rsidRDefault="00075C4B" w:rsidP="006C2C98">
      <w:pPr>
        <w:pStyle w:val="Rubrik1"/>
        <w:spacing w:after="480"/>
        <w:rPr>
          <w:noProof w:val="0"/>
        </w:rPr>
      </w:pPr>
      <w:bookmarkStart w:id="10" w:name="_Toc192059479"/>
      <w:r w:rsidRPr="00685539">
        <w:rPr>
          <w:noProof w:val="0"/>
        </w:rPr>
        <w:t>2 Den parlamentariska församlingens verksamhet under 2007</w:t>
      </w:r>
      <w:bookmarkEnd w:id="10"/>
    </w:p>
    <w:p w:rsidR="00075C4B" w:rsidRPr="00685539" w:rsidRDefault="00075C4B" w:rsidP="006C2C98">
      <w:pPr>
        <w:pStyle w:val="Rubrik2"/>
        <w:spacing w:before="0"/>
      </w:pPr>
      <w:bookmarkStart w:id="11" w:name="_Toc192059480"/>
      <w:r w:rsidRPr="00685539">
        <w:t>2.1 Sessionen 2007</w:t>
      </w:r>
      <w:bookmarkEnd w:id="11"/>
    </w:p>
    <w:p w:rsidR="00075C4B" w:rsidRPr="00685539" w:rsidRDefault="00075C4B" w:rsidP="00464EF6">
      <w:r w:rsidRPr="00685539">
        <w:t>Europarådets parlamentariska församling möttes i fyra delsessioner under 2007. Samtliga hölls i Strasbourg.</w:t>
      </w:r>
      <w:r w:rsidR="00464EF6" w:rsidRPr="00685539">
        <w:t xml:space="preserve"> Delsessionerna ägde rum den 22</w:t>
      </w:r>
      <w:r w:rsidRPr="00685539">
        <w:t>–26 janu</w:t>
      </w:r>
      <w:r w:rsidRPr="00685539">
        <w:t>a</w:t>
      </w:r>
      <w:r w:rsidRPr="00685539">
        <w:t>ri, den 16–20 april, den 25–29 juni och den 1–5 oktober. Det ständiga utsko</w:t>
      </w:r>
      <w:r w:rsidRPr="00685539">
        <w:t>t</w:t>
      </w:r>
      <w:r w:rsidRPr="00685539">
        <w:t>tet, som beslutar på församlingens vägnar mellan delsessionerna, samma</w:t>
      </w:r>
      <w:r w:rsidRPr="00685539">
        <w:t>n</w:t>
      </w:r>
      <w:r w:rsidRPr="00685539">
        <w:t>trädde den 16 mars i Paris, den 24 maj i Belgrad och den 23 november i Br</w:t>
      </w:r>
      <w:r w:rsidRPr="00685539">
        <w:t>a</w:t>
      </w:r>
      <w:r w:rsidRPr="00685539">
        <w:t>tislava.</w:t>
      </w:r>
    </w:p>
    <w:p w:rsidR="00075C4B" w:rsidRPr="00685539" w:rsidRDefault="00075C4B" w:rsidP="00464EF6">
      <w:pPr>
        <w:pStyle w:val="Normaltindrag"/>
      </w:pPr>
      <w:r w:rsidRPr="00685539">
        <w:t>Vid de fyra delsessionerna debatterades utskottens rapporter, avgavs r</w:t>
      </w:r>
      <w:r w:rsidRPr="00685539">
        <w:t>e</w:t>
      </w:r>
      <w:r w:rsidRPr="00685539">
        <w:t xml:space="preserve">kommendationer till ministerkommittén, antogs resolutioner och direktiv, gjordes uttalanden i aktuella frågor samt debatterades akuta politiska frågor.  </w:t>
      </w:r>
    </w:p>
    <w:p w:rsidR="00075C4B" w:rsidRPr="00685539" w:rsidRDefault="00075C4B" w:rsidP="00464EF6">
      <w:pPr>
        <w:pStyle w:val="Normaltindrag"/>
      </w:pPr>
      <w:r w:rsidRPr="00685539">
        <w:t>De rapporter som lades fram för församlingen och det ständiga utskottet hade förberetts av tio fackutskott eller deras underutskott som sammanträtt i Strasbourg, Paris eller i något av medlemslä</w:t>
      </w:r>
      <w:r w:rsidRPr="00685539">
        <w:t>n</w:t>
      </w:r>
      <w:r w:rsidRPr="00685539">
        <w:t>derna på inbjudan av respektive lands parlament. Vid sidan av utskotten har byrån, sammansatt av församlin</w:t>
      </w:r>
      <w:r w:rsidRPr="00685539">
        <w:t>g</w:t>
      </w:r>
      <w:r w:rsidRPr="00685539">
        <w:t>ens presidium, de politiska gruppledarnas samordningsgrupp och delegation</w:t>
      </w:r>
      <w:r w:rsidRPr="00685539">
        <w:t>s</w:t>
      </w:r>
      <w:r w:rsidRPr="00685539">
        <w:t>ordförandena en viktig roll när det gäller att dra upp riktlinjer för församlin</w:t>
      </w:r>
      <w:r w:rsidRPr="00685539">
        <w:t>g</w:t>
      </w:r>
      <w:r w:rsidRPr="00685539">
        <w:t>ens verksamhet.</w:t>
      </w:r>
    </w:p>
    <w:p w:rsidR="00075C4B" w:rsidRPr="00685539" w:rsidRDefault="00075C4B" w:rsidP="00464EF6">
      <w:pPr>
        <w:pStyle w:val="Normaltindrag"/>
      </w:pPr>
      <w:r w:rsidRPr="00685539">
        <w:t xml:space="preserve">Till president för församlingen omvaldes </w:t>
      </w:r>
      <w:r w:rsidRPr="00685539">
        <w:rPr>
          <w:i/>
        </w:rPr>
        <w:t>René van der Linden</w:t>
      </w:r>
      <w:r w:rsidRPr="00685539">
        <w:t xml:space="preserve"> (EPP) från Nederländerna. En ledamot kan enligt praxis väljas till president i högst tre år. René van der Linden är församlingens 23:e president. </w:t>
      </w:r>
    </w:p>
    <w:p w:rsidR="00075C4B" w:rsidRPr="00685539" w:rsidRDefault="00075C4B" w:rsidP="00464EF6">
      <w:pPr>
        <w:pStyle w:val="Normaltindrag"/>
      </w:pPr>
      <w:r w:rsidRPr="00685539">
        <w:t xml:space="preserve">Församlingen väljer också 20 vicepresidenter på roterande basis. </w:t>
      </w:r>
      <w:r w:rsidRPr="00685539">
        <w:rPr>
          <w:i/>
        </w:rPr>
        <w:t>Göran Lindblad</w:t>
      </w:r>
      <w:r w:rsidRPr="00685539">
        <w:t xml:space="preserve"> valdes till vicepresident i januari och ingick dä</w:t>
      </w:r>
      <w:r w:rsidRPr="00685539">
        <w:t>r</w:t>
      </w:r>
      <w:r w:rsidRPr="00685539">
        <w:t xml:space="preserve">med i församlingens styrelse (byrån) under 2007. </w:t>
      </w:r>
    </w:p>
    <w:p w:rsidR="00075C4B" w:rsidRPr="00685539" w:rsidRDefault="00075C4B" w:rsidP="00464EF6">
      <w:pPr>
        <w:pStyle w:val="Normaltindrag"/>
      </w:pPr>
      <w:r w:rsidRPr="00685539">
        <w:t>Parlamentarikerförsamlingens generalsekreterare väljs av försa</w:t>
      </w:r>
      <w:r w:rsidRPr="00685539">
        <w:t>m</w:t>
      </w:r>
      <w:r w:rsidRPr="00685539">
        <w:t xml:space="preserve">lingen på förslag av ministerkommittén (63 §). </w:t>
      </w:r>
      <w:r w:rsidRPr="00685539">
        <w:rPr>
          <w:i/>
        </w:rPr>
        <w:t>Mateo Sorinas</w:t>
      </w:r>
      <w:r w:rsidRPr="00685539">
        <w:t xml:space="preserve"> (Spanien) valdes till posten i januari 2006. Mandatperioden är fem år. </w:t>
      </w:r>
    </w:p>
    <w:p w:rsidR="00075C4B" w:rsidRPr="00685539" w:rsidRDefault="00075C4B" w:rsidP="00464EF6">
      <w:pPr>
        <w:pStyle w:val="Normaltindrag"/>
      </w:pPr>
      <w:r w:rsidRPr="00685539">
        <w:t>I november beslutade det ständiga utskottet ett antal ändringar i försa</w:t>
      </w:r>
      <w:r w:rsidRPr="00685539">
        <w:t>m</w:t>
      </w:r>
      <w:r w:rsidRPr="00685539">
        <w:t>lingens stadga (res. 1583, 1584, 1585). Bland annat ska presidenten framöver kunna väljas om bara en gång. Detta gäller även utskottens presidier. Än</w:t>
      </w:r>
      <w:r w:rsidRPr="00685539">
        <w:t>d</w:t>
      </w:r>
      <w:r w:rsidRPr="00685539">
        <w:t>ringarna träder i kraft i januari 2008. Den referensgrupp (the presidential committee) som består av de politiska gruppledarna nämns nu i stadgans art. 13.4. Den är ett konsultativt organ och har i uppdrag att stödja byrån och preside</w:t>
      </w:r>
      <w:r w:rsidRPr="00685539">
        <w:t>n</w:t>
      </w:r>
      <w:r w:rsidRPr="00685539">
        <w:t xml:space="preserve">ten.  </w:t>
      </w:r>
    </w:p>
    <w:p w:rsidR="00075C4B" w:rsidRPr="00685539" w:rsidRDefault="00075C4B" w:rsidP="00464EF6">
      <w:pPr>
        <w:pStyle w:val="Rubrik2"/>
      </w:pPr>
      <w:bookmarkStart w:id="12" w:name="_Toc192059481"/>
      <w:r w:rsidRPr="00685539">
        <w:t>2.2 Den svenska delegationen</w:t>
      </w:r>
      <w:bookmarkEnd w:id="12"/>
    </w:p>
    <w:p w:rsidR="00075C4B" w:rsidRPr="00685539" w:rsidRDefault="00075C4B" w:rsidP="00464EF6">
      <w:r w:rsidRPr="00685539">
        <w:t>Den svenska delegationen vid 2007 års session bestod av sex ordinarie led</w:t>
      </w:r>
      <w:r w:rsidRPr="00685539">
        <w:t>a</w:t>
      </w:r>
      <w:r w:rsidRPr="00685539">
        <w:t xml:space="preserve">möter: </w:t>
      </w:r>
      <w:r w:rsidRPr="00685539">
        <w:rPr>
          <w:i/>
        </w:rPr>
        <w:t>Göran</w:t>
      </w:r>
      <w:r w:rsidRPr="00685539">
        <w:t xml:space="preserve"> </w:t>
      </w:r>
      <w:r w:rsidRPr="00685539">
        <w:rPr>
          <w:i/>
        </w:rPr>
        <w:t xml:space="preserve">Lindblad </w:t>
      </w:r>
      <w:r w:rsidRPr="00685539">
        <w:t xml:space="preserve">(m), ordförande, </w:t>
      </w:r>
      <w:r w:rsidRPr="00685539">
        <w:rPr>
          <w:i/>
        </w:rPr>
        <w:t>Björn von Sydow</w:t>
      </w:r>
      <w:r w:rsidRPr="00685539">
        <w:t xml:space="preserve"> (s), vice ordföra</w:t>
      </w:r>
      <w:r w:rsidRPr="00685539">
        <w:t>n</w:t>
      </w:r>
      <w:r w:rsidRPr="00685539">
        <w:t xml:space="preserve">de, </w:t>
      </w:r>
      <w:r w:rsidRPr="00685539">
        <w:rPr>
          <w:i/>
        </w:rPr>
        <w:t>Marietta de Pourbaix-Lundin</w:t>
      </w:r>
      <w:r w:rsidRPr="00685539">
        <w:t xml:space="preserve"> (m), </w:t>
      </w:r>
      <w:r w:rsidRPr="00685539">
        <w:rPr>
          <w:i/>
        </w:rPr>
        <w:t>Carina Ohlsson</w:t>
      </w:r>
      <w:r w:rsidRPr="00685539">
        <w:t xml:space="preserve"> (s), </w:t>
      </w:r>
      <w:r w:rsidRPr="00685539">
        <w:rPr>
          <w:i/>
        </w:rPr>
        <w:t>Kerstin Lun</w:t>
      </w:r>
      <w:r w:rsidRPr="00685539">
        <w:rPr>
          <w:i/>
        </w:rPr>
        <w:t>d</w:t>
      </w:r>
      <w:r w:rsidRPr="00685539">
        <w:rPr>
          <w:i/>
        </w:rPr>
        <w:t>gren (c)</w:t>
      </w:r>
      <w:r w:rsidRPr="00685539">
        <w:t xml:space="preserve"> och </w:t>
      </w:r>
      <w:r w:rsidRPr="00685539">
        <w:rPr>
          <w:i/>
        </w:rPr>
        <w:t xml:space="preserve">Morgan Johansson </w:t>
      </w:r>
      <w:r w:rsidR="00464EF6" w:rsidRPr="00685539">
        <w:t xml:space="preserve">(s). </w:t>
      </w:r>
      <w:r w:rsidRPr="00685539">
        <w:t xml:space="preserve">Suppleanter för dessa var </w:t>
      </w:r>
      <w:r w:rsidRPr="00685539">
        <w:rPr>
          <w:i/>
        </w:rPr>
        <w:t>Anna Lillieh</w:t>
      </w:r>
      <w:r w:rsidRPr="00685539">
        <w:rPr>
          <w:i/>
        </w:rPr>
        <w:t>ö</w:t>
      </w:r>
      <w:r w:rsidRPr="00685539">
        <w:rPr>
          <w:i/>
        </w:rPr>
        <w:t xml:space="preserve">ök </w:t>
      </w:r>
      <w:r w:rsidRPr="00685539">
        <w:t xml:space="preserve">(m), </w:t>
      </w:r>
      <w:r w:rsidRPr="00685539">
        <w:rPr>
          <w:i/>
        </w:rPr>
        <w:t>Carina Hägg</w:t>
      </w:r>
      <w:r w:rsidRPr="00685539">
        <w:t xml:space="preserve"> (s), </w:t>
      </w:r>
      <w:r w:rsidRPr="00685539">
        <w:rPr>
          <w:i/>
        </w:rPr>
        <w:t>Kent Olsson</w:t>
      </w:r>
      <w:r w:rsidRPr="00685539">
        <w:t xml:space="preserve"> (m), </w:t>
      </w:r>
      <w:r w:rsidRPr="00685539">
        <w:rPr>
          <w:i/>
        </w:rPr>
        <w:t>Michael Hagberg</w:t>
      </w:r>
      <w:r w:rsidRPr="00685539">
        <w:t xml:space="preserve"> (s),</w:t>
      </w:r>
      <w:r w:rsidRPr="00685539">
        <w:rPr>
          <w:i/>
        </w:rPr>
        <w:t xml:space="preserve"> Tina Ack</w:t>
      </w:r>
      <w:r w:rsidRPr="00685539">
        <w:rPr>
          <w:i/>
        </w:rPr>
        <w:t>e</w:t>
      </w:r>
      <w:r w:rsidRPr="00685539">
        <w:rPr>
          <w:i/>
        </w:rPr>
        <w:t xml:space="preserve">toft </w:t>
      </w:r>
      <w:r w:rsidRPr="00685539">
        <w:t xml:space="preserve">(fp) och </w:t>
      </w:r>
      <w:r w:rsidRPr="00685539">
        <w:rPr>
          <w:i/>
        </w:rPr>
        <w:t>M</w:t>
      </w:r>
      <w:r w:rsidRPr="00685539">
        <w:rPr>
          <w:i/>
        </w:rPr>
        <w:t>a</w:t>
      </w:r>
      <w:r w:rsidRPr="00685539">
        <w:rPr>
          <w:i/>
        </w:rPr>
        <w:t>ryam Yazdanfar</w:t>
      </w:r>
      <w:r w:rsidRPr="00685539">
        <w:t xml:space="preserve"> (s) som ersatte </w:t>
      </w:r>
      <w:r w:rsidRPr="00685539">
        <w:rPr>
          <w:i/>
        </w:rPr>
        <w:t>Lena Hallengren (s)</w:t>
      </w:r>
      <w:r w:rsidRPr="00685539">
        <w:t xml:space="preserve"> fr.o.m. den 16 april 2007. </w:t>
      </w:r>
    </w:p>
    <w:p w:rsidR="00075C4B" w:rsidRPr="00685539" w:rsidRDefault="00075C4B" w:rsidP="00464EF6">
      <w:pPr>
        <w:pStyle w:val="Normaltindrag"/>
        <w:rPr>
          <w:spacing w:val="-2"/>
        </w:rPr>
      </w:pPr>
      <w:r w:rsidRPr="00685539">
        <w:rPr>
          <w:i/>
          <w:spacing w:val="-2"/>
        </w:rPr>
        <w:t xml:space="preserve">Göran Lindblad </w:t>
      </w:r>
      <w:r w:rsidRPr="00685539">
        <w:rPr>
          <w:spacing w:val="-2"/>
        </w:rPr>
        <w:t>valdes till vicepresident i den parlamentariska församlin</w:t>
      </w:r>
      <w:r w:rsidRPr="00685539">
        <w:rPr>
          <w:spacing w:val="-2"/>
        </w:rPr>
        <w:t>g</w:t>
      </w:r>
      <w:r w:rsidRPr="00685539">
        <w:rPr>
          <w:spacing w:val="-2"/>
        </w:rPr>
        <w:t xml:space="preserve">en. </w:t>
      </w:r>
    </w:p>
    <w:p w:rsidR="00075C4B" w:rsidRPr="00685539" w:rsidRDefault="00075C4B" w:rsidP="00464EF6">
      <w:pPr>
        <w:pStyle w:val="Normaltindrag"/>
        <w:rPr>
          <w:spacing w:val="2"/>
        </w:rPr>
      </w:pPr>
      <w:r w:rsidRPr="00685539">
        <w:rPr>
          <w:i/>
          <w:spacing w:val="2"/>
        </w:rPr>
        <w:t>Carina Hägg</w:t>
      </w:r>
      <w:r w:rsidRPr="00685539">
        <w:rPr>
          <w:spacing w:val="2"/>
        </w:rPr>
        <w:t xml:space="preserve"> omvaldes till ordförande i underutskottet om våld mot kvi</w:t>
      </w:r>
      <w:r w:rsidRPr="00685539">
        <w:rPr>
          <w:spacing w:val="2"/>
        </w:rPr>
        <w:t>n</w:t>
      </w:r>
      <w:r w:rsidRPr="00685539">
        <w:rPr>
          <w:spacing w:val="2"/>
        </w:rPr>
        <w:t xml:space="preserve">nor. </w:t>
      </w:r>
    </w:p>
    <w:p w:rsidR="00075C4B" w:rsidRPr="00685539" w:rsidRDefault="00075C4B" w:rsidP="00464EF6">
      <w:pPr>
        <w:pStyle w:val="Normaltindrag"/>
      </w:pPr>
      <w:r w:rsidRPr="00685539">
        <w:rPr>
          <w:i/>
        </w:rPr>
        <w:t>Michael Hagberg</w:t>
      </w:r>
      <w:r w:rsidRPr="00685539">
        <w:t xml:space="preserve"> omvaldes till vice ordförande i underutskottet för fly</w:t>
      </w:r>
      <w:r w:rsidRPr="00685539">
        <w:t>k</w:t>
      </w:r>
      <w:r w:rsidRPr="00685539">
        <w:t>tingfrågor.</w:t>
      </w:r>
    </w:p>
    <w:p w:rsidR="00075C4B" w:rsidRPr="00685539" w:rsidRDefault="00075C4B" w:rsidP="00464EF6">
      <w:pPr>
        <w:pStyle w:val="Rubrik2"/>
      </w:pPr>
      <w:bookmarkStart w:id="13" w:name="_Toc192059482"/>
      <w:r w:rsidRPr="00685539">
        <w:t>2.3 Budget och omstrukturering av verksamheten</w:t>
      </w:r>
      <w:bookmarkEnd w:id="13"/>
    </w:p>
    <w:p w:rsidR="00075C4B" w:rsidRPr="00685539" w:rsidRDefault="00075C4B" w:rsidP="00464EF6">
      <w:r w:rsidRPr="00685539">
        <w:t>Det är ministerkommittén som beslutar i budgetfrågor men försa</w:t>
      </w:r>
      <w:r w:rsidRPr="00685539">
        <w:t>m</w:t>
      </w:r>
      <w:r w:rsidRPr="00685539">
        <w:t>lingen har rätt att yttra sig över organisationens och församlingens egen budget. Försa</w:t>
      </w:r>
      <w:r w:rsidRPr="00685539">
        <w:t>m</w:t>
      </w:r>
      <w:r w:rsidRPr="00685539">
        <w:t>lingen har framfört kritik mot ministerkommitténs rätt att besluta om budg</w:t>
      </w:r>
      <w:r w:rsidRPr="00685539">
        <w:t>e</w:t>
      </w:r>
      <w:r w:rsidRPr="00685539">
        <w:t>ten. Det är dags att i budgetsammanhang ge församlingen sådana befogenh</w:t>
      </w:r>
      <w:r w:rsidRPr="00685539">
        <w:t>e</w:t>
      </w:r>
      <w:r w:rsidRPr="00685539">
        <w:t>ter som motsvarar församlingens status och som utgör gängse prerog</w:t>
      </w:r>
      <w:r w:rsidRPr="00685539">
        <w:t>a</w:t>
      </w:r>
      <w:r w:rsidRPr="00685539">
        <w:t>tiv för en parlamentarisk församling. Vid en utvärdering av aktiviteterna inom Eur</w:t>
      </w:r>
      <w:r w:rsidRPr="00685539">
        <w:t>o</w:t>
      </w:r>
      <w:r w:rsidRPr="00685539">
        <w:t>parådet bör beaktas att förväntningarna och trycket på organ</w:t>
      </w:r>
      <w:r w:rsidRPr="00685539">
        <w:t>i</w:t>
      </w:r>
      <w:r w:rsidRPr="00685539">
        <w:t>sationen har ökat sedan utvidgningen av medlemskretsen. Däremot har resurser inte til</w:t>
      </w:r>
      <w:r w:rsidRPr="00685539">
        <w:t>l</w:t>
      </w:r>
      <w:r w:rsidRPr="00685539">
        <w:t>förts i motsvarande grad. Europadomstolens situation fortsätter att bekymra försa</w:t>
      </w:r>
      <w:r w:rsidRPr="00685539">
        <w:t>m</w:t>
      </w:r>
      <w:r w:rsidRPr="00685539">
        <w:t>lingen, som har slagit larm om att resurserna är otillräckliga trots att domst</w:t>
      </w:r>
      <w:r w:rsidRPr="00685539">
        <w:t>o</w:t>
      </w:r>
      <w:r w:rsidRPr="00685539">
        <w:t>len under de sen</w:t>
      </w:r>
      <w:r w:rsidRPr="00685539">
        <w:t>a</w:t>
      </w:r>
      <w:r w:rsidRPr="00685539">
        <w:t>re åren tilldelats extra anslag. Med hänvisning till den vid toppmötet antagna ambitiösa handlingsplanen har församlingen påp</w:t>
      </w:r>
      <w:r w:rsidRPr="00685539">
        <w:t>e</w:t>
      </w:r>
      <w:r w:rsidRPr="00685539">
        <w:t>kat att åtaganden inte kan infrias om organisationen inte får resurser som motsvarar uppdraget. Besparings- och prioriteringsåtgärder anses ha nått sina gränser.</w:t>
      </w:r>
    </w:p>
    <w:p w:rsidR="00075C4B" w:rsidRPr="00685539" w:rsidRDefault="00075C4B" w:rsidP="00464EF6">
      <w:pPr>
        <w:pStyle w:val="Normaltindrag"/>
      </w:pPr>
      <w:r w:rsidRPr="00685539">
        <w:t>Församlingen debatterade budgetförslaget vid det ständiga utsko</w:t>
      </w:r>
      <w:r w:rsidRPr="00685539">
        <w:t>t</w:t>
      </w:r>
      <w:r w:rsidRPr="00685539">
        <w:t xml:space="preserve">tets möte i maj. Som underlag för debatten fanns ekonomiutskottets två rapporter: </w:t>
      </w:r>
      <w:r w:rsidRPr="00685539">
        <w:rPr>
          <w:i/>
        </w:rPr>
        <w:t>E</w:t>
      </w:r>
      <w:r w:rsidRPr="00685539">
        <w:rPr>
          <w:i/>
        </w:rPr>
        <w:t>u</w:t>
      </w:r>
      <w:r w:rsidRPr="00685539">
        <w:rPr>
          <w:i/>
        </w:rPr>
        <w:t>roparådets budget för 2008</w:t>
      </w:r>
      <w:r w:rsidRPr="00685539">
        <w:t xml:space="preserve"> och</w:t>
      </w:r>
      <w:r w:rsidRPr="00685539">
        <w:rPr>
          <w:i/>
        </w:rPr>
        <w:t xml:space="preserve"> Församlingens egna utgifter</w:t>
      </w:r>
      <w:r w:rsidRPr="00685539">
        <w:t xml:space="preserve"> </w:t>
      </w:r>
      <w:r w:rsidRPr="00685539">
        <w:rPr>
          <w:i/>
        </w:rPr>
        <w:t>för 2008</w:t>
      </w:r>
      <w:r w:rsidRPr="00685539">
        <w:t xml:space="preserve"> (dok. 11278 och 11279, yttrandena 264 och 265).</w:t>
      </w:r>
      <w:r w:rsidR="008D33B8" w:rsidRPr="00685539">
        <w:t xml:space="preserve"> Församlingens anslag för 2007 </w:t>
      </w:r>
      <w:r w:rsidRPr="00685539">
        <w:t>uppgick till 15 520 300 euro (för 2006 var siffran 15 430 000 euro). Parl</w:t>
      </w:r>
      <w:r w:rsidRPr="00685539">
        <w:t>a</w:t>
      </w:r>
      <w:r w:rsidRPr="00685539">
        <w:t>mentarikerna är allva</w:t>
      </w:r>
      <w:r w:rsidRPr="00685539">
        <w:t>r</w:t>
      </w:r>
      <w:r w:rsidRPr="00685539">
        <w:t>ligt oroade över organisationens finansiella läge inför det kommande året och anser att Europarådet saknar en budget som är anpa</w:t>
      </w:r>
      <w:r w:rsidRPr="00685539">
        <w:t>s</w:t>
      </w:r>
      <w:r w:rsidRPr="00685539">
        <w:t>sad till behoven.  I sitt yttrande över Europarådets budget år 2008 upprepar församlingen sina farhågor om skador för övrig verksamhet om Europado</w:t>
      </w:r>
      <w:r w:rsidRPr="00685539">
        <w:t>m</w:t>
      </w:r>
      <w:r w:rsidRPr="00685539">
        <w:t>stolens fortsatta resursbehov löses genom att minska anslagen för andra sekt</w:t>
      </w:r>
      <w:r w:rsidRPr="00685539">
        <w:t>o</w:t>
      </w:r>
      <w:r w:rsidRPr="00685539">
        <w:t>rer. Med tanke på Europ</w:t>
      </w:r>
      <w:r w:rsidRPr="00685539">
        <w:t>a</w:t>
      </w:r>
      <w:r w:rsidRPr="00685539">
        <w:t>rådets speciella uppgifter i Europas institutionella struktur är det viktigt att regeringarna förser organisationen med tillräckliga resurser bl.a. för att delta i den internationella kampen mot terrorism, organ</w:t>
      </w:r>
      <w:r w:rsidRPr="00685539">
        <w:t>i</w:t>
      </w:r>
      <w:r w:rsidRPr="00685539">
        <w:t>serad brottslighet, korruption och människohandel samt för att se till att Eur</w:t>
      </w:r>
      <w:r w:rsidRPr="00685539">
        <w:t>o</w:t>
      </w:r>
      <w:r w:rsidRPr="00685539">
        <w:t xml:space="preserve">padomstolen kan arbeta effektivt.   </w:t>
      </w:r>
    </w:p>
    <w:p w:rsidR="00075C4B" w:rsidRPr="00685539" w:rsidRDefault="00075C4B" w:rsidP="00464EF6">
      <w:pPr>
        <w:pStyle w:val="Normaltindrag"/>
        <w:rPr>
          <w:i/>
        </w:rPr>
      </w:pPr>
      <w:r w:rsidRPr="00685539">
        <w:t xml:space="preserve">Församlingen påminner om sin rekommendation 1728 där det fastslogs att det är dags att i budgetsammanhang ge församlingen sådana befogenheter som motsvarar församlingens status och som utgör gängse prerogativ för en parlamentarisk församling. </w:t>
      </w:r>
    </w:p>
    <w:p w:rsidR="00075C4B" w:rsidRPr="00685539" w:rsidRDefault="00075C4B" w:rsidP="00464EF6">
      <w:pPr>
        <w:pStyle w:val="Normaltindrag"/>
      </w:pPr>
      <w:r w:rsidRPr="00685539">
        <w:t>Vid oktobersessionen debatterade församlingen</w:t>
      </w:r>
      <w:r w:rsidRPr="00685539">
        <w:rPr>
          <w:i/>
        </w:rPr>
        <w:t xml:space="preserve"> budgetens politiska dime</w:t>
      </w:r>
      <w:r w:rsidRPr="00685539">
        <w:rPr>
          <w:i/>
        </w:rPr>
        <w:t>n</w:t>
      </w:r>
      <w:r w:rsidRPr="00685539">
        <w:rPr>
          <w:i/>
        </w:rPr>
        <w:t xml:space="preserve">sion </w:t>
      </w:r>
      <w:r w:rsidRPr="00685539">
        <w:t>(dok. 11371, rek. 1812, res. 1575). I den antagna r</w:t>
      </w:r>
      <w:r w:rsidRPr="00685539">
        <w:t>e</w:t>
      </w:r>
      <w:r w:rsidRPr="00685539">
        <w:t>kommendationen påminner församlingen om Europarådets åtaganden och prioriteringar. Mini</w:t>
      </w:r>
      <w:r w:rsidRPr="00685539">
        <w:t>s</w:t>
      </w:r>
      <w:r w:rsidRPr="00685539">
        <w:t>terkommittén ska se till att nödvändiga resurser finns till Europarådets förf</w:t>
      </w:r>
      <w:r w:rsidRPr="00685539">
        <w:t>o</w:t>
      </w:r>
      <w:r w:rsidRPr="00685539">
        <w:t xml:space="preserve">gande.  </w:t>
      </w:r>
    </w:p>
    <w:p w:rsidR="00075C4B" w:rsidRPr="00685539" w:rsidRDefault="00075C4B" w:rsidP="00464EF6">
      <w:pPr>
        <w:pStyle w:val="Normaltindrag"/>
      </w:pPr>
      <w:r w:rsidRPr="00685539">
        <w:rPr>
          <w:rStyle w:val="NormaltindragChar"/>
        </w:rPr>
        <w:t>F</w:t>
      </w:r>
      <w:r w:rsidRPr="00685539">
        <w:t>ör att tillgodose det tredje toppmötets syfte att effektivisera resursutnyt</w:t>
      </w:r>
      <w:r w:rsidRPr="00685539">
        <w:t>t</w:t>
      </w:r>
      <w:r w:rsidRPr="00685539">
        <w:t>jandet och göra organisationen mera transparent och synlig har allmänhet och medier numera tillgång till församlingens vote</w:t>
      </w:r>
      <w:r w:rsidRPr="00685539">
        <w:t>r</w:t>
      </w:r>
      <w:r w:rsidRPr="00685539">
        <w:t>ingsresultat. En förutsättning för detta var övergången till elektronisk votering i församlingens plenum. Detaljerade vote</w:t>
      </w:r>
      <w:r w:rsidRPr="00685539">
        <w:t>r</w:t>
      </w:r>
      <w:r w:rsidRPr="00685539">
        <w:t>ingsresultat går att läsa på församlingens hemsida http://assembly.coe.int. Detta syftar också till att öka delegaternas deltagande i sessionen och utskottsmöten. De svenska ledamöte</w:t>
      </w:r>
      <w:r w:rsidRPr="00685539">
        <w:t>r</w:t>
      </w:r>
      <w:r w:rsidRPr="00685539">
        <w:t>nas deltagande fortsätter att vara högt. Enligt statistik var de sven</w:t>
      </w:r>
      <w:r w:rsidRPr="00685539">
        <w:t>s</w:t>
      </w:r>
      <w:r w:rsidRPr="00685539">
        <w:t>ka delegaterna de allra flitigaste församlingsmedlemmarna i o</w:t>
      </w:r>
      <w:r w:rsidRPr="00685539">
        <w:t>m</w:t>
      </w:r>
      <w:r w:rsidRPr="00685539">
        <w:t xml:space="preserve">röstningarna under år 2007. </w:t>
      </w:r>
    </w:p>
    <w:p w:rsidR="00075C4B" w:rsidRPr="00685539" w:rsidRDefault="00075C4B" w:rsidP="00464EF6">
      <w:pPr>
        <w:pStyle w:val="Normaltindrag"/>
      </w:pPr>
      <w:r w:rsidRPr="00685539">
        <w:t>En regelbunden och betydande medlemsnärvaro är viktig för en parlame</w:t>
      </w:r>
      <w:r w:rsidRPr="00685539">
        <w:t>n</w:t>
      </w:r>
      <w:r w:rsidRPr="00685539">
        <w:t>tarisk institutions legitimitet. Närvaron har inte varit til</w:t>
      </w:r>
      <w:r w:rsidRPr="00685539">
        <w:t>l</w:t>
      </w:r>
      <w:r w:rsidRPr="00685539">
        <w:t>fredsställande enligt församlingens ledning som initierat en rad ändringar i församlingens arbet</w:t>
      </w:r>
      <w:r w:rsidRPr="00685539">
        <w:t>s</w:t>
      </w:r>
      <w:r w:rsidRPr="00685539">
        <w:t>metoder. Möjlighet till korta utt</w:t>
      </w:r>
      <w:r w:rsidRPr="00685539">
        <w:t>a</w:t>
      </w:r>
      <w:r w:rsidRPr="00685539">
        <w:t>landen om dagsaktuella politiska frågor är en metod som gäller från 2008 och syftar till att göra debatterna mera levande och förmå flera ledamöter att stanna på sina platser i plenisalen. Generalse</w:t>
      </w:r>
      <w:r w:rsidRPr="00685539">
        <w:t>k</w:t>
      </w:r>
      <w:r w:rsidRPr="00685539">
        <w:t>reteraren har fått i uppdrag att följa delegaternas närvaro både i plenum och vid utskottsmöten. Om frånvaron är markant kommer den berörda delegati</w:t>
      </w:r>
      <w:r w:rsidRPr="00685539">
        <w:t>o</w:t>
      </w:r>
      <w:r w:rsidRPr="00685539">
        <w:t>nens parlamentariska ledning få rapport om detta. Ökad jämställdhet efte</w:t>
      </w:r>
      <w:r w:rsidRPr="00685539">
        <w:t>r</w:t>
      </w:r>
      <w:r w:rsidRPr="00685539">
        <w:t>sträv</w:t>
      </w:r>
      <w:r w:rsidR="00BA6202" w:rsidRPr="00685539">
        <w:t>a</w:t>
      </w:r>
      <w:r w:rsidRPr="00685539">
        <w:t>s genom att utskotten ska ta hänsyn till könsfördelning vid nominerin</w:t>
      </w:r>
      <w:r w:rsidRPr="00685539">
        <w:t>g</w:t>
      </w:r>
      <w:r w:rsidRPr="00685539">
        <w:t>ar av rapportörer (res. 1585, § 49.1). Beslutet om stadgeändringarna fattades av det ständiga utskottet vid sitt möte i Bratislava och trädde i kraft vid janu</w:t>
      </w:r>
      <w:r w:rsidRPr="00685539">
        <w:t>a</w:t>
      </w:r>
      <w:r w:rsidRPr="00685539">
        <w:t xml:space="preserve">risessionen 2008.  </w:t>
      </w:r>
    </w:p>
    <w:p w:rsidR="00075C4B" w:rsidRPr="00685539" w:rsidRDefault="00075C4B" w:rsidP="00464EF6">
      <w:pPr>
        <w:pStyle w:val="Rubrik2"/>
      </w:pPr>
      <w:bookmarkStart w:id="14" w:name="_Toc192059483"/>
      <w:r w:rsidRPr="00685539">
        <w:t>2.4 Granskningen av åtaganden</w:t>
      </w:r>
      <w:bookmarkEnd w:id="14"/>
    </w:p>
    <w:p w:rsidR="00075C4B" w:rsidRPr="00685539" w:rsidRDefault="00075C4B" w:rsidP="00464EF6">
      <w:r w:rsidRPr="00685539">
        <w:t>Uppföljning och kontroll av efterlevnaden av medlemsländernas åtaganden har varit en väsentlig del av Europarådets verksamhet sedan antalet medlem</w:t>
      </w:r>
      <w:r w:rsidRPr="00685539">
        <w:t>s</w:t>
      </w:r>
      <w:r w:rsidRPr="00685539">
        <w:t>stater började växa på 1990-talet. Försa</w:t>
      </w:r>
      <w:r w:rsidRPr="00685539">
        <w:t>m</w:t>
      </w:r>
      <w:r w:rsidRPr="00685539">
        <w:t>lingens granskningsutskott har varit verksamt sedan april 1997 (res. 1115) och har till uppgift att kontinuerligt granska att alla medlemsländer respekterar Europarådets grundläggande pri</w:t>
      </w:r>
      <w:r w:rsidRPr="00685539">
        <w:t>n</w:t>
      </w:r>
      <w:r w:rsidRPr="00685539">
        <w:t xml:space="preserve">ciper och uppfyller de åtaganden som gjorts i samband med att landet blivit medlem. En del av uppföljningen av det tredje toppmötet är en utvärdering av granskningsverksamheten. </w:t>
      </w:r>
    </w:p>
    <w:p w:rsidR="00075C4B" w:rsidRPr="00685539" w:rsidRDefault="00075C4B" w:rsidP="00464EF6">
      <w:pPr>
        <w:pStyle w:val="Normaltindrag"/>
      </w:pPr>
      <w:r w:rsidRPr="00685539">
        <w:t>Granskningsutskottets ledamöter nomineras av de fem politiska grupperna (i motsats till de andra utskotten där medlemmarna utses av de nationella delegationerna) och utses av byrån. Härutöver ingår ordförandena i det pol</w:t>
      </w:r>
      <w:r w:rsidRPr="00685539">
        <w:t>i</w:t>
      </w:r>
      <w:r w:rsidRPr="00685539">
        <w:t xml:space="preserve">tiska och juridiska utskottet ex officio. </w:t>
      </w:r>
    </w:p>
    <w:p w:rsidR="00075C4B" w:rsidRPr="00685539" w:rsidRDefault="00075C4B" w:rsidP="00464EF6">
      <w:pPr>
        <w:pStyle w:val="Normaltindrag"/>
      </w:pPr>
      <w:r w:rsidRPr="00685539">
        <w:t>En granskning inleds med ett skriftligt yttrande från två av utskottet utse</w:t>
      </w:r>
      <w:r w:rsidRPr="00685539">
        <w:t>d</w:t>
      </w:r>
      <w:r w:rsidRPr="00685539">
        <w:t>da rapportörer som ska representera olika politiska grupperingar. Två ledam</w:t>
      </w:r>
      <w:r w:rsidRPr="00685539">
        <w:t>ö</w:t>
      </w:r>
      <w:r w:rsidRPr="00685539">
        <w:t>ter från det granskade landets nationella delegation ingår också i granskning</w:t>
      </w:r>
      <w:r w:rsidRPr="00685539">
        <w:t>s</w:t>
      </w:r>
      <w:r w:rsidRPr="00685539">
        <w:t>utskottet, men utan rätt att delta i utskottets voteringar. Granskningsutskottets möten är inte öppna för andra än ledamöterna. Verksamheten i granskningsu</w:t>
      </w:r>
      <w:r w:rsidRPr="00685539">
        <w:t>t</w:t>
      </w:r>
      <w:r w:rsidRPr="00685539">
        <w:t>skottet bygger dels på samarbete med de nationella delegationerna, dels på dialog med ministerkommitténs granskningsenhet. Framgångsrik granskning förutsätter samarbetsvilja från det granskade landets och dess myndigheters sida. Utskottets delegationer besöker de berörda länderna för att skaffa sig en detaljerad bild över utvecklingen i landet i fråga. Även valövervakning a</w:t>
      </w:r>
      <w:r w:rsidRPr="00685539">
        <w:t>n</w:t>
      </w:r>
      <w:r w:rsidRPr="00685539">
        <w:t>vänds i samma syfte genom att utskottets rapportör ingår i församlingens ad hoc-delegationer för valövervakning. Samarbetet får sin konkreta inn</w:t>
      </w:r>
      <w:r w:rsidRPr="00685539">
        <w:t>e</w:t>
      </w:r>
      <w:r w:rsidRPr="00685539">
        <w:t>börd när det berörda landet genomför och tillämpar granskningsrapportens reko</w:t>
      </w:r>
      <w:r w:rsidRPr="00685539">
        <w:t>m</w:t>
      </w:r>
      <w:r w:rsidRPr="00685539">
        <w:t>mendationer. Efterlevnaden av granskningens rekommendationer följs upp genom en dialog med landet och p</w:t>
      </w:r>
      <w:r w:rsidRPr="00685539">
        <w:t>å</w:t>
      </w:r>
      <w:r w:rsidRPr="00685539">
        <w:t xml:space="preserve">börjas ett år efter avslutad granskning. </w:t>
      </w:r>
    </w:p>
    <w:p w:rsidR="00075C4B" w:rsidRPr="00685539" w:rsidRDefault="00075C4B" w:rsidP="00464EF6">
      <w:pPr>
        <w:pStyle w:val="Normaltindrag"/>
      </w:pPr>
      <w:r w:rsidRPr="00685539">
        <w:t>Ackreditering av ledamöter kan användas som ett instrument för att förmå medlemsländerna att fullfölja sina åtaganden. Enligt sta</w:t>
      </w:r>
      <w:r w:rsidRPr="00685539">
        <w:t>d</w:t>
      </w:r>
      <w:r w:rsidRPr="00685539">
        <w:t>gan ska församlingen vid öppnandet av den årliga sessionen kontrollera och ratificera medlemma</w:t>
      </w:r>
      <w:r w:rsidRPr="00685539">
        <w:t>r</w:t>
      </w:r>
      <w:r w:rsidRPr="00685539">
        <w:t>nas och gästernas ackredit</w:t>
      </w:r>
      <w:r w:rsidRPr="00685539">
        <w:t>e</w:t>
      </w:r>
      <w:r w:rsidRPr="00685539">
        <w:t>ring (6 § 3). Bristande jämställdhet kan leda till beslut att upphäva rösträtten för nyutnämnda delegationer. Enligt församlin</w:t>
      </w:r>
      <w:r w:rsidRPr="00685539">
        <w:t>g</w:t>
      </w:r>
      <w:r w:rsidRPr="00685539">
        <w:t>ens sta</w:t>
      </w:r>
      <w:r w:rsidRPr="00685539">
        <w:t>d</w:t>
      </w:r>
      <w:r w:rsidRPr="00685539">
        <w:t>ga ska det underrepresenterade könet i varje delegation företrädas i minst samma utsträckning som i det nationella parlamentet. I varje fall måste en person i delegationen vara av det underrepresenterade könet.</w:t>
      </w:r>
    </w:p>
    <w:p w:rsidR="00075C4B" w:rsidRPr="00685539" w:rsidRDefault="00075C4B" w:rsidP="00464EF6">
      <w:pPr>
        <w:pStyle w:val="Normaltindrag"/>
      </w:pPr>
      <w:r w:rsidRPr="00685539">
        <w:t>Församlingens frågestund i samband med sessionerna ger tillfälle att följa upp huruvida ministerkommittén verkställer församlingens rekommendati</w:t>
      </w:r>
      <w:r w:rsidRPr="00685539">
        <w:t>o</w:t>
      </w:r>
      <w:r w:rsidRPr="00685539">
        <w:t>ner. Fyra gånger om året redogör utrikesministern i ministerkommitténs or</w:t>
      </w:r>
      <w:r w:rsidRPr="00685539">
        <w:t>d</w:t>
      </w:r>
      <w:r w:rsidRPr="00685539">
        <w:t>föra</w:t>
      </w:r>
      <w:r w:rsidRPr="00685539">
        <w:t>n</w:t>
      </w:r>
      <w:r w:rsidRPr="00685539">
        <w:t>deland för verksamheten i ministerkommittén. Ledamöterna har sedan mö</w:t>
      </w:r>
      <w:r w:rsidRPr="00685539">
        <w:t>j</w:t>
      </w:r>
      <w:r w:rsidRPr="00685539">
        <w:t>lighet att ställa frågor till utrikesministern.</w:t>
      </w:r>
    </w:p>
    <w:p w:rsidR="00075C4B" w:rsidRPr="00685539" w:rsidRDefault="00075C4B" w:rsidP="007F380F">
      <w:pPr>
        <w:pStyle w:val="Rubrik3"/>
        <w:rPr>
          <w:noProof w:val="0"/>
        </w:rPr>
      </w:pPr>
      <w:bookmarkStart w:id="15" w:name="_Toc192059484"/>
      <w:r w:rsidRPr="00685539">
        <w:rPr>
          <w:noProof w:val="0"/>
        </w:rPr>
        <w:t>2.</w:t>
      </w:r>
      <w:r w:rsidR="007F380F" w:rsidRPr="00685539">
        <w:rPr>
          <w:noProof w:val="0"/>
        </w:rPr>
        <w:t>4</w:t>
      </w:r>
      <w:r w:rsidRPr="00685539">
        <w:rPr>
          <w:noProof w:val="0"/>
        </w:rPr>
        <w:t>.1 Granskningsverksamhetens omfattning</w:t>
      </w:r>
      <w:bookmarkEnd w:id="15"/>
    </w:p>
    <w:p w:rsidR="00075C4B" w:rsidRPr="00685539" w:rsidRDefault="00075C4B" w:rsidP="00464EF6">
      <w:r w:rsidRPr="00685539">
        <w:rPr>
          <w:i/>
        </w:rPr>
        <w:t>Granskningsutskottets årsrapport</w:t>
      </w:r>
      <w:r w:rsidRPr="00685539">
        <w:t xml:space="preserve"> (dok. 11214, res. 1548) redogör för ver</w:t>
      </w:r>
      <w:r w:rsidRPr="00685539">
        <w:t>k</w:t>
      </w:r>
      <w:r w:rsidRPr="00685539">
        <w:t>samheten i utskottet under perioden januari 2006–april 2007. Utskottet har nu varit verksamt i tio år och under den tiden granskat 20 länders åtaga</w:t>
      </w:r>
      <w:r w:rsidRPr="00685539">
        <w:t>n</w:t>
      </w:r>
      <w:r w:rsidRPr="00685539">
        <w:t>den.  Elva länder är numera föremål för granskning: Albanien, Armenien, Aze</w:t>
      </w:r>
      <w:r w:rsidRPr="00685539">
        <w:t>r</w:t>
      </w:r>
      <w:r w:rsidRPr="00685539">
        <w:t>bajdzjan, Bosnien och Hercegovina, Georgien, Moldavien, Monaco, Mont</w:t>
      </w:r>
      <w:r w:rsidRPr="00685539">
        <w:t>e</w:t>
      </w:r>
      <w:r w:rsidRPr="00685539">
        <w:t>negro, Ryssland, Serbien och Ukraina. Under 2007 debatterade försa</w:t>
      </w:r>
      <w:r w:rsidRPr="00685539">
        <w:t>m</w:t>
      </w:r>
      <w:r w:rsidRPr="00685539">
        <w:t>lingen fyra landsrapporter: Albanien, Azerbajdzjan, Moldavien och Monaco</w:t>
      </w:r>
    </w:p>
    <w:p w:rsidR="00075C4B" w:rsidRPr="00685539" w:rsidRDefault="00075C4B" w:rsidP="00464EF6">
      <w:pPr>
        <w:pStyle w:val="Normaltindrag"/>
      </w:pPr>
      <w:r w:rsidRPr="00685539">
        <w:t>Efterlevnaden av granskningens rekommendationer följs upp genom en d</w:t>
      </w:r>
      <w:r w:rsidRPr="00685539">
        <w:t>i</w:t>
      </w:r>
      <w:r w:rsidRPr="00685539">
        <w:t>alog med landet och påbörjas ett år efter avslutad granskning. En sådan dialog pågår mellan granskningsutskottet och Bulgarien, Makedonien och Turkiet.</w:t>
      </w:r>
    </w:p>
    <w:p w:rsidR="00075C4B" w:rsidRPr="00685539" w:rsidRDefault="00075C4B" w:rsidP="00464EF6">
      <w:pPr>
        <w:pStyle w:val="Normaltindrag"/>
      </w:pPr>
      <w:r w:rsidRPr="00685539">
        <w:t>Numera lämnar granskningsutskottet även en periodiskt återkommande rapport om länder som inte är under regelrätt granskning. Sedan 2006 gran</w:t>
      </w:r>
      <w:r w:rsidRPr="00685539">
        <w:t>s</w:t>
      </w:r>
      <w:r w:rsidRPr="00685539">
        <w:t>kar utskottet samtliga medlemsländer på en r</w:t>
      </w:r>
      <w:r w:rsidRPr="00685539">
        <w:t>o</w:t>
      </w:r>
      <w:r w:rsidRPr="00685539">
        <w:t>terande basis. Under den period som rapporten täcker har följande elva länder granskats: Grekland, Island, Irland, Italien, Lettland, Liechtenstein, Litauen, Luxembourg, Malta, Nede</w:t>
      </w:r>
      <w:r w:rsidRPr="00685539">
        <w:t>r</w:t>
      </w:r>
      <w:r w:rsidRPr="00685539">
        <w:t xml:space="preserve">länderna och Ungern. </w:t>
      </w:r>
    </w:p>
    <w:p w:rsidR="00075C4B" w:rsidRPr="00685539" w:rsidRDefault="00075C4B" w:rsidP="00464EF6">
      <w:pPr>
        <w:pStyle w:val="Rubrik3"/>
        <w:rPr>
          <w:noProof w:val="0"/>
        </w:rPr>
      </w:pPr>
      <w:bookmarkStart w:id="16" w:name="_Toc192059485"/>
      <w:r w:rsidRPr="00685539">
        <w:rPr>
          <w:noProof w:val="0"/>
        </w:rPr>
        <w:t>2.</w:t>
      </w:r>
      <w:r w:rsidR="007F380F" w:rsidRPr="00685539">
        <w:rPr>
          <w:noProof w:val="0"/>
        </w:rPr>
        <w:t>4</w:t>
      </w:r>
      <w:r w:rsidRPr="00685539">
        <w:rPr>
          <w:noProof w:val="0"/>
        </w:rPr>
        <w:t>.2 Granskning genom frågor till ministerkommittén</w:t>
      </w:r>
      <w:bookmarkEnd w:id="16"/>
    </w:p>
    <w:p w:rsidR="00075C4B" w:rsidRPr="00685539" w:rsidRDefault="00075C4B" w:rsidP="00464EF6">
      <w:r w:rsidRPr="00685539">
        <w:t>Även utanför sessionerna kan församlingens ledamöter ställa skriftliga fr</w:t>
      </w:r>
      <w:r w:rsidRPr="00685539">
        <w:t>å</w:t>
      </w:r>
      <w:r w:rsidRPr="00685539">
        <w:t xml:space="preserve">gor och begära svar från ministerkommittén eller dess ordförande. </w:t>
      </w:r>
      <w:r w:rsidRPr="00685539">
        <w:rPr>
          <w:i/>
        </w:rPr>
        <w:t>Göran Lin</w:t>
      </w:r>
      <w:r w:rsidRPr="00685539">
        <w:rPr>
          <w:i/>
        </w:rPr>
        <w:t>d</w:t>
      </w:r>
      <w:r w:rsidRPr="00685539">
        <w:rPr>
          <w:i/>
        </w:rPr>
        <w:t xml:space="preserve">blad </w:t>
      </w:r>
      <w:r w:rsidRPr="00685539">
        <w:t>ställde en sådan fråga till ministe</w:t>
      </w:r>
      <w:r w:rsidRPr="00685539">
        <w:t>r</w:t>
      </w:r>
      <w:r w:rsidR="00464EF6" w:rsidRPr="00685539">
        <w:t xml:space="preserve">kommittén med </w:t>
      </w:r>
      <w:r w:rsidRPr="00685539">
        <w:t>uppmaning att stoppa utfärdandet av pass baser</w:t>
      </w:r>
      <w:r w:rsidRPr="00685539">
        <w:t>a</w:t>
      </w:r>
      <w:r w:rsidRPr="00685539">
        <w:t>de på förfalskade identitetshandlingar, vilket skett vid den irakiska ambassaden i Stockholm. Falska pass riskerar att bli föremål för handel och kan utnyttjas på ett sätt som underminerar den geme</w:t>
      </w:r>
      <w:r w:rsidRPr="00685539">
        <w:t>n</w:t>
      </w:r>
      <w:r w:rsidRPr="00685539">
        <w:t>samma säkerheten, menade Lindblad. Ministerkommittén påpek</w:t>
      </w:r>
      <w:r w:rsidRPr="00685539">
        <w:t>a</w:t>
      </w:r>
      <w:r w:rsidRPr="00685539">
        <w:t>de i sitt svar bl.a. att stater enligt Europakonventionen om medbo</w:t>
      </w:r>
      <w:r w:rsidRPr="00685539">
        <w:t>r</w:t>
      </w:r>
      <w:r w:rsidRPr="00685539">
        <w:t>garskap har rätt att dra tillbaka medborgarskap utfärdat på falska grunder. Europarådet har som en del i å</w:t>
      </w:r>
      <w:r w:rsidRPr="00685539">
        <w:t>t</w:t>
      </w:r>
      <w:r w:rsidRPr="00685539">
        <w:t xml:space="preserve">gärderna mot terrorism antagit riktlinjer om säkra pass. </w:t>
      </w:r>
    </w:p>
    <w:p w:rsidR="00075C4B" w:rsidRPr="00685539" w:rsidRDefault="00075C4B" w:rsidP="00464EF6">
      <w:pPr>
        <w:pStyle w:val="Normaltindrag"/>
      </w:pPr>
      <w:r w:rsidRPr="00685539">
        <w:t xml:space="preserve">Med anledning av mordet på den turkiska journalisten Hrant Dink ställde </w:t>
      </w:r>
      <w:r w:rsidRPr="00685539">
        <w:rPr>
          <w:i/>
        </w:rPr>
        <w:t>Göran Lindblad</w:t>
      </w:r>
      <w:r w:rsidRPr="00685539">
        <w:t xml:space="preserve"> en fråga till ministerkommittén. Lindblad ifrågasätter läm</w:t>
      </w:r>
      <w:r w:rsidRPr="00685539">
        <w:t>p</w:t>
      </w:r>
      <w:r w:rsidRPr="00685539">
        <w:t>ligheten av den turkiska säkerhetsstyrkans agerande i anslutning till arrest</w:t>
      </w:r>
      <w:r w:rsidRPr="00685539">
        <w:t>e</w:t>
      </w:r>
      <w:r w:rsidRPr="00685539">
        <w:t>ringen av den misstänkta mördaren. De</w:t>
      </w:r>
      <w:r w:rsidRPr="00685539">
        <w:t>s</w:t>
      </w:r>
      <w:r w:rsidRPr="00685539">
        <w:t>sa myndighetspersoner har agerat på ett sätt som strider mot de skyldigheter som Turkiet har som medlem i Eur</w:t>
      </w:r>
      <w:r w:rsidRPr="00685539">
        <w:t>o</w:t>
      </w:r>
      <w:r w:rsidRPr="00685539">
        <w:t xml:space="preserve">parådet.     </w:t>
      </w:r>
    </w:p>
    <w:p w:rsidR="00075C4B" w:rsidRPr="00685539" w:rsidRDefault="00075C4B" w:rsidP="00464EF6">
      <w:pPr>
        <w:pStyle w:val="Normaltindrag"/>
      </w:pPr>
      <w:r w:rsidRPr="00685539">
        <w:rPr>
          <w:i/>
        </w:rPr>
        <w:t>Göran</w:t>
      </w:r>
      <w:r w:rsidRPr="00685539">
        <w:t xml:space="preserve"> </w:t>
      </w:r>
      <w:r w:rsidRPr="00685539">
        <w:rPr>
          <w:i/>
        </w:rPr>
        <w:t>Lindblad</w:t>
      </w:r>
      <w:r w:rsidRPr="00685539">
        <w:t xml:space="preserve"> ställde även en fråga om utvisningen av en kinesisk fly</w:t>
      </w:r>
      <w:r w:rsidRPr="00685539">
        <w:t>k</w:t>
      </w:r>
      <w:r w:rsidRPr="00685539">
        <w:t>ting från Ryssland och påpekade att det finns en viss tendens i ryskt myndi</w:t>
      </w:r>
      <w:r w:rsidRPr="00685539">
        <w:t>g</w:t>
      </w:r>
      <w:r w:rsidRPr="00685539">
        <w:t>hetsutövande när det gäller falun gong-anhängare. Lindblad efterlyste åtgä</w:t>
      </w:r>
      <w:r w:rsidRPr="00685539">
        <w:t>r</w:t>
      </w:r>
      <w:r w:rsidRPr="00685539">
        <w:t xml:space="preserve">der från ministerkommittén för att förmå Ryssland att uppfylla de åtaganden som medlemskapet medför. </w:t>
      </w:r>
    </w:p>
    <w:p w:rsidR="00075C4B" w:rsidRPr="00685539" w:rsidRDefault="00075C4B" w:rsidP="00464EF6">
      <w:pPr>
        <w:pStyle w:val="Normaltindrag"/>
      </w:pPr>
      <w:r w:rsidRPr="00685539">
        <w:t xml:space="preserve">I en fråga till ministerkommittén efterlyste </w:t>
      </w:r>
      <w:r w:rsidRPr="00685539">
        <w:rPr>
          <w:i/>
        </w:rPr>
        <w:t>Marietta de Pourbaix-Lundin</w:t>
      </w:r>
      <w:r w:rsidRPr="00685539">
        <w:t xml:space="preserve"> information om vad som hänt Balkankrigens våldtäktsoffer. De militära ko</w:t>
      </w:r>
      <w:r w:rsidRPr="00685539">
        <w:t>n</w:t>
      </w:r>
      <w:r w:rsidRPr="00685539">
        <w:t>flikterna på Balkan på 90-talet drabbade mycket hårt tusentals kvinnor och barn. Våldtäkt användes som krigsmetod. De Pourbaix-Lundin undrade hur</w:t>
      </w:r>
      <w:r w:rsidRPr="00685539">
        <w:t>u</w:t>
      </w:r>
      <w:r w:rsidRPr="00685539">
        <w:t xml:space="preserve">vida det vore möjligt att starta en övervakningsprocess om hur dessa fall hanterats. </w:t>
      </w:r>
    </w:p>
    <w:p w:rsidR="00075C4B" w:rsidRPr="00685539" w:rsidRDefault="00075C4B" w:rsidP="00464EF6">
      <w:pPr>
        <w:pStyle w:val="Normaltindrag"/>
      </w:pPr>
      <w:r w:rsidRPr="00685539">
        <w:t xml:space="preserve">I en annan fråga som handlade om förbud mot människohandel för sexuellt utnyttjande efterlyste </w:t>
      </w:r>
      <w:r w:rsidRPr="00685539">
        <w:rPr>
          <w:i/>
        </w:rPr>
        <w:t>Marietta de Pourbaix-Lundin</w:t>
      </w:r>
      <w:r w:rsidRPr="00685539">
        <w:t xml:space="preserve"> sä</w:t>
      </w:r>
      <w:r w:rsidRPr="00685539">
        <w:t>r</w:t>
      </w:r>
      <w:r w:rsidRPr="00685539">
        <w:t>skilda åtgärder från ministerkommittén för att påskynda ratificeringen av Europarådets konve</w:t>
      </w:r>
      <w:r w:rsidRPr="00685539">
        <w:t>n</w:t>
      </w:r>
      <w:r w:rsidRPr="00685539">
        <w:t>tion om kampen mot människoha</w:t>
      </w:r>
      <w:r w:rsidRPr="00685539">
        <w:t>n</w:t>
      </w:r>
      <w:r w:rsidRPr="00685539">
        <w:t xml:space="preserve">del. </w:t>
      </w:r>
    </w:p>
    <w:p w:rsidR="00075C4B" w:rsidRPr="00685539" w:rsidRDefault="00075C4B" w:rsidP="00464EF6">
      <w:pPr>
        <w:pStyle w:val="Normaltindrag"/>
      </w:pPr>
      <w:r w:rsidRPr="00685539">
        <w:rPr>
          <w:i/>
        </w:rPr>
        <w:t>Kerstin Lundgren</w:t>
      </w:r>
      <w:r w:rsidRPr="00685539">
        <w:t xml:space="preserve"> uppmärksammade ministerkommittén på att historia i ryska skolböcker är föremål för omskrivning och efterlyste åtgärder. Fö</w:t>
      </w:r>
      <w:r w:rsidRPr="00685539">
        <w:t>r</w:t>
      </w:r>
      <w:r w:rsidRPr="00685539">
        <w:t xml:space="preserve">vanskning av ett lands historia är inte förenlig med Europarådets normer och principer. </w:t>
      </w:r>
    </w:p>
    <w:p w:rsidR="00075C4B" w:rsidRPr="00685539" w:rsidRDefault="00075C4B" w:rsidP="00464EF6">
      <w:pPr>
        <w:pStyle w:val="Normaltindrag"/>
      </w:pPr>
      <w:r w:rsidRPr="00685539">
        <w:t xml:space="preserve">I en fråga till ministerkommittén påpekade </w:t>
      </w:r>
      <w:r w:rsidRPr="00685539">
        <w:rPr>
          <w:i/>
        </w:rPr>
        <w:t>Tina Acketoft</w:t>
      </w:r>
      <w:r w:rsidRPr="00685539">
        <w:t xml:space="preserve"> att moldaviska myndigheter inte gett tillstånd att ordna en Pridefestival i huvudstaden Chis</w:t>
      </w:r>
      <w:r w:rsidRPr="00685539">
        <w:t>i</w:t>
      </w:r>
      <w:r w:rsidRPr="00685539">
        <w:t>nau. Europarådets principer och värderingar som innebär förbud mot diskr</w:t>
      </w:r>
      <w:r w:rsidRPr="00685539">
        <w:t>i</w:t>
      </w:r>
      <w:r w:rsidRPr="00685539">
        <w:t>minering på grund av sexuell läggning gäller i samtliga medlemsländer. E</w:t>
      </w:r>
      <w:r w:rsidRPr="00685539">
        <w:t>u</w:t>
      </w:r>
      <w:r w:rsidRPr="00685539">
        <w:t>ropakonventionens paragraf 11 handlar om föreningsfrihet och frihet att delta i sammankomster, påminde Acketoft.</w:t>
      </w:r>
    </w:p>
    <w:p w:rsidR="00075C4B" w:rsidRPr="00685539" w:rsidRDefault="00075C4B" w:rsidP="00464EF6">
      <w:pPr>
        <w:pStyle w:val="Normaltindrag"/>
      </w:pPr>
      <w:r w:rsidRPr="00685539">
        <w:t>Vid sessionerna kan muntliga frågor ställas till ministerkommitténs ordf</w:t>
      </w:r>
      <w:r w:rsidRPr="00685539">
        <w:t>ö</w:t>
      </w:r>
      <w:r w:rsidRPr="00685539">
        <w:t xml:space="preserve">rande. Vid junisessionen ville </w:t>
      </w:r>
      <w:r w:rsidRPr="00685539">
        <w:rPr>
          <w:i/>
        </w:rPr>
        <w:t>Marietta de Pourbaix-Lundin</w:t>
      </w:r>
      <w:r w:rsidRPr="00685539">
        <w:t xml:space="preserve"> veta på vilket sätt det serbiska ordförandeskapet främjar de handikappades integration i samhä</w:t>
      </w:r>
      <w:r w:rsidRPr="00685539">
        <w:t>l</w:t>
      </w:r>
      <w:r w:rsidRPr="00685539">
        <w:t xml:space="preserve">let (dok. 11326). </w:t>
      </w:r>
    </w:p>
    <w:p w:rsidR="00075C4B" w:rsidRPr="00685539" w:rsidRDefault="00075C4B" w:rsidP="00464EF6">
      <w:pPr>
        <w:pStyle w:val="Normaltindrag"/>
      </w:pPr>
      <w:r w:rsidRPr="00685539">
        <w:t xml:space="preserve">Vid oktobersessionen frågade </w:t>
      </w:r>
      <w:r w:rsidRPr="00685539">
        <w:rPr>
          <w:i/>
        </w:rPr>
        <w:t>Tina Acketoft</w:t>
      </w:r>
      <w:r w:rsidRPr="00685539">
        <w:t xml:space="preserve"> vilka konkreta planer mini</w:t>
      </w:r>
      <w:r w:rsidRPr="00685539">
        <w:t>s</w:t>
      </w:r>
      <w:r w:rsidRPr="00685539">
        <w:t>terkommittén hade för att stoppa tvångsäktenskap och barnäktenskap i Eur</w:t>
      </w:r>
      <w:r w:rsidRPr="00685539">
        <w:t>o</w:t>
      </w:r>
      <w:r w:rsidRPr="00685539">
        <w:t>parådets medlemsstater (dok. 11403)</w:t>
      </w:r>
      <w:r w:rsidR="00464EF6" w:rsidRPr="00685539">
        <w:t xml:space="preserve">. </w:t>
      </w:r>
    </w:p>
    <w:p w:rsidR="00075C4B" w:rsidRPr="00685539" w:rsidRDefault="007F380F" w:rsidP="00464EF6">
      <w:pPr>
        <w:pStyle w:val="Rubrik3"/>
        <w:rPr>
          <w:noProof w:val="0"/>
        </w:rPr>
      </w:pPr>
      <w:bookmarkStart w:id="17" w:name="_Toc192059486"/>
      <w:r w:rsidRPr="00685539">
        <w:rPr>
          <w:noProof w:val="0"/>
        </w:rPr>
        <w:t>2.4</w:t>
      </w:r>
      <w:r w:rsidR="00075C4B" w:rsidRPr="00685539">
        <w:rPr>
          <w:noProof w:val="0"/>
        </w:rPr>
        <w:t>.3 Valövervakning</w:t>
      </w:r>
      <w:bookmarkEnd w:id="17"/>
    </w:p>
    <w:p w:rsidR="00075C4B" w:rsidRPr="00685539" w:rsidRDefault="00075C4B" w:rsidP="00464EF6">
      <w:r w:rsidRPr="00685539">
        <w:t>Valövervakning är ett komplement till granskningen av efterlevn</w:t>
      </w:r>
      <w:r w:rsidRPr="00685539">
        <w:t>a</w:t>
      </w:r>
      <w:r w:rsidRPr="00685539">
        <w:t>den av medlemsländernas åtaganden. Parlamentarikerförsamlingen har under de senaste åren engagerat sig i ett stort antal valöverva</w:t>
      </w:r>
      <w:r w:rsidRPr="00685539">
        <w:t>k</w:t>
      </w:r>
      <w:r w:rsidRPr="00685539">
        <w:t>ningsinsatser framför allt i Central- och Östeuropa, oftast i sama</w:t>
      </w:r>
      <w:r w:rsidRPr="00685539">
        <w:t>r</w:t>
      </w:r>
      <w:r w:rsidRPr="00685539">
        <w:t xml:space="preserve">bete med Organisationen för säkerhet och samarbete i Europa (OSSE), Europaparlamentet och Natoförsamlingen. </w:t>
      </w:r>
    </w:p>
    <w:p w:rsidR="00075C4B" w:rsidRPr="00685539" w:rsidRDefault="00075C4B" w:rsidP="00867681">
      <w:pPr>
        <w:pStyle w:val="Normaltindrag"/>
      </w:pPr>
      <w:r w:rsidRPr="00685539">
        <w:t>Parlamentariker som valövervakare bedöms politiskt vara av stor betydelse trots att de nästan enbart deltar som korttidsobservatörer. Den parlamentariska församlingen har under 2007 sänt valöverv</w:t>
      </w:r>
      <w:r w:rsidRPr="00685539">
        <w:t>a</w:t>
      </w:r>
      <w:r w:rsidRPr="00685539">
        <w:t>kare till Armenien, Ryssland, Turkiet, Ukraina och Kazakstan.</w:t>
      </w:r>
    </w:p>
    <w:p w:rsidR="00075C4B" w:rsidRPr="00685539" w:rsidRDefault="00075C4B" w:rsidP="00867681">
      <w:pPr>
        <w:pStyle w:val="Normaltindrag"/>
      </w:pPr>
      <w:r w:rsidRPr="00685539">
        <w:t>För att harmonisera principer för valobservation och bedömning av vala</w:t>
      </w:r>
      <w:r w:rsidRPr="00685539">
        <w:t>d</w:t>
      </w:r>
      <w:r w:rsidRPr="00685539">
        <w:t>ministration har församlingen antagit en uppförandekod i valfrågor (rek. 1595). En konferens om den parlamentariska dimensionen vid valöverva</w:t>
      </w:r>
      <w:r w:rsidRPr="00685539">
        <w:t>k</w:t>
      </w:r>
      <w:r w:rsidRPr="00685539">
        <w:t>ningar anordnades de</w:t>
      </w:r>
      <w:r w:rsidR="0063749D" w:rsidRPr="00685539">
        <w:t>n 15–</w:t>
      </w:r>
      <w:r w:rsidR="00051DBF" w:rsidRPr="00685539">
        <w:t xml:space="preserve">16 februari i Strasbourg. </w:t>
      </w:r>
      <w:r w:rsidRPr="00685539">
        <w:rPr>
          <w:i/>
        </w:rPr>
        <w:t>Göran Lindblad</w:t>
      </w:r>
      <w:r w:rsidRPr="00685539">
        <w:t xml:space="preserve"> och </w:t>
      </w:r>
      <w:r w:rsidRPr="00685539">
        <w:rPr>
          <w:i/>
        </w:rPr>
        <w:t>Marietta de Pourbaix-Lundin</w:t>
      </w:r>
      <w:r w:rsidRPr="00685539">
        <w:t xml:space="preserve"> ingick i församlingens delegation. I en sa</w:t>
      </w:r>
      <w:r w:rsidRPr="00685539">
        <w:t>m</w:t>
      </w:r>
      <w:r w:rsidRPr="00685539">
        <w:t>manfattning av disku</w:t>
      </w:r>
      <w:r w:rsidRPr="00685539">
        <w:t>s</w:t>
      </w:r>
      <w:r w:rsidRPr="00685539">
        <w:t>sionerna vid konferensen betonade president van der Linden att det finns en överenskommen standard för internationella valöve</w:t>
      </w:r>
      <w:r w:rsidRPr="00685539">
        <w:t>r</w:t>
      </w:r>
      <w:r w:rsidRPr="00685539">
        <w:t>vakningsinsatser</w:t>
      </w:r>
      <w:r w:rsidR="0063749D" w:rsidRPr="00685539">
        <w:t>,</w:t>
      </w:r>
      <w:r w:rsidRPr="00685539">
        <w:t xml:space="preserve"> och det är viktigt att samma standard tillämpas öve</w:t>
      </w:r>
      <w:r w:rsidRPr="00685539">
        <w:t>r</w:t>
      </w:r>
      <w:r w:rsidRPr="00685539">
        <w:t xml:space="preserve">allt. </w:t>
      </w:r>
    </w:p>
    <w:p w:rsidR="00075C4B" w:rsidRPr="00685539" w:rsidRDefault="007F380F" w:rsidP="00051DBF">
      <w:pPr>
        <w:pStyle w:val="Rubrik3"/>
        <w:rPr>
          <w:noProof w:val="0"/>
        </w:rPr>
      </w:pPr>
      <w:bookmarkStart w:id="18" w:name="_Toc192059487"/>
      <w:r w:rsidRPr="00685539">
        <w:rPr>
          <w:noProof w:val="0"/>
        </w:rPr>
        <w:t>2.4</w:t>
      </w:r>
      <w:r w:rsidR="00075C4B" w:rsidRPr="00685539">
        <w:rPr>
          <w:noProof w:val="0"/>
        </w:rPr>
        <w:t>.4 Observatörer och andra samarbetspartner</w:t>
      </w:r>
      <w:bookmarkEnd w:id="18"/>
    </w:p>
    <w:p w:rsidR="00075C4B" w:rsidRPr="00685539" w:rsidRDefault="00075C4B" w:rsidP="00051DBF">
      <w:r w:rsidRPr="00685539">
        <w:t>Utomeuropeiska länder har möjlighet att delta i Europarådets ver</w:t>
      </w:r>
      <w:r w:rsidRPr="00685539">
        <w:t>k</w:t>
      </w:r>
      <w:r w:rsidRPr="00685539">
        <w:t>samhet. Europarådets andra toppmöte år 1993 skapade en ny typ av observatörsstatus för utomeuropeiska länder. Det är ministerko</w:t>
      </w:r>
      <w:r w:rsidRPr="00685539">
        <w:t>m</w:t>
      </w:r>
      <w:r w:rsidRPr="00685539">
        <w:t>mittén som beslutar om ett lands observatörsstatus. Beslutet träder i kraft sedan parlamentarikerförsa</w:t>
      </w:r>
      <w:r w:rsidRPr="00685539">
        <w:t>m</w:t>
      </w:r>
      <w:r w:rsidRPr="00685539">
        <w:t>lingen har lämnat ett positivt yttrande. Med stöd av beslutet får en observatör delta i det sama</w:t>
      </w:r>
      <w:r w:rsidRPr="00685539">
        <w:t>r</w:t>
      </w:r>
      <w:r w:rsidRPr="00685539">
        <w:t>bete som är underställt ministerkommittén. Ett land med observ</w:t>
      </w:r>
      <w:r w:rsidRPr="00685539">
        <w:t>a</w:t>
      </w:r>
      <w:r w:rsidRPr="00685539">
        <w:t>törsstatus måste dessutom anhålla om att få sända observatörer till den parlamentariska församlingen som fattar beslut i frågan. Israel, Kanada och Mexiko medverkade under 2007 som observatörer i den parlamentariska församlingen</w:t>
      </w:r>
      <w:r w:rsidR="0063749D" w:rsidRPr="00685539">
        <w:t>.</w:t>
      </w:r>
    </w:p>
    <w:p w:rsidR="00075C4B" w:rsidRPr="00685539" w:rsidRDefault="00075C4B" w:rsidP="00051DBF">
      <w:pPr>
        <w:pStyle w:val="Normaltindrag"/>
      </w:pPr>
      <w:r w:rsidRPr="00685539">
        <w:t>Församlingen har år 2004 inlett en politisk dialog med Kazakstans parl</w:t>
      </w:r>
      <w:r w:rsidRPr="00685539">
        <w:t>a</w:t>
      </w:r>
      <w:r w:rsidRPr="00685539">
        <w:t>ment genom att underteckna en överenskommelse. Syftet med överensko</w:t>
      </w:r>
      <w:r w:rsidRPr="00685539">
        <w:t>m</w:t>
      </w:r>
      <w:r w:rsidRPr="00685539">
        <w:t>melsen är att främja parlamentarisk demokrati, rättstatens principer och r</w:t>
      </w:r>
      <w:r w:rsidRPr="00685539">
        <w:t>e</w:t>
      </w:r>
      <w:r w:rsidRPr="00685539">
        <w:t>spekten för de mänskliga rättigheterna. Öve</w:t>
      </w:r>
      <w:r w:rsidRPr="00685539">
        <w:t>r</w:t>
      </w:r>
      <w:r w:rsidRPr="00685539">
        <w:t>enskommelsen är den första av sitt slag som församlingen unde</w:t>
      </w:r>
      <w:r w:rsidRPr="00685539">
        <w:t>r</w:t>
      </w:r>
      <w:r w:rsidRPr="00685539">
        <w:t>tecknat.</w:t>
      </w:r>
    </w:p>
    <w:p w:rsidR="00075C4B" w:rsidRPr="00685539" w:rsidRDefault="00075C4B" w:rsidP="00051DBF">
      <w:pPr>
        <w:pStyle w:val="Normaltindrag"/>
      </w:pPr>
      <w:r w:rsidRPr="00685539">
        <w:t>Underutskottet för relationer med icke-medlemsländer har till up</w:t>
      </w:r>
      <w:r w:rsidRPr="00685539">
        <w:t>p</w:t>
      </w:r>
      <w:r w:rsidRPr="00685539">
        <w:t>gift att sköta kontakterna med observatörerna och andra samarbet</w:t>
      </w:r>
      <w:r w:rsidRPr="00685539">
        <w:t>s</w:t>
      </w:r>
      <w:r w:rsidRPr="00685539">
        <w:t xml:space="preserve">partner. </w:t>
      </w:r>
    </w:p>
    <w:p w:rsidR="00075C4B" w:rsidRPr="00685539" w:rsidRDefault="00075C4B" w:rsidP="00051DBF">
      <w:pPr>
        <w:pStyle w:val="Normaltindrag"/>
      </w:pPr>
      <w:r w:rsidRPr="00685539">
        <w:t>Församlingen ägnar sig också åt att följa MR-situationen i observatörslä</w:t>
      </w:r>
      <w:r w:rsidRPr="00685539">
        <w:t>n</w:t>
      </w:r>
      <w:r w:rsidRPr="00685539">
        <w:t>de</w:t>
      </w:r>
      <w:r w:rsidRPr="00685539">
        <w:t>r</w:t>
      </w:r>
      <w:r w:rsidRPr="00685539">
        <w:t xml:space="preserve">na. Under 2007 debatterades en rapport om </w:t>
      </w:r>
      <w:r w:rsidRPr="00685539">
        <w:rPr>
          <w:i/>
        </w:rPr>
        <w:t>USA och folkrätt</w:t>
      </w:r>
      <w:r w:rsidRPr="00685539">
        <w:t xml:space="preserve"> (dok. 11181, rek. 1788, res. 1539). Församlingen upprepar sin beredskap att föra en dialog med de amerikanska parlamentar</w:t>
      </w:r>
      <w:r w:rsidRPr="00685539">
        <w:t>i</w:t>
      </w:r>
      <w:r w:rsidRPr="00685539">
        <w:t>kerna.</w:t>
      </w:r>
    </w:p>
    <w:p w:rsidR="00075C4B" w:rsidRPr="00685539" w:rsidRDefault="007F380F" w:rsidP="00051DBF">
      <w:pPr>
        <w:pStyle w:val="Rubrik2"/>
      </w:pPr>
      <w:bookmarkStart w:id="19" w:name="_Toc192059488"/>
      <w:r w:rsidRPr="00685539">
        <w:t>2.5</w:t>
      </w:r>
      <w:r w:rsidR="00075C4B" w:rsidRPr="00685539">
        <w:t xml:space="preserve"> Politiska frågor</w:t>
      </w:r>
      <w:bookmarkEnd w:id="19"/>
    </w:p>
    <w:p w:rsidR="00075C4B" w:rsidRPr="00685539" w:rsidRDefault="007F380F" w:rsidP="0063749D">
      <w:pPr>
        <w:pStyle w:val="Rubrik3"/>
        <w:spacing w:before="240"/>
        <w:rPr>
          <w:noProof w:val="0"/>
        </w:rPr>
      </w:pPr>
      <w:bookmarkStart w:id="20" w:name="_Toc192059489"/>
      <w:r w:rsidRPr="00685539">
        <w:rPr>
          <w:noProof w:val="0"/>
        </w:rPr>
        <w:t>2.5</w:t>
      </w:r>
      <w:r w:rsidR="00075C4B" w:rsidRPr="00685539">
        <w:rPr>
          <w:noProof w:val="0"/>
        </w:rPr>
        <w:t>.1 Europeiskt forum för demokratins framtid</w:t>
      </w:r>
      <w:bookmarkEnd w:id="20"/>
    </w:p>
    <w:p w:rsidR="00075C4B" w:rsidRPr="00685539" w:rsidRDefault="00075C4B" w:rsidP="00051DBF">
      <w:r w:rsidRPr="00685539">
        <w:t>Ett europeiskt forum för demokratins framtid inrättades genom ett beslut vid Europarådets toppmöte i Warszawa i maj 2005. Den nya verksamhet</w:t>
      </w:r>
      <w:r w:rsidRPr="00685539">
        <w:t>s</w:t>
      </w:r>
      <w:r w:rsidRPr="00685539">
        <w:t>formen har som syfte att stärka demokrati, politiska friheter och medborgarnas delt</w:t>
      </w:r>
      <w:r w:rsidRPr="00685539">
        <w:t>a</w:t>
      </w:r>
      <w:r w:rsidRPr="00685539">
        <w:t>gande. Sverige var värd för det tredje forumet med ett övergripande tema ”Makt och egenmakt – kopplingen mellan demokrati och mänskliga rättigh</w:t>
      </w:r>
      <w:r w:rsidRPr="00685539">
        <w:t>e</w:t>
      </w:r>
      <w:r w:rsidRPr="00685539">
        <w:t xml:space="preserve">ter” som ägde rum i Stockholm och Sigtuna den 13–15 juni 2007.  </w:t>
      </w:r>
    </w:p>
    <w:p w:rsidR="00075C4B" w:rsidRPr="00685539" w:rsidRDefault="00075C4B" w:rsidP="00051DBF">
      <w:pPr>
        <w:pStyle w:val="Normaltindrag"/>
      </w:pPr>
      <w:r w:rsidRPr="00685539">
        <w:t>Forumet är tänkt att vara en flexibel process för att stimulera idé- och erf</w:t>
      </w:r>
      <w:r w:rsidRPr="00685539">
        <w:t>a</w:t>
      </w:r>
      <w:r w:rsidRPr="00685539">
        <w:t>renhetsutbyte om demokratiutvecklingen inom Europar</w:t>
      </w:r>
      <w:r w:rsidRPr="00685539">
        <w:t>å</w:t>
      </w:r>
      <w:r w:rsidRPr="00685539">
        <w:t>dets medlemsländer. Forumets uppgift ska vara att identifiera och utvärdera betydande demokrat</w:t>
      </w:r>
      <w:r w:rsidRPr="00685539">
        <w:t>i</w:t>
      </w:r>
      <w:r w:rsidRPr="00685539">
        <w:t>initiativ, utveckla standarder för demokratiutveckling och sprida kunskap bland medlemsstaterna. Forumet ska samla företrädare för politiska partier, förtroendevalda på lokal, regional och nationell nivå, forskare, enskilda org</w:t>
      </w:r>
      <w:r w:rsidRPr="00685539">
        <w:t>a</w:t>
      </w:r>
      <w:r w:rsidRPr="00685539">
        <w:t>nis</w:t>
      </w:r>
      <w:r w:rsidRPr="00685539">
        <w:t>a</w:t>
      </w:r>
      <w:r w:rsidRPr="00685539">
        <w:t>tioner m.fl. med intresse för att fördjupa och stärka demokratin.</w:t>
      </w:r>
    </w:p>
    <w:p w:rsidR="00075C4B" w:rsidRPr="00685539" w:rsidRDefault="00075C4B" w:rsidP="00051DBF">
      <w:pPr>
        <w:pStyle w:val="Normaltindrag"/>
      </w:pPr>
      <w:r w:rsidRPr="00685539">
        <w:t>Vid det tredje forumet deltog över 300 personer som representerade pa</w:t>
      </w:r>
      <w:r w:rsidRPr="00685539">
        <w:t>r</w:t>
      </w:r>
      <w:r w:rsidRPr="00685539">
        <w:t>lament, regeringar, lokala myndigheter, forskare och frivi</w:t>
      </w:r>
      <w:r w:rsidRPr="00685539">
        <w:t>l</w:t>
      </w:r>
      <w:r w:rsidRPr="00685539">
        <w:t xml:space="preserve">ligorganisationer. Förberedelserna och genomförandet av forumet var ett unikt samarbetsprojekt där </w:t>
      </w:r>
      <w:r w:rsidR="0063749D" w:rsidRPr="00685539">
        <w:t>Regeringskansliet</w:t>
      </w:r>
      <w:r w:rsidRPr="00685539">
        <w:t xml:space="preserve">, riksdagen och Sveriges </w:t>
      </w:r>
      <w:r w:rsidR="0063749D" w:rsidRPr="00685539">
        <w:t xml:space="preserve">Kommuner </w:t>
      </w:r>
      <w:r w:rsidRPr="00685539">
        <w:t xml:space="preserve">och </w:t>
      </w:r>
      <w:r w:rsidR="0063749D" w:rsidRPr="00685539">
        <w:t xml:space="preserve">Landsting </w:t>
      </w:r>
      <w:r w:rsidRPr="00685539">
        <w:t>ingick tillsammans med ministerkommittén, församlingen och Kommuna</w:t>
      </w:r>
      <w:r w:rsidRPr="00685539">
        <w:t>l</w:t>
      </w:r>
      <w:r w:rsidRPr="00685539">
        <w:t>kongre</w:t>
      </w:r>
      <w:r w:rsidRPr="00685539">
        <w:t>s</w:t>
      </w:r>
      <w:r w:rsidRPr="00685539">
        <w:t xml:space="preserve">sen. Det var också en viktig profilfråga för Sverige att visa att det handlar om en gemensam fråga för alla aktörer. Forumets generalrapportörer representerade det tredimensionella partnerskapet: professor </w:t>
      </w:r>
      <w:r w:rsidRPr="00685539">
        <w:rPr>
          <w:i/>
        </w:rPr>
        <w:t>Dan</w:t>
      </w:r>
      <w:r w:rsidRPr="00685539">
        <w:rPr>
          <w:i/>
        </w:rPr>
        <w:t>i</w:t>
      </w:r>
      <w:r w:rsidRPr="00685539">
        <w:rPr>
          <w:i/>
        </w:rPr>
        <w:t>el Tarschys</w:t>
      </w:r>
      <w:r w:rsidRPr="00685539">
        <w:t xml:space="preserve"> (Sverige), parlamentariker </w:t>
      </w:r>
      <w:r w:rsidRPr="00685539">
        <w:rPr>
          <w:i/>
        </w:rPr>
        <w:t>Andreas Gross</w:t>
      </w:r>
      <w:r w:rsidRPr="00685539">
        <w:t xml:space="preserve"> (Schweiz) och kommunfullmäktige </w:t>
      </w:r>
      <w:r w:rsidRPr="00685539">
        <w:rPr>
          <w:i/>
        </w:rPr>
        <w:t>Keith Whitmore</w:t>
      </w:r>
      <w:r w:rsidRPr="00685539">
        <w:t xml:space="preserve"> (Storbritannien). </w:t>
      </w:r>
    </w:p>
    <w:p w:rsidR="00075C4B" w:rsidRPr="00685539" w:rsidRDefault="00075C4B" w:rsidP="00051DBF">
      <w:pPr>
        <w:pStyle w:val="Normaltindrag"/>
      </w:pPr>
      <w:r w:rsidRPr="00685539">
        <w:t xml:space="preserve">Forumet öppnades i riksdagens plenisal av talman </w:t>
      </w:r>
      <w:r w:rsidRPr="00685539">
        <w:rPr>
          <w:i/>
        </w:rPr>
        <w:t>Per Westerberg</w:t>
      </w:r>
      <w:r w:rsidRPr="00685539">
        <w:t xml:space="preserve">. </w:t>
      </w:r>
      <w:r w:rsidRPr="00685539">
        <w:rPr>
          <w:i/>
        </w:rPr>
        <w:t>Göran Lindblad</w:t>
      </w:r>
      <w:r w:rsidRPr="00685539">
        <w:t xml:space="preserve"> presiderade vid öppnandet. Andra inledningstalare var Serbiens utrikesminister </w:t>
      </w:r>
      <w:r w:rsidRPr="00685539">
        <w:rPr>
          <w:i/>
        </w:rPr>
        <w:t>Vuk Jeremic</w:t>
      </w:r>
      <w:r w:rsidRPr="00685539">
        <w:t xml:space="preserve">, församlingens president </w:t>
      </w:r>
      <w:r w:rsidRPr="00685539">
        <w:rPr>
          <w:i/>
        </w:rPr>
        <w:t>René van der Linden</w:t>
      </w:r>
      <w:r w:rsidRPr="00685539">
        <w:t xml:space="preserve"> och Europarådets generalsekreterare </w:t>
      </w:r>
      <w:r w:rsidRPr="00685539">
        <w:rPr>
          <w:i/>
        </w:rPr>
        <w:t>Terry Davis</w:t>
      </w:r>
      <w:r w:rsidRPr="00685539">
        <w:t xml:space="preserve">. </w:t>
      </w:r>
    </w:p>
    <w:p w:rsidR="00075C4B" w:rsidRPr="00685539" w:rsidRDefault="00075C4B" w:rsidP="00051DBF">
      <w:pPr>
        <w:pStyle w:val="Normaltindrag"/>
      </w:pPr>
      <w:r w:rsidRPr="00685539">
        <w:t>Van der Linden underströk i sitt tal församlingens ledande roll i foru</w:t>
      </w:r>
      <w:r w:rsidRPr="00685539">
        <w:t>m</w:t>
      </w:r>
      <w:r w:rsidRPr="00685539">
        <w:t>verksamheten. Medborgares likgiltighet när det gäller politik är en beky</w:t>
      </w:r>
      <w:r w:rsidRPr="00685539">
        <w:t>m</w:t>
      </w:r>
      <w:r w:rsidRPr="00685539">
        <w:t>mersam trend som måste vä</w:t>
      </w:r>
      <w:r w:rsidR="00051DBF" w:rsidRPr="00685539">
        <w:t xml:space="preserve">ndas. </w:t>
      </w:r>
      <w:r w:rsidRPr="00685539">
        <w:t>Davis berörde sa</w:t>
      </w:r>
      <w:r w:rsidRPr="00685539">
        <w:t>m</w:t>
      </w:r>
      <w:r w:rsidRPr="00685539">
        <w:t>ma tema medan han konstaterade att medborgares förtroende och stöd för politiska partier visar en sjunkande tendens. Han efterlyste resoluta åtgärder för att stärka medborga</w:t>
      </w:r>
      <w:r w:rsidRPr="00685539">
        <w:t>r</w:t>
      </w:r>
      <w:r w:rsidRPr="00685539">
        <w:t>nas delakti</w:t>
      </w:r>
      <w:r w:rsidRPr="00685539">
        <w:t>g</w:t>
      </w:r>
      <w:r w:rsidRPr="00685539">
        <w:t xml:space="preserve">het. </w:t>
      </w:r>
    </w:p>
    <w:p w:rsidR="00075C4B" w:rsidRPr="00685539" w:rsidRDefault="00075C4B" w:rsidP="00302AD5">
      <w:pPr>
        <w:pStyle w:val="Normaltindrag"/>
        <w:rPr>
          <w:i/>
        </w:rPr>
      </w:pPr>
      <w:r w:rsidRPr="00685539">
        <w:t xml:space="preserve">Två parallella seminarier om oppositionens roll genomfördes också i </w:t>
      </w:r>
      <w:r w:rsidR="0063749D" w:rsidRPr="00685539">
        <w:t>Rik</w:t>
      </w:r>
      <w:r w:rsidR="0063749D" w:rsidRPr="00685539">
        <w:t>s</w:t>
      </w:r>
      <w:r w:rsidR="0063749D" w:rsidRPr="00685539">
        <w:t>dagshuset</w:t>
      </w:r>
      <w:r w:rsidRPr="00685539">
        <w:t xml:space="preserve">. </w:t>
      </w:r>
    </w:p>
    <w:p w:rsidR="00075C4B" w:rsidRPr="00685539" w:rsidRDefault="00075C4B" w:rsidP="00302AD5">
      <w:pPr>
        <w:pStyle w:val="Normaltindrag"/>
      </w:pPr>
      <w:r w:rsidRPr="00685539">
        <w:t>De årliga forumsessionerna ska bidra till Europarådets övriga arb</w:t>
      </w:r>
      <w:r w:rsidRPr="00685539">
        <w:t>e</w:t>
      </w:r>
      <w:r w:rsidRPr="00685539">
        <w:t>te. Som en del av förberedelserna inför det tredje forumet ä</w:t>
      </w:r>
      <w:r w:rsidRPr="00685539">
        <w:t>g</w:t>
      </w:r>
      <w:r w:rsidRPr="00685539">
        <w:t>nade församlingen en hel dags debatter vid aprilsessionen åt dem</w:t>
      </w:r>
      <w:r w:rsidRPr="00685539">
        <w:t>o</w:t>
      </w:r>
      <w:r w:rsidRPr="00685539">
        <w:t>krati och MR-frågor (4.2.1 och 4.3.1). Förberedelserna inför nästa forum som äger rum i november 2008 i Madrid utgör en del av uppföl</w:t>
      </w:r>
      <w:r w:rsidRPr="00685539">
        <w:t>j</w:t>
      </w:r>
      <w:r w:rsidRPr="00685539">
        <w:t xml:space="preserve">ningen. </w:t>
      </w:r>
    </w:p>
    <w:p w:rsidR="00075C4B" w:rsidRPr="00685539" w:rsidRDefault="00075C4B" w:rsidP="00302AD5">
      <w:pPr>
        <w:pStyle w:val="Rubrik3"/>
        <w:rPr>
          <w:noProof w:val="0"/>
        </w:rPr>
      </w:pPr>
      <w:bookmarkStart w:id="21" w:name="_Toc192059490"/>
      <w:r w:rsidRPr="00685539">
        <w:rPr>
          <w:noProof w:val="0"/>
        </w:rPr>
        <w:t>2.</w:t>
      </w:r>
      <w:r w:rsidR="007F380F" w:rsidRPr="00685539">
        <w:rPr>
          <w:noProof w:val="0"/>
        </w:rPr>
        <w:t>5</w:t>
      </w:r>
      <w:r w:rsidRPr="00685539">
        <w:rPr>
          <w:noProof w:val="0"/>
        </w:rPr>
        <w:t>.2 Europarådets relationer med andra internationella organisationer</w:t>
      </w:r>
      <w:bookmarkEnd w:id="21"/>
    </w:p>
    <w:p w:rsidR="00075C4B" w:rsidRPr="00685539" w:rsidRDefault="00075C4B" w:rsidP="00302AD5">
      <w:r w:rsidRPr="00685539">
        <w:t>Främjandet av samarbete med andra internationella och europeiska organis</w:t>
      </w:r>
      <w:r w:rsidRPr="00685539">
        <w:t>a</w:t>
      </w:r>
      <w:r w:rsidRPr="00685539">
        <w:t>tioner och institutioner ingår i den handlingsplan som E</w:t>
      </w:r>
      <w:r w:rsidRPr="00685539">
        <w:t>u</w:t>
      </w:r>
      <w:r w:rsidRPr="00685539">
        <w:t>roparådets tredje toppmöte antog år 2005. Toppmötet ansåg att Europarådet är förpliktat att öppna en ny dialog mellan Europa och dess grannregioner – södra Medelh</w:t>
      </w:r>
      <w:r w:rsidRPr="00685539">
        <w:t>a</w:t>
      </w:r>
      <w:r w:rsidRPr="00685539">
        <w:t>vet, Mellanöstern och Centralasien. Europarådet spelar en viktig roll i frä</w:t>
      </w:r>
      <w:r w:rsidRPr="00685539">
        <w:t>m</w:t>
      </w:r>
      <w:r w:rsidRPr="00685539">
        <w:t>jandet av en dialog om globalt beroende och solidaritet och har ett uppdrag att främja europeisk medvetenhet om tvärkulturella och utvecklingsinriktade frågor. Avsikten är att stärka samarbete och samverkan både inom Europar</w:t>
      </w:r>
      <w:r w:rsidRPr="00685539">
        <w:t>å</w:t>
      </w:r>
      <w:r w:rsidRPr="00685539">
        <w:t>det och med andra regionala och internationella instituti</w:t>
      </w:r>
      <w:r w:rsidRPr="00685539">
        <w:t>o</w:t>
      </w:r>
      <w:r w:rsidRPr="00685539">
        <w:t>ner.</w:t>
      </w:r>
    </w:p>
    <w:p w:rsidR="00075C4B" w:rsidRPr="00685539" w:rsidRDefault="00075C4B" w:rsidP="00302AD5">
      <w:pPr>
        <w:pStyle w:val="Normaltindrag"/>
      </w:pPr>
      <w:r w:rsidRPr="00685539">
        <w:t>Dialogen med andra organisationer av betydelse för Europa har fortsatt under 2007. Europarådet samarbetar med både allmänpol</w:t>
      </w:r>
      <w:r w:rsidRPr="00685539">
        <w:t>i</w:t>
      </w:r>
      <w:r w:rsidRPr="00685539">
        <w:t>tiska organisationer och fackorgan. Samarbetet mellan EU, OSSE och Europarådet, deras respe</w:t>
      </w:r>
      <w:r w:rsidRPr="00685539">
        <w:t>k</w:t>
      </w:r>
      <w:r w:rsidRPr="00685539">
        <w:t>tive parlamentariska församlingar samt med FN och dess fackorgan utvärd</w:t>
      </w:r>
      <w:r w:rsidRPr="00685539">
        <w:t>e</w:t>
      </w:r>
      <w:r w:rsidRPr="00685539">
        <w:t>ras vid särskilda debatter i den parlamentariska församlingen och i samband med möten me</w:t>
      </w:r>
      <w:r w:rsidRPr="00685539">
        <w:t>l</w:t>
      </w:r>
      <w:r w:rsidRPr="00685539">
        <w:t xml:space="preserve">lan ledande representanter för dessa institutioner. </w:t>
      </w:r>
    </w:p>
    <w:p w:rsidR="00075C4B" w:rsidRPr="00685539" w:rsidRDefault="007F380F" w:rsidP="00302AD5">
      <w:pPr>
        <w:pStyle w:val="Rubrik3"/>
        <w:rPr>
          <w:noProof w:val="0"/>
        </w:rPr>
      </w:pPr>
      <w:bookmarkStart w:id="22" w:name="_Toc192059491"/>
      <w:r w:rsidRPr="00685539">
        <w:rPr>
          <w:noProof w:val="0"/>
        </w:rPr>
        <w:t>2.5</w:t>
      </w:r>
      <w:r w:rsidR="00075C4B" w:rsidRPr="00685539">
        <w:rPr>
          <w:noProof w:val="0"/>
        </w:rPr>
        <w:t>.2.1 FN</w:t>
      </w:r>
      <w:bookmarkEnd w:id="22"/>
    </w:p>
    <w:p w:rsidR="00075C4B" w:rsidRPr="00685539" w:rsidRDefault="00075C4B" w:rsidP="00302AD5">
      <w:r w:rsidRPr="00685539">
        <w:t>En debatt om relationerna mellan FN och Europarådet har sedan år 2000 årligen inkluderats i FN:s generalförsamlings dagordning. När det gäller att möta globala hot sätter församlingen sin tro till multilaterala lösningar. Fö</w:t>
      </w:r>
      <w:r w:rsidRPr="00685539">
        <w:t>r</w:t>
      </w:r>
      <w:r w:rsidRPr="00685539">
        <w:t>samlingen har uttryckt starkt stöd för reformer av institutionerna inom FN och betonat vikten av att vit</w:t>
      </w:r>
      <w:r w:rsidRPr="00685539">
        <w:t>a</w:t>
      </w:r>
      <w:r w:rsidRPr="00685539">
        <w:t>lisera generalförsamlingens arbete och effektivisera säkerhetsrådets arbetsmetoder. Församlingen har uttryckt en önskan om ett mer utvecklat samarbete med FN och dess organ. Dessutom har den länge förespråkat en ökad parlamentarisk medverkan i FN. Parl</w:t>
      </w:r>
      <w:r w:rsidRPr="00685539">
        <w:t>a</w:t>
      </w:r>
      <w:r w:rsidRPr="00685539">
        <w:t>mentarikerna har en möjlighet att på den nationella nivån påverka sina regeringar i FN-arbetet och sprida kännedom om innebörden av FN-beslut. Ett systematiskt deltaga</w:t>
      </w:r>
      <w:r w:rsidRPr="00685539">
        <w:t>n</w:t>
      </w:r>
      <w:r w:rsidRPr="00685539">
        <w:t>de av parlamentariker skulle minska FN:s demokratiska underskott och kunna medföra andra positiva effekter. En rådgivande parlamentarisk FN-församling bestående av såväl ledamöter från nationella parlament som regionala parl</w:t>
      </w:r>
      <w:r w:rsidRPr="00685539">
        <w:t>a</w:t>
      </w:r>
      <w:r w:rsidRPr="00685539">
        <w:t xml:space="preserve">mentariska församlingar är ett framtida mål. </w:t>
      </w:r>
    </w:p>
    <w:p w:rsidR="00075C4B" w:rsidRPr="00685539" w:rsidRDefault="00075C4B" w:rsidP="00302AD5">
      <w:pPr>
        <w:pStyle w:val="Normaltindrag"/>
      </w:pPr>
      <w:r w:rsidRPr="00685539">
        <w:t xml:space="preserve">Under 2007 började det politiska utskottet utarbeta en rapport om FN-reformen. Inför detta arbete besökte rapportören </w:t>
      </w:r>
      <w:r w:rsidRPr="00685539">
        <w:rPr>
          <w:i/>
        </w:rPr>
        <w:t>Andreas Gross</w:t>
      </w:r>
      <w:r w:rsidRPr="00685539">
        <w:t xml:space="preserve"> (Schweiz) Stockholm. Besöket genomfördes i november 2007 och ärendet kommer upp vid utskottets möte i maj 2008 i Stockholm.</w:t>
      </w:r>
    </w:p>
    <w:p w:rsidR="00075C4B" w:rsidRPr="00685539" w:rsidRDefault="007F380F" w:rsidP="00302AD5">
      <w:pPr>
        <w:pStyle w:val="Rubrik3"/>
        <w:rPr>
          <w:noProof w:val="0"/>
        </w:rPr>
      </w:pPr>
      <w:bookmarkStart w:id="23" w:name="_Toc192059492"/>
      <w:r w:rsidRPr="00685539">
        <w:rPr>
          <w:noProof w:val="0"/>
        </w:rPr>
        <w:t>2.5</w:t>
      </w:r>
      <w:r w:rsidR="00075C4B" w:rsidRPr="00685539">
        <w:rPr>
          <w:noProof w:val="0"/>
        </w:rPr>
        <w:t>.2.2 EU</w:t>
      </w:r>
      <w:bookmarkEnd w:id="23"/>
      <w:r w:rsidR="00075C4B" w:rsidRPr="00685539">
        <w:rPr>
          <w:noProof w:val="0"/>
        </w:rPr>
        <w:t xml:space="preserve">  </w:t>
      </w:r>
    </w:p>
    <w:p w:rsidR="00075C4B" w:rsidRPr="00685539" w:rsidRDefault="00075C4B" w:rsidP="00302AD5">
      <w:r w:rsidRPr="00685539">
        <w:t>Stats- och regeringscheferna vid det tredje toppmötet uppmanade Europ</w:t>
      </w:r>
      <w:r w:rsidRPr="00685539">
        <w:t>a</w:t>
      </w:r>
      <w:r w:rsidRPr="00685539">
        <w:t>rådet att stärka relationerna till EU inom mänskliga rättigheter, pluralistisk dem</w:t>
      </w:r>
      <w:r w:rsidRPr="00685539">
        <w:t>o</w:t>
      </w:r>
      <w:r w:rsidRPr="00685539">
        <w:t>krati och rättsstatlighet samt på de rättsliga, kulturella och sociala omr</w:t>
      </w:r>
      <w:r w:rsidRPr="00685539">
        <w:t>å</w:t>
      </w:r>
      <w:r w:rsidRPr="00685539">
        <w:t xml:space="preserve">dena. </w:t>
      </w:r>
    </w:p>
    <w:p w:rsidR="00075C4B" w:rsidRPr="00685539" w:rsidRDefault="00075C4B" w:rsidP="00302AD5">
      <w:pPr>
        <w:pStyle w:val="Normaltindrag"/>
      </w:pPr>
      <w:r w:rsidRPr="00685539">
        <w:t>Efter Bulgariens och Rumäniens EU-tillträde i januari 2007 har EU 27 medlemsländer och samtliga är medlemmar också i Europar</w:t>
      </w:r>
      <w:r w:rsidRPr="00685539">
        <w:t>å</w:t>
      </w:r>
      <w:r w:rsidRPr="00685539">
        <w:t xml:space="preserve">det. </w:t>
      </w:r>
    </w:p>
    <w:p w:rsidR="00075C4B" w:rsidRPr="00685539" w:rsidRDefault="00075C4B" w:rsidP="00302AD5">
      <w:pPr>
        <w:pStyle w:val="Normaltindrag"/>
        <w:rPr>
          <w:iCs/>
        </w:rPr>
      </w:pPr>
      <w:r w:rsidRPr="00685539">
        <w:t>EU:s utvidgning och behovet av att reformera dess institutioner har inte</w:t>
      </w:r>
      <w:r w:rsidRPr="00685539">
        <w:t>n</w:t>
      </w:r>
      <w:r w:rsidRPr="00685539">
        <w:t>sivt följts av den parlamentariska församlingen, och utvidgningens kons</w:t>
      </w:r>
      <w:r w:rsidRPr="00685539">
        <w:t>e</w:t>
      </w:r>
      <w:r w:rsidRPr="00685539">
        <w:t>kvenser har debatterats från olika perspektiv</w:t>
      </w:r>
      <w:r w:rsidRPr="00685539">
        <w:rPr>
          <w:i/>
        </w:rPr>
        <w:t>.</w:t>
      </w:r>
      <w:r w:rsidRPr="00685539">
        <w:rPr>
          <w:iCs/>
        </w:rPr>
        <w:t xml:space="preserve"> EU:s och Europarådets geme</w:t>
      </w:r>
      <w:r w:rsidRPr="00685539">
        <w:rPr>
          <w:iCs/>
        </w:rPr>
        <w:t>n</w:t>
      </w:r>
      <w:r w:rsidRPr="00685539">
        <w:rPr>
          <w:iCs/>
        </w:rPr>
        <w:t>samma värdegrund är baserad på principer om mänskliga rättigheter, dem</w:t>
      </w:r>
      <w:r w:rsidRPr="00685539">
        <w:rPr>
          <w:iCs/>
        </w:rPr>
        <w:t>o</w:t>
      </w:r>
      <w:r w:rsidRPr="00685539">
        <w:rPr>
          <w:iCs/>
        </w:rPr>
        <w:t>krati och rättsstatlighet. Dock har Europarådet genom sitt breda medlemskap en möjlighet att företr</w:t>
      </w:r>
      <w:r w:rsidRPr="00685539">
        <w:rPr>
          <w:iCs/>
        </w:rPr>
        <w:t>ä</w:t>
      </w:r>
      <w:r w:rsidRPr="00685539">
        <w:rPr>
          <w:iCs/>
        </w:rPr>
        <w:t>da hela Europa på ett sätt som EU inte kan. Särskilt borde Europarådets unika kompetens när det gäller skyddet av de mäns</w:t>
      </w:r>
      <w:r w:rsidRPr="00685539">
        <w:rPr>
          <w:iCs/>
        </w:rPr>
        <w:t>k</w:t>
      </w:r>
      <w:r w:rsidRPr="00685539">
        <w:rPr>
          <w:iCs/>
        </w:rPr>
        <w:t>liga rättigheterna och normskapandet bättre tas till vara. EU varken kan eller bör ta över dessa uppgifter, menar Europarådets parlament</w:t>
      </w:r>
      <w:r w:rsidRPr="00685539">
        <w:rPr>
          <w:iCs/>
        </w:rPr>
        <w:t>a</w:t>
      </w:r>
      <w:r w:rsidRPr="00685539">
        <w:rPr>
          <w:iCs/>
        </w:rPr>
        <w:t>riska församling.</w:t>
      </w:r>
      <w:r w:rsidRPr="00685539">
        <w:rPr>
          <w:iCs/>
          <w:szCs w:val="24"/>
        </w:rPr>
        <w:t xml:space="preserve"> </w:t>
      </w:r>
      <w:r w:rsidRPr="00685539">
        <w:rPr>
          <w:iCs/>
        </w:rPr>
        <w:t>EU:s ekonomiska resurser överskrider vida Eur</w:t>
      </w:r>
      <w:r w:rsidRPr="00685539">
        <w:rPr>
          <w:iCs/>
        </w:rPr>
        <w:t>o</w:t>
      </w:r>
      <w:r w:rsidRPr="00685539">
        <w:rPr>
          <w:iCs/>
        </w:rPr>
        <w:t>parådets, vars starka sidor utgörs av expertis, erfarenhet och sk</w:t>
      </w:r>
      <w:r w:rsidRPr="00685539">
        <w:rPr>
          <w:iCs/>
        </w:rPr>
        <w:t>a</w:t>
      </w:r>
      <w:r w:rsidRPr="00685539">
        <w:rPr>
          <w:iCs/>
        </w:rPr>
        <w:t>pande av internationell rätt.</w:t>
      </w:r>
    </w:p>
    <w:p w:rsidR="00075C4B" w:rsidRPr="00685539" w:rsidRDefault="00075C4B" w:rsidP="00302AD5">
      <w:pPr>
        <w:pStyle w:val="Rubrik4"/>
        <w:rPr>
          <w:noProof w:val="0"/>
        </w:rPr>
      </w:pPr>
      <w:bookmarkStart w:id="24" w:name="_Toc192059493"/>
      <w:r w:rsidRPr="00685539">
        <w:rPr>
          <w:noProof w:val="0"/>
        </w:rPr>
        <w:t>2.</w:t>
      </w:r>
      <w:r w:rsidR="007F380F" w:rsidRPr="00685539">
        <w:rPr>
          <w:noProof w:val="0"/>
        </w:rPr>
        <w:t>5</w:t>
      </w:r>
      <w:r w:rsidRPr="00685539">
        <w:rPr>
          <w:noProof w:val="0"/>
        </w:rPr>
        <w:t>.2.2.1 Samarbetsöverenskommelse mellan Europarådet och EU</w:t>
      </w:r>
      <w:bookmarkEnd w:id="24"/>
    </w:p>
    <w:p w:rsidR="00075C4B" w:rsidRPr="00685539" w:rsidRDefault="00075C4B" w:rsidP="00302AD5">
      <w:r w:rsidRPr="00685539">
        <w:t>För att stärka samarbetet inom mänskliga rättigheter, pluralistisk demokrati och rättsstatlighet, i enlighet med vad som framhållits vid Europarådets toppmöte 2005, har Europarådet och EU enats om ett samförståndsavtal, som undertecknades i maj 2007. I överenskommelsen fastställs de viktigaste sa</w:t>
      </w:r>
      <w:r w:rsidRPr="00685539">
        <w:t>m</w:t>
      </w:r>
      <w:r w:rsidRPr="00685539">
        <w:t>arbetsområdena och de institutionella arrangemangen för avtalets genomf</w:t>
      </w:r>
      <w:r w:rsidRPr="00685539">
        <w:t>ö</w:t>
      </w:r>
      <w:r w:rsidRPr="00685539">
        <w:t xml:space="preserve">rande. </w:t>
      </w:r>
      <w:r w:rsidRPr="00685539">
        <w:rPr>
          <w:iCs/>
        </w:rPr>
        <w:t>I sama</w:t>
      </w:r>
      <w:r w:rsidRPr="00685539">
        <w:rPr>
          <w:iCs/>
        </w:rPr>
        <w:t>r</w:t>
      </w:r>
      <w:r w:rsidRPr="00685539">
        <w:rPr>
          <w:iCs/>
        </w:rPr>
        <w:t>betet mellan EU och Europarådet är det viktigt att undvika dubbe</w:t>
      </w:r>
      <w:r w:rsidRPr="00685539">
        <w:rPr>
          <w:iCs/>
        </w:rPr>
        <w:t>l</w:t>
      </w:r>
      <w:r w:rsidRPr="00685539">
        <w:rPr>
          <w:iCs/>
        </w:rPr>
        <w:t xml:space="preserve">arbete. </w:t>
      </w:r>
      <w:r w:rsidRPr="00685539">
        <w:t xml:space="preserve">Församlingen debatterade utkastet till överenskommelsen vid aprilsessionen och lämnade ett yttrande till ministerkommittén (dok. 11237, 11244, yttrande 262). Avtalsutkastet </w:t>
      </w:r>
      <w:r w:rsidRPr="00685539">
        <w:rPr>
          <w:iCs/>
        </w:rPr>
        <w:t>utgör ett viktigt instrument i fortsatta diskussioner om Europas politiska arkitektur</w:t>
      </w:r>
      <w:r w:rsidRPr="00685539">
        <w:t xml:space="preserve"> och innehåller ett antal föreskri</w:t>
      </w:r>
      <w:r w:rsidRPr="00685539">
        <w:t>f</w:t>
      </w:r>
      <w:r w:rsidR="008D33B8" w:rsidRPr="00685539">
        <w:t xml:space="preserve">ter som syftar till </w:t>
      </w:r>
      <w:r w:rsidRPr="00685539">
        <w:t>att förbättra relationerna mellan EU och Europarådet. Fö</w:t>
      </w:r>
      <w:r w:rsidRPr="00685539">
        <w:t>r</w:t>
      </w:r>
      <w:r w:rsidRPr="00685539">
        <w:t>samlingen uttrycker dock sin besvikelse över att utkastet inte innehåller prec</w:t>
      </w:r>
      <w:r w:rsidRPr="00685539">
        <w:t>i</w:t>
      </w:r>
      <w:r w:rsidRPr="00685539">
        <w:t>sa och konkreta åtaganden för att ytterligare utöka samarbetet. Försa</w:t>
      </w:r>
      <w:r w:rsidRPr="00685539">
        <w:t>m</w:t>
      </w:r>
      <w:r w:rsidRPr="00685539">
        <w:t>lingen anser at</w:t>
      </w:r>
      <w:r w:rsidR="00DE5B02" w:rsidRPr="00685539">
        <w:t>t utkastet inte tar tillräcklig</w:t>
      </w:r>
      <w:r w:rsidRPr="00685539">
        <w:t xml:space="preserve"> hänsyn till den s.k. Junckerrapportens eller församlingens egna förslag. Församlingen konstaterar att ett separat dok</w:t>
      </w:r>
      <w:r w:rsidRPr="00685539">
        <w:t>u</w:t>
      </w:r>
      <w:r w:rsidRPr="00685539">
        <w:t>ment behövs när det gäller samarbetet mellan församlingen och Europaparl</w:t>
      </w:r>
      <w:r w:rsidRPr="00685539">
        <w:t>a</w:t>
      </w:r>
      <w:r w:rsidRPr="00685539">
        <w:t xml:space="preserve">mentet.  </w:t>
      </w:r>
    </w:p>
    <w:p w:rsidR="00075C4B" w:rsidRPr="00685539" w:rsidRDefault="00075C4B" w:rsidP="00302AD5">
      <w:pPr>
        <w:pStyle w:val="Rubrik4"/>
        <w:rPr>
          <w:noProof w:val="0"/>
        </w:rPr>
      </w:pPr>
      <w:bookmarkStart w:id="25" w:name="_Toc192059494"/>
      <w:r w:rsidRPr="00685539">
        <w:rPr>
          <w:noProof w:val="0"/>
        </w:rPr>
        <w:t>2.</w:t>
      </w:r>
      <w:r w:rsidR="007F380F" w:rsidRPr="00685539">
        <w:rPr>
          <w:noProof w:val="0"/>
        </w:rPr>
        <w:t>5</w:t>
      </w:r>
      <w:r w:rsidRPr="00685539">
        <w:rPr>
          <w:noProof w:val="0"/>
        </w:rPr>
        <w:t>.2.2.2 EU:s myndighet för grundläggande rättigheter</w:t>
      </w:r>
      <w:bookmarkEnd w:id="25"/>
    </w:p>
    <w:p w:rsidR="00075C4B" w:rsidRPr="00685539" w:rsidRDefault="00075C4B" w:rsidP="00302AD5">
      <w:r w:rsidRPr="00685539">
        <w:t>Europeiska unionens nya myndighet för grundläggande rättigheter inledde sitt arbete den 1 mars 2007. Den nya myndighetens til</w:t>
      </w:r>
      <w:r w:rsidRPr="00685539">
        <w:t>l</w:t>
      </w:r>
      <w:r w:rsidRPr="00685539">
        <w:t>komst har debatterats av församlingen i olika sammanhang och frågan har väckts om det inte inn</w:t>
      </w:r>
      <w:r w:rsidRPr="00685539">
        <w:t>e</w:t>
      </w:r>
      <w:r w:rsidRPr="00685539">
        <w:t>bär en överlappning eller underminering av Europarådets verksamhet. Försa</w:t>
      </w:r>
      <w:r w:rsidRPr="00685539">
        <w:t>m</w:t>
      </w:r>
      <w:r w:rsidRPr="00685539">
        <w:t>lingen har framhållit att Europarådet under en lång tid förvärvat insikt och erfarenhet om skyddet av de mänskliga rättigheterna. Därtill har ett aktivt granskningssystem utvecklats för att verifiera huruvida dessa normer respe</w:t>
      </w:r>
      <w:r w:rsidRPr="00685539">
        <w:t>k</w:t>
      </w:r>
      <w:r w:rsidRPr="00685539">
        <w:t xml:space="preserve">teras av medlemsstaterna. Församlingen har </w:t>
      </w:r>
      <w:r w:rsidRPr="00685539">
        <w:rPr>
          <w:iCs/>
        </w:rPr>
        <w:t>för att undvika överlappning</w:t>
      </w:r>
      <w:r w:rsidRPr="00685539">
        <w:t xml:space="preserve"> förespråkat att den nya myndighetens mandat borde preciseras och fokusera</w:t>
      </w:r>
      <w:r w:rsidR="00DE5B02" w:rsidRPr="00685539">
        <w:t>s</w:t>
      </w:r>
      <w:r w:rsidRPr="00685539">
        <w:t xml:space="preserve"> på frågor som gäller genomförandet av gemenskapsrätten. Den tänkta budget som myndigheten ska förfoga över motsvarar drygt tre fjärdedelar av Europ</w:t>
      </w:r>
      <w:r w:rsidRPr="00685539">
        <w:t>a</w:t>
      </w:r>
      <w:r w:rsidRPr="00685539">
        <w:t xml:space="preserve">rådets ordinarie budget. Parlamentarikerna rekommenderar att regeringarna i stället borde satsa mera resurser på Europarådet och särskilt på MR-kommissariens verksamhet. </w:t>
      </w:r>
    </w:p>
    <w:p w:rsidR="00075C4B" w:rsidRPr="00685539" w:rsidRDefault="007F380F" w:rsidP="00302AD5">
      <w:pPr>
        <w:pStyle w:val="Rubrik3"/>
        <w:rPr>
          <w:noProof w:val="0"/>
        </w:rPr>
      </w:pPr>
      <w:bookmarkStart w:id="26" w:name="_Toc192059495"/>
      <w:r w:rsidRPr="00685539">
        <w:rPr>
          <w:noProof w:val="0"/>
        </w:rPr>
        <w:t>2.5</w:t>
      </w:r>
      <w:r w:rsidR="00075C4B" w:rsidRPr="00685539">
        <w:rPr>
          <w:noProof w:val="0"/>
        </w:rPr>
        <w:t>.3 Balkan</w:t>
      </w:r>
      <w:bookmarkEnd w:id="26"/>
    </w:p>
    <w:p w:rsidR="00075C4B" w:rsidRPr="00685539" w:rsidRDefault="007F380F" w:rsidP="00302AD5">
      <w:pPr>
        <w:pStyle w:val="Rubrik3"/>
        <w:spacing w:before="235"/>
        <w:rPr>
          <w:noProof w:val="0"/>
        </w:rPr>
      </w:pPr>
      <w:bookmarkStart w:id="27" w:name="_Toc192059496"/>
      <w:r w:rsidRPr="00685539">
        <w:rPr>
          <w:noProof w:val="0"/>
        </w:rPr>
        <w:t>2.5</w:t>
      </w:r>
      <w:r w:rsidR="00075C4B" w:rsidRPr="00685539">
        <w:rPr>
          <w:noProof w:val="0"/>
        </w:rPr>
        <w:t>.3.1 Montenegro 47:e medlemsstaten</w:t>
      </w:r>
      <w:bookmarkEnd w:id="27"/>
    </w:p>
    <w:p w:rsidR="00075C4B" w:rsidRPr="00685539" w:rsidRDefault="00075C4B" w:rsidP="00302AD5">
      <w:r w:rsidRPr="00685539">
        <w:t>Vid aprilsessionen tillstyrkte församlingen Montenegros ansökan om me</w:t>
      </w:r>
      <w:r w:rsidRPr="00685539">
        <w:t>d</w:t>
      </w:r>
      <w:r w:rsidR="00302AD5" w:rsidRPr="00685539">
        <w:t>lemskap i Europarådet</w:t>
      </w:r>
      <w:r w:rsidRPr="00685539">
        <w:t xml:space="preserve"> (dok. 11204, 11205, 11207, yttra</w:t>
      </w:r>
      <w:r w:rsidRPr="00685539">
        <w:t>n</w:t>
      </w:r>
      <w:r w:rsidRPr="00685539">
        <w:t>de 261). I samband med republiken Montenegros självständighet 2006 ansökte landet om me</w:t>
      </w:r>
      <w:r w:rsidRPr="00685539">
        <w:t>d</w:t>
      </w:r>
      <w:r w:rsidRPr="00685539">
        <w:t>lemskap i Europarådet. Genomförda och planerade reformer av lagstiftningen vittnar om politisk vilja och dynamik, sade församlingen i sitt yttrande. Arb</w:t>
      </w:r>
      <w:r w:rsidRPr="00685539">
        <w:t>e</w:t>
      </w:r>
      <w:r w:rsidRPr="00685539">
        <w:t xml:space="preserve">tet med den nya konstitutionen är ett tydligt exempel på detta och bedrivs i överensstämmelse med Europarådets värderingar. På grundval av det arbete som redan utförts och utfästelser om fortsatta reformer rekommenderade församlingen att ministerkommittén erbjuder republiken Montenegro att bli den 47:e medlemmen i Europarådet. </w:t>
      </w:r>
    </w:p>
    <w:p w:rsidR="00075C4B" w:rsidRPr="00685539" w:rsidRDefault="007F380F" w:rsidP="00302AD5">
      <w:pPr>
        <w:pStyle w:val="Rubrik3"/>
        <w:rPr>
          <w:noProof w:val="0"/>
        </w:rPr>
      </w:pPr>
      <w:bookmarkStart w:id="28" w:name="_Toc192059497"/>
      <w:r w:rsidRPr="00685539">
        <w:rPr>
          <w:noProof w:val="0"/>
        </w:rPr>
        <w:t>2.5</w:t>
      </w:r>
      <w:r w:rsidR="00075C4B" w:rsidRPr="00685539">
        <w:rPr>
          <w:noProof w:val="0"/>
        </w:rPr>
        <w:t>.3.2 Kosovo</w:t>
      </w:r>
      <w:bookmarkEnd w:id="28"/>
    </w:p>
    <w:p w:rsidR="00075C4B" w:rsidRPr="00685539" w:rsidRDefault="00075C4B" w:rsidP="00302AD5">
      <w:r w:rsidRPr="00685539">
        <w:t>Samtliga länder på Balkan ingår nu i Europarådet.  Vid uppbyg</w:t>
      </w:r>
      <w:r w:rsidRPr="00685539">
        <w:t>g</w:t>
      </w:r>
      <w:r w:rsidRPr="00685539">
        <w:t>naden av demokratiska institutioner på Balkan, vilka är avgörande för både den politi</w:t>
      </w:r>
      <w:r w:rsidRPr="00685539">
        <w:t>s</w:t>
      </w:r>
      <w:r w:rsidRPr="00685539">
        <w:t>ka och den ekonomiska återuppbyggnaden, har församlingen velat ge Europ</w:t>
      </w:r>
      <w:r w:rsidRPr="00685539">
        <w:t>a</w:t>
      </w:r>
      <w:r w:rsidRPr="00685539">
        <w:t>rådet en framskjuten roll. Samtidigt sätter länderna på Balkan nu sitt hopp till att på sikt kunna ansluta sig till EU. Kosovos oreglerade status hämmar inte bara provinsens ekonomiska utveckling, utan förhalar också Serbiens integr</w:t>
      </w:r>
      <w:r w:rsidRPr="00685539">
        <w:t>a</w:t>
      </w:r>
      <w:r w:rsidRPr="00685539">
        <w:t xml:space="preserve">tion med europeiska strukturer och påverkar andra länder på västra Balkan. </w:t>
      </w:r>
    </w:p>
    <w:p w:rsidR="00075C4B" w:rsidRPr="00685539" w:rsidRDefault="00075C4B" w:rsidP="00302AD5">
      <w:pPr>
        <w:pStyle w:val="Normaltindrag"/>
      </w:pPr>
      <w:r w:rsidRPr="00685539">
        <w:t>Församlingens engagemang i Kosovofrågan motiveras av att K</w:t>
      </w:r>
      <w:r w:rsidRPr="00685539">
        <w:t>o</w:t>
      </w:r>
      <w:r w:rsidRPr="00685539">
        <w:t>sovo angår hela det internationella samfundet. Vikten av en lösning på den nuvarande situationen i Kosovo har understrukits av parlamentarikerna. När församlin</w:t>
      </w:r>
      <w:r w:rsidRPr="00685539">
        <w:t>g</w:t>
      </w:r>
      <w:r w:rsidRPr="00685539">
        <w:t>en i januari debatterade situationen i Kosovo medverkade FN:s generalsekr</w:t>
      </w:r>
      <w:r w:rsidRPr="00685539">
        <w:t>e</w:t>
      </w:r>
      <w:r w:rsidRPr="00685539">
        <w:t xml:space="preserve">terares särskilda sändebud </w:t>
      </w:r>
      <w:r w:rsidRPr="00685539">
        <w:rPr>
          <w:i/>
        </w:rPr>
        <w:t>Martti Ahtisaari</w:t>
      </w:r>
      <w:r w:rsidRPr="00685539">
        <w:t>. Tidpunkten för debatten var kort innan han skulle lägga fram sitt förslag om Kosovos framtida status inför FN. Ahtisaari nämnde Europarådets expertis inom mänskliga rättigheter och rätt</w:t>
      </w:r>
      <w:r w:rsidR="00DE5B02" w:rsidRPr="00685539">
        <w:t>s</w:t>
      </w:r>
      <w:r w:rsidRPr="00685539">
        <w:t>statens principer som särskilt värdefulla för Kosovos demokratiska utvec</w:t>
      </w:r>
      <w:r w:rsidRPr="00685539">
        <w:t>k</w:t>
      </w:r>
      <w:r w:rsidRPr="00685539">
        <w:t>ling. Även efter en överenskommelse om Kosovos nationella status skulle en stark närvaro av det internationella samfundet vara nödvändig och god inte</w:t>
      </w:r>
      <w:r w:rsidRPr="00685539">
        <w:t>r</w:t>
      </w:r>
      <w:r w:rsidRPr="00685539">
        <w:t xml:space="preserve">nationell samordning krävas. </w:t>
      </w:r>
    </w:p>
    <w:p w:rsidR="00075C4B" w:rsidRPr="00685539" w:rsidRDefault="00075C4B" w:rsidP="008D642F">
      <w:pPr>
        <w:pStyle w:val="Normaltindrag"/>
      </w:pPr>
      <w:r w:rsidRPr="00685539">
        <w:t>För att bistå länderna på Balkan att uppnå ekonomisk utveckling, ömses</w:t>
      </w:r>
      <w:r w:rsidRPr="00685539">
        <w:t>i</w:t>
      </w:r>
      <w:r w:rsidRPr="00685539">
        <w:t>digt samarbete och integration i europeiska samarbetsstrukturer har Europar</w:t>
      </w:r>
      <w:r w:rsidRPr="00685539">
        <w:t>å</w:t>
      </w:r>
      <w:r w:rsidRPr="00685539">
        <w:t>dets och OSSE:s församlingar samt Europaparlamentet hållit en serie parl</w:t>
      </w:r>
      <w:r w:rsidRPr="00685539">
        <w:t>a</w:t>
      </w:r>
      <w:r w:rsidRPr="00685539">
        <w:t>mentariska konferenser om stabilitet</w:t>
      </w:r>
      <w:r w:rsidRPr="00685539">
        <w:t>s</w:t>
      </w:r>
      <w:r w:rsidRPr="00685539">
        <w:t>pakten för sydöstra Europa. Då syftet med stabilitetspakten anses uppfyllt upphörde projektet i och med årsskiftet 2007/08. Ett sekr</w:t>
      </w:r>
      <w:r w:rsidRPr="00685539">
        <w:t>e</w:t>
      </w:r>
      <w:r w:rsidRPr="00685539">
        <w:t>tariat upprättas i Bulgarien. Vid OSSE:s parlamentariska försa</w:t>
      </w:r>
      <w:r w:rsidRPr="00685539">
        <w:t>m</w:t>
      </w:r>
      <w:r w:rsidRPr="00685539">
        <w:t xml:space="preserve">lings höstmöten i Portoroz i september redogjorde </w:t>
      </w:r>
      <w:r w:rsidRPr="00685539">
        <w:rPr>
          <w:i/>
        </w:rPr>
        <w:t>Anna Lilliehöök</w:t>
      </w:r>
      <w:r w:rsidRPr="00685539">
        <w:t xml:space="preserve"> för Europarådets parlamentariska församlings arbetete i projektet. </w:t>
      </w:r>
    </w:p>
    <w:p w:rsidR="00075C4B" w:rsidRPr="00685539" w:rsidRDefault="007F380F" w:rsidP="008D642F">
      <w:pPr>
        <w:pStyle w:val="Rubrik3"/>
        <w:rPr>
          <w:noProof w:val="0"/>
        </w:rPr>
      </w:pPr>
      <w:bookmarkStart w:id="29" w:name="_Toc192059498"/>
      <w:r w:rsidRPr="00685539">
        <w:rPr>
          <w:noProof w:val="0"/>
        </w:rPr>
        <w:t>2.5</w:t>
      </w:r>
      <w:r w:rsidR="00075C4B" w:rsidRPr="00685539">
        <w:rPr>
          <w:noProof w:val="0"/>
        </w:rPr>
        <w:t>.4 Kampen mot terrorismen</w:t>
      </w:r>
      <w:bookmarkEnd w:id="29"/>
    </w:p>
    <w:p w:rsidR="00075C4B" w:rsidRPr="00685539" w:rsidRDefault="00075C4B" w:rsidP="008D642F">
      <w:r w:rsidRPr="00685539">
        <w:t xml:space="preserve">Kampen mot den internationella terrorismen har varit ett återkommande tema i församlingen redan före terrorattacken mot USA den 11 september 2001. </w:t>
      </w:r>
      <w:r w:rsidR="008D642F" w:rsidRPr="00685539">
        <w:t xml:space="preserve">Terrordåd </w:t>
      </w:r>
      <w:r w:rsidRPr="00685539">
        <w:t>upplevs som ett direkt hot mot den öppna demokratiska samhäll</w:t>
      </w:r>
      <w:r w:rsidRPr="00685539">
        <w:t>s</w:t>
      </w:r>
      <w:r w:rsidRPr="00685539">
        <w:t>modellen och de grundläggande värden som Europarådet slår vakt om. Fö</w:t>
      </w:r>
      <w:r w:rsidRPr="00685539">
        <w:t>r</w:t>
      </w:r>
      <w:r w:rsidRPr="00685539">
        <w:t>samlingen har fördömt terrorism som ett hot mot internationell fred och s</w:t>
      </w:r>
      <w:r w:rsidRPr="00685539">
        <w:t>ä</w:t>
      </w:r>
      <w:r w:rsidRPr="00685539">
        <w:t>kerhet. En följd av den internationella kampen mot terrorism har blivit att många länder i snabb takt genomdrivit skärpta lagar. Det finns risk för otil</w:t>
      </w:r>
      <w:r w:rsidRPr="00685539">
        <w:t>l</w:t>
      </w:r>
      <w:r w:rsidRPr="00685539">
        <w:t>räckligt underbyggda beslut när ärenden forceras fram. Rättsstatens pri</w:t>
      </w:r>
      <w:r w:rsidRPr="00685539">
        <w:t>n</w:t>
      </w:r>
      <w:r w:rsidRPr="00685539">
        <w:t>ciper får inte underordnas strävan att effektivare kunna bekä</w:t>
      </w:r>
      <w:r w:rsidRPr="00685539">
        <w:t>m</w:t>
      </w:r>
      <w:r w:rsidRPr="00685539">
        <w:t>pa hoten från den internationella terrorismen. Församlingen har uttalat att det vid antaga</w:t>
      </w:r>
      <w:r w:rsidRPr="00685539">
        <w:t>n</w:t>
      </w:r>
      <w:r w:rsidRPr="00685539">
        <w:t>det av antiterroristlagar i medlemsländerna gäller att försvara fundamentala mäns</w:t>
      </w:r>
      <w:r w:rsidRPr="00685539">
        <w:t>k</w:t>
      </w:r>
      <w:r w:rsidRPr="00685539">
        <w:t xml:space="preserve">liga rättigheter och att undvika att underminera dem. </w:t>
      </w:r>
    </w:p>
    <w:p w:rsidR="00075C4B" w:rsidRPr="00685539" w:rsidRDefault="00075C4B" w:rsidP="008D642F">
      <w:pPr>
        <w:pStyle w:val="Normaltindrag"/>
      </w:pPr>
      <w:r w:rsidRPr="00685539">
        <w:t xml:space="preserve"> Europarådet har antagit flera konventioner som syftar till att bekämpa te</w:t>
      </w:r>
      <w:r w:rsidRPr="00685539">
        <w:t>r</w:t>
      </w:r>
      <w:r w:rsidRPr="00685539">
        <w:t>rorism, t.ex. den europeiska konventionen om bekä</w:t>
      </w:r>
      <w:r w:rsidRPr="00685539">
        <w:t>m</w:t>
      </w:r>
      <w:r w:rsidRPr="00685539">
        <w:t>pande av terrorism (CETS 90), den europeiska utlämningskonve</w:t>
      </w:r>
      <w:r w:rsidRPr="00685539">
        <w:t>n</w:t>
      </w:r>
      <w:r w:rsidR="008D642F" w:rsidRPr="00685539">
        <w:t xml:space="preserve">tionen (CETS </w:t>
      </w:r>
      <w:r w:rsidRPr="00685539">
        <w:t xml:space="preserve">24) och den europeiska konventionen mot IT-relaterad brottslighet (CETS 185). </w:t>
      </w:r>
    </w:p>
    <w:p w:rsidR="00075C4B" w:rsidRPr="00685539" w:rsidRDefault="00075C4B" w:rsidP="008D642F">
      <w:pPr>
        <w:pStyle w:val="Normaltindrag"/>
      </w:pPr>
      <w:r w:rsidRPr="00685539">
        <w:t>Två konventioner i syfte att intensifiera kampen mot terrorism: den eur</w:t>
      </w:r>
      <w:r w:rsidRPr="00685539">
        <w:t>o</w:t>
      </w:r>
      <w:r w:rsidRPr="00685539">
        <w:t>pei</w:t>
      </w:r>
      <w:r w:rsidRPr="00685539">
        <w:t>s</w:t>
      </w:r>
      <w:r w:rsidRPr="00685539">
        <w:t>ka konventionen om förebyggande av terrorism (CETS 196) och den europeiska konventionen om penningtvätt och fina</w:t>
      </w:r>
      <w:r w:rsidRPr="00685539">
        <w:t>n</w:t>
      </w:r>
      <w:r w:rsidRPr="00685539">
        <w:t>siering av terrorism (CETS 198), öppnades för underskrift vid det tredje toppmötet. Den först nämnda konve</w:t>
      </w:r>
      <w:r w:rsidRPr="00685539">
        <w:t>n</w:t>
      </w:r>
      <w:r w:rsidRPr="00685539">
        <w:t xml:space="preserve">tionen trädde i kraft den 1 juni 2007 och den sist nämnda kommer att träda i kraft i maj 2008. </w:t>
      </w:r>
    </w:p>
    <w:p w:rsidR="00075C4B" w:rsidRPr="00685539" w:rsidRDefault="007F380F" w:rsidP="008D642F">
      <w:pPr>
        <w:pStyle w:val="Rubrik3"/>
        <w:rPr>
          <w:noProof w:val="0"/>
        </w:rPr>
      </w:pPr>
      <w:bookmarkStart w:id="30" w:name="_Toc192059499"/>
      <w:r w:rsidRPr="00685539">
        <w:rPr>
          <w:noProof w:val="0"/>
        </w:rPr>
        <w:t>2.5</w:t>
      </w:r>
      <w:r w:rsidR="00075C4B" w:rsidRPr="00685539">
        <w:rPr>
          <w:noProof w:val="0"/>
        </w:rPr>
        <w:t>.5 Globalisering</w:t>
      </w:r>
      <w:bookmarkEnd w:id="30"/>
    </w:p>
    <w:p w:rsidR="00075C4B" w:rsidRPr="00685539" w:rsidRDefault="00075C4B" w:rsidP="008D642F">
      <w:r w:rsidRPr="00685539">
        <w:t>Även om Europarådet är en regional organisation söker den parlamentari</w:t>
      </w:r>
      <w:r w:rsidRPr="00685539">
        <w:t>s</w:t>
      </w:r>
      <w:r w:rsidRPr="00685539">
        <w:t>ka församlingen bevaka den politiska och ekonomiska utvecklingen i hela vär</w:t>
      </w:r>
      <w:r w:rsidRPr="00685539">
        <w:t>l</w:t>
      </w:r>
      <w:r w:rsidRPr="00685539">
        <w:t>den. Med sin värdegrund har Europarådet goda förutsättningar att delta i en debatt om globaliseringens olika dimensioner.</w:t>
      </w:r>
    </w:p>
    <w:p w:rsidR="00075C4B" w:rsidRPr="00685539" w:rsidRDefault="00075C4B" w:rsidP="008D642F">
      <w:pPr>
        <w:pStyle w:val="Normaltindrag"/>
        <w:rPr>
          <w:i/>
        </w:rPr>
      </w:pPr>
      <w:r w:rsidRPr="00685539">
        <w:t>Europarådets roll bör vara att söka föra den internationella dial</w:t>
      </w:r>
      <w:r w:rsidRPr="00685539">
        <w:t>o</w:t>
      </w:r>
      <w:r w:rsidRPr="00685539">
        <w:t>gen framåt och förvandla konfrontation till dialog. Under 2007 uppmärksammade fö</w:t>
      </w:r>
      <w:r w:rsidRPr="00685539">
        <w:t>r</w:t>
      </w:r>
      <w:r w:rsidRPr="00685539">
        <w:t xml:space="preserve">samlingen bl.a. den humanitära situationen i Darfur. </w:t>
      </w:r>
    </w:p>
    <w:p w:rsidR="00075C4B" w:rsidRPr="00685539" w:rsidRDefault="007F380F" w:rsidP="008D642F">
      <w:pPr>
        <w:pStyle w:val="Rubrik2"/>
      </w:pPr>
      <w:bookmarkStart w:id="31" w:name="_Toc192059500"/>
      <w:r w:rsidRPr="00685539">
        <w:t>2.6</w:t>
      </w:r>
      <w:r w:rsidR="00075C4B" w:rsidRPr="00685539">
        <w:t xml:space="preserve"> Mänskliga rättigheter</w:t>
      </w:r>
      <w:bookmarkEnd w:id="31"/>
    </w:p>
    <w:p w:rsidR="00075C4B" w:rsidRPr="00685539" w:rsidRDefault="00075C4B" w:rsidP="008D642F">
      <w:r w:rsidRPr="00685539">
        <w:t>Europarådets bärande idé är att respekt för de mänskliga rättigheterna sk</w:t>
      </w:r>
      <w:r w:rsidRPr="00685539">
        <w:t>a</w:t>
      </w:r>
      <w:r w:rsidRPr="00685539">
        <w:t>par en fast grund för fred och säkerhet. Europarådets ko</w:t>
      </w:r>
      <w:r w:rsidRPr="00685539">
        <w:t>n</w:t>
      </w:r>
      <w:r w:rsidRPr="00685539">
        <w:t>vention om skydd för de mänskliga rättigheterna och de grundläggande friheterna (CETS 5) unde</w:t>
      </w:r>
      <w:r w:rsidRPr="00685539">
        <w:t>r</w:t>
      </w:r>
      <w:r w:rsidRPr="00685539">
        <w:t>tecknades 1950. Efterlevnaden av konventionen övervakas av Europadomst</w:t>
      </w:r>
      <w:r w:rsidRPr="00685539">
        <w:t>o</w:t>
      </w:r>
      <w:r w:rsidRPr="00685539">
        <w:t>len i Strasbourg. E</w:t>
      </w:r>
      <w:r w:rsidRPr="00685539">
        <w:t>u</w:t>
      </w:r>
      <w:r w:rsidRPr="00685539">
        <w:t>ropadomstolen är sammansatt av 47 domare, en från varje land som tillträtt Europakonventionen. Europadomstolens domare väljs på sex år av den parlamentariska församlingen. Regeringarna har nom</w:t>
      </w:r>
      <w:r w:rsidRPr="00685539">
        <w:t>i</w:t>
      </w:r>
      <w:r w:rsidRPr="00685539">
        <w:t xml:space="preserve">neringsrätt. </w:t>
      </w:r>
    </w:p>
    <w:p w:rsidR="00075C4B" w:rsidRPr="00685539" w:rsidRDefault="00075C4B" w:rsidP="008D642F">
      <w:pPr>
        <w:pStyle w:val="Normaltindrag"/>
      </w:pPr>
      <w:r w:rsidRPr="00685539">
        <w:t>Ett nytt protokoll nr 14 till Europakonventionen (CETS 194), som öppn</w:t>
      </w:r>
      <w:r w:rsidRPr="00685539">
        <w:t>a</w:t>
      </w:r>
      <w:r w:rsidRPr="00685539">
        <w:t>des för underskrift år 2004 men ännu inte trätt i kraft, utarb</w:t>
      </w:r>
      <w:r w:rsidRPr="00685539">
        <w:t>e</w:t>
      </w:r>
      <w:r w:rsidRPr="00685539">
        <w:t>tades för att se över konventionen så att domstolen ska kunna klara av sin växande arbet</w:t>
      </w:r>
      <w:r w:rsidRPr="00685539">
        <w:t>s</w:t>
      </w:r>
      <w:r w:rsidRPr="00685539">
        <w:t>börda. Det är fortfarande osäkert när prot</w:t>
      </w:r>
      <w:r w:rsidRPr="00685539">
        <w:t>o</w:t>
      </w:r>
      <w:r w:rsidRPr="00685539">
        <w:t>koll nr 14 träder i kraft eftersom Ryssland inte ratificerat det. En av reformerna skulle innebära att domarna väljs för nio år utan mö</w:t>
      </w:r>
      <w:r w:rsidRPr="00685539">
        <w:t>j</w:t>
      </w:r>
      <w:r w:rsidRPr="00685539">
        <w:t>lighet till omval.</w:t>
      </w:r>
      <w:r w:rsidR="008D33B8" w:rsidRPr="00685539">
        <w:t xml:space="preserve"> Vid årsskiftet 2007/08 hade 46 </w:t>
      </w:r>
      <w:r w:rsidRPr="00685539">
        <w:t>medlemsstater ratificerat protokollet. Församlingen har upprepade gånger uttryckt sin besv</w:t>
      </w:r>
      <w:r w:rsidRPr="00685539">
        <w:t>i</w:t>
      </w:r>
      <w:r w:rsidRPr="00685539">
        <w:t xml:space="preserve">kelse över att den ryska statsduman inte tagit beslut om ratifikation. </w:t>
      </w:r>
    </w:p>
    <w:p w:rsidR="00075C4B" w:rsidRPr="00685539" w:rsidRDefault="00075C4B" w:rsidP="008D642F">
      <w:pPr>
        <w:pStyle w:val="Normaltindrag"/>
      </w:pPr>
      <w:r w:rsidRPr="00685539">
        <w:t>Församlingens riktlinjer vid val av nya domare till Europadomst</w:t>
      </w:r>
      <w:r w:rsidRPr="00685539">
        <w:t>o</w:t>
      </w:r>
      <w:r w:rsidRPr="00685539">
        <w:t>len anger att nomineringsförfarandet i medlemsstaterna bör vara öppet och att både män och kvinnor ska finnas representerade bland de tre kandidaterna. Kandidate</w:t>
      </w:r>
      <w:r w:rsidRPr="00685539">
        <w:t>r</w:t>
      </w:r>
      <w:r w:rsidRPr="00685539">
        <w:t>na ska ha erfarenhet av MR-sektorn. Vid oktobersessionen genomförde fö</w:t>
      </w:r>
      <w:r w:rsidRPr="00685539">
        <w:t>r</w:t>
      </w:r>
      <w:r w:rsidRPr="00685539">
        <w:t>samlingen val av domare från tolv medlemsländer.</w:t>
      </w:r>
    </w:p>
    <w:p w:rsidR="00075C4B" w:rsidRPr="00685539" w:rsidRDefault="00075C4B" w:rsidP="008D642F">
      <w:pPr>
        <w:pStyle w:val="Normaltindrag"/>
      </w:pPr>
      <w:r w:rsidRPr="00685539">
        <w:t>Som en följd av Europarådets utvidgning har antalet domstolsäre</w:t>
      </w:r>
      <w:r w:rsidRPr="00685539">
        <w:t>n</w:t>
      </w:r>
      <w:r w:rsidRPr="00685539">
        <w:t>den ökat kraftigt. Upprepade varningar har framförts i församlingen om att Europ</w:t>
      </w:r>
      <w:r w:rsidRPr="00685539">
        <w:t>a</w:t>
      </w:r>
      <w:r w:rsidRPr="00685539">
        <w:t>domstolen riskerar att förlora sin trovärdighet om eftersläpningen i ärendeb</w:t>
      </w:r>
      <w:r w:rsidRPr="00685539">
        <w:t>e</w:t>
      </w:r>
      <w:r w:rsidRPr="00685539">
        <w:t>handlingen fortsätter. Det är medlemsländernas gemensamma ansvar att g</w:t>
      </w:r>
      <w:r w:rsidRPr="00685539">
        <w:t>a</w:t>
      </w:r>
      <w:r w:rsidRPr="00685539">
        <w:t xml:space="preserve">rantera att domstolen även fortsatt kan arbeta effektivt. </w:t>
      </w:r>
    </w:p>
    <w:p w:rsidR="00075C4B" w:rsidRPr="00685539" w:rsidRDefault="007F380F" w:rsidP="008D642F">
      <w:pPr>
        <w:pStyle w:val="Rubrik3"/>
        <w:rPr>
          <w:noProof w:val="0"/>
        </w:rPr>
      </w:pPr>
      <w:bookmarkStart w:id="32" w:name="_Toc192059501"/>
      <w:r w:rsidRPr="00685539">
        <w:rPr>
          <w:noProof w:val="0"/>
        </w:rPr>
        <w:t>2.6</w:t>
      </w:r>
      <w:r w:rsidR="00075C4B" w:rsidRPr="00685539">
        <w:rPr>
          <w:noProof w:val="0"/>
        </w:rPr>
        <w:t>.1 Avskaffandet av dödsstraffet</w:t>
      </w:r>
      <w:bookmarkEnd w:id="32"/>
    </w:p>
    <w:p w:rsidR="00075C4B" w:rsidRPr="00685539" w:rsidRDefault="00075C4B" w:rsidP="008D642F">
      <w:r w:rsidRPr="00685539">
        <w:t>Kampen för att avskaffa dödsstraffet gör långsamt men stadigt framsteg vär</w:t>
      </w:r>
      <w:r w:rsidRPr="00685539">
        <w:t>l</w:t>
      </w:r>
      <w:r w:rsidRPr="00685539">
        <w:t>den över. Rätten till liv är en mänsklig rättighet och respekt för liv tillhör Europarådets grundläggande värderingar. Därför ställer Europarådet kateg</w:t>
      </w:r>
      <w:r w:rsidRPr="00685539">
        <w:t>o</w:t>
      </w:r>
      <w:r w:rsidRPr="00685539">
        <w:t>riska krav på dödsstraffets avskaffande och har som mål att avskaffa död</w:t>
      </w:r>
      <w:r w:rsidRPr="00685539">
        <w:t>s</w:t>
      </w:r>
      <w:r w:rsidRPr="00685539">
        <w:t>straffet inte bara i Europa utan i hela världen. Förekomsten av dödsstraff i några o</w:t>
      </w:r>
      <w:r w:rsidRPr="00685539">
        <w:t>b</w:t>
      </w:r>
      <w:r w:rsidRPr="00685539">
        <w:t>servatörsländer har ständigt varit föremål för intensiv bevakning i församlingen. Församlingen har kontinuerligt kritiserat tilläm</w:t>
      </w:r>
      <w:r w:rsidRPr="00685539">
        <w:t>p</w:t>
      </w:r>
      <w:r w:rsidRPr="00685539">
        <w:t xml:space="preserve">ningen av dödsstraff i USA och Japan, båda observatörsländer i Europarådet. </w:t>
      </w:r>
    </w:p>
    <w:p w:rsidR="00075C4B" w:rsidRPr="00685539" w:rsidRDefault="00075C4B" w:rsidP="008D642F">
      <w:pPr>
        <w:pStyle w:val="Normaltindrag"/>
      </w:pPr>
      <w:r w:rsidRPr="00685539">
        <w:t>Vid årsskiftet 2007/08 hade 46 av rådets 47 medlemsstater ratificerat tillägg</w:t>
      </w:r>
      <w:r w:rsidRPr="00685539">
        <w:t>s</w:t>
      </w:r>
      <w:r w:rsidRPr="00685539">
        <w:t xml:space="preserve">protokoll nr 6 till Europakonventionen </w:t>
      </w:r>
      <w:r w:rsidR="008D642F" w:rsidRPr="00685539">
        <w:t xml:space="preserve">som förbjuder dödsstraff (CETS </w:t>
      </w:r>
      <w:r w:rsidRPr="00685539">
        <w:t xml:space="preserve">114). Det är enbart Ryssland som inte gjort det. Ett moratorium gäller dock. </w:t>
      </w:r>
    </w:p>
    <w:p w:rsidR="00075C4B" w:rsidRPr="00685539" w:rsidRDefault="00075C4B" w:rsidP="008D642F">
      <w:pPr>
        <w:pStyle w:val="Normaltindrag"/>
      </w:pPr>
      <w:r w:rsidRPr="00685539">
        <w:t>Genom ett tilläggsprotokoll till Europakonventionen (CETS 187) har död</w:t>
      </w:r>
      <w:r w:rsidRPr="00685539">
        <w:t>s</w:t>
      </w:r>
      <w:r w:rsidRPr="00685539">
        <w:t>straffet förbjudits även i krigstid och när det råder fara för krig. Tilläggspr</w:t>
      </w:r>
      <w:r w:rsidRPr="00685539">
        <w:t>o</w:t>
      </w:r>
      <w:r w:rsidRPr="00685539">
        <w:t>tokoll nr 13 kompletterar det förbud mot död</w:t>
      </w:r>
      <w:r w:rsidRPr="00685539">
        <w:t>s</w:t>
      </w:r>
      <w:r w:rsidRPr="00685539">
        <w:t xml:space="preserve">straff i fredstid som funnits sedan 1985. </w:t>
      </w:r>
    </w:p>
    <w:p w:rsidR="00075C4B" w:rsidRPr="00685539" w:rsidRDefault="00075C4B" w:rsidP="008D642F">
      <w:pPr>
        <w:pStyle w:val="Normaltindrag"/>
      </w:pPr>
      <w:r w:rsidRPr="00685539">
        <w:t>Europarådet har bidragit till att Europa är en zon där dödsstraffet avska</w:t>
      </w:r>
      <w:r w:rsidRPr="00685539">
        <w:t>f</w:t>
      </w:r>
      <w:r w:rsidRPr="00685539">
        <w:t>fats, med undantag för Vitryssland som står utanför Europ</w:t>
      </w:r>
      <w:r w:rsidRPr="00685539">
        <w:t>a</w:t>
      </w:r>
      <w:r w:rsidRPr="00685539">
        <w:t>rådet och är det sista landet i Europa som fortfarande verkställer dödsstraff.</w:t>
      </w:r>
    </w:p>
    <w:p w:rsidR="00075C4B" w:rsidRPr="00685539" w:rsidRDefault="00075C4B" w:rsidP="008D642F">
      <w:pPr>
        <w:pStyle w:val="Normaltindrag"/>
        <w:rPr>
          <w:iCs/>
        </w:rPr>
      </w:pPr>
      <w:r w:rsidRPr="00685539">
        <w:t>Ett beslut om en</w:t>
      </w:r>
      <w:r w:rsidRPr="00685539">
        <w:rPr>
          <w:iCs/>
        </w:rPr>
        <w:t xml:space="preserve"> europeisk dag mot dödsstraffet fattades av Europarådet under 2007. Vid en debatt om </w:t>
      </w:r>
      <w:r w:rsidRPr="00685539">
        <w:rPr>
          <w:i/>
          <w:iCs/>
        </w:rPr>
        <w:t>ett internationellt morator</w:t>
      </w:r>
      <w:r w:rsidRPr="00685539">
        <w:rPr>
          <w:i/>
          <w:iCs/>
        </w:rPr>
        <w:t>i</w:t>
      </w:r>
      <w:r w:rsidRPr="00685539">
        <w:rPr>
          <w:i/>
          <w:iCs/>
        </w:rPr>
        <w:t>um för dödsstraff</w:t>
      </w:r>
      <w:r w:rsidRPr="00685539">
        <w:rPr>
          <w:iCs/>
        </w:rPr>
        <w:t xml:space="preserve"> (dok. 11303, 11321, res. 1560) gav församlingen sitt fulla stöd för detta initi</w:t>
      </w:r>
      <w:r w:rsidRPr="00685539">
        <w:rPr>
          <w:iCs/>
        </w:rPr>
        <w:t>a</w:t>
      </w:r>
      <w:r w:rsidRPr="00685539">
        <w:rPr>
          <w:iCs/>
        </w:rPr>
        <w:t>tiv. Från och med 2008 kommer även EU att följa Europarådets exempel och uppmärksamma den 10 oktober för att protestera mot tillämpningen av dö</w:t>
      </w:r>
      <w:r w:rsidRPr="00685539">
        <w:rPr>
          <w:iCs/>
        </w:rPr>
        <w:t>d</w:t>
      </w:r>
      <w:r w:rsidRPr="00685539">
        <w:rPr>
          <w:iCs/>
        </w:rPr>
        <w:t xml:space="preserve">straff i världen. </w:t>
      </w:r>
    </w:p>
    <w:p w:rsidR="00075C4B" w:rsidRPr="00685539" w:rsidRDefault="007F380F" w:rsidP="008D642F">
      <w:pPr>
        <w:pStyle w:val="Rubrik3"/>
        <w:rPr>
          <w:noProof w:val="0"/>
        </w:rPr>
      </w:pPr>
      <w:bookmarkStart w:id="33" w:name="_Toc192059502"/>
      <w:r w:rsidRPr="00685539">
        <w:rPr>
          <w:noProof w:val="0"/>
        </w:rPr>
        <w:t>2.6</w:t>
      </w:r>
      <w:r w:rsidR="00075C4B" w:rsidRPr="00685539">
        <w:rPr>
          <w:noProof w:val="0"/>
        </w:rPr>
        <w:t>.2 Uppföljning av verkställighet av Europadomstolens beslut</w:t>
      </w:r>
      <w:bookmarkEnd w:id="33"/>
    </w:p>
    <w:p w:rsidR="00075C4B" w:rsidRPr="00685539" w:rsidRDefault="00075C4B" w:rsidP="008D642F">
      <w:r w:rsidRPr="00685539">
        <w:t>De till Europakonventionen anslutna staterna förbinder sig att erkänna do</w:t>
      </w:r>
      <w:r w:rsidRPr="00685539">
        <w:t>m</w:t>
      </w:r>
      <w:r w:rsidRPr="00685539">
        <w:t>stolens obligatoriska jurisdiktion. Att verkställa Eur</w:t>
      </w:r>
      <w:r w:rsidRPr="00685539">
        <w:t>o</w:t>
      </w:r>
      <w:r w:rsidRPr="00685539">
        <w:t>padomstolens domar är av stor betydelse och utgör en väsentlig del i den europeiska mekanismen för att skydda de mänskliga rättigheterna. Det faktum att flera av Europadomst</w:t>
      </w:r>
      <w:r w:rsidRPr="00685539">
        <w:t>o</w:t>
      </w:r>
      <w:r w:rsidRPr="00685539">
        <w:t>lens domar flera år efter avgörandet inte blivit verkställda riskerar att unde</w:t>
      </w:r>
      <w:r w:rsidRPr="00685539">
        <w:t>r</w:t>
      </w:r>
      <w:r w:rsidRPr="00685539">
        <w:t>minera det system som byggts upp under Europakonventionen. För att ta itu med problemet har församlingen föreslagit att ministerkommittén bör inta en striktare hållning mot de medlemsländer som brister i verkställighet av d</w:t>
      </w:r>
      <w:r w:rsidRPr="00685539">
        <w:t>o</w:t>
      </w:r>
      <w:r w:rsidRPr="00685539">
        <w:t>mar. Ministerkommittén har en viktig roll för att övervaka domarnas verkstä</w:t>
      </w:r>
      <w:r w:rsidRPr="00685539">
        <w:t>l</w:t>
      </w:r>
      <w:r w:rsidRPr="00685539">
        <w:t>lande. Församlingen har vidare rekommenderat bl.a. att europeisk domstol</w:t>
      </w:r>
      <w:r w:rsidRPr="00685539">
        <w:t>s</w:t>
      </w:r>
      <w:r w:rsidRPr="00685539">
        <w:t>praxis införlivas i den nationella lagstiftningen och att myndigheterna i me</w:t>
      </w:r>
      <w:r w:rsidRPr="00685539">
        <w:t>d</w:t>
      </w:r>
      <w:r w:rsidRPr="00685539">
        <w:t xml:space="preserve">lemsländerna effektiviserar verkställigheten av domar. </w:t>
      </w:r>
    </w:p>
    <w:p w:rsidR="00075C4B" w:rsidRPr="00685539" w:rsidRDefault="00075C4B" w:rsidP="008D642F">
      <w:pPr>
        <w:pStyle w:val="Normaltindrag"/>
      </w:pPr>
      <w:r w:rsidRPr="00685539">
        <w:t>Församlingen har åtagit sig att regelbundet följa domarnas ver</w:t>
      </w:r>
      <w:r w:rsidRPr="00685539">
        <w:t>k</w:t>
      </w:r>
      <w:r w:rsidRPr="00685539">
        <w:t>ställighet. Således är verkställigheten av domarna från Europadomstolen en återko</w:t>
      </w:r>
      <w:r w:rsidRPr="00685539">
        <w:t>m</w:t>
      </w:r>
      <w:r w:rsidRPr="00685539">
        <w:t xml:space="preserve">mande punkt på dagordningen för det juridiska utskottet och församlingen. </w:t>
      </w:r>
    </w:p>
    <w:p w:rsidR="00075C4B" w:rsidRPr="00685539" w:rsidRDefault="00075C4B" w:rsidP="008D642F">
      <w:pPr>
        <w:pStyle w:val="Normaltindrag"/>
      </w:pPr>
      <w:r w:rsidRPr="00685539">
        <w:t xml:space="preserve">Vid oktobersessionen debatterade församlingen en rapport om </w:t>
      </w:r>
      <w:r w:rsidRPr="00685539">
        <w:rPr>
          <w:i/>
        </w:rPr>
        <w:t>medlemsst</w:t>
      </w:r>
      <w:r w:rsidRPr="00685539">
        <w:rPr>
          <w:i/>
        </w:rPr>
        <w:t>a</w:t>
      </w:r>
      <w:r w:rsidRPr="00685539">
        <w:rPr>
          <w:i/>
        </w:rPr>
        <w:t>ternas</w:t>
      </w:r>
      <w:r w:rsidRPr="00685539">
        <w:t xml:space="preserve"> </w:t>
      </w:r>
      <w:r w:rsidRPr="00685539">
        <w:rPr>
          <w:i/>
        </w:rPr>
        <w:t>skyldighet att samarbeta med Europadomstolen</w:t>
      </w:r>
      <w:r w:rsidRPr="00685539">
        <w:t xml:space="preserve"> (dok. 11183, rek. 1809, res. 1571). Församlingen uttrycker sin tillfredsställelse över att sama</w:t>
      </w:r>
      <w:r w:rsidRPr="00685539">
        <w:t>r</w:t>
      </w:r>
      <w:r w:rsidRPr="00685539">
        <w:t>betet generellt mellan medlemsst</w:t>
      </w:r>
      <w:r w:rsidRPr="00685539">
        <w:t>a</w:t>
      </w:r>
      <w:r w:rsidRPr="00685539">
        <w:t>terna och domstolen fungerar väl. Det vållar dock stort bekymmer</w:t>
      </w:r>
      <w:r w:rsidRPr="00685539">
        <w:rPr>
          <w:i/>
        </w:rPr>
        <w:t xml:space="preserve"> </w:t>
      </w:r>
      <w:r w:rsidRPr="00685539">
        <w:t>att fall av misstänkta mord, försvinn</w:t>
      </w:r>
      <w:r w:rsidR="008D33B8" w:rsidRPr="00685539">
        <w:t xml:space="preserve">anden, misshandel och hotelser </w:t>
      </w:r>
      <w:r w:rsidRPr="00685539">
        <w:t>inte har utretts när offret är målsägande i ärenden som anmälts till Europadomstolen. Olagliga påtryckningar förekommer inte bara mot brottsoffer utan också mot försvarsadvokater och frivilligorg</w:t>
      </w:r>
      <w:r w:rsidRPr="00685539">
        <w:t>a</w:t>
      </w:r>
      <w:r w:rsidRPr="00685539">
        <w:t>nisationer som assisterar i ärendehanteringen. Sådana hotelser hindrar våldsoffer att lämna in anmälan till domstolen.  Strukturella brister i den rättsliga organisationen och processen förekommer i vissa länder och orsakar ett stort antal upprepade kränkningar av rättigheter som garanteras av Europakonventionen. Det eur</w:t>
      </w:r>
      <w:r w:rsidRPr="00685539">
        <w:t>o</w:t>
      </w:r>
      <w:r w:rsidRPr="00685539">
        <w:t>peiska konventionssystemets effektivitet sätts ur spel när medlemslände</w:t>
      </w:r>
      <w:r w:rsidRPr="00685539">
        <w:t>r</w:t>
      </w:r>
      <w:r w:rsidRPr="00685539">
        <w:t>na inte respekterar Europadomstolens beslut. Församlingen efterl</w:t>
      </w:r>
      <w:r w:rsidRPr="00685539">
        <w:t>y</w:t>
      </w:r>
      <w:r w:rsidRPr="00685539">
        <w:t>ser inhemska mekanismer för snabb verkställighet av domarna och uppmanar de nationella parlamenten att övervaka verkställigheten av Europadomstolens domar. Vid</w:t>
      </w:r>
      <w:r w:rsidRPr="00685539">
        <w:t>a</w:t>
      </w:r>
      <w:r w:rsidRPr="00685539">
        <w:t>re inbjuder församlingen MR-kommissarien att följa upp medlemsstaternas skyldighet att sama</w:t>
      </w:r>
      <w:r w:rsidRPr="00685539">
        <w:t>r</w:t>
      </w:r>
      <w:r w:rsidRPr="00685539">
        <w:t xml:space="preserve">beta med domstolen. </w:t>
      </w:r>
    </w:p>
    <w:p w:rsidR="00075C4B" w:rsidRPr="00685539" w:rsidRDefault="007F380F" w:rsidP="008D642F">
      <w:pPr>
        <w:pStyle w:val="Rubrik3"/>
        <w:rPr>
          <w:noProof w:val="0"/>
        </w:rPr>
      </w:pPr>
      <w:bookmarkStart w:id="34" w:name="_Toc192059503"/>
      <w:r w:rsidRPr="00685539">
        <w:rPr>
          <w:noProof w:val="0"/>
        </w:rPr>
        <w:t>2.6</w:t>
      </w:r>
      <w:r w:rsidR="00075C4B" w:rsidRPr="00685539">
        <w:rPr>
          <w:noProof w:val="0"/>
        </w:rPr>
        <w:t>.3 Mekanismer för att skydda de mänskliga rättigheterna</w:t>
      </w:r>
      <w:bookmarkEnd w:id="34"/>
    </w:p>
    <w:p w:rsidR="00075C4B" w:rsidRPr="00685539" w:rsidRDefault="00075C4B" w:rsidP="008D642F">
      <w:r w:rsidRPr="00685539">
        <w:rPr>
          <w:i/>
        </w:rPr>
        <w:t>MR-kommissariens verksamhet</w:t>
      </w:r>
      <w:r w:rsidRPr="00685539">
        <w:t xml:space="preserve"> debatterades av församlingen vid oktoberse</w:t>
      </w:r>
      <w:r w:rsidRPr="00685539">
        <w:t>s</w:t>
      </w:r>
      <w:r w:rsidRPr="00685539">
        <w:t>sionen (dok. 11376, rek. 1816, res. 1581). Församlin</w:t>
      </w:r>
      <w:r w:rsidRPr="00685539">
        <w:t>g</w:t>
      </w:r>
      <w:r w:rsidRPr="00685539">
        <w:t>ens stöd till MR-kommissarien är entydigt. Institutionens raska och stadiga framsteg sedan dess inrättande år 1999 får beröm. Hösten 2005 valde församlingen ambass</w:t>
      </w:r>
      <w:r w:rsidRPr="00685539">
        <w:t>a</w:t>
      </w:r>
      <w:r w:rsidRPr="00685539">
        <w:t xml:space="preserve">dör </w:t>
      </w:r>
      <w:r w:rsidRPr="00685539">
        <w:rPr>
          <w:i/>
        </w:rPr>
        <w:t xml:space="preserve">Thomas Hammarberg </w:t>
      </w:r>
      <w:r w:rsidRPr="00685539">
        <w:t>(Sv</w:t>
      </w:r>
      <w:r w:rsidRPr="00685539">
        <w:t>e</w:t>
      </w:r>
      <w:r w:rsidRPr="00685539">
        <w:t>rige) till Europarådets kommissarie för de mänskliga rättigheterna. Han tillträdde posten i april 2006. MR-kommissariens oberoende är en styrka och en förutsättning för genomförandet av kommiss</w:t>
      </w:r>
      <w:r w:rsidRPr="00685539">
        <w:t>a</w:t>
      </w:r>
      <w:r w:rsidRPr="00685539">
        <w:t>riens uppdrag. Samarbete med institutioner utanför Europarådet är viktigt i arbetet. Särskilt relationer med EU, UNHCHR, FN:s flyktin</w:t>
      </w:r>
      <w:r w:rsidRPr="00685539">
        <w:t>g</w:t>
      </w:r>
      <w:r w:rsidRPr="00685539">
        <w:t>kommissarie och OSSE lyfts fram. Församlingen avser att framöver oftare hänvisa till MR-kommissariens rekommendationer och efterlyser de natione</w:t>
      </w:r>
      <w:r w:rsidRPr="00685539">
        <w:t>l</w:t>
      </w:r>
      <w:r w:rsidRPr="00685539">
        <w:t>la parlamentens stöd för denna verksa</w:t>
      </w:r>
      <w:r w:rsidRPr="00685539">
        <w:t>m</w:t>
      </w:r>
      <w:r w:rsidRPr="00685539">
        <w:t>het.</w:t>
      </w:r>
    </w:p>
    <w:p w:rsidR="00075C4B" w:rsidRPr="00685539" w:rsidRDefault="00075C4B" w:rsidP="008D642F">
      <w:pPr>
        <w:pStyle w:val="Normaltindrag"/>
      </w:pPr>
      <w:r w:rsidRPr="00685539">
        <w:t xml:space="preserve">Den europeiska konventionen om </w:t>
      </w:r>
      <w:r w:rsidRPr="00685539">
        <w:rPr>
          <w:i/>
        </w:rPr>
        <w:t>förhindrande av tortyr och annan omäns</w:t>
      </w:r>
      <w:r w:rsidRPr="00685539">
        <w:rPr>
          <w:i/>
        </w:rPr>
        <w:t>k</w:t>
      </w:r>
      <w:r w:rsidRPr="00685539">
        <w:rPr>
          <w:i/>
        </w:rPr>
        <w:t>lig och förnedrande behandling eller bestraffning</w:t>
      </w:r>
      <w:r w:rsidRPr="00685539">
        <w:t xml:space="preserve"> (CETS 126) antogs av ministerkommittén i juni 1987 och trädde i kraft den 1 februari 1989. Konventionen har ratificerats av samtliga medlemsstater. Europeiska kommi</w:t>
      </w:r>
      <w:r w:rsidRPr="00685539">
        <w:t>t</w:t>
      </w:r>
      <w:r w:rsidRPr="00685539">
        <w:t>tén för förhindrande av tortyr och omänsklig eller förnedrande behandling, CPT, som upprättats enligt konventionen för att undersöka behandlingen av frihetsberövade, inledde sin verksamhet 1990. Kommittén består av en repr</w:t>
      </w:r>
      <w:r w:rsidRPr="00685539">
        <w:t>e</w:t>
      </w:r>
      <w:r w:rsidRPr="00685539">
        <w:t>sentant från varje medlemsland. De nationella delegationerna n</w:t>
      </w:r>
      <w:r w:rsidRPr="00685539">
        <w:t>o</w:t>
      </w:r>
      <w:r w:rsidRPr="00685539">
        <w:t xml:space="preserve">minerar kandidaterna och valet sker i ministerkommittén. Sedan 2003 är jur.kand. </w:t>
      </w:r>
      <w:r w:rsidRPr="00685539">
        <w:rPr>
          <w:i/>
        </w:rPr>
        <w:t>Ann-Marie Orler</w:t>
      </w:r>
      <w:r w:rsidRPr="00685539">
        <w:t xml:space="preserve"> den svenska representanten i CPT. Mandatperioden sträcker sig till den 20 december 2009.</w:t>
      </w:r>
    </w:p>
    <w:p w:rsidR="00075C4B" w:rsidRPr="00685539" w:rsidRDefault="00075C4B" w:rsidP="008D642F">
      <w:pPr>
        <w:pStyle w:val="Normaltindrag"/>
      </w:pPr>
      <w:r w:rsidRPr="00685539">
        <w:t>Vid det ständiga utskottets möte i mars antogs en resolution om hur man kan förbättra proceduren att utse medlemmar i antitortyrko</w:t>
      </w:r>
      <w:r w:rsidRPr="00685539">
        <w:t>m</w:t>
      </w:r>
      <w:r w:rsidRPr="00685539">
        <w:t>mittén (dok. 11182, res. 1540). Kommitténs auktoritet beror på medlemmarnas moraliska ansee</w:t>
      </w:r>
      <w:r w:rsidRPr="00685539">
        <w:t>n</w:t>
      </w:r>
      <w:r w:rsidRPr="00685539">
        <w:t>de, professionella kvalifikationer och personliga delaktighet, fastslår parl</w:t>
      </w:r>
      <w:r w:rsidRPr="00685539">
        <w:t>a</w:t>
      </w:r>
      <w:r w:rsidRPr="00685539">
        <w:t>mentarikerna. Utan att göra ändringar i konventionen föreslås större öppenhet i de nati</w:t>
      </w:r>
      <w:r w:rsidRPr="00685539">
        <w:t>o</w:t>
      </w:r>
      <w:r w:rsidRPr="00685539">
        <w:t xml:space="preserve">nella nomineringsprocedurerna. </w:t>
      </w:r>
    </w:p>
    <w:p w:rsidR="00075C4B" w:rsidRPr="00685539" w:rsidRDefault="007F380F" w:rsidP="008D642F">
      <w:pPr>
        <w:pStyle w:val="Rubrik3"/>
        <w:rPr>
          <w:noProof w:val="0"/>
        </w:rPr>
      </w:pPr>
      <w:bookmarkStart w:id="35" w:name="_Toc192059504"/>
      <w:r w:rsidRPr="00685539">
        <w:rPr>
          <w:noProof w:val="0"/>
        </w:rPr>
        <w:t>2.6</w:t>
      </w:r>
      <w:r w:rsidR="00075C4B" w:rsidRPr="00685539">
        <w:rPr>
          <w:noProof w:val="0"/>
        </w:rPr>
        <w:t>.4 Europapris för främjandet av mänskliga rättigheter</w:t>
      </w:r>
      <w:bookmarkEnd w:id="35"/>
    </w:p>
    <w:p w:rsidR="00075C4B" w:rsidRPr="00685539" w:rsidRDefault="00075C4B" w:rsidP="008D642F">
      <w:r w:rsidRPr="00685539">
        <w:t>I den vid aprilsessionen antagna resolutionen 1547 (se rapportens 4.2.1) ingår ett initiativ att dela ut ett årligt pris till representanter för det civila samhället eller frivilligorganisationer som gjort bet</w:t>
      </w:r>
      <w:r w:rsidRPr="00685539">
        <w:t>y</w:t>
      </w:r>
      <w:r w:rsidRPr="00685539">
        <w:t>dande insatser för att främja de mänskliga rättigheterna. Byrån har utarbetat regler för prisutde</w:t>
      </w:r>
      <w:r w:rsidRPr="00685539">
        <w:t>l</w:t>
      </w:r>
      <w:r w:rsidRPr="00685539">
        <w:t>ningen. Målet är att nomineringar till de första pristagarna ska ske under 2008.</w:t>
      </w:r>
    </w:p>
    <w:p w:rsidR="00075C4B" w:rsidRPr="00685539" w:rsidRDefault="007F380F" w:rsidP="008D642F">
      <w:pPr>
        <w:pStyle w:val="Rubrik3"/>
        <w:rPr>
          <w:noProof w:val="0"/>
        </w:rPr>
      </w:pPr>
      <w:bookmarkStart w:id="36" w:name="_Toc192059505"/>
      <w:r w:rsidRPr="00685539">
        <w:rPr>
          <w:noProof w:val="0"/>
        </w:rPr>
        <w:t>2.6</w:t>
      </w:r>
      <w:r w:rsidR="00075C4B" w:rsidRPr="00685539">
        <w:rPr>
          <w:noProof w:val="0"/>
        </w:rPr>
        <w:t>.5 Jämställdhet mellan kvinnor och män</w:t>
      </w:r>
      <w:bookmarkEnd w:id="36"/>
    </w:p>
    <w:p w:rsidR="00075C4B" w:rsidRPr="00685539" w:rsidRDefault="00075C4B" w:rsidP="008D642F">
      <w:r w:rsidRPr="00685539">
        <w:t>Europarådets verksamhet för att utveckla jämställdhet mellan kvinnor och män är ett väsentligt led i organisationens arbete att främja en pluralistisk demokrati förankrad i rättsstatens principer och respekt för de mänskliga rättigheterna. Utskottet för frågor om jämställdhet mellan kvinnor och män har nu varit verksamt i tio år. Utskottets uppdrag är att föreslå åtgärder och bevaka att medlem</w:t>
      </w:r>
      <w:r w:rsidRPr="00685539">
        <w:t>s</w:t>
      </w:r>
      <w:r w:rsidRPr="00685539">
        <w:t>staterna lever upp till sina åtaganden på detta område. Det skall främja jämställdhet bl.a. genom att anordna seminarier, konfere</w:t>
      </w:r>
      <w:r w:rsidRPr="00685539">
        <w:t>n</w:t>
      </w:r>
      <w:r w:rsidRPr="00685539">
        <w:t>ser och utfrågningar. I församlingen är den kvinnliga represent</w:t>
      </w:r>
      <w:r w:rsidRPr="00685539">
        <w:t>a</w:t>
      </w:r>
      <w:r w:rsidRPr="00685539">
        <w:t>tionen (knappa 25</w:t>
      </w:r>
      <w:r w:rsidR="008D642F" w:rsidRPr="00685539">
        <w:t> </w:t>
      </w:r>
      <w:r w:rsidRPr="00685539">
        <w:t>%) inte tillfredsställande.</w:t>
      </w:r>
    </w:p>
    <w:p w:rsidR="00075C4B" w:rsidRPr="00685539" w:rsidRDefault="00075C4B" w:rsidP="008D642F">
      <w:pPr>
        <w:pStyle w:val="Normaltindrag"/>
      </w:pPr>
      <w:r w:rsidRPr="00685539">
        <w:t>Församlingen har under de senaste åren antagit en lång rad rekommend</w:t>
      </w:r>
      <w:r w:rsidRPr="00685539">
        <w:t>a</w:t>
      </w:r>
      <w:r w:rsidRPr="00685539">
        <w:t>tioner som gäller kvinnoförtryck och diskriminering. Under 2007 debatter</w:t>
      </w:r>
      <w:r w:rsidRPr="00685539">
        <w:t>a</w:t>
      </w:r>
      <w:r w:rsidRPr="00685539">
        <w:t>des bl.a. principen om jämställdhet i civilrätten, synen på kvinnor i reklam, feminiseringen av fattigdom, situationen för kvinnor i Sydkaukasus och jä</w:t>
      </w:r>
      <w:r w:rsidRPr="00685539">
        <w:t>m</w:t>
      </w:r>
      <w:r w:rsidRPr="00685539">
        <w:t>ställdheten i den parl</w:t>
      </w:r>
      <w:r w:rsidRPr="00685539">
        <w:t>a</w:t>
      </w:r>
      <w:r w:rsidRPr="00685539">
        <w:t>mentariska församlingen.</w:t>
      </w:r>
    </w:p>
    <w:p w:rsidR="00075C4B" w:rsidRPr="00685539" w:rsidRDefault="00075C4B" w:rsidP="008D642F">
      <w:pPr>
        <w:pStyle w:val="Normaltindrag"/>
      </w:pPr>
      <w:r w:rsidRPr="00685539">
        <w:t xml:space="preserve">Det ständiga utskottet stödde vid sitt möte i november utskottets förslag om ett </w:t>
      </w:r>
      <w:r w:rsidRPr="00685539">
        <w:rPr>
          <w:i/>
        </w:rPr>
        <w:t>jämställdhetspris</w:t>
      </w:r>
      <w:r w:rsidRPr="00685539">
        <w:t xml:space="preserve"> (dok. 11436, res. 1593). De pol</w:t>
      </w:r>
      <w:r w:rsidRPr="00685539">
        <w:t>i</w:t>
      </w:r>
      <w:r w:rsidRPr="00685539">
        <w:t xml:space="preserve">tiska partierna har en nyckelroll när det gäller att främja kvinnors deltagande i politik, garantera kvinnors tillgång till ansvarsfulla poster och möjlighet att bli valda. </w:t>
      </w:r>
    </w:p>
    <w:p w:rsidR="00075C4B" w:rsidRPr="00685539" w:rsidRDefault="00075C4B" w:rsidP="008D642F">
      <w:pPr>
        <w:pStyle w:val="Normaltindrag"/>
      </w:pPr>
      <w:r w:rsidRPr="00685539">
        <w:t>Församlingen har sedan 1997 efterlyst en europeisk konvention för att b</w:t>
      </w:r>
      <w:r w:rsidRPr="00685539">
        <w:t>e</w:t>
      </w:r>
      <w:r w:rsidRPr="00685539">
        <w:t>kämpa människohandeln, ett mål som nu nåtts. En ny konvention mot männ</w:t>
      </w:r>
      <w:r w:rsidRPr="00685539">
        <w:t>i</w:t>
      </w:r>
      <w:r w:rsidRPr="00685539">
        <w:t>skohandel utarbetades under 2004–2005 och öppnades för underskrift vid det tredje toppmötet (CETS 197). Konventionen är avsedd att komplettera FN-protokollet i samma ämne genom att stärka skyddet för offren för människ</w:t>
      </w:r>
      <w:r w:rsidRPr="00685539">
        <w:t>o</w:t>
      </w:r>
      <w:r w:rsidRPr="00685539">
        <w:t>handel och genom att etablera en effektiv övervakningsmekanism. Vid år</w:t>
      </w:r>
      <w:r w:rsidRPr="00685539">
        <w:t>s</w:t>
      </w:r>
      <w:r w:rsidRPr="00685539">
        <w:t xml:space="preserve">skiftet 2007/08 hade tio stater ratificerat konventionen, en förutsättning för konventionens ikraftträdadande den 1 februari 2008. </w:t>
      </w:r>
    </w:p>
    <w:p w:rsidR="00075C4B" w:rsidRPr="00685539" w:rsidRDefault="007F380F" w:rsidP="00063924">
      <w:pPr>
        <w:pStyle w:val="Rubrik3"/>
        <w:rPr>
          <w:noProof w:val="0"/>
        </w:rPr>
      </w:pPr>
      <w:bookmarkStart w:id="37" w:name="_Toc192059506"/>
      <w:r w:rsidRPr="00685539">
        <w:rPr>
          <w:noProof w:val="0"/>
        </w:rPr>
        <w:t>2.6</w:t>
      </w:r>
      <w:r w:rsidR="00075C4B" w:rsidRPr="00685539">
        <w:rPr>
          <w:noProof w:val="0"/>
        </w:rPr>
        <w:t>.6 Europarådets kampanj mot våld mot kvinnor i nära relationer</w:t>
      </w:r>
      <w:bookmarkEnd w:id="37"/>
    </w:p>
    <w:p w:rsidR="00075C4B" w:rsidRPr="00685539" w:rsidRDefault="00075C4B" w:rsidP="00063924">
      <w:r w:rsidRPr="00685539">
        <w:t>Den parlamentariska församlingen har beslutat att ge sitt fulla stöd till det tredje toppmötets beslut om en paneuropeisk kampanj mot våld mot kvinnor i nära relationer. Församlingens riktlinjer för kampanjen på parlamentarisk nivå ingår i resolution 1512. Europ</w:t>
      </w:r>
      <w:r w:rsidRPr="00685539">
        <w:t>a</w:t>
      </w:r>
      <w:r w:rsidRPr="00685539">
        <w:t>rådet har sedan 1985 beaktat våld mot kvinnor som en särskild del av arbetet med FN:s konvention om mänskliga rättigheter. Våldet mot kvinnor är ett samhällsproblem utan nationella gränser och måste motverkas på europeisk och internationell nivå. Våld mot kvinnor är ett allvarligt brott mot de mänskliga rättigheterna och strider mot grun</w:t>
      </w:r>
      <w:r w:rsidRPr="00685539">
        <w:t>d</w:t>
      </w:r>
      <w:r w:rsidRPr="00685539">
        <w:t>läggande demokratiska värden. Parlamentarikerna har betonat nödvändigh</w:t>
      </w:r>
      <w:r w:rsidRPr="00685539">
        <w:t>e</w:t>
      </w:r>
      <w:r w:rsidRPr="00685539">
        <w:t xml:space="preserve">ten att se till att internationella normer och åtaganden genomförs fullt ut när det gäller våld mot kvinnor. </w:t>
      </w:r>
    </w:p>
    <w:p w:rsidR="00075C4B" w:rsidRPr="00685539" w:rsidRDefault="00075C4B" w:rsidP="00063924">
      <w:pPr>
        <w:pStyle w:val="Normaltindrag"/>
      </w:pPr>
      <w:r w:rsidRPr="00685539">
        <w:t>Europarådets kampanj mot våld mot kvinnor i nära relationer inleddes u</w:t>
      </w:r>
      <w:r w:rsidRPr="00685539">
        <w:t>n</w:t>
      </w:r>
      <w:r w:rsidRPr="00685539">
        <w:t>der hösten 2006 och avslutas på våren 2008. Den svenska Europarådsdeleg</w:t>
      </w:r>
      <w:r w:rsidRPr="00685539">
        <w:t>a</w:t>
      </w:r>
      <w:r w:rsidRPr="00685539">
        <w:t xml:space="preserve">tionen utsåg hösten 2006 </w:t>
      </w:r>
      <w:r w:rsidRPr="00685539">
        <w:rPr>
          <w:i/>
        </w:rPr>
        <w:t>Carina Hägg</w:t>
      </w:r>
      <w:r w:rsidRPr="00685539">
        <w:t xml:space="preserve"> till ka</w:t>
      </w:r>
      <w:r w:rsidRPr="00685539">
        <w:t>m</w:t>
      </w:r>
      <w:r w:rsidRPr="00685539">
        <w:t>panjansvarig i riksdagen. Som stöd har hon en arbetsgrupp av tjänstemän. Under 2007 har i riksdagen g</w:t>
      </w:r>
      <w:r w:rsidRPr="00685539">
        <w:t>e</w:t>
      </w:r>
      <w:r w:rsidRPr="00685539">
        <w:t>nomförts ett flertal s</w:t>
      </w:r>
      <w:r w:rsidRPr="00685539">
        <w:t>e</w:t>
      </w:r>
      <w:r w:rsidRPr="00685539">
        <w:t>minarier som har handlat om olika aspekter av våld mot kvinnor</w:t>
      </w:r>
      <w:r w:rsidR="00242F67" w:rsidRPr="00685539">
        <w:t>,</w:t>
      </w:r>
      <w:r w:rsidRPr="00685539">
        <w:t xml:space="preserve"> bl.a. insatser riktade till våldsutövande män, kostnader för mäns våld, våld mot äldre och hedersrelaterat våld. Ett regionalt möte mellan de nordiska och baltiska kampanjansvariga parlamentarikerna ägde rum i He</w:t>
      </w:r>
      <w:r w:rsidRPr="00685539">
        <w:t>l</w:t>
      </w:r>
      <w:r w:rsidRPr="00685539">
        <w:t xml:space="preserve">singfors den 10 oktober med särskilt fokus på problem i Finland.   </w:t>
      </w:r>
    </w:p>
    <w:p w:rsidR="00075C4B" w:rsidRPr="00685539" w:rsidRDefault="007F380F" w:rsidP="00063924">
      <w:pPr>
        <w:pStyle w:val="Rubrik2"/>
      </w:pPr>
      <w:bookmarkStart w:id="38" w:name="_Toc192059507"/>
      <w:r w:rsidRPr="00685539">
        <w:t>2.7</w:t>
      </w:r>
      <w:r w:rsidR="00075C4B" w:rsidRPr="00685539">
        <w:t xml:space="preserve"> Ekonomiska, kulturella och sociala frågor m.m.</w:t>
      </w:r>
      <w:bookmarkEnd w:id="38"/>
    </w:p>
    <w:p w:rsidR="00075C4B" w:rsidRPr="00685539" w:rsidRDefault="00075C4B" w:rsidP="00063924">
      <w:r w:rsidRPr="00685539">
        <w:t>Europarådet ska enligt artikel 1 i sin stadga (CETS 1) utöver att värna de mänskliga rättigheterna dryfta frågor av gemensamt intresse bl.a. på de ek</w:t>
      </w:r>
      <w:r w:rsidRPr="00685539">
        <w:t>o</w:t>
      </w:r>
      <w:r w:rsidRPr="00685539">
        <w:t>nomiska, sociala, kulturella, vetenskapliga, juridiska och administrativa o</w:t>
      </w:r>
      <w:r w:rsidRPr="00685539">
        <w:t>m</w:t>
      </w:r>
      <w:r w:rsidRPr="00685539">
        <w:t>rådena. Den parlamentariska fö</w:t>
      </w:r>
      <w:r w:rsidRPr="00685539">
        <w:t>r</w:t>
      </w:r>
      <w:r w:rsidRPr="00685539">
        <w:t>samlingen har fackutskott som täcker dessa frågor. Det ingår i Europarådets roll att fokusera på de mest utsatta samhäll</w:t>
      </w:r>
      <w:r w:rsidRPr="00685539">
        <w:t>s</w:t>
      </w:r>
      <w:r w:rsidRPr="00685539">
        <w:t>gruppernas villkor och rättigheter. Bland dessa grupper märks gamla, sjuka, handikappade, barn, kvinnor, minoriteter, flyktingar, katastrofoffer och tvångsförflyttade.</w:t>
      </w:r>
    </w:p>
    <w:p w:rsidR="00075C4B" w:rsidRPr="00685539" w:rsidRDefault="00075C4B" w:rsidP="00063924">
      <w:pPr>
        <w:pStyle w:val="Normaltindrag"/>
        <w:rPr>
          <w:iCs/>
        </w:rPr>
      </w:pPr>
      <w:r w:rsidRPr="00685539">
        <w:t>Församlingen är också parlamentariskt forum för att granska ver</w:t>
      </w:r>
      <w:r w:rsidRPr="00685539">
        <w:t>k</w:t>
      </w:r>
      <w:r w:rsidRPr="00685539">
        <w:t>samheten i de mellanstatliga regeringsorganen  Organisationen för ekonomiskt sama</w:t>
      </w:r>
      <w:r w:rsidRPr="00685539">
        <w:t>r</w:t>
      </w:r>
      <w:r w:rsidRPr="00685539">
        <w:t>bete och utveckling, OECD och Europeiska utvecklingsbanken, EBRD. Ra</w:t>
      </w:r>
      <w:r w:rsidRPr="00685539">
        <w:t>p</w:t>
      </w:r>
      <w:r w:rsidRPr="00685539">
        <w:t>porter om verksamheten inom OECD och EBRD finns varje år på försa</w:t>
      </w:r>
      <w:r w:rsidRPr="00685539">
        <w:t>m</w:t>
      </w:r>
      <w:r w:rsidRPr="00685539">
        <w:t>lingens dagordning. Debatten om OECD:s verksamhet ingår traditionellt i höstsessionens da</w:t>
      </w:r>
      <w:r w:rsidRPr="00685539">
        <w:t>g</w:t>
      </w:r>
      <w:r w:rsidRPr="00685539">
        <w:t xml:space="preserve">ordning. </w:t>
      </w:r>
      <w:r w:rsidRPr="00685539">
        <w:rPr>
          <w:i/>
          <w:iCs/>
        </w:rPr>
        <w:t>Europeiska utvecklingsbankens inriktning och aktiviteter</w:t>
      </w:r>
      <w:r w:rsidRPr="00685539">
        <w:rPr>
          <w:iCs/>
        </w:rPr>
        <w:t xml:space="preserve"> debatterades vid det ständiga utskottets möte i Bratislava (dok.11306, 11458, rek. 1818). Den antagna rekommendationen innehåller ett förslag till tätare samarbete mellan banken och fö</w:t>
      </w:r>
      <w:r w:rsidRPr="00685539">
        <w:rPr>
          <w:iCs/>
        </w:rPr>
        <w:t>r</w:t>
      </w:r>
      <w:r w:rsidRPr="00685539">
        <w:rPr>
          <w:iCs/>
        </w:rPr>
        <w:t xml:space="preserve">samlingen. </w:t>
      </w:r>
    </w:p>
    <w:p w:rsidR="00075C4B" w:rsidRPr="00685539" w:rsidRDefault="00075C4B" w:rsidP="00063924">
      <w:pPr>
        <w:pStyle w:val="Normaltindrag"/>
      </w:pPr>
      <w:r w:rsidRPr="00685539">
        <w:t>Sedan 1955 har församlingen delat ut ett årligt pris till den europ</w:t>
      </w:r>
      <w:r w:rsidRPr="00685539">
        <w:t>e</w:t>
      </w:r>
      <w:r w:rsidRPr="00685539">
        <w:t>iska stad, kommun eller region som på ett föredömligt sätt arbetat för att stärka Europ</w:t>
      </w:r>
      <w:r w:rsidRPr="00685539">
        <w:t>a</w:t>
      </w:r>
      <w:r w:rsidRPr="00685539">
        <w:t>samarbetet. Priskommittén utgörs av ett u</w:t>
      </w:r>
      <w:r w:rsidRPr="00685539">
        <w:t>n</w:t>
      </w:r>
      <w:r w:rsidRPr="00685539">
        <w:t>derutskott i församlingens miljö- och jordbruksutskott. Europapr</w:t>
      </w:r>
      <w:r w:rsidRPr="00685539">
        <w:t>i</w:t>
      </w:r>
      <w:r w:rsidRPr="00685539">
        <w:t xml:space="preserve">set 2007 tilldelades Nürnberg i Tyskland. </w:t>
      </w:r>
    </w:p>
    <w:p w:rsidR="00075C4B" w:rsidRPr="00685539" w:rsidRDefault="00075C4B" w:rsidP="00063924">
      <w:pPr>
        <w:pStyle w:val="Normaltindrag"/>
      </w:pPr>
      <w:r w:rsidRPr="00685539">
        <w:t>Europarådets årliga museipris har utdelats sedan 1977. Dess syfte är att främja kännedom om Europas historia och kulturarv. Pri</w:t>
      </w:r>
      <w:r w:rsidRPr="00685539">
        <w:t>s</w:t>
      </w:r>
      <w:r w:rsidRPr="00685539">
        <w:t>kommittén utgörs av församlingens utskott för kultur, vetenskap och utbildning och beslutsunde</w:t>
      </w:r>
      <w:r w:rsidRPr="00685539">
        <w:t>r</w:t>
      </w:r>
      <w:r w:rsidRPr="00685539">
        <w:t xml:space="preserve">lag läggs fram av det europeiska museiforumet. År 2007 tilldelades priset Museet om reformationen i Genève. </w:t>
      </w:r>
    </w:p>
    <w:p w:rsidR="00075C4B" w:rsidRPr="00685539" w:rsidRDefault="007F380F" w:rsidP="00063924">
      <w:pPr>
        <w:pStyle w:val="Rubrik3"/>
        <w:rPr>
          <w:noProof w:val="0"/>
        </w:rPr>
      </w:pPr>
      <w:bookmarkStart w:id="39" w:name="_Toc192059508"/>
      <w:r w:rsidRPr="00685539">
        <w:rPr>
          <w:noProof w:val="0"/>
        </w:rPr>
        <w:t>2.7</w:t>
      </w:r>
      <w:r w:rsidR="00075C4B" w:rsidRPr="00685539">
        <w:rPr>
          <w:noProof w:val="0"/>
        </w:rPr>
        <w:t>.1 Möte om interkulturell dialog</w:t>
      </w:r>
      <w:bookmarkEnd w:id="39"/>
    </w:p>
    <w:p w:rsidR="00075C4B" w:rsidRPr="00685539" w:rsidRDefault="00075C4B" w:rsidP="00063924">
      <w:r w:rsidRPr="00685539">
        <w:t>Församlingen har betonat behovet av ökad förståelse och samarb</w:t>
      </w:r>
      <w:r w:rsidRPr="00685539">
        <w:t>e</w:t>
      </w:r>
      <w:r w:rsidRPr="00685539">
        <w:t>te mellan västvärlden och andra kulturer. Genom interkulturell dialog på lokal, nati</w:t>
      </w:r>
      <w:r w:rsidRPr="00685539">
        <w:t>o</w:t>
      </w:r>
      <w:r w:rsidRPr="00685539">
        <w:t>nell, regional och internationell nivå kan fö</w:t>
      </w:r>
      <w:r w:rsidRPr="00685539">
        <w:t>r</w:t>
      </w:r>
      <w:r w:rsidRPr="00685539">
        <w:t>ståelse byggas upp mellan de stora religionerna, menar församlin</w:t>
      </w:r>
      <w:r w:rsidRPr="00685539">
        <w:t>g</w:t>
      </w:r>
      <w:r w:rsidRPr="00685539">
        <w:t xml:space="preserve">en. </w:t>
      </w:r>
    </w:p>
    <w:p w:rsidR="00075C4B" w:rsidRPr="00685539" w:rsidRDefault="00075C4B" w:rsidP="00063924">
      <w:pPr>
        <w:pStyle w:val="Normaltindrag"/>
      </w:pPr>
      <w:r w:rsidRPr="00685539">
        <w:t>Den interkulturella dialogen fortsätter att vara en högaktuell fråga, spec</w:t>
      </w:r>
      <w:r w:rsidRPr="00685539">
        <w:t>i</w:t>
      </w:r>
      <w:r w:rsidRPr="00685539">
        <w:t>ellt med tanke på de krav på inskränkningar i yttrandefriheten som framförts. Europarådet ser den interkulturella dialogen som ett instrument för att främja social sammanhållning och förebygga konflikter. Den interkulturella dialogen har de senaste åren varit ett prioriterat politiskt ämne, varför man inom Eur</w:t>
      </w:r>
      <w:r w:rsidRPr="00685539">
        <w:t>o</w:t>
      </w:r>
      <w:r w:rsidRPr="00685539">
        <w:t>parådet utarbetat en vitbok om den interkulturella dialogen. Målet har varit att vi</w:t>
      </w:r>
      <w:r w:rsidRPr="00685539">
        <w:t>t</w:t>
      </w:r>
      <w:r w:rsidRPr="00685539">
        <w:t xml:space="preserve">boken ska bli klar inför EU:s europeiska år för interkulturell dialog 2008. </w:t>
      </w:r>
    </w:p>
    <w:p w:rsidR="00075C4B" w:rsidRPr="00685539" w:rsidRDefault="00075C4B" w:rsidP="00063924">
      <w:pPr>
        <w:pStyle w:val="Normaltindrag"/>
      </w:pPr>
      <w:r w:rsidRPr="00685539">
        <w:t>Mot denna bakgrund andordnades i riksdagen ett möte för att utbyta sy</w:t>
      </w:r>
      <w:r w:rsidRPr="00685539">
        <w:t>n</w:t>
      </w:r>
      <w:r w:rsidRPr="00685539">
        <w:t>punkter och idéer om textinnehållet i vitboksutkastet. Ett 30-tal inbjudna deltagare medverkade vid mötet den 19 september. Representanter för riksd</w:t>
      </w:r>
      <w:r w:rsidRPr="00685539">
        <w:t>a</w:t>
      </w:r>
      <w:r w:rsidRPr="00685539">
        <w:t>gen, departement och vissa frivilligorganisationer diskuterade den interkult</w:t>
      </w:r>
      <w:r w:rsidRPr="00685539">
        <w:t>u</w:t>
      </w:r>
      <w:r w:rsidRPr="00685539">
        <w:t xml:space="preserve">rella dialog som utkastet till Europarådets vitbok behandlar. Mötet leddes av </w:t>
      </w:r>
      <w:r w:rsidRPr="00685539">
        <w:rPr>
          <w:i/>
        </w:rPr>
        <w:t>Göran Lindblad</w:t>
      </w:r>
      <w:r w:rsidRPr="00685539">
        <w:t>. Europarådets samordnare av arbetet med vitboken</w:t>
      </w:r>
      <w:r w:rsidRPr="00685539">
        <w:rPr>
          <w:i/>
        </w:rPr>
        <w:t xml:space="preserve"> Gabriella Ba</w:t>
      </w:r>
      <w:r w:rsidRPr="00685539">
        <w:rPr>
          <w:i/>
        </w:rPr>
        <w:t>t</w:t>
      </w:r>
      <w:r w:rsidRPr="00685539">
        <w:rPr>
          <w:i/>
        </w:rPr>
        <w:t xml:space="preserve">taini-Dragoni </w:t>
      </w:r>
      <w:r w:rsidRPr="00685539">
        <w:t xml:space="preserve">inledde mötet. </w:t>
      </w:r>
    </w:p>
    <w:p w:rsidR="00075C4B" w:rsidRPr="00685539" w:rsidRDefault="00075C4B" w:rsidP="00063924">
      <w:pPr>
        <w:pStyle w:val="Rubrik2"/>
      </w:pPr>
      <w:bookmarkStart w:id="40" w:name="_Toc192059509"/>
      <w:r w:rsidRPr="00685539">
        <w:t>2.</w:t>
      </w:r>
      <w:r w:rsidR="007F380F" w:rsidRPr="00685539">
        <w:t>8</w:t>
      </w:r>
      <w:r w:rsidRPr="00685539">
        <w:t xml:space="preserve"> Gäster</w:t>
      </w:r>
      <w:bookmarkEnd w:id="40"/>
    </w:p>
    <w:p w:rsidR="00075C4B" w:rsidRPr="00685539" w:rsidRDefault="00075C4B" w:rsidP="00063924">
      <w:r w:rsidRPr="00685539">
        <w:t xml:space="preserve">Under 2007 gästades församlingen av Turkiets president </w:t>
      </w:r>
      <w:r w:rsidRPr="00685539">
        <w:rPr>
          <w:i/>
        </w:rPr>
        <w:t>Abdullah Gül</w:t>
      </w:r>
      <w:r w:rsidRPr="00685539">
        <w:t>, Mo</w:t>
      </w:r>
      <w:r w:rsidRPr="00685539">
        <w:t>n</w:t>
      </w:r>
      <w:r w:rsidRPr="00685539">
        <w:t xml:space="preserve">tenegros president </w:t>
      </w:r>
      <w:r w:rsidRPr="00685539">
        <w:rPr>
          <w:i/>
        </w:rPr>
        <w:t>Filip Vujanovic</w:t>
      </w:r>
      <w:r w:rsidRPr="00685539">
        <w:t xml:space="preserve">, Belgiens premiärminister </w:t>
      </w:r>
      <w:r w:rsidRPr="00685539">
        <w:rPr>
          <w:i/>
        </w:rPr>
        <w:t>Guy Verhof</w:t>
      </w:r>
      <w:r w:rsidR="00242F67" w:rsidRPr="00685539">
        <w:rPr>
          <w:i/>
        </w:rPr>
        <w:t>-</w:t>
      </w:r>
      <w:r w:rsidRPr="00685539">
        <w:rPr>
          <w:i/>
        </w:rPr>
        <w:t>stadt</w:t>
      </w:r>
      <w:r w:rsidRPr="00685539">
        <w:t xml:space="preserve">, Greklands premiärminister </w:t>
      </w:r>
      <w:r w:rsidRPr="00685539">
        <w:rPr>
          <w:i/>
        </w:rPr>
        <w:t>Konstantinos A. Karamanlis</w:t>
      </w:r>
      <w:r w:rsidRPr="00685539">
        <w:t>, Serbiens pr</w:t>
      </w:r>
      <w:r w:rsidRPr="00685539">
        <w:t>e</w:t>
      </w:r>
      <w:r w:rsidRPr="00685539">
        <w:t xml:space="preserve">miärminister </w:t>
      </w:r>
      <w:r w:rsidRPr="00685539">
        <w:rPr>
          <w:i/>
        </w:rPr>
        <w:t>Vojislav Kostunica</w:t>
      </w:r>
      <w:r w:rsidRPr="00685539">
        <w:t xml:space="preserve">, Ukrainas premiärminister </w:t>
      </w:r>
      <w:r w:rsidRPr="00685539">
        <w:rPr>
          <w:i/>
        </w:rPr>
        <w:t>Viktor Januk</w:t>
      </w:r>
      <w:r w:rsidRPr="00685539">
        <w:rPr>
          <w:i/>
        </w:rPr>
        <w:t>o</w:t>
      </w:r>
      <w:r w:rsidRPr="00685539">
        <w:rPr>
          <w:i/>
        </w:rPr>
        <w:t>vits</w:t>
      </w:r>
      <w:r w:rsidRPr="00685539">
        <w:t xml:space="preserve">, Österrikes förbundskansler </w:t>
      </w:r>
      <w:r w:rsidRPr="00685539">
        <w:rPr>
          <w:i/>
        </w:rPr>
        <w:t>Alfred Gusenbauer</w:t>
      </w:r>
      <w:r w:rsidRPr="00685539">
        <w:t xml:space="preserve">, FN:s högkommissarie för mänskliga rättigheter </w:t>
      </w:r>
      <w:r w:rsidRPr="00685539">
        <w:rPr>
          <w:i/>
        </w:rPr>
        <w:t>Louise Arbour</w:t>
      </w:r>
      <w:r w:rsidRPr="00685539">
        <w:t>, FN:s generalsekreterares särskilda o</w:t>
      </w:r>
      <w:r w:rsidRPr="00685539">
        <w:t>m</w:t>
      </w:r>
      <w:r w:rsidRPr="00685539">
        <w:t xml:space="preserve">bud i fråga om Kosovos framtida status Martti Ahtisaari, </w:t>
      </w:r>
      <w:r w:rsidR="00242F67" w:rsidRPr="00685539">
        <w:t>Unicef</w:t>
      </w:r>
      <w:r w:rsidRPr="00685539">
        <w:t>s generald</w:t>
      </w:r>
      <w:r w:rsidRPr="00685539">
        <w:t>i</w:t>
      </w:r>
      <w:r w:rsidRPr="00685539">
        <w:t xml:space="preserve">rektör </w:t>
      </w:r>
      <w:r w:rsidRPr="00685539">
        <w:rPr>
          <w:i/>
        </w:rPr>
        <w:t>Ann M. Veneman</w:t>
      </w:r>
      <w:r w:rsidRPr="00685539">
        <w:t xml:space="preserve">, OECD:s generalsekreterare </w:t>
      </w:r>
      <w:r w:rsidRPr="00685539">
        <w:rPr>
          <w:i/>
        </w:rPr>
        <w:t>An</w:t>
      </w:r>
      <w:r w:rsidRPr="00685539">
        <w:rPr>
          <w:i/>
        </w:rPr>
        <w:t>g</w:t>
      </w:r>
      <w:r w:rsidRPr="00685539">
        <w:rPr>
          <w:i/>
        </w:rPr>
        <w:t>el Gurría</w:t>
      </w:r>
      <w:r w:rsidRPr="00685539">
        <w:t xml:space="preserve">, IOM:s generaldirektör </w:t>
      </w:r>
      <w:r w:rsidRPr="00685539">
        <w:rPr>
          <w:i/>
        </w:rPr>
        <w:t>Brunson McKinley</w:t>
      </w:r>
      <w:r w:rsidRPr="00685539">
        <w:t xml:space="preserve">, prinsessan </w:t>
      </w:r>
      <w:r w:rsidRPr="00685539">
        <w:rPr>
          <w:i/>
        </w:rPr>
        <w:t>Caroline av Hanover</w:t>
      </w:r>
      <w:r w:rsidRPr="00685539">
        <w:t xml:space="preserve"> i ege</w:t>
      </w:r>
      <w:r w:rsidRPr="00685539">
        <w:t>n</w:t>
      </w:r>
      <w:r w:rsidRPr="00685539">
        <w:t xml:space="preserve">skap av ordförande av Världsförbundet för barns vänner, den ekumeniska patriarken </w:t>
      </w:r>
      <w:r w:rsidRPr="00685539">
        <w:rPr>
          <w:i/>
        </w:rPr>
        <w:t>Barholomew I</w:t>
      </w:r>
      <w:r w:rsidRPr="00685539">
        <w:t xml:space="preserve">, den ortodoxa kyrkans patriark </w:t>
      </w:r>
      <w:r w:rsidRPr="00685539">
        <w:rPr>
          <w:i/>
        </w:rPr>
        <w:t>Alexej II</w:t>
      </w:r>
      <w:r w:rsidRPr="00685539">
        <w:t xml:space="preserve">, Amnesty </w:t>
      </w:r>
      <w:r w:rsidR="00242F67" w:rsidRPr="00685539">
        <w:t xml:space="preserve">Internationals </w:t>
      </w:r>
      <w:r w:rsidRPr="00685539">
        <w:t xml:space="preserve">generalsekreterare </w:t>
      </w:r>
      <w:r w:rsidRPr="00685539">
        <w:rPr>
          <w:i/>
        </w:rPr>
        <w:t>Irene Khan</w:t>
      </w:r>
      <w:r w:rsidRPr="00685539">
        <w:t>, Human Rights Watchs genera</w:t>
      </w:r>
      <w:r w:rsidRPr="00685539">
        <w:t>l</w:t>
      </w:r>
      <w:r w:rsidRPr="00685539">
        <w:t xml:space="preserve">direktör </w:t>
      </w:r>
      <w:r w:rsidRPr="00685539">
        <w:rPr>
          <w:i/>
        </w:rPr>
        <w:t>Kenneth Roth</w:t>
      </w:r>
      <w:r w:rsidRPr="00685539">
        <w:t xml:space="preserve">, Europaparlamentets talman </w:t>
      </w:r>
      <w:r w:rsidRPr="00685539">
        <w:rPr>
          <w:i/>
        </w:rPr>
        <w:t>Hans-Gert Pöttering</w:t>
      </w:r>
      <w:r w:rsidRPr="00685539">
        <w:t xml:space="preserve">, Moldaviens talman </w:t>
      </w:r>
      <w:r w:rsidRPr="00685539">
        <w:rPr>
          <w:i/>
        </w:rPr>
        <w:t>Marian Lupu</w:t>
      </w:r>
      <w:r w:rsidRPr="00685539">
        <w:t xml:space="preserve">, Montenegros talman </w:t>
      </w:r>
      <w:r w:rsidRPr="00685539">
        <w:rPr>
          <w:i/>
        </w:rPr>
        <w:t>Ranko Kr</w:t>
      </w:r>
      <w:r w:rsidRPr="00685539">
        <w:rPr>
          <w:i/>
        </w:rPr>
        <w:t>i</w:t>
      </w:r>
      <w:r w:rsidRPr="00685539">
        <w:rPr>
          <w:i/>
        </w:rPr>
        <w:t>vokapic</w:t>
      </w:r>
      <w:r w:rsidRPr="00685539">
        <w:t xml:space="preserve"> och OSSE:s parlamentariska församlings president </w:t>
      </w:r>
      <w:r w:rsidRPr="00685539">
        <w:rPr>
          <w:i/>
        </w:rPr>
        <w:t>Göran Lennmarker</w:t>
      </w:r>
      <w:r w:rsidRPr="00685539">
        <w:t>.</w:t>
      </w:r>
    </w:p>
    <w:p w:rsidR="00075C4B" w:rsidRPr="00685539" w:rsidRDefault="00075C4B" w:rsidP="00063924">
      <w:pPr>
        <w:pStyle w:val="Normaltindrag"/>
      </w:pPr>
      <w:r w:rsidRPr="00685539">
        <w:t xml:space="preserve">San Marinos utrikesminister </w:t>
      </w:r>
      <w:r w:rsidRPr="00685539">
        <w:rPr>
          <w:i/>
        </w:rPr>
        <w:t>Fiorenzo Stolfi</w:t>
      </w:r>
      <w:r w:rsidRPr="00685539">
        <w:t xml:space="preserve"> i egenskap av ministerko</w:t>
      </w:r>
      <w:r w:rsidRPr="00685539">
        <w:t>m</w:t>
      </w:r>
      <w:r w:rsidRPr="00685539">
        <w:t xml:space="preserve">mitténs ordförande under det första halvåret samt Serbiens utrikesminister </w:t>
      </w:r>
      <w:r w:rsidRPr="00685539">
        <w:rPr>
          <w:i/>
        </w:rPr>
        <w:t>Vuk Jeremic</w:t>
      </w:r>
      <w:r w:rsidRPr="00685539">
        <w:t xml:space="preserve"> i samma egenskap under det andra halvåret informerade försa</w:t>
      </w:r>
      <w:r w:rsidRPr="00685539">
        <w:t>m</w:t>
      </w:r>
      <w:r w:rsidRPr="00685539">
        <w:t>lingen om verksamheten i ministerkommittén och svarade på parlamentar</w:t>
      </w:r>
      <w:r w:rsidRPr="00685539">
        <w:t>i</w:t>
      </w:r>
      <w:r w:rsidRPr="00685539">
        <w:t xml:space="preserve">kernas frågor. </w:t>
      </w:r>
    </w:p>
    <w:p w:rsidR="00075C4B" w:rsidRPr="00685539" w:rsidRDefault="00075C4B" w:rsidP="00075C4B"/>
    <w:p w:rsidR="007C2D20" w:rsidRPr="00685539" w:rsidRDefault="007C2D20" w:rsidP="007C2D20"/>
    <w:p w:rsidR="007C2D20" w:rsidRPr="00685539" w:rsidRDefault="007C2D20" w:rsidP="007C2D20">
      <w:pPr>
        <w:pStyle w:val="Normaltindrag"/>
        <w:sectPr w:rsidR="007C2D20" w:rsidRPr="00685539">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75C4B" w:rsidRPr="00685539" w:rsidRDefault="00063924" w:rsidP="00063924">
      <w:pPr>
        <w:pStyle w:val="Rubrik1"/>
        <w:rPr>
          <w:noProof w:val="0"/>
        </w:rPr>
      </w:pPr>
      <w:bookmarkStart w:id="41" w:name="_Toc192059510"/>
      <w:r w:rsidRPr="00685539">
        <w:rPr>
          <w:noProof w:val="0"/>
        </w:rPr>
        <w:t xml:space="preserve">3 </w:t>
      </w:r>
      <w:r w:rsidR="00075C4B" w:rsidRPr="00685539">
        <w:rPr>
          <w:noProof w:val="0"/>
        </w:rPr>
        <w:t>Den svenska representationen</w:t>
      </w:r>
      <w:bookmarkEnd w:id="41"/>
    </w:p>
    <w:p w:rsidR="00075C4B" w:rsidRPr="00685539" w:rsidRDefault="00075C4B" w:rsidP="00063924">
      <w:r w:rsidRPr="00685539">
        <w:t>För 2007 års session hade riksdagen anmält följande valda ombud och ersätt</w:t>
      </w:r>
      <w:r w:rsidRPr="00685539">
        <w:t>a</w:t>
      </w:r>
      <w:r w:rsidRPr="00685539">
        <w:t>re till församlingen och dess organ:</w:t>
      </w:r>
    </w:p>
    <w:p w:rsidR="00075C4B" w:rsidRPr="00685539" w:rsidRDefault="00075C4B" w:rsidP="00063924">
      <w:pPr>
        <w:spacing w:before="187"/>
        <w:rPr>
          <w:b/>
        </w:rPr>
      </w:pPr>
      <w:r w:rsidRPr="00685539">
        <w:rPr>
          <w:b/>
        </w:rPr>
        <w:t>Ombud</w:t>
      </w:r>
    </w:p>
    <w:p w:rsidR="00075C4B" w:rsidRPr="00685539" w:rsidRDefault="00075C4B" w:rsidP="00063924">
      <w:pPr>
        <w:numPr>
          <w:ilvl w:val="0"/>
          <w:numId w:val="17"/>
        </w:numPr>
        <w:tabs>
          <w:tab w:val="clear" w:pos="340"/>
        </w:tabs>
        <w:ind w:left="284" w:hanging="284"/>
      </w:pPr>
      <w:r w:rsidRPr="00685539">
        <w:t>Göran Lindblad (m), delegationens ordförande</w:t>
      </w:r>
    </w:p>
    <w:p w:rsidR="00075C4B" w:rsidRPr="00685539" w:rsidRDefault="00075C4B" w:rsidP="00063924">
      <w:pPr>
        <w:numPr>
          <w:ilvl w:val="0"/>
          <w:numId w:val="17"/>
        </w:numPr>
        <w:tabs>
          <w:tab w:val="clear" w:pos="340"/>
        </w:tabs>
        <w:ind w:left="284" w:hanging="284"/>
      </w:pPr>
      <w:r w:rsidRPr="00685539">
        <w:t>Björn von Sydow (s), delegationens vice ordförande</w:t>
      </w:r>
    </w:p>
    <w:p w:rsidR="00075C4B" w:rsidRPr="00685539" w:rsidRDefault="00075C4B" w:rsidP="00063924">
      <w:pPr>
        <w:numPr>
          <w:ilvl w:val="0"/>
          <w:numId w:val="17"/>
        </w:numPr>
        <w:tabs>
          <w:tab w:val="clear" w:pos="340"/>
        </w:tabs>
        <w:ind w:left="284" w:hanging="284"/>
      </w:pPr>
      <w:r w:rsidRPr="00685539">
        <w:t>Marietta de Pourbaix-Lundin (m)</w:t>
      </w:r>
    </w:p>
    <w:p w:rsidR="00075C4B" w:rsidRPr="00685539" w:rsidRDefault="00075C4B" w:rsidP="00063924">
      <w:pPr>
        <w:numPr>
          <w:ilvl w:val="0"/>
          <w:numId w:val="17"/>
        </w:numPr>
        <w:tabs>
          <w:tab w:val="clear" w:pos="340"/>
        </w:tabs>
        <w:ind w:left="284" w:hanging="284"/>
      </w:pPr>
      <w:r w:rsidRPr="00685539">
        <w:t>Carina Ohlsson (s)</w:t>
      </w:r>
    </w:p>
    <w:p w:rsidR="00075C4B" w:rsidRPr="00685539" w:rsidRDefault="00075C4B" w:rsidP="00063924">
      <w:pPr>
        <w:numPr>
          <w:ilvl w:val="0"/>
          <w:numId w:val="17"/>
        </w:numPr>
        <w:tabs>
          <w:tab w:val="clear" w:pos="340"/>
        </w:tabs>
        <w:ind w:left="284" w:hanging="284"/>
      </w:pPr>
      <w:r w:rsidRPr="00685539">
        <w:t>Kerstin Lundgren (c)</w:t>
      </w:r>
    </w:p>
    <w:p w:rsidR="00075C4B" w:rsidRPr="00685539" w:rsidRDefault="00075C4B" w:rsidP="00063924">
      <w:pPr>
        <w:numPr>
          <w:ilvl w:val="0"/>
          <w:numId w:val="17"/>
        </w:numPr>
        <w:tabs>
          <w:tab w:val="clear" w:pos="340"/>
        </w:tabs>
        <w:ind w:left="284" w:hanging="284"/>
      </w:pPr>
      <w:r w:rsidRPr="00685539">
        <w:t xml:space="preserve">Morgan Johansson (s) </w:t>
      </w:r>
    </w:p>
    <w:p w:rsidR="00075C4B" w:rsidRPr="00685539" w:rsidRDefault="00075C4B" w:rsidP="00063924">
      <w:pPr>
        <w:spacing w:before="187"/>
        <w:rPr>
          <w:b/>
        </w:rPr>
      </w:pPr>
      <w:r w:rsidRPr="00685539">
        <w:rPr>
          <w:b/>
        </w:rPr>
        <w:t>Ersättare</w:t>
      </w:r>
    </w:p>
    <w:p w:rsidR="00075C4B" w:rsidRPr="00685539" w:rsidRDefault="00075C4B" w:rsidP="00063924">
      <w:pPr>
        <w:numPr>
          <w:ilvl w:val="0"/>
          <w:numId w:val="18"/>
        </w:numPr>
        <w:tabs>
          <w:tab w:val="clear" w:pos="340"/>
        </w:tabs>
        <w:ind w:left="284" w:hanging="284"/>
      </w:pPr>
      <w:r w:rsidRPr="00685539">
        <w:t>Anna Lilliehöök (m)</w:t>
      </w:r>
    </w:p>
    <w:p w:rsidR="00075C4B" w:rsidRPr="00685539" w:rsidRDefault="00075C4B" w:rsidP="00063924">
      <w:pPr>
        <w:numPr>
          <w:ilvl w:val="0"/>
          <w:numId w:val="18"/>
        </w:numPr>
        <w:tabs>
          <w:tab w:val="clear" w:pos="340"/>
        </w:tabs>
        <w:ind w:left="284" w:hanging="284"/>
      </w:pPr>
      <w:r w:rsidRPr="00685539">
        <w:t>Carina Hägg (s)</w:t>
      </w:r>
    </w:p>
    <w:p w:rsidR="00075C4B" w:rsidRPr="00685539" w:rsidRDefault="00075C4B" w:rsidP="00063924">
      <w:pPr>
        <w:numPr>
          <w:ilvl w:val="0"/>
          <w:numId w:val="18"/>
        </w:numPr>
        <w:tabs>
          <w:tab w:val="clear" w:pos="340"/>
        </w:tabs>
        <w:ind w:left="284" w:hanging="284"/>
      </w:pPr>
      <w:r w:rsidRPr="00685539">
        <w:t>Kent Olsson (m)</w:t>
      </w:r>
    </w:p>
    <w:p w:rsidR="00075C4B" w:rsidRPr="00685539" w:rsidRDefault="00075C4B" w:rsidP="00063924">
      <w:pPr>
        <w:numPr>
          <w:ilvl w:val="0"/>
          <w:numId w:val="18"/>
        </w:numPr>
        <w:tabs>
          <w:tab w:val="clear" w:pos="340"/>
        </w:tabs>
        <w:ind w:left="284" w:hanging="284"/>
      </w:pPr>
      <w:r w:rsidRPr="00685539">
        <w:t>Michael Hagberg (s)</w:t>
      </w:r>
    </w:p>
    <w:p w:rsidR="00075C4B" w:rsidRPr="00685539" w:rsidRDefault="00075C4B" w:rsidP="00063924">
      <w:pPr>
        <w:numPr>
          <w:ilvl w:val="0"/>
          <w:numId w:val="18"/>
        </w:numPr>
        <w:tabs>
          <w:tab w:val="clear" w:pos="340"/>
        </w:tabs>
        <w:ind w:left="284" w:hanging="284"/>
      </w:pPr>
      <w:r w:rsidRPr="00685539">
        <w:t>Tina Acketoft (fp)</w:t>
      </w:r>
    </w:p>
    <w:p w:rsidR="00075C4B" w:rsidRPr="00685539" w:rsidRDefault="00075C4B" w:rsidP="00063924">
      <w:pPr>
        <w:numPr>
          <w:ilvl w:val="0"/>
          <w:numId w:val="18"/>
        </w:numPr>
        <w:tabs>
          <w:tab w:val="clear" w:pos="340"/>
        </w:tabs>
        <w:ind w:left="284" w:hanging="284"/>
      </w:pPr>
      <w:r w:rsidRPr="00685539">
        <w:t>Lena Hallengren (s) t.o.m. 2007-04-16, Maryam Ya</w:t>
      </w:r>
      <w:r w:rsidRPr="00685539">
        <w:t>z</w:t>
      </w:r>
      <w:r w:rsidRPr="00685539">
        <w:t>danfar (s) fr.o.m. 2007-04-16</w:t>
      </w:r>
    </w:p>
    <w:p w:rsidR="00075C4B" w:rsidRPr="00685539" w:rsidRDefault="00075C4B" w:rsidP="00063924">
      <w:pPr>
        <w:spacing w:before="187"/>
      </w:pPr>
      <w:r w:rsidRPr="00685539">
        <w:t>Under 2007 års session var ombuden och ersättarna fördelade på församlin</w:t>
      </w:r>
      <w:r w:rsidRPr="00685539">
        <w:t>g</w:t>
      </w:r>
      <w:r w:rsidRPr="00685539">
        <w:t>ens utskott och underutskott enligt följande (utskottsersättare inom pare</w:t>
      </w:r>
      <w:r w:rsidRPr="00685539">
        <w:t>n</w:t>
      </w:r>
      <w:r w:rsidRPr="00685539">
        <w:t xml:space="preserve">tes):  </w:t>
      </w:r>
    </w:p>
    <w:p w:rsidR="00075C4B" w:rsidRPr="00685539" w:rsidRDefault="00075C4B" w:rsidP="00063924">
      <w:pPr>
        <w:spacing w:before="187"/>
      </w:pPr>
      <w:r w:rsidRPr="00685539">
        <w:rPr>
          <w:b/>
        </w:rPr>
        <w:t>1 Ständiga utskottet (</w:t>
      </w:r>
      <w:r w:rsidRPr="00685539">
        <w:t>består av delegationsordföranden</w:t>
      </w:r>
      <w:r w:rsidRPr="00685539">
        <w:rPr>
          <w:b/>
        </w:rPr>
        <w:t>)</w:t>
      </w:r>
      <w:r w:rsidRPr="00685539">
        <w:t>: Lindblad</w:t>
      </w:r>
    </w:p>
    <w:p w:rsidR="00075C4B" w:rsidRPr="00685539" w:rsidRDefault="00075C4B" w:rsidP="00063924">
      <w:pPr>
        <w:spacing w:before="187"/>
      </w:pPr>
      <w:r w:rsidRPr="00685539">
        <w:rPr>
          <w:b/>
        </w:rPr>
        <w:t>2 Politiska utskottet</w:t>
      </w:r>
      <w:r w:rsidRPr="00685539">
        <w:t>: Lindblad, von Sydow (Lundgren, Ohlsson)</w:t>
      </w:r>
    </w:p>
    <w:p w:rsidR="00075C4B" w:rsidRPr="00685539" w:rsidRDefault="00075C4B" w:rsidP="008D33B8">
      <w:r w:rsidRPr="00685539">
        <w:t xml:space="preserve">Underutskottet för Mellanöstern: Lindblad (Lundgren) </w:t>
      </w:r>
    </w:p>
    <w:p w:rsidR="00075C4B" w:rsidRPr="00685539" w:rsidRDefault="00075C4B" w:rsidP="008D33B8">
      <w:r w:rsidRPr="00685539">
        <w:t>Underutskottet för externa relationer: Lindblad (von Sydow)</w:t>
      </w:r>
    </w:p>
    <w:p w:rsidR="00075C4B" w:rsidRPr="00685539" w:rsidRDefault="00075C4B" w:rsidP="008D33B8">
      <w:r w:rsidRPr="00685539">
        <w:t>Underutskottet för Vitryssland: Ohlsson, vice ordf.</w:t>
      </w:r>
    </w:p>
    <w:p w:rsidR="00075C4B" w:rsidRPr="00685539" w:rsidRDefault="00075C4B" w:rsidP="008D33B8">
      <w:pPr>
        <w:spacing w:before="187"/>
      </w:pPr>
      <w:r w:rsidRPr="00685539">
        <w:rPr>
          <w:b/>
        </w:rPr>
        <w:t>3 Utskottet för juridiska frågor och mänskliga rättigheter</w:t>
      </w:r>
      <w:r w:rsidRPr="00685539">
        <w:t>: de Pourbaix-Lundin, Ohlsson t.o.m. 2007-06-25, Hägg fr.o.m. 2007-06-25 (Acketoft, Hägg t.o.m. 2007-06-25, Ohlsson fr.o.m. 2007-06-25)</w:t>
      </w:r>
    </w:p>
    <w:p w:rsidR="00075C4B" w:rsidRPr="00685539" w:rsidRDefault="00075C4B" w:rsidP="00063924">
      <w:r w:rsidRPr="00685539">
        <w:t>Under</w:t>
      </w:r>
      <w:r w:rsidR="00D95335" w:rsidRPr="00685539">
        <w:t>ut</w:t>
      </w:r>
      <w:r w:rsidRPr="00685539">
        <w:t>skottet för bekämpning av brottslighet och terrorism: de Pourbaix-Lundin (Acketoft)</w:t>
      </w:r>
    </w:p>
    <w:p w:rsidR="00075C4B" w:rsidRPr="00685539" w:rsidRDefault="00075C4B" w:rsidP="00063924">
      <w:r w:rsidRPr="00685539">
        <w:t>Underutskottet för att intervjua domarkandidater: Acketoft</w:t>
      </w:r>
    </w:p>
    <w:p w:rsidR="00075C4B" w:rsidRPr="00685539" w:rsidRDefault="008D33B8" w:rsidP="004A6CC0">
      <w:pPr>
        <w:spacing w:before="0"/>
        <w:rPr>
          <w:i/>
        </w:rPr>
      </w:pPr>
      <w:r w:rsidRPr="00685539">
        <w:rPr>
          <w:b/>
        </w:rPr>
        <w:br w:type="page"/>
      </w:r>
      <w:r w:rsidR="00075C4B" w:rsidRPr="00685539">
        <w:rPr>
          <w:b/>
        </w:rPr>
        <w:t>4 Utskottet för ekonomi och utveckling</w:t>
      </w:r>
      <w:r w:rsidR="00075C4B" w:rsidRPr="00685539">
        <w:t xml:space="preserve">: Lilliehöök, von Sydow t.o.m. 2007-06-25, Yazdanfar fr.o.m. 2007-06-25 </w:t>
      </w:r>
      <w:r w:rsidR="00404B62" w:rsidRPr="00685539">
        <w:t>(Lindblad,</w:t>
      </w:r>
      <w:r w:rsidR="00075C4B" w:rsidRPr="00685539">
        <w:t xml:space="preserve"> Ha</w:t>
      </w:r>
      <w:r w:rsidR="00075C4B" w:rsidRPr="00685539">
        <w:t>g</w:t>
      </w:r>
      <w:r w:rsidR="00075C4B" w:rsidRPr="00685539">
        <w:t>berg)</w:t>
      </w:r>
    </w:p>
    <w:p w:rsidR="00063924" w:rsidRPr="00685539" w:rsidRDefault="00075C4B" w:rsidP="00063924">
      <w:r w:rsidRPr="00685539">
        <w:t>Underutskottet för internationella ekonomiska relationer: Lillieh</w:t>
      </w:r>
      <w:r w:rsidRPr="00685539">
        <w:t>ö</w:t>
      </w:r>
      <w:r w:rsidRPr="00685539">
        <w:t>ök (von Sydow t.o.m. 2007-06-25</w:t>
      </w:r>
      <w:r w:rsidR="00404B62" w:rsidRPr="00685539">
        <w:t>)</w:t>
      </w:r>
    </w:p>
    <w:p w:rsidR="00075C4B" w:rsidRPr="00685539" w:rsidRDefault="00075C4B" w:rsidP="00063924">
      <w:r w:rsidRPr="00685539">
        <w:t>Underutskottet för utveckling av turistnäringen: Lilliehöök</w:t>
      </w:r>
    </w:p>
    <w:p w:rsidR="00075C4B" w:rsidRPr="00685539" w:rsidRDefault="00075C4B" w:rsidP="00063924">
      <w:pPr>
        <w:spacing w:before="187"/>
      </w:pPr>
      <w:r w:rsidRPr="00685539">
        <w:t xml:space="preserve">5 </w:t>
      </w:r>
      <w:r w:rsidRPr="00685539">
        <w:rPr>
          <w:b/>
        </w:rPr>
        <w:t>Utskottet för social-, hälsovårds- och familjefrågor</w:t>
      </w:r>
      <w:r w:rsidRPr="00685539">
        <w:t>: de Pou</w:t>
      </w:r>
      <w:r w:rsidRPr="00685539">
        <w:t>r</w:t>
      </w:r>
      <w:r w:rsidRPr="00685539">
        <w:t>baix-Lundin, Ohlsson (Acketoft, Johansson)</w:t>
      </w:r>
    </w:p>
    <w:p w:rsidR="00075C4B" w:rsidRPr="00685539" w:rsidRDefault="00075C4B" w:rsidP="00063924">
      <w:r w:rsidRPr="00685539">
        <w:t>Underutskottet för barnfrågor: Ohlsson</w:t>
      </w:r>
    </w:p>
    <w:p w:rsidR="00075C4B" w:rsidRPr="00685539" w:rsidRDefault="00075C4B" w:rsidP="00063924">
      <w:r w:rsidRPr="00685539">
        <w:t xml:space="preserve">Underskottet för Europas sociala stadga: Acketoft (de Pourbaix-Lundin) </w:t>
      </w:r>
    </w:p>
    <w:p w:rsidR="00075C4B" w:rsidRPr="00685539" w:rsidRDefault="00075C4B" w:rsidP="00063924">
      <w:pPr>
        <w:spacing w:before="187"/>
      </w:pPr>
      <w:r w:rsidRPr="00685539">
        <w:t xml:space="preserve">6 </w:t>
      </w:r>
      <w:r w:rsidRPr="00685539">
        <w:rPr>
          <w:b/>
        </w:rPr>
        <w:t>Utskottet för migrations-, flykting- och befolkningsfrågor</w:t>
      </w:r>
      <w:r w:rsidRPr="00685539">
        <w:t>: Acketoft, Ha</w:t>
      </w:r>
      <w:r w:rsidRPr="00685539">
        <w:t>g</w:t>
      </w:r>
      <w:r w:rsidRPr="00685539">
        <w:t>berg (Lindblad, Hägg)</w:t>
      </w:r>
    </w:p>
    <w:p w:rsidR="00075C4B" w:rsidRPr="00685539" w:rsidRDefault="00075C4B" w:rsidP="00063924">
      <w:r w:rsidRPr="00685539">
        <w:t>Underutskottet för migrationsfrågor: Lindblad (Acketoft)</w:t>
      </w:r>
    </w:p>
    <w:p w:rsidR="00075C4B" w:rsidRPr="00685539" w:rsidRDefault="00075C4B" w:rsidP="00063924">
      <w:r w:rsidRPr="00685539">
        <w:t>Underutskottet för flyktingfrågor: Hagberg vice ordf.</w:t>
      </w:r>
    </w:p>
    <w:p w:rsidR="00075C4B" w:rsidRPr="00685539" w:rsidRDefault="00075C4B" w:rsidP="00063924">
      <w:pPr>
        <w:spacing w:before="187"/>
        <w:rPr>
          <w:spacing w:val="-2"/>
        </w:rPr>
      </w:pPr>
      <w:r w:rsidRPr="00685539">
        <w:rPr>
          <w:spacing w:val="-2"/>
        </w:rPr>
        <w:t xml:space="preserve">7 </w:t>
      </w:r>
      <w:r w:rsidRPr="00685539">
        <w:rPr>
          <w:b/>
          <w:spacing w:val="-2"/>
        </w:rPr>
        <w:t>Utskottet för kultur, vetenskap och utbildning</w:t>
      </w:r>
      <w:r w:rsidRPr="00685539">
        <w:rPr>
          <w:spacing w:val="-2"/>
        </w:rPr>
        <w:t>: Olsson, Johansson (Lilli</w:t>
      </w:r>
      <w:r w:rsidRPr="00685539">
        <w:rPr>
          <w:spacing w:val="-2"/>
        </w:rPr>
        <w:t>e</w:t>
      </w:r>
      <w:r w:rsidRPr="00685539">
        <w:rPr>
          <w:spacing w:val="-2"/>
        </w:rPr>
        <w:t>höök, von Sydow)</w:t>
      </w:r>
    </w:p>
    <w:p w:rsidR="00075C4B" w:rsidRPr="00685539" w:rsidRDefault="00075C4B" w:rsidP="00063924">
      <w:r w:rsidRPr="00685539">
        <w:t>Underutskottet för kulturarv: Olsson (Lilliehöök)</w:t>
      </w:r>
    </w:p>
    <w:p w:rsidR="00075C4B" w:rsidRPr="00685539" w:rsidRDefault="00075C4B" w:rsidP="00063924">
      <w:r w:rsidRPr="00685539">
        <w:t>Underutskottet för mediefrågor: Johansson (Olsson t.o.m. 2007-10-01)</w:t>
      </w:r>
    </w:p>
    <w:p w:rsidR="00075C4B" w:rsidRPr="00685539" w:rsidRDefault="00075C4B" w:rsidP="00063924">
      <w:r w:rsidRPr="00685539">
        <w:t>Underutskottet för ungdom och sport: Olsson fr.o.m. 2007-10-01</w:t>
      </w:r>
    </w:p>
    <w:p w:rsidR="00075C4B" w:rsidRPr="00685539" w:rsidRDefault="00075C4B" w:rsidP="008D33B8">
      <w:pPr>
        <w:spacing w:before="187"/>
      </w:pPr>
      <w:r w:rsidRPr="00685539">
        <w:t xml:space="preserve">8 </w:t>
      </w:r>
      <w:r w:rsidRPr="00685539">
        <w:rPr>
          <w:b/>
        </w:rPr>
        <w:t>Utskottet för miljö- och jordbruksfrågor samt lokala och regionala ärenden</w:t>
      </w:r>
      <w:r w:rsidRPr="00685539">
        <w:t>: Lundgren, Ohlsson (Olsson, Yazdanfar fr.o.m. 2007-06-25)</w:t>
      </w:r>
    </w:p>
    <w:p w:rsidR="00075C4B" w:rsidRPr="00685539" w:rsidRDefault="00075C4B" w:rsidP="00063924">
      <w:r w:rsidRPr="00685539">
        <w:t>Underutskottet för hållbar utveckling: Lundgren</w:t>
      </w:r>
    </w:p>
    <w:p w:rsidR="00075C4B" w:rsidRPr="00685539" w:rsidRDefault="00075C4B" w:rsidP="00063924">
      <w:r w:rsidRPr="00685539">
        <w:t>Underutskottet för lokal och regional demokrati: Lundgren (Ol</w:t>
      </w:r>
      <w:r w:rsidRPr="00685539">
        <w:t>s</w:t>
      </w:r>
      <w:r w:rsidRPr="00685539">
        <w:t xml:space="preserve">son) </w:t>
      </w:r>
    </w:p>
    <w:p w:rsidR="00075C4B" w:rsidRPr="00685539" w:rsidRDefault="00075C4B" w:rsidP="00063924">
      <w:r w:rsidRPr="00685539">
        <w:t>Underutskottet för Europapriset: Olsson</w:t>
      </w:r>
    </w:p>
    <w:p w:rsidR="00075C4B" w:rsidRPr="00685539" w:rsidRDefault="00075C4B" w:rsidP="0010124D">
      <w:pPr>
        <w:spacing w:before="187"/>
      </w:pPr>
      <w:r w:rsidRPr="00685539">
        <w:t xml:space="preserve">9 </w:t>
      </w:r>
      <w:r w:rsidRPr="00685539">
        <w:rPr>
          <w:b/>
        </w:rPr>
        <w:t>Utskottet för jämställdhet mellan könen</w:t>
      </w:r>
      <w:r w:rsidRPr="00685539">
        <w:t>: Olsson, Hägg (de Pourbaix-Lundin, von Sydow t.o.m. 2007-06-25)</w:t>
      </w:r>
    </w:p>
    <w:p w:rsidR="00075C4B" w:rsidRPr="00685539" w:rsidRDefault="00075C4B" w:rsidP="00063924">
      <w:r w:rsidRPr="00685539">
        <w:t xml:space="preserve">Underutskottet om våld mot kvinnor: Hägg, ordförande, (Olsson) </w:t>
      </w:r>
    </w:p>
    <w:p w:rsidR="00075C4B" w:rsidRPr="00685539" w:rsidRDefault="00075C4B" w:rsidP="00063924">
      <w:r w:rsidRPr="00685539">
        <w:t xml:space="preserve">Underutskottet för människohandel: Olsson (Hägg) </w:t>
      </w:r>
    </w:p>
    <w:p w:rsidR="00075C4B" w:rsidRPr="00685539" w:rsidRDefault="00075C4B" w:rsidP="0010124D">
      <w:pPr>
        <w:spacing w:before="187"/>
      </w:pPr>
      <w:r w:rsidRPr="00685539">
        <w:t xml:space="preserve">10 </w:t>
      </w:r>
      <w:r w:rsidRPr="00685539">
        <w:rPr>
          <w:b/>
        </w:rPr>
        <w:t>Utskottet för procedurfrågor och immunitet</w:t>
      </w:r>
      <w:r w:rsidRPr="00685539">
        <w:t>: Johansson (Li</w:t>
      </w:r>
      <w:r w:rsidRPr="00685539">
        <w:t>l</w:t>
      </w:r>
      <w:r w:rsidRPr="00685539">
        <w:t>liehöök)</w:t>
      </w:r>
    </w:p>
    <w:p w:rsidR="00075C4B" w:rsidRPr="00685539" w:rsidRDefault="00075C4B" w:rsidP="008D33B8">
      <w:pPr>
        <w:spacing w:before="187"/>
      </w:pPr>
      <w:r w:rsidRPr="00685539">
        <w:t xml:space="preserve">11 </w:t>
      </w:r>
      <w:r w:rsidRPr="00685539">
        <w:rPr>
          <w:b/>
        </w:rPr>
        <w:t>Utskottet för granskning av medlemsländernas uppfyllande av sina åtaganden (”granskningsutskottet”; medlemmarna utses av partigru</w:t>
      </w:r>
      <w:r w:rsidRPr="00685539">
        <w:rPr>
          <w:b/>
        </w:rPr>
        <w:t>p</w:t>
      </w:r>
      <w:r w:rsidRPr="00685539">
        <w:rPr>
          <w:b/>
        </w:rPr>
        <w:t>perna)</w:t>
      </w:r>
      <w:r w:rsidRPr="00685539">
        <w:t>: Hagberg</w:t>
      </w:r>
    </w:p>
    <w:p w:rsidR="00075C4B" w:rsidRPr="00685539" w:rsidRDefault="00075C4B" w:rsidP="0010124D">
      <w:r w:rsidRPr="00685539">
        <w:t xml:space="preserve">Vidare har delegaterna ingått i </w:t>
      </w:r>
      <w:r w:rsidRPr="00685539">
        <w:rPr>
          <w:b/>
        </w:rPr>
        <w:t>ad hoc-utskott</w:t>
      </w:r>
      <w:r w:rsidRPr="00685539">
        <w:t xml:space="preserve"> enligt följande: </w:t>
      </w:r>
    </w:p>
    <w:p w:rsidR="00075C4B" w:rsidRPr="00685539" w:rsidRDefault="003C4B8D" w:rsidP="008D33B8">
      <w:pPr>
        <w:spacing w:before="187"/>
      </w:pPr>
      <w:r w:rsidRPr="00685539">
        <w:t>Ad</w:t>
      </w:r>
      <w:r w:rsidR="00075C4B" w:rsidRPr="00685539">
        <w:t xml:space="preserve"> hoc-underutskottet för organisering av en rundabordskonferens om den politiska situationen i Tjetjenien under resolution 1402 (2004): Lindblad</w:t>
      </w:r>
    </w:p>
    <w:p w:rsidR="00075C4B" w:rsidRPr="00685539" w:rsidRDefault="00075C4B" w:rsidP="0010124D">
      <w:pPr>
        <w:spacing w:before="187"/>
        <w:rPr>
          <w:spacing w:val="-2"/>
        </w:rPr>
      </w:pPr>
      <w:r w:rsidRPr="00685539">
        <w:rPr>
          <w:spacing w:val="-2"/>
        </w:rPr>
        <w:t>Ad hoc-underutskottet för demokratiforum: Lindblad, von Sydow, de Pourb</w:t>
      </w:r>
      <w:r w:rsidRPr="00685539">
        <w:rPr>
          <w:spacing w:val="-2"/>
        </w:rPr>
        <w:t>a</w:t>
      </w:r>
      <w:r w:rsidRPr="00685539">
        <w:rPr>
          <w:spacing w:val="-2"/>
        </w:rPr>
        <w:t>ix-Lundin, Ohlsson, Lundgren</w:t>
      </w:r>
    </w:p>
    <w:p w:rsidR="00075C4B" w:rsidRPr="00685539" w:rsidRDefault="00075C4B" w:rsidP="0010124D">
      <w:pPr>
        <w:spacing w:before="187"/>
      </w:pPr>
      <w:r w:rsidRPr="00685539">
        <w:t>Ad hoc-utskottet för övervakning av valet i Armenien: Olsson, Acketoft</w:t>
      </w:r>
    </w:p>
    <w:p w:rsidR="00075C4B" w:rsidRPr="00685539" w:rsidRDefault="00075C4B" w:rsidP="00C33E00">
      <w:pPr>
        <w:spacing w:before="187"/>
      </w:pPr>
      <w:r w:rsidRPr="00685539">
        <w:t>Ad hoc-utskottet för övervakning av valet i Turkiet: de Pourbaix-Lundin</w:t>
      </w:r>
    </w:p>
    <w:p w:rsidR="00075C4B" w:rsidRPr="00685539" w:rsidRDefault="00075C4B" w:rsidP="00C33E00">
      <w:pPr>
        <w:spacing w:before="187"/>
      </w:pPr>
      <w:r w:rsidRPr="00685539">
        <w:t>Ad hoc-utskottet för övervakning av valet i Ukraina: de Pourbaix-Lundin, Lundgren, Hagberg</w:t>
      </w:r>
    </w:p>
    <w:p w:rsidR="00075C4B" w:rsidRPr="00685539" w:rsidRDefault="00075C4B" w:rsidP="00C33E00">
      <w:pPr>
        <w:spacing w:before="187"/>
      </w:pPr>
      <w:r w:rsidRPr="00685539">
        <w:t>Ad hoc-utskottet för övervakning av valet i Ryssland: Lundgren, Lilliehöök</w:t>
      </w:r>
    </w:p>
    <w:p w:rsidR="00075C4B" w:rsidRPr="00685539" w:rsidRDefault="00075C4B" w:rsidP="00C33E00">
      <w:pPr>
        <w:spacing w:before="187"/>
      </w:pPr>
      <w:r w:rsidRPr="00685539">
        <w:t>Byråns ad hoc-utskott för Mellanöstern: Lundgren</w:t>
      </w:r>
    </w:p>
    <w:p w:rsidR="00075C4B" w:rsidRPr="00685539" w:rsidRDefault="00075C4B" w:rsidP="006C2C98">
      <w:pPr>
        <w:spacing w:before="312"/>
        <w:rPr>
          <w:i/>
        </w:rPr>
      </w:pPr>
      <w:r w:rsidRPr="00685539">
        <w:rPr>
          <w:i/>
        </w:rPr>
        <w:t>Partigrupper</w:t>
      </w:r>
    </w:p>
    <w:p w:rsidR="00075C4B" w:rsidRPr="00685539" w:rsidRDefault="00075C4B" w:rsidP="00C33E00">
      <w:r w:rsidRPr="00685539">
        <w:t>1 Den socialistiska gruppen (Socialist Group, SOC) 187 medle</w:t>
      </w:r>
      <w:r w:rsidRPr="00685539">
        <w:t>m</w:t>
      </w:r>
      <w:r w:rsidRPr="00685539">
        <w:t xml:space="preserve">mar: von Sydow, Ohlsson, Johansson, Hägg, Hagberg, Yazdanfar </w:t>
      </w:r>
    </w:p>
    <w:p w:rsidR="00075C4B" w:rsidRPr="00685539" w:rsidRDefault="00075C4B" w:rsidP="00C33E00">
      <w:r w:rsidRPr="00685539">
        <w:t>2 Det europeiska folkpartiet (Group of the European People’s Pa</w:t>
      </w:r>
      <w:r w:rsidRPr="00685539">
        <w:t>r</w:t>
      </w:r>
      <w:r w:rsidRPr="00685539">
        <w:t>ty, EPP/CD) 183 medlemmar: Lindblad, de Pourbaix-Lundin, Li</w:t>
      </w:r>
      <w:r w:rsidRPr="00685539">
        <w:t>l</w:t>
      </w:r>
      <w:r w:rsidRPr="00685539">
        <w:t>liehöök, Olsson</w:t>
      </w:r>
    </w:p>
    <w:p w:rsidR="00075C4B" w:rsidRPr="00685539" w:rsidRDefault="00075C4B" w:rsidP="00C33E00">
      <w:r w:rsidRPr="00685539">
        <w:t>3 Alliansen för Europas liberaler och demokrater (ALDE) 98 me</w:t>
      </w:r>
      <w:r w:rsidRPr="00685539">
        <w:t>d</w:t>
      </w:r>
      <w:r w:rsidRPr="00685539">
        <w:t>lemmar: Lundgren, Acketoft</w:t>
      </w:r>
    </w:p>
    <w:p w:rsidR="00075C4B" w:rsidRPr="00685539" w:rsidRDefault="00075C4B" w:rsidP="006C2C98">
      <w:r w:rsidRPr="00685539">
        <w:t xml:space="preserve">4 Den europeiska demokratiska gruppen (EDG) 92 </w:t>
      </w:r>
      <w:r w:rsidR="00D97D43" w:rsidRPr="00685539">
        <w:t>medlemmar</w:t>
      </w:r>
    </w:p>
    <w:p w:rsidR="00075C4B" w:rsidRPr="00685539" w:rsidRDefault="00075C4B" w:rsidP="00C33E00">
      <w:r w:rsidRPr="00685539">
        <w:t>5 Den förenade europeiska vänstern (Group of the Unified Europ</w:t>
      </w:r>
      <w:r w:rsidRPr="00685539">
        <w:t>e</w:t>
      </w:r>
      <w:r w:rsidRPr="00685539">
        <w:t>an Left, UEL) 37</w:t>
      </w:r>
      <w:r w:rsidR="004A6CC0" w:rsidRPr="00685539">
        <w:t xml:space="preserve"> medlemmar</w:t>
      </w:r>
    </w:p>
    <w:p w:rsidR="00075C4B" w:rsidRPr="00685539" w:rsidRDefault="00075C4B" w:rsidP="006C2C98">
      <w:r w:rsidRPr="00685539">
        <w:t>Dessutom finns ett 30-tal delegater som inte tillhör någon part</w:t>
      </w:r>
      <w:r w:rsidRPr="00685539">
        <w:t>i</w:t>
      </w:r>
      <w:r w:rsidRPr="00685539">
        <w:t>grupp.</w:t>
      </w:r>
    </w:p>
    <w:p w:rsidR="00075C4B" w:rsidRPr="00685539" w:rsidRDefault="00075C4B" w:rsidP="006C2C98">
      <w:r w:rsidRPr="00685539">
        <w:t>De politiska styrkeförhållandena i församlingen påverkar samma</w:t>
      </w:r>
      <w:r w:rsidRPr="00685539">
        <w:t>n</w:t>
      </w:r>
      <w:r w:rsidRPr="00685539">
        <w:t xml:space="preserve">sättningen av sessionernas talarlistor samt de ekonomiska bidrag partigrupperna får via församlingens budget. </w:t>
      </w:r>
    </w:p>
    <w:p w:rsidR="00075C4B" w:rsidRPr="00685539" w:rsidRDefault="00075C4B" w:rsidP="00075C4B"/>
    <w:p w:rsidR="007C2D20" w:rsidRPr="00685539" w:rsidRDefault="007C2D20" w:rsidP="007C2D20"/>
    <w:p w:rsidR="007C2D20" w:rsidRPr="00685539" w:rsidRDefault="007C2D20" w:rsidP="007C2D20">
      <w:pPr>
        <w:pStyle w:val="Normaltindrag"/>
        <w:sectPr w:rsidR="007C2D20" w:rsidRPr="00685539">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075C4B" w:rsidRPr="00685539" w:rsidRDefault="006C2C98" w:rsidP="006C2C98">
      <w:pPr>
        <w:pStyle w:val="Rubrik1"/>
        <w:spacing w:after="480"/>
        <w:rPr>
          <w:noProof w:val="0"/>
        </w:rPr>
      </w:pPr>
      <w:bookmarkStart w:id="42" w:name="_Toc192059511"/>
      <w:r w:rsidRPr="00685539">
        <w:rPr>
          <w:noProof w:val="0"/>
        </w:rPr>
        <w:t xml:space="preserve">4 </w:t>
      </w:r>
      <w:r w:rsidR="00075C4B" w:rsidRPr="00685539">
        <w:rPr>
          <w:noProof w:val="0"/>
        </w:rPr>
        <w:t>Huvudområden för församlingens verksamhet</w:t>
      </w:r>
      <w:bookmarkEnd w:id="42"/>
    </w:p>
    <w:p w:rsidR="00075C4B" w:rsidRPr="00685539" w:rsidRDefault="00075C4B" w:rsidP="00462A27">
      <w:pPr>
        <w:pStyle w:val="Rubrik2"/>
        <w:spacing w:before="0" w:after="0"/>
      </w:pPr>
      <w:bookmarkStart w:id="43" w:name="_Toc192059512"/>
      <w:r w:rsidRPr="00685539">
        <w:t>4.1 Granskning av hur medlemsländerna uppfyller sina åtaganden</w:t>
      </w:r>
      <w:bookmarkEnd w:id="43"/>
      <w:r w:rsidRPr="00685539">
        <w:t xml:space="preserve"> </w:t>
      </w:r>
    </w:p>
    <w:p w:rsidR="00075C4B" w:rsidRPr="00685539" w:rsidRDefault="00075C4B" w:rsidP="00462A27">
      <w:pPr>
        <w:pStyle w:val="Rubrik3"/>
        <w:rPr>
          <w:noProof w:val="0"/>
        </w:rPr>
      </w:pPr>
      <w:bookmarkStart w:id="44" w:name="_Toc192059513"/>
      <w:r w:rsidRPr="00685539">
        <w:rPr>
          <w:noProof w:val="0"/>
        </w:rPr>
        <w:t>4.1.1 Albanien</w:t>
      </w:r>
      <w:bookmarkEnd w:id="44"/>
    </w:p>
    <w:p w:rsidR="00075C4B" w:rsidRPr="00685539" w:rsidRDefault="00075C4B" w:rsidP="006C2C98">
      <w:r w:rsidRPr="00685539">
        <w:t xml:space="preserve">Församlingen höll vid januarisessionen en debatt om </w:t>
      </w:r>
      <w:r w:rsidRPr="00685539">
        <w:rPr>
          <w:i/>
        </w:rPr>
        <w:t>Albaniens skyldigh</w:t>
      </w:r>
      <w:r w:rsidRPr="00685539">
        <w:rPr>
          <w:i/>
        </w:rPr>
        <w:t>e</w:t>
      </w:r>
      <w:r w:rsidRPr="00685539">
        <w:rPr>
          <w:i/>
        </w:rPr>
        <w:t xml:space="preserve">ter och åtaganden i Europarådet </w:t>
      </w:r>
      <w:r w:rsidRPr="00685539">
        <w:t>(dok. 11115, res. 1538). Församlingen välko</w:t>
      </w:r>
      <w:r w:rsidRPr="00685539">
        <w:t>m</w:t>
      </w:r>
      <w:r w:rsidRPr="00685539">
        <w:t>nar de framsteg Albanien gjort men kräver ytterligare åtgärder. I resol</w:t>
      </w:r>
      <w:r w:rsidRPr="00685539">
        <w:t>u</w:t>
      </w:r>
      <w:r w:rsidRPr="00685539">
        <w:t>tionen uppmärksammar församlingen att valet i Albanien i juni 2005 var det första valet med fredligt maktskifte sedan kommunismens fall. Däremot p</w:t>
      </w:r>
      <w:r w:rsidRPr="00685539">
        <w:t>å</w:t>
      </w:r>
      <w:r w:rsidRPr="00685539">
        <w:t>minner församlingen att valet bara delvis överensstämde med internationell sta</w:t>
      </w:r>
      <w:r w:rsidRPr="00685539">
        <w:t>n</w:t>
      </w:r>
      <w:r w:rsidRPr="00685539">
        <w:t>dard för demokratiska val. Församlingen välkomnar de åtgärder som gjorts för att införa nolltolerans i kampen mot organiserad brottslighet, mä</w:t>
      </w:r>
      <w:r w:rsidRPr="00685539">
        <w:t>n</w:t>
      </w:r>
      <w:r w:rsidRPr="00685539">
        <w:t>niskohandel och korruption men beklagar att vissa lagar utformats på ett sätt som inte varit förenligt med konstitutionen. Albanska myndigheter ska fortsätta reform</w:t>
      </w:r>
      <w:r w:rsidRPr="00685539">
        <w:t>e</w:t>
      </w:r>
      <w:r w:rsidRPr="00685539">
        <w:t>ringen av rättsväsendet. Europarådets expertis ska anlitas särskilt när det gäller domarkårens organisation. Albanien ska slutföra förändrin</w:t>
      </w:r>
      <w:r w:rsidRPr="00685539">
        <w:t>g</w:t>
      </w:r>
      <w:r w:rsidRPr="00685539">
        <w:t xml:space="preserve">en av den albanska televisionen från statskontrollerad till </w:t>
      </w:r>
      <w:r w:rsidR="00741470" w:rsidRPr="00685539">
        <w:t xml:space="preserve">tv </w:t>
      </w:r>
      <w:r w:rsidRPr="00685539">
        <w:t>i allmänhetens tjänst. Alb</w:t>
      </w:r>
      <w:r w:rsidRPr="00685539">
        <w:t>a</w:t>
      </w:r>
      <w:r w:rsidRPr="00685539">
        <w:t>nien har gjort framsteg för att stärka r</w:t>
      </w:r>
      <w:r w:rsidRPr="00685539">
        <w:t>e</w:t>
      </w:r>
      <w:r w:rsidRPr="00685539">
        <w:t>spekten för mänskliga rättigheter men uppmanas att genom förbättrad lagstiftning genomföra ra</w:t>
      </w:r>
      <w:r w:rsidRPr="00685539">
        <w:t>m</w:t>
      </w:r>
      <w:r w:rsidRPr="00685539">
        <w:t>konventionen för skydd av natione</w:t>
      </w:r>
      <w:r w:rsidRPr="00685539">
        <w:t>l</w:t>
      </w:r>
      <w:r w:rsidRPr="00685539">
        <w:t>la minoriteter. Då våld mot kvinnor och brister i skyddet av barns rättigheter är ett stort problem kräver församlingen effektiva åtgä</w:t>
      </w:r>
      <w:r w:rsidRPr="00685539">
        <w:t>r</w:t>
      </w:r>
      <w:r w:rsidRPr="00685539">
        <w:t>der för att förebygga våld mot kvinnor, främja kvinnors aktiva deltagande inom det politiska livet samt hantera problemen med närvaro i skolan och barnarb</w:t>
      </w:r>
      <w:r w:rsidRPr="00685539">
        <w:t>e</w:t>
      </w:r>
      <w:r w:rsidRPr="00685539">
        <w:t>te. Församlingen beslutade att fortsä</w:t>
      </w:r>
      <w:r w:rsidRPr="00685539">
        <w:t>t</w:t>
      </w:r>
      <w:r w:rsidRPr="00685539">
        <w:t>ta övervakningen av de skyldigheter och åtaganden Albanien har i Europarådet.</w:t>
      </w:r>
    </w:p>
    <w:p w:rsidR="00075C4B" w:rsidRPr="00685539" w:rsidRDefault="00075C4B" w:rsidP="00462A27">
      <w:pPr>
        <w:pStyle w:val="Rubrik3"/>
        <w:rPr>
          <w:noProof w:val="0"/>
        </w:rPr>
      </w:pPr>
      <w:bookmarkStart w:id="45" w:name="_Toc192059514"/>
      <w:r w:rsidRPr="00685539">
        <w:rPr>
          <w:noProof w:val="0"/>
        </w:rPr>
        <w:t>4.1.2 Azerbajdzjan</w:t>
      </w:r>
      <w:bookmarkEnd w:id="45"/>
    </w:p>
    <w:p w:rsidR="00075C4B" w:rsidRPr="00685539" w:rsidRDefault="00075C4B" w:rsidP="006C2C98">
      <w:r w:rsidRPr="00685539">
        <w:t xml:space="preserve">Vid aprilsessionen debatterade församlingen återigen </w:t>
      </w:r>
      <w:r w:rsidRPr="00685539">
        <w:rPr>
          <w:i/>
        </w:rPr>
        <w:t>Azerbajdzjans uppfy</w:t>
      </w:r>
      <w:r w:rsidRPr="00685539">
        <w:rPr>
          <w:i/>
        </w:rPr>
        <w:t>l</w:t>
      </w:r>
      <w:r w:rsidRPr="00685539">
        <w:rPr>
          <w:i/>
        </w:rPr>
        <w:t xml:space="preserve">lande av åtaganden som medlem i Europarådet </w:t>
      </w:r>
      <w:r w:rsidRPr="00685539">
        <w:t>(dok. 11226, res. 1545).</w:t>
      </w:r>
    </w:p>
    <w:p w:rsidR="00075C4B" w:rsidRPr="00685539" w:rsidRDefault="00075C4B" w:rsidP="006C2C98">
      <w:pPr>
        <w:pStyle w:val="Normaltindrag"/>
      </w:pPr>
      <w:r w:rsidRPr="00685539">
        <w:t>Redan innan Azerbajdzjan blev medlem år 2001 följde församlin</w:t>
      </w:r>
      <w:r w:rsidRPr="00685539">
        <w:t>g</w:t>
      </w:r>
      <w:r w:rsidRPr="00685539">
        <w:t>en den demokratiska utvecklingen i landet. Senast år 2005 granskades landets åt</w:t>
      </w:r>
      <w:r w:rsidRPr="00685539">
        <w:t>a</w:t>
      </w:r>
      <w:r w:rsidRPr="00685539">
        <w:t>ganden. Parlamentsvalet i Azerbajdzjan i nove</w:t>
      </w:r>
      <w:r w:rsidRPr="00685539">
        <w:t>m</w:t>
      </w:r>
      <w:r w:rsidRPr="00685539">
        <w:t xml:space="preserve">ber 2005 genomfördes på ett sätt som föranledde kritik </w:t>
      </w:r>
      <w:r w:rsidR="00741470" w:rsidRPr="00685539">
        <w:t xml:space="preserve">från </w:t>
      </w:r>
      <w:r w:rsidRPr="00685539">
        <w:t>de internationella valobservatörerna. En ko</w:t>
      </w:r>
      <w:r w:rsidRPr="00685539">
        <w:t>n</w:t>
      </w:r>
      <w:r w:rsidRPr="00685539">
        <w:t>sekvens blev en försvagad opposition</w:t>
      </w:r>
      <w:r w:rsidR="00741470" w:rsidRPr="00685539">
        <w:t>,</w:t>
      </w:r>
      <w:r w:rsidRPr="00685539">
        <w:t xml:space="preserve"> och ett flertal valda oppositionsme</w:t>
      </w:r>
      <w:r w:rsidRPr="00685539">
        <w:t>d</w:t>
      </w:r>
      <w:r w:rsidRPr="00685539">
        <w:t>lemmar har vägrat att delta i parlamentets arbete. Problem förekom bl.a. med rösträ</w:t>
      </w:r>
      <w:r w:rsidRPr="00685539">
        <w:t>k</w:t>
      </w:r>
      <w:r w:rsidRPr="00685539">
        <w:t>ningen i vissa valkretsar, inskränkning av mötesfriheten inför valet och myndighetschefers inblandning i valkampanjen. De azeriska delegaternas ackreditering godkändes av församlingen först efter fyllnadsvalet i maj 2006.</w:t>
      </w:r>
    </w:p>
    <w:p w:rsidR="00075C4B" w:rsidRPr="00685539" w:rsidRDefault="00075C4B" w:rsidP="006C2C98">
      <w:pPr>
        <w:pStyle w:val="Normaltindrag"/>
      </w:pPr>
      <w:r w:rsidRPr="00685539">
        <w:t xml:space="preserve">Azerbajdzjan har en stark ekonomi med en årlig tillväxt på ca </w:t>
      </w:r>
      <w:r w:rsidR="006C2C98" w:rsidRPr="00685539">
        <w:t>25 </w:t>
      </w:r>
      <w:r w:rsidRPr="00685539">
        <w:t xml:space="preserve">%. Den positiva utvecklingen hotas dock av korruption och allmän fattigdom. </w:t>
      </w:r>
    </w:p>
    <w:p w:rsidR="00075C4B" w:rsidRPr="00685539" w:rsidRDefault="00075C4B" w:rsidP="006C2C98">
      <w:pPr>
        <w:pStyle w:val="Normaltindrag"/>
      </w:pPr>
      <w:r w:rsidRPr="00685539">
        <w:t>Den långsamma reformtakten när det gäller de mänskliga rättigheterna och grundläggande friheterna får fortsatt kritik av försa</w:t>
      </w:r>
      <w:r w:rsidRPr="00685539">
        <w:t>m</w:t>
      </w:r>
      <w:r w:rsidRPr="00685539">
        <w:t>lingen. Problemet med de politiska fångarna är ännu inte löst. Azerbajdzjan har uppfyllt några av församlingens krav, men framstegen är inte tillräckliga. När det gäller Aze</w:t>
      </w:r>
      <w:r w:rsidRPr="00685539">
        <w:t>r</w:t>
      </w:r>
      <w:r w:rsidRPr="00685539">
        <w:t>baj</w:t>
      </w:r>
      <w:r w:rsidR="00CD212A" w:rsidRPr="00685539">
        <w:t>d</w:t>
      </w:r>
      <w:r w:rsidRPr="00685539">
        <w:t>zjans skyldigh</w:t>
      </w:r>
      <w:r w:rsidRPr="00685539">
        <w:t>e</w:t>
      </w:r>
      <w:r w:rsidRPr="00685539">
        <w:t>ter på demokratiområdet upprättar församlingen en lista på nö</w:t>
      </w:r>
      <w:r w:rsidRPr="00685539">
        <w:t>d</w:t>
      </w:r>
      <w:r w:rsidRPr="00685539">
        <w:t>vändiga förändringar. Detta gäller särskilt valadministrationen. Krav ställs på att Azerbajdzjans myndigheter inför valet 2008 fullt ut sama</w:t>
      </w:r>
      <w:r w:rsidRPr="00685539">
        <w:t>r</w:t>
      </w:r>
      <w:r w:rsidRPr="00685539">
        <w:t>betar med Europarådet. Samarbetet med Venedigko</w:t>
      </w:r>
      <w:r w:rsidRPr="00685539">
        <w:t>m</w:t>
      </w:r>
      <w:r w:rsidRPr="00685539">
        <w:t>misssionen när det gäller revisionen av vallagen välkomnas. Eur</w:t>
      </w:r>
      <w:r w:rsidRPr="00685539">
        <w:t>o</w:t>
      </w:r>
      <w:r w:rsidRPr="00685539">
        <w:t>parådets experthjälp för att reformera den azeriska lagstiftningen angående en konstitutionell domstol samt en civi</w:t>
      </w:r>
      <w:r w:rsidRPr="00685539">
        <w:t>l</w:t>
      </w:r>
      <w:r w:rsidRPr="00685539">
        <w:t>rättslig och straf</w:t>
      </w:r>
      <w:r w:rsidRPr="00685539">
        <w:t>f</w:t>
      </w:r>
      <w:r w:rsidRPr="00685539">
        <w:t>rättslig processordning bör fortsätta. Det behövs ett bättre rättsväsen och en bättre straffrättslig lagstiftning. Bristande mediefrihet, sä</w:t>
      </w:r>
      <w:r w:rsidRPr="00685539">
        <w:t>r</w:t>
      </w:r>
      <w:r w:rsidRPr="00685539">
        <w:t>skilt i samband med valet, tortyr och misshandel av personer som polisen gripit samt bristande respekt för grundläggande rättigheter som yt</w:t>
      </w:r>
      <w:r w:rsidRPr="00685539">
        <w:t>t</w:t>
      </w:r>
      <w:r w:rsidRPr="00685539">
        <w:t>rande- och föreningsfrihet är företeelser som inte är förenliga med Europar</w:t>
      </w:r>
      <w:r w:rsidRPr="00685539">
        <w:t>å</w:t>
      </w:r>
      <w:r w:rsidRPr="00685539">
        <w:t xml:space="preserve">dets normer, poängterar församlingen. </w:t>
      </w:r>
    </w:p>
    <w:p w:rsidR="00075C4B" w:rsidRPr="00685539" w:rsidRDefault="00075C4B" w:rsidP="006C2C98">
      <w:pPr>
        <w:pStyle w:val="Normaltindrag"/>
      </w:pPr>
      <w:r w:rsidRPr="00685539">
        <w:t>Församlingen noterar den goda samarbetsandan mellan försa</w:t>
      </w:r>
      <w:r w:rsidRPr="00685539">
        <w:t>m</w:t>
      </w:r>
      <w:r w:rsidRPr="00685539">
        <w:t>lingen och de azeriska myndigheterna</w:t>
      </w:r>
      <w:r w:rsidR="00CD212A" w:rsidRPr="00685539">
        <w:t>,</w:t>
      </w:r>
      <w:r w:rsidRPr="00685539">
        <w:t xml:space="preserve"> men eftersom Azerbajdzjan bara delvis efterlevt sina åtaganden som medlem av Europarådet beslutade församlingen att for</w:t>
      </w:r>
      <w:r w:rsidRPr="00685539">
        <w:t>t</w:t>
      </w:r>
      <w:r w:rsidRPr="00685539">
        <w:t xml:space="preserve">sätta granskningen av landet. </w:t>
      </w:r>
    </w:p>
    <w:p w:rsidR="00075C4B" w:rsidRPr="00685539" w:rsidRDefault="00075C4B" w:rsidP="006C2C98">
      <w:pPr>
        <w:pStyle w:val="Rubrik3"/>
        <w:rPr>
          <w:noProof w:val="0"/>
        </w:rPr>
      </w:pPr>
      <w:bookmarkStart w:id="46" w:name="_Toc192059515"/>
      <w:r w:rsidRPr="00685539">
        <w:rPr>
          <w:noProof w:val="0"/>
        </w:rPr>
        <w:t>4.1.3 Moldavien</w:t>
      </w:r>
      <w:bookmarkEnd w:id="46"/>
    </w:p>
    <w:p w:rsidR="00075C4B" w:rsidRPr="00685539" w:rsidRDefault="00075C4B" w:rsidP="006C2C98">
      <w:r w:rsidRPr="00685539">
        <w:t xml:space="preserve">Vid oktobersessionen debatterades en rapport om hur </w:t>
      </w:r>
      <w:r w:rsidRPr="00685539">
        <w:rPr>
          <w:i/>
        </w:rPr>
        <w:t>Moldavien efterlevt sina åtaganden som Europarådsmedlem</w:t>
      </w:r>
      <w:r w:rsidR="006C2C98" w:rsidRPr="00685539">
        <w:t xml:space="preserve"> (dok. 11374, </w:t>
      </w:r>
      <w:r w:rsidRPr="00685539">
        <w:t xml:space="preserve">rek. 1810, res. 1572). </w:t>
      </w:r>
      <w:r w:rsidRPr="00685539">
        <w:rPr>
          <w:iCs/>
        </w:rPr>
        <w:t>Mo</w:t>
      </w:r>
      <w:r w:rsidRPr="00685539">
        <w:rPr>
          <w:iCs/>
        </w:rPr>
        <w:t>l</w:t>
      </w:r>
      <w:r w:rsidRPr="00685539">
        <w:rPr>
          <w:iCs/>
        </w:rPr>
        <w:t>davien har varit medlem i Europarådet sedan 1995 men fortsätter att vara föremål för församlingens granskningsverksamhet. Den relativt stabila pol</w:t>
      </w:r>
      <w:r w:rsidRPr="00685539">
        <w:rPr>
          <w:iCs/>
        </w:rPr>
        <w:t>i</w:t>
      </w:r>
      <w:r w:rsidRPr="00685539">
        <w:rPr>
          <w:iCs/>
        </w:rPr>
        <w:t>tiska situationen efter parlamentsvalet i mars 2005 har nu gjort reformer mö</w:t>
      </w:r>
      <w:r w:rsidRPr="00685539">
        <w:rPr>
          <w:iCs/>
        </w:rPr>
        <w:t>j</w:t>
      </w:r>
      <w:r w:rsidRPr="00685539">
        <w:rPr>
          <w:iCs/>
        </w:rPr>
        <w:t>liga. Moldavien har gjort seriösa ansträngningar när det gäller landets åtaga</w:t>
      </w:r>
      <w:r w:rsidRPr="00685539">
        <w:rPr>
          <w:iCs/>
        </w:rPr>
        <w:t>n</w:t>
      </w:r>
      <w:r w:rsidRPr="00685539">
        <w:rPr>
          <w:iCs/>
        </w:rPr>
        <w:t>den i Europarådet</w:t>
      </w:r>
      <w:r w:rsidR="00CD212A" w:rsidRPr="00685539">
        <w:rPr>
          <w:iCs/>
        </w:rPr>
        <w:t>,</w:t>
      </w:r>
      <w:r w:rsidRPr="00685539">
        <w:rPr>
          <w:iCs/>
        </w:rPr>
        <w:t xml:space="preserve"> men åtskilligt kvarstår att göra. Parlamentet har genomfört ett ambitiöst lagstiftningsprogram som gällt bl.a. parl</w:t>
      </w:r>
      <w:r w:rsidRPr="00685539">
        <w:rPr>
          <w:iCs/>
        </w:rPr>
        <w:t>a</w:t>
      </w:r>
      <w:r w:rsidRPr="00685539">
        <w:rPr>
          <w:iCs/>
        </w:rPr>
        <w:t>mentets arbetsmetoder, rättsväsendets oberoende, vallagstiftning, reformering av säkerhetstjänsterna, lokalt självstyre och reform</w:t>
      </w:r>
      <w:r w:rsidRPr="00685539">
        <w:rPr>
          <w:iCs/>
        </w:rPr>
        <w:t>e</w:t>
      </w:r>
      <w:r w:rsidRPr="00685539">
        <w:rPr>
          <w:iCs/>
        </w:rPr>
        <w:t>ring av radiosändningar. Moldavien uppmanas att fortsätta refor</w:t>
      </w:r>
      <w:r w:rsidRPr="00685539">
        <w:rPr>
          <w:iCs/>
        </w:rPr>
        <w:t>m</w:t>
      </w:r>
      <w:r w:rsidRPr="00685539">
        <w:rPr>
          <w:iCs/>
        </w:rPr>
        <w:t>arbetet</w:t>
      </w:r>
      <w:r w:rsidR="00CD212A" w:rsidRPr="00685539">
        <w:rPr>
          <w:iCs/>
        </w:rPr>
        <w:t>,</w:t>
      </w:r>
      <w:r w:rsidRPr="00685539">
        <w:rPr>
          <w:iCs/>
        </w:rPr>
        <w:t xml:space="preserve"> bl.a. att bekämpa korruptionen, penningtvätten och människohandeln. </w:t>
      </w:r>
      <w:r w:rsidRPr="00685539">
        <w:rPr>
          <w:rFonts w:ascii="TimesNewRomanPSMT" w:hAnsi="TimesNewRomanPSMT" w:cs="TimesNewRomanPSMT"/>
        </w:rPr>
        <w:t>Genomförandet av parlamentsvalet 2005 och lokalv</w:t>
      </w:r>
      <w:r w:rsidRPr="00685539">
        <w:rPr>
          <w:rFonts w:ascii="TimesNewRomanPSMT" w:hAnsi="TimesNewRomanPSMT" w:cs="TimesNewRomanPSMT"/>
        </w:rPr>
        <w:t>a</w:t>
      </w:r>
      <w:r w:rsidRPr="00685539">
        <w:rPr>
          <w:rFonts w:ascii="TimesNewRomanPSMT" w:hAnsi="TimesNewRomanPSMT" w:cs="TimesNewRomanPSMT"/>
        </w:rPr>
        <w:t>let 2007 uppfyllde i huvudsak de internationella kriterierna för fria och rättvisa val. Avvikelser från europeisk standard för demokratiska val handlade fra</w:t>
      </w:r>
      <w:r w:rsidRPr="00685539">
        <w:rPr>
          <w:rFonts w:ascii="TimesNewRomanPSMT" w:hAnsi="TimesNewRomanPSMT" w:cs="TimesNewRomanPSMT"/>
        </w:rPr>
        <w:t>m</w:t>
      </w:r>
      <w:r w:rsidRPr="00685539">
        <w:rPr>
          <w:rFonts w:ascii="TimesNewRomanPSMT" w:hAnsi="TimesNewRomanPSMT" w:cs="TimesNewRomanPSMT"/>
        </w:rPr>
        <w:t>för allt om ojämlika förhållanden i medie</w:t>
      </w:r>
      <w:r w:rsidRPr="00685539">
        <w:rPr>
          <w:rFonts w:ascii="TimesNewRomanPSMT" w:hAnsi="TimesNewRomanPSMT" w:cs="TimesNewRomanPSMT"/>
        </w:rPr>
        <w:t>r</w:t>
      </w:r>
      <w:r w:rsidRPr="00685539">
        <w:rPr>
          <w:rFonts w:ascii="TimesNewRomanPSMT" w:hAnsi="TimesNewRomanPSMT" w:cs="TimesNewRomanPSMT"/>
        </w:rPr>
        <w:t xml:space="preserve">nas täckning av valkampanjen och respekten för valhemlighet. </w:t>
      </w:r>
      <w:r w:rsidRPr="00685539">
        <w:rPr>
          <w:iCs/>
        </w:rPr>
        <w:t>Församlingen välkomnar initiativ som syftar till ekonomisk tillväxt och manar till fortsatta ansträngningar för att främja en stark och hållbar ekonomisk utveckling. Konflikten i Transnistrien behöver få en lösning, påpekas det avslutningsvis. I väntan på flera refo</w:t>
      </w:r>
      <w:r w:rsidRPr="00685539">
        <w:rPr>
          <w:iCs/>
        </w:rPr>
        <w:t>r</w:t>
      </w:r>
      <w:r w:rsidRPr="00685539">
        <w:rPr>
          <w:iCs/>
        </w:rPr>
        <w:t xml:space="preserve">mer fortsätter församlingen att granska Moldaviens åtaganden som Europarådsmedlem. </w:t>
      </w:r>
    </w:p>
    <w:p w:rsidR="00075C4B" w:rsidRPr="00685539" w:rsidRDefault="00075C4B" w:rsidP="006C2C98">
      <w:pPr>
        <w:pStyle w:val="Rubrik3"/>
        <w:rPr>
          <w:noProof w:val="0"/>
        </w:rPr>
      </w:pPr>
      <w:bookmarkStart w:id="47" w:name="_Toc192059516"/>
      <w:r w:rsidRPr="00685539">
        <w:rPr>
          <w:noProof w:val="0"/>
        </w:rPr>
        <w:t>4.1.4 Monaco</w:t>
      </w:r>
      <w:bookmarkEnd w:id="47"/>
    </w:p>
    <w:p w:rsidR="00075C4B" w:rsidRPr="00685539" w:rsidRDefault="00075C4B" w:rsidP="006C2C98">
      <w:r w:rsidRPr="00685539">
        <w:rPr>
          <w:i/>
        </w:rPr>
        <w:t>Monaco</w:t>
      </w:r>
      <w:r w:rsidRPr="00685539">
        <w:t xml:space="preserve"> lämnade in sin medlemskapsansökan i oktober 1998. Under de efte</w:t>
      </w:r>
      <w:r w:rsidRPr="00685539">
        <w:t>r</w:t>
      </w:r>
      <w:r w:rsidRPr="00685539">
        <w:t>följande sex åren undersökte församlingen om Monaco uppfyller Europar</w:t>
      </w:r>
      <w:r w:rsidRPr="00685539">
        <w:t>å</w:t>
      </w:r>
      <w:r w:rsidRPr="00685539">
        <w:t>dets normer. Monacos reformarbete skapade förutsättningar för landets me</w:t>
      </w:r>
      <w:r w:rsidRPr="00685539">
        <w:t>d</w:t>
      </w:r>
      <w:r w:rsidRPr="00685539">
        <w:t>lemskap i Europarådet under 2004. Församlingen hade ställt ett antal krav för medlemskap: en konstitutionell reform som också berörde parlamentets bef</w:t>
      </w:r>
      <w:r w:rsidRPr="00685539">
        <w:t>o</w:t>
      </w:r>
      <w:r w:rsidRPr="00685539">
        <w:t>genheter, ett nytt valsystem samt en ny medborgarskapslag. Dessutom ansåg församlingen att Monacos fördrag med Frankrike innebar begrän</w:t>
      </w:r>
      <w:r w:rsidRPr="00685539">
        <w:t>s</w:t>
      </w:r>
      <w:r w:rsidRPr="00685539">
        <w:t>ningar i landets suveränitet. Monaco måste dessutom uppfylla OECD:s kriterier när det gäller skattesamarbete. I april 2004 til</w:t>
      </w:r>
      <w:r w:rsidRPr="00685539">
        <w:t>l</w:t>
      </w:r>
      <w:r w:rsidRPr="00685539">
        <w:t>styrkte församlingen Monacos ansökan om medlemskap under villkor att en överenskommelse nås om r</w:t>
      </w:r>
      <w:r w:rsidRPr="00685539">
        <w:t>e</w:t>
      </w:r>
      <w:r w:rsidRPr="00685539">
        <w:t xml:space="preserve">formeringen av Monacos fördrag med Frankrike (yttrande 250). </w:t>
      </w:r>
    </w:p>
    <w:p w:rsidR="00075C4B" w:rsidRPr="00685539" w:rsidRDefault="00075C4B" w:rsidP="006C2C98">
      <w:pPr>
        <w:pStyle w:val="Normaltindrag"/>
        <w:rPr>
          <w:sz w:val="22"/>
          <w:szCs w:val="22"/>
        </w:rPr>
      </w:pPr>
      <w:r w:rsidRPr="00685539">
        <w:rPr>
          <w:rStyle w:val="NormaltindragChar"/>
        </w:rPr>
        <w:t>Ett halvt år efter Monacos tillträde startade församlingens granskningsu</w:t>
      </w:r>
      <w:r w:rsidRPr="00685539">
        <w:rPr>
          <w:rStyle w:val="NormaltindragChar"/>
        </w:rPr>
        <w:t>t</w:t>
      </w:r>
      <w:r w:rsidRPr="00685539">
        <w:rPr>
          <w:rStyle w:val="NormaltindragChar"/>
        </w:rPr>
        <w:t>skott uppföljningen av efterlevnaden av landets åtaganden. Utskottets rapport d</w:t>
      </w:r>
      <w:r w:rsidRPr="00685539">
        <w:rPr>
          <w:rStyle w:val="NormaltindragChar"/>
        </w:rPr>
        <w:t>e</w:t>
      </w:r>
      <w:r w:rsidRPr="00685539">
        <w:rPr>
          <w:rStyle w:val="NormaltindragChar"/>
        </w:rPr>
        <w:t>batterades vid junisessionen (dok. 11299, res. 1544). Sedan tillträdet hade Monaco ratificerat 30 av Europarådets 200 konventioner. Parlamentarikerna beklagar dock att Monaco ännu inte ratificerat protokoll nr 1 till Europako</w:t>
      </w:r>
      <w:r w:rsidRPr="00685539">
        <w:rPr>
          <w:rStyle w:val="NormaltindragChar"/>
        </w:rPr>
        <w:t>n</w:t>
      </w:r>
      <w:r w:rsidRPr="00685539">
        <w:rPr>
          <w:rStyle w:val="NormaltindragChar"/>
        </w:rPr>
        <w:t>ventionen (CETS 9)</w:t>
      </w:r>
      <w:r w:rsidR="007D57C5" w:rsidRPr="00685539">
        <w:rPr>
          <w:rStyle w:val="NormaltindragChar"/>
        </w:rPr>
        <w:t xml:space="preserve"> </w:t>
      </w:r>
      <w:r w:rsidRPr="00685539">
        <w:rPr>
          <w:rStyle w:val="NormaltindragChar"/>
        </w:rPr>
        <w:t>som inbegriper bl.a. skydd för egendom, rätt till unde</w:t>
      </w:r>
      <w:r w:rsidRPr="00685539">
        <w:rPr>
          <w:rStyle w:val="NormaltindragChar"/>
        </w:rPr>
        <w:t>r</w:t>
      </w:r>
      <w:r w:rsidRPr="00685539">
        <w:rPr>
          <w:rStyle w:val="NormaltindragChar"/>
        </w:rPr>
        <w:t xml:space="preserve">visning och rätt till fria val. Församlingen uttrycker sin tillfredsställelse </w:t>
      </w:r>
      <w:r w:rsidR="00DB3483" w:rsidRPr="00685539">
        <w:rPr>
          <w:rStyle w:val="NormaltindragChar"/>
        </w:rPr>
        <w:t xml:space="preserve">över </w:t>
      </w:r>
      <w:r w:rsidRPr="00685539">
        <w:rPr>
          <w:rStyle w:val="NormaltindragChar"/>
        </w:rPr>
        <w:t>att Monaco bl.a. gjort ändringar i brottsbalken för att bättre kunna bekämpa penningtvätt. Församlingen uppmanar Monaco att snarast möjligt genom ny lagstiftning förbättra nationalförsamlingens arbete och organisation. Lagstif</w:t>
      </w:r>
      <w:r w:rsidRPr="00685539">
        <w:rPr>
          <w:rStyle w:val="NormaltindragChar"/>
        </w:rPr>
        <w:t>t</w:t>
      </w:r>
      <w:r w:rsidRPr="00685539">
        <w:rPr>
          <w:rStyle w:val="NormaltindragChar"/>
        </w:rPr>
        <w:t>ning rekommenderas även när de</w:t>
      </w:r>
      <w:r w:rsidR="007D57C5" w:rsidRPr="00685539">
        <w:rPr>
          <w:rStyle w:val="NormaltindragChar"/>
        </w:rPr>
        <w:t>t gäller politiska partier inklusive</w:t>
      </w:r>
      <w:r w:rsidRPr="00685539">
        <w:rPr>
          <w:rStyle w:val="NormaltindragChar"/>
        </w:rPr>
        <w:t xml:space="preserve"> partifina</w:t>
      </w:r>
      <w:r w:rsidRPr="00685539">
        <w:rPr>
          <w:rStyle w:val="NormaltindragChar"/>
        </w:rPr>
        <w:t>n</w:t>
      </w:r>
      <w:r w:rsidRPr="00685539">
        <w:rPr>
          <w:rStyle w:val="NormaltindragChar"/>
        </w:rPr>
        <w:t>siering. Församlingen beslutar att fortsätta granskningen i avvaktan på flera reformer.</w:t>
      </w:r>
      <w:r w:rsidRPr="00685539">
        <w:rPr>
          <w:sz w:val="22"/>
          <w:szCs w:val="22"/>
        </w:rPr>
        <w:t xml:space="preserve">  </w:t>
      </w:r>
    </w:p>
    <w:p w:rsidR="00075C4B" w:rsidRPr="00685539" w:rsidRDefault="00075C4B" w:rsidP="00DB3483">
      <w:pPr>
        <w:pStyle w:val="Rubrik2"/>
        <w:spacing w:after="0"/>
      </w:pPr>
      <w:bookmarkStart w:id="48" w:name="_Toc192059517"/>
      <w:r w:rsidRPr="00685539">
        <w:t>4.2 Politiska frågor</w:t>
      </w:r>
      <w:bookmarkEnd w:id="48"/>
    </w:p>
    <w:p w:rsidR="00075C4B" w:rsidRPr="00685539" w:rsidRDefault="00075C4B" w:rsidP="00DB3483">
      <w:pPr>
        <w:pStyle w:val="Rubrik3"/>
        <w:rPr>
          <w:noProof w:val="0"/>
        </w:rPr>
      </w:pPr>
      <w:bookmarkStart w:id="49" w:name="_Toc192059518"/>
      <w:r w:rsidRPr="00685539">
        <w:rPr>
          <w:noProof w:val="0"/>
        </w:rPr>
        <w:t>4.2.1 Demokratins utveckling i Europa</w:t>
      </w:r>
      <w:bookmarkEnd w:id="49"/>
      <w:r w:rsidRPr="00685539">
        <w:rPr>
          <w:noProof w:val="0"/>
        </w:rPr>
        <w:t xml:space="preserve"> </w:t>
      </w:r>
    </w:p>
    <w:p w:rsidR="00075C4B" w:rsidRPr="00685539" w:rsidRDefault="00075C4B" w:rsidP="006C2C98">
      <w:r w:rsidRPr="00685539">
        <w:t xml:space="preserve">Vid aprilsessionen ägnade församlingen en arbetsdag åt att debattera </w:t>
      </w:r>
      <w:r w:rsidRPr="00685539">
        <w:rPr>
          <w:i/>
        </w:rPr>
        <w:t>dem</w:t>
      </w:r>
      <w:r w:rsidRPr="00685539">
        <w:rPr>
          <w:i/>
        </w:rPr>
        <w:t>o</w:t>
      </w:r>
      <w:r w:rsidRPr="00685539">
        <w:rPr>
          <w:i/>
        </w:rPr>
        <w:t>krati</w:t>
      </w:r>
      <w:r w:rsidRPr="00685539">
        <w:t xml:space="preserve"> och </w:t>
      </w:r>
      <w:r w:rsidRPr="00685539">
        <w:rPr>
          <w:i/>
        </w:rPr>
        <w:t xml:space="preserve">mänskliga rättigheter. </w:t>
      </w:r>
      <w:r w:rsidRPr="00685539">
        <w:t>Underlaget för debatten om demokratins tillstånd var en rapport som utarbetats av det pol</w:t>
      </w:r>
      <w:r w:rsidRPr="00685539">
        <w:t>i</w:t>
      </w:r>
      <w:r w:rsidRPr="00685539">
        <w:t>tiska utskottet (dok. 11203, 11215, 11218, 11219, 11220, 11221, res. 1547). I sitt öppningsanförande uppmanade församlingens president alla nationella parlament att genomföra debatter om MR-frågor på nationell nivå. Det skulle kunna bidra till att rege</w:t>
      </w:r>
      <w:r w:rsidRPr="00685539">
        <w:t>r</w:t>
      </w:r>
      <w:r w:rsidRPr="00685539">
        <w:t>ingarna på allvar beaktar dessa frågor. D</w:t>
      </w:r>
      <w:r w:rsidRPr="00685539">
        <w:rPr>
          <w:shd w:val="clear" w:color="auto" w:fill="FFFFFF"/>
        </w:rPr>
        <w:t>e nationella parlamenten har en vi</w:t>
      </w:r>
      <w:r w:rsidRPr="00685539">
        <w:rPr>
          <w:shd w:val="clear" w:color="auto" w:fill="FFFFFF"/>
        </w:rPr>
        <w:t>k</w:t>
      </w:r>
      <w:r w:rsidRPr="00685539">
        <w:rPr>
          <w:shd w:val="clear" w:color="auto" w:fill="FFFFFF"/>
        </w:rPr>
        <w:t xml:space="preserve">tig roll att spela och bör ta vara på denna potential. Det finns ett </w:t>
      </w:r>
      <w:r w:rsidRPr="00685539">
        <w:t>behov av att utveckla närmare relationer mellan församlingen och de utskott i nationella parlament som arbetar med mänskliga rättigheter. Därigenom kan ett syst</w:t>
      </w:r>
      <w:r w:rsidRPr="00685539">
        <w:t>e</w:t>
      </w:r>
      <w:r w:rsidRPr="00685539">
        <w:t>matiskt samarbete komma till stånd och församlingens rekommendationer följas upp mer effektivt.</w:t>
      </w:r>
    </w:p>
    <w:p w:rsidR="00075C4B" w:rsidRPr="00685539" w:rsidRDefault="00075C4B" w:rsidP="006C2C98">
      <w:pPr>
        <w:pStyle w:val="Normaltindrag"/>
      </w:pPr>
      <w:r w:rsidRPr="00685539">
        <w:t xml:space="preserve">När det gäller den demokratiska utvecklingen framhåller församlingen tendenser till ett växande politiskt missnöje bland medborgarna runt om i Europa. Det visar </w:t>
      </w:r>
      <w:r w:rsidR="002F406B" w:rsidRPr="00685539">
        <w:t>s</w:t>
      </w:r>
      <w:r w:rsidRPr="00685539">
        <w:t>ig bl.a. i lågt valdeltagande och minskat politiskt engag</w:t>
      </w:r>
      <w:r w:rsidRPr="00685539">
        <w:t>e</w:t>
      </w:r>
      <w:r w:rsidRPr="00685539">
        <w:t>mang. I vissa medlemsländer förekommer fortfarande brott mot grundlägga</w:t>
      </w:r>
      <w:r w:rsidRPr="00685539">
        <w:t>n</w:t>
      </w:r>
      <w:r w:rsidRPr="00685539">
        <w:t>de demokratiska rätti</w:t>
      </w:r>
      <w:r w:rsidRPr="00685539">
        <w:t>g</w:t>
      </w:r>
      <w:r w:rsidRPr="00685539">
        <w:t>heter såsom yttrandefrihet och föreningsfrihet. Vikten av fria, represent</w:t>
      </w:r>
      <w:r w:rsidRPr="00685539">
        <w:softHyphen/>
        <w:t>ativa och rättvisa val understryks, liksom vikten av fria m</w:t>
      </w:r>
      <w:r w:rsidRPr="00685539">
        <w:t>e</w:t>
      </w:r>
      <w:r w:rsidRPr="00685539">
        <w:t>dier. Församlingen menar också att det i väletablerade demokr</w:t>
      </w:r>
      <w:r w:rsidRPr="00685539">
        <w:t>a</w:t>
      </w:r>
      <w:r w:rsidRPr="00685539">
        <w:t>tier inte bör finnas e</w:t>
      </w:r>
      <w:r w:rsidR="002F406B" w:rsidRPr="00685539">
        <w:t>n högre spärregel än 3 %</w:t>
      </w:r>
      <w:r w:rsidRPr="00685539">
        <w:t xml:space="preserve"> i val till parlamentet. Medlemsstaterna bör öv</w:t>
      </w:r>
      <w:r w:rsidR="0015164F" w:rsidRPr="00685539">
        <w:t>erväga om inte direktdemokrati –</w:t>
      </w:r>
      <w:r w:rsidRPr="00685539">
        <w:t xml:space="preserve"> exempelvis folkomröstningar och me</w:t>
      </w:r>
      <w:r w:rsidRPr="00685539">
        <w:t>d</w:t>
      </w:r>
      <w:r w:rsidRPr="00685539">
        <w:t>borgar</w:t>
      </w:r>
      <w:r w:rsidR="0015164F" w:rsidRPr="00685539">
        <w:t>initiativ –</w:t>
      </w:r>
      <w:r w:rsidRPr="00685539">
        <w:t xml:space="preserve"> i högre utsträckning kan användas för att öka medborgarnas deltagande och engagemang i det politiska livet. Vidare för</w:t>
      </w:r>
      <w:r w:rsidRPr="00685539">
        <w:t>e</w:t>
      </w:r>
      <w:r w:rsidR="0015164F" w:rsidRPr="00685539">
        <w:t>slås</w:t>
      </w:r>
      <w:r w:rsidRPr="00685539">
        <w:t xml:space="preserve"> regler för politisk lobbyingverksamhet. </w:t>
      </w:r>
    </w:p>
    <w:p w:rsidR="00075C4B" w:rsidRPr="00685539" w:rsidRDefault="00075C4B" w:rsidP="006C2C98">
      <w:pPr>
        <w:pStyle w:val="Normaltindrag"/>
      </w:pPr>
      <w:r w:rsidRPr="00685539">
        <w:rPr>
          <w:i/>
        </w:rPr>
        <w:t>Göran Lindblad</w:t>
      </w:r>
      <w:r w:rsidRPr="00685539">
        <w:t xml:space="preserve"> efterlyste idéer och ideologi i sitt debattinlägg. Det b</w:t>
      </w:r>
      <w:r w:rsidRPr="00685539">
        <w:t>e</w:t>
      </w:r>
      <w:r w:rsidRPr="00685539">
        <w:t xml:space="preserve">hövdes mera känsla och engagemang </w:t>
      </w:r>
      <w:r w:rsidR="0015164F" w:rsidRPr="00685539">
        <w:t xml:space="preserve">i </w:t>
      </w:r>
      <w:r w:rsidRPr="00685539">
        <w:t>den politiska debatten. Han ansåg att konsensusbeslut sätter stopp för debatter och o</w:t>
      </w:r>
      <w:r w:rsidRPr="00685539">
        <w:t>m</w:t>
      </w:r>
      <w:r w:rsidRPr="00685539">
        <w:t>röstningar. Parlamentariker är vana att votera när de inte samtycker, påpekade Lindblad och varnade</w:t>
      </w:r>
      <w:r w:rsidR="0015164F" w:rsidRPr="00685539">
        <w:t xml:space="preserve"> för</w:t>
      </w:r>
      <w:r w:rsidRPr="00685539">
        <w:t xml:space="preserve"> att beslut</w:t>
      </w:r>
      <w:r w:rsidRPr="00685539">
        <w:t>s</w:t>
      </w:r>
      <w:r w:rsidRPr="00685539">
        <w:t>modeller baserade på konsensus kan leda bort från demokratin i stället för att främja den.</w:t>
      </w:r>
    </w:p>
    <w:p w:rsidR="00075C4B" w:rsidRPr="00685539" w:rsidRDefault="00075C4B" w:rsidP="006C2C98">
      <w:pPr>
        <w:pStyle w:val="Normaltindrag"/>
      </w:pPr>
      <w:r w:rsidRPr="00685539">
        <w:rPr>
          <w:i/>
        </w:rPr>
        <w:t>Kerstin Lundgren</w:t>
      </w:r>
      <w:r w:rsidRPr="00685539">
        <w:t xml:space="preserve"> talade om vikten av att Europarådet fokuserar på grun</w:t>
      </w:r>
      <w:r w:rsidRPr="00685539">
        <w:t>d</w:t>
      </w:r>
      <w:r w:rsidRPr="00685539">
        <w:t>läggande mänskliga rättigheter och demokratifrågor. Kampen för demokrati och mänskliga rättigheter pågår varje dag</w:t>
      </w:r>
      <w:r w:rsidR="0015164F" w:rsidRPr="00685539">
        <w:t>,</w:t>
      </w:r>
      <w:r w:rsidRPr="00685539">
        <w:t xml:space="preserve"> och nya utmaningar och hot til</w:t>
      </w:r>
      <w:r w:rsidRPr="00685539">
        <w:t>l</w:t>
      </w:r>
      <w:r w:rsidRPr="00685539">
        <w:t>kommer. Det är viktigt att debatten också förs i medlemsländernas parlament. Europarådet står inför en stor utmaning när det gäller att upprätthålla rättss</w:t>
      </w:r>
      <w:r w:rsidRPr="00685539">
        <w:t>ä</w:t>
      </w:r>
      <w:r w:rsidRPr="00685539">
        <w:t xml:space="preserve">kerhet, mänskliga rättigheter och demokrati, inte bara genom fina tal utan i verkligheten. Nu </w:t>
      </w:r>
      <w:r w:rsidR="0015164F" w:rsidRPr="00685539">
        <w:t xml:space="preserve">måste </w:t>
      </w:r>
      <w:r w:rsidRPr="00685539">
        <w:t>Europarådet spela en aktiv roll i att säkerställa att kampen mot terrorism inte underminerar skyddet för de mänskliga rättigh</w:t>
      </w:r>
      <w:r w:rsidRPr="00685539">
        <w:t>e</w:t>
      </w:r>
      <w:r w:rsidRPr="00685539">
        <w:t>terna. Misslyckas man med detta kommer effekterna att märkas i resten av världen.</w:t>
      </w:r>
    </w:p>
    <w:p w:rsidR="00075C4B" w:rsidRPr="00685539" w:rsidRDefault="00075C4B" w:rsidP="006C2C98">
      <w:pPr>
        <w:pStyle w:val="Rubrik3"/>
        <w:rPr>
          <w:noProof w:val="0"/>
        </w:rPr>
      </w:pPr>
      <w:bookmarkStart w:id="50" w:name="_Toc192059519"/>
      <w:r w:rsidRPr="00685539">
        <w:rPr>
          <w:noProof w:val="0"/>
        </w:rPr>
        <w:t>4.2.2 Kosovo</w:t>
      </w:r>
      <w:bookmarkEnd w:id="50"/>
    </w:p>
    <w:p w:rsidR="00075C4B" w:rsidRPr="00685539" w:rsidRDefault="00075C4B" w:rsidP="006C2C98">
      <w:r w:rsidRPr="00685539">
        <w:t>Vid januarisessionen, en dryg vecka innan FN:s generalsekreterares sänd</w:t>
      </w:r>
      <w:r w:rsidRPr="00685539">
        <w:t>e</w:t>
      </w:r>
      <w:r w:rsidRPr="00685539">
        <w:t xml:space="preserve">bud för Kosovo Martti Ahtisaari lade fram sina förslag om Kosovos framtida status, debatterade församlingen </w:t>
      </w:r>
      <w:r w:rsidRPr="00685539">
        <w:rPr>
          <w:i/>
        </w:rPr>
        <w:t>situationen i Kosovo</w:t>
      </w:r>
      <w:r w:rsidRPr="00685539">
        <w:t xml:space="preserve"> (dok. 11018 med bil</w:t>
      </w:r>
      <w:r w:rsidRPr="00685539">
        <w:t>a</w:t>
      </w:r>
      <w:r w:rsidRPr="00685539">
        <w:t>ga, rek. 1780, res. 1533). Ahtisaari medverkade vid debatten. Rapportörens förslag om Kosovos självständighet som lösning för att skapa hållbar, lån</w:t>
      </w:r>
      <w:r w:rsidRPr="00685539">
        <w:t>g</w:t>
      </w:r>
      <w:r w:rsidRPr="00685539">
        <w:t>siktig fred och stabilitet i regionen antogs inte. Församlingen uppmanar i stället Serbien och de provisoriska myndigheterna i Kosovo att vara fle</w:t>
      </w:r>
      <w:r w:rsidRPr="00685539">
        <w:t>x</w:t>
      </w:r>
      <w:r w:rsidRPr="00685539">
        <w:t>ibla och pragmatiska. En av internationella samfundet påtvingad lösning kan bli nödvändig som en sista åtgärd. Ett antal villkor nämns för stabil utveckling på västra Balkan, bl.a. att Europako</w:t>
      </w:r>
      <w:r w:rsidRPr="00685539">
        <w:t>n</w:t>
      </w:r>
      <w:r w:rsidRPr="00685539">
        <w:t>ventionen och andra rättsliga instrument tillämpas i Kosovo. Min</w:t>
      </w:r>
      <w:r w:rsidRPr="00685539">
        <w:t>o</w:t>
      </w:r>
      <w:r w:rsidRPr="00685539">
        <w:t>ritetsfrågorna tas också upp. Europarådet kan spela en roll i Kos</w:t>
      </w:r>
      <w:r w:rsidRPr="00685539">
        <w:t>o</w:t>
      </w:r>
      <w:r w:rsidRPr="00685539">
        <w:t>vo, menar församlingen och uppmanar EU att i högre grad anlita Europarådet i unionens verksamhet i Kosovo. Vidare uppmanas ministe</w:t>
      </w:r>
      <w:r w:rsidRPr="00685539">
        <w:t>r</w:t>
      </w:r>
      <w:r w:rsidRPr="00685539">
        <w:t xml:space="preserve">kommittén </w:t>
      </w:r>
      <w:r w:rsidR="0015164F" w:rsidRPr="00685539">
        <w:t xml:space="preserve">att </w:t>
      </w:r>
      <w:r w:rsidRPr="00685539">
        <w:t>ge Europarådet en nyckelroll för att, i samarbete med andra org</w:t>
      </w:r>
      <w:r w:rsidRPr="00685539">
        <w:t>a</w:t>
      </w:r>
      <w:r w:rsidRPr="00685539">
        <w:t>nisationer, säkerställa att skyddet av mänskliga rättigheter gäller alla i Kos</w:t>
      </w:r>
      <w:r w:rsidRPr="00685539">
        <w:t>o</w:t>
      </w:r>
      <w:r w:rsidRPr="00685539">
        <w:t xml:space="preserve">vo. </w:t>
      </w:r>
    </w:p>
    <w:p w:rsidR="00075C4B" w:rsidRPr="00685539" w:rsidRDefault="00075C4B" w:rsidP="006C2C98">
      <w:pPr>
        <w:pStyle w:val="Rubrik3"/>
        <w:rPr>
          <w:noProof w:val="0"/>
        </w:rPr>
      </w:pPr>
      <w:bookmarkStart w:id="51" w:name="_Toc192059520"/>
      <w:r w:rsidRPr="00685539">
        <w:rPr>
          <w:noProof w:val="0"/>
        </w:rPr>
        <w:t>4.2.3 Konsekvenser när energin används som politiskt påtryckningsmedel</w:t>
      </w:r>
      <w:bookmarkEnd w:id="51"/>
    </w:p>
    <w:p w:rsidR="00075C4B" w:rsidRPr="00685539" w:rsidRDefault="00075C4B" w:rsidP="006C2C98">
      <w:r w:rsidRPr="00685539">
        <w:t>De kriser som uppstått efter att Ryssland som ett led i förhandlin</w:t>
      </w:r>
      <w:r w:rsidRPr="00685539">
        <w:t>g</w:t>
      </w:r>
      <w:r w:rsidRPr="00685539">
        <w:t>ar med sina grannländer strypt gas- och oljeleveranser utgjorde bakgrunden till parlame</w:t>
      </w:r>
      <w:r w:rsidRPr="00685539">
        <w:t>n</w:t>
      </w:r>
      <w:r w:rsidRPr="00685539">
        <w:t>tariska församlingens debatt vid januar</w:t>
      </w:r>
      <w:r w:rsidRPr="00685539">
        <w:t>i</w:t>
      </w:r>
      <w:r w:rsidRPr="00685539">
        <w:t xml:space="preserve">sessionen om </w:t>
      </w:r>
      <w:r w:rsidRPr="00685539">
        <w:rPr>
          <w:i/>
        </w:rPr>
        <w:t>följder av att använda energi som politisk utpressning</w:t>
      </w:r>
      <w:r w:rsidRPr="00685539">
        <w:t xml:space="preserve"> (dok. 11116, rek. 1779, res. 1531). Försa</w:t>
      </w:r>
      <w:r w:rsidRPr="00685539">
        <w:t>m</w:t>
      </w:r>
      <w:r w:rsidRPr="00685539">
        <w:t>lingen understryker Europas växande energiberoende och vikten av säkerhet i energ</w:t>
      </w:r>
      <w:r w:rsidRPr="00685539">
        <w:t>i</w:t>
      </w:r>
      <w:r w:rsidRPr="00685539">
        <w:t>försörjningen för ekonomisk utveckling. Rysslands agerande beklagas och Gazproms monopolliknande ställning inger oro. EU:s ansträn</w:t>
      </w:r>
      <w:r w:rsidRPr="00685539">
        <w:t>g</w:t>
      </w:r>
      <w:r w:rsidRPr="00685539">
        <w:t>ningar inom området välkomnas. Det finns behov av stabila och hållbara ekonomi</w:t>
      </w:r>
      <w:r w:rsidRPr="00685539">
        <w:t>s</w:t>
      </w:r>
      <w:r w:rsidRPr="00685539">
        <w:t>ka relationer mellan Ryssland och de e</w:t>
      </w:r>
      <w:r w:rsidRPr="00685539">
        <w:t>u</w:t>
      </w:r>
      <w:r w:rsidRPr="00685539">
        <w:t>ropeiska länder som är beroende av import av rysk energi. Lån</w:t>
      </w:r>
      <w:r w:rsidRPr="00685539">
        <w:t>g</w:t>
      </w:r>
      <w:r w:rsidRPr="00685539">
        <w:t>siktiga avtal, öppenhet och klara konkurrensregler vore fördelaktigt för alla länder. Diversifiering av energikällor, ökad energie</w:t>
      </w:r>
      <w:r w:rsidRPr="00685539">
        <w:t>f</w:t>
      </w:r>
      <w:r w:rsidRPr="00685539">
        <w:t>fektivitet och kärnkraft berörs också. Församlingen förordar en paneur</w:t>
      </w:r>
      <w:r w:rsidRPr="00685539">
        <w:t>o</w:t>
      </w:r>
      <w:r w:rsidRPr="00685539">
        <w:t xml:space="preserve">peisk tankesmedja för att formulera en gemensam energistrategi. </w:t>
      </w:r>
    </w:p>
    <w:p w:rsidR="00075C4B" w:rsidRPr="00685539" w:rsidRDefault="00075C4B" w:rsidP="006C2C98">
      <w:pPr>
        <w:pStyle w:val="Normaltindrag"/>
      </w:pPr>
      <w:r w:rsidRPr="00685539">
        <w:rPr>
          <w:i/>
        </w:rPr>
        <w:t>Göran Lindblad</w:t>
      </w:r>
      <w:r w:rsidRPr="00685539">
        <w:t xml:space="preserve"> välkomnade rapporten som lyfte fram behovet av mer s</w:t>
      </w:r>
      <w:r w:rsidRPr="00685539">
        <w:t>o</w:t>
      </w:r>
      <w:r w:rsidRPr="00685539">
        <w:t>lid</w:t>
      </w:r>
      <w:r w:rsidRPr="00685539">
        <w:t>a</w:t>
      </w:r>
      <w:r w:rsidRPr="00685539">
        <w:t>ritet, marknadsekonomi och respekt för rättsstatens principer. Han såg debatten som en början på ökad energimedvetenhet bland Europarådets me</w:t>
      </w:r>
      <w:r w:rsidRPr="00685539">
        <w:t>d</w:t>
      </w:r>
      <w:r w:rsidRPr="00685539">
        <w:t>lem</w:t>
      </w:r>
      <w:r w:rsidRPr="00685539">
        <w:t>s</w:t>
      </w:r>
      <w:r w:rsidRPr="00685539">
        <w:t xml:space="preserve">länder.  </w:t>
      </w:r>
    </w:p>
    <w:p w:rsidR="00075C4B" w:rsidRPr="00685539" w:rsidRDefault="00075C4B" w:rsidP="006C2C98">
      <w:pPr>
        <w:pStyle w:val="Rubrik3"/>
        <w:rPr>
          <w:noProof w:val="0"/>
        </w:rPr>
      </w:pPr>
      <w:bookmarkStart w:id="52" w:name="_Toc192059521"/>
      <w:r w:rsidRPr="00685539">
        <w:rPr>
          <w:noProof w:val="0"/>
        </w:rPr>
        <w:t>4.2.4 Situationen i Mellanöstern</w:t>
      </w:r>
      <w:bookmarkEnd w:id="52"/>
    </w:p>
    <w:p w:rsidR="00075C4B" w:rsidRPr="00685539" w:rsidRDefault="00075C4B" w:rsidP="006C2C98">
      <w:r w:rsidRPr="00685539">
        <w:t xml:space="preserve">När församlingen behandlade en rapport om </w:t>
      </w:r>
      <w:r w:rsidRPr="00685539">
        <w:rPr>
          <w:i/>
        </w:rPr>
        <w:t>situationen i Mella</w:t>
      </w:r>
      <w:r w:rsidRPr="00685539">
        <w:rPr>
          <w:i/>
        </w:rPr>
        <w:t>n</w:t>
      </w:r>
      <w:r w:rsidRPr="00685539">
        <w:rPr>
          <w:i/>
        </w:rPr>
        <w:t>östern</w:t>
      </w:r>
      <w:r w:rsidRPr="00685539">
        <w:t xml:space="preserve"> (dok. 11250, res. 1550) vid aprilsessionen var det med fokus på konflikten mellan Israel och det palestinska självstyret. Det brådskar att återuppta fredsproce</w:t>
      </w:r>
      <w:r w:rsidRPr="00685539">
        <w:t>s</w:t>
      </w:r>
      <w:r w:rsidRPr="00685539">
        <w:t>sen och nå en tvåstatslösning. Med tanke på att Israel har observatör</w:t>
      </w:r>
      <w:r w:rsidRPr="00685539">
        <w:t>s</w:t>
      </w:r>
      <w:r w:rsidRPr="00685539">
        <w:t>status i församlingen och att palestinska parlamentariker har närvarit vid sessioner, anser sig församlingen vara särskilt lämpad för att, på en parlame</w:t>
      </w:r>
      <w:r w:rsidRPr="00685539">
        <w:t>n</w:t>
      </w:r>
      <w:r w:rsidRPr="00685539">
        <w:t>tarisk nivå, föra en interkulturell dialog med alla inblandade i regionen. Fö</w:t>
      </w:r>
      <w:r w:rsidRPr="00685539">
        <w:t>r</w:t>
      </w:r>
      <w:r w:rsidRPr="00685539">
        <w:t>samlingen understryker principen om flyktingars rätt att återvända. De palestinska leda</w:t>
      </w:r>
      <w:r w:rsidRPr="00685539">
        <w:t>r</w:t>
      </w:r>
      <w:r w:rsidRPr="00685539">
        <w:t>na uppmanas också att ta avstånd från våld, erkänna staten Israel, säkerställa lag och ordning och samarbeta med Israel. Samtidigt bör Israels ledare sa</w:t>
      </w:r>
      <w:r w:rsidRPr="00685539">
        <w:t>m</w:t>
      </w:r>
      <w:r w:rsidRPr="00685539">
        <w:t>arbeta med den palestinska samlingsregeringen och upphöra med byggandet av säkerhetsbarriären. De båda parterna uppmanas vidare att samarb</w:t>
      </w:r>
      <w:r w:rsidRPr="00685539">
        <w:t>e</w:t>
      </w:r>
      <w:r w:rsidRPr="00685539">
        <w:t xml:space="preserve">ta med församlingen för att organisera ett trepartsforum. </w:t>
      </w:r>
    </w:p>
    <w:p w:rsidR="00075C4B" w:rsidRPr="00685539" w:rsidRDefault="00075C4B" w:rsidP="006C2C98">
      <w:pPr>
        <w:pStyle w:val="Normaltindrag"/>
      </w:pPr>
      <w:r w:rsidRPr="00685539">
        <w:t>Församlingen uppmanar den palestinska myndigheten att göra allt som står i dess makt för att journalister ska kunna arbeta säkert och utan otillbörliga restriktioner</w:t>
      </w:r>
      <w:r w:rsidR="00AA2772" w:rsidRPr="00685539">
        <w:t>.</w:t>
      </w:r>
    </w:p>
    <w:p w:rsidR="00075C4B" w:rsidRPr="00685539" w:rsidRDefault="00075C4B" w:rsidP="006C2C98">
      <w:pPr>
        <w:pStyle w:val="Normaltindrag"/>
      </w:pPr>
      <w:r w:rsidRPr="00685539">
        <w:t xml:space="preserve">Med tanke på rapportens rubrik hade </w:t>
      </w:r>
      <w:r w:rsidRPr="00685539">
        <w:rPr>
          <w:i/>
        </w:rPr>
        <w:t>Göran Lindblad</w:t>
      </w:r>
      <w:r w:rsidRPr="00685539">
        <w:t xml:space="preserve"> velat se ett bredare synsätt. Mellanöstern är så mycket mer än bara konflikten mellan Israel och Palestina, påpekade han i sitt debattinlägg som han gjorde å EPP/CD:s vä</w:t>
      </w:r>
      <w:r w:rsidRPr="00685539">
        <w:t>g</w:t>
      </w:r>
      <w:r w:rsidRPr="00685539">
        <w:t>nar. Irans inflytande i regionen är väldigt stort</w:t>
      </w:r>
      <w:r w:rsidR="00AA2772" w:rsidRPr="00685539">
        <w:t>,</w:t>
      </w:r>
      <w:r w:rsidRPr="00685539">
        <w:t xml:space="preserve"> och landets regim ger anle</w:t>
      </w:r>
      <w:r w:rsidRPr="00685539">
        <w:t>d</w:t>
      </w:r>
      <w:r w:rsidRPr="00685539">
        <w:t>ning till oro. Parterna i ko</w:t>
      </w:r>
      <w:r w:rsidRPr="00685539">
        <w:t>n</w:t>
      </w:r>
      <w:r w:rsidRPr="00685539">
        <w:t>flikten Israel och Palestina måste återgå till ”the road map”, Pale</w:t>
      </w:r>
      <w:r w:rsidRPr="00685539">
        <w:t>s</w:t>
      </w:r>
      <w:r w:rsidRPr="00685539">
        <w:t xml:space="preserve">tina och Iran måste erkänna staten Israel och Israel måste erkänna de palestinska territoriernas rätt att bilda en stat. </w:t>
      </w:r>
    </w:p>
    <w:p w:rsidR="00075C4B" w:rsidRPr="00685539" w:rsidRDefault="00075C4B" w:rsidP="006C2C98">
      <w:pPr>
        <w:pStyle w:val="Rubrik3"/>
        <w:rPr>
          <w:noProof w:val="0"/>
        </w:rPr>
      </w:pPr>
      <w:bookmarkStart w:id="53" w:name="_Toc192059522"/>
      <w:r w:rsidRPr="00685539">
        <w:rPr>
          <w:noProof w:val="0"/>
        </w:rPr>
        <w:t>4.2.5 Irans kärnteknikprogram</w:t>
      </w:r>
      <w:bookmarkEnd w:id="53"/>
    </w:p>
    <w:p w:rsidR="00075C4B" w:rsidRPr="00685539" w:rsidRDefault="00075C4B" w:rsidP="006C2C98">
      <w:r w:rsidRPr="00685539">
        <w:rPr>
          <w:i/>
        </w:rPr>
        <w:t>Göran Lindblads</w:t>
      </w:r>
      <w:r w:rsidRPr="00685539">
        <w:t xml:space="preserve"> rapport om </w:t>
      </w:r>
      <w:r w:rsidRPr="00685539">
        <w:rPr>
          <w:i/>
        </w:rPr>
        <w:t>behovet av en interna</w:t>
      </w:r>
      <w:r w:rsidR="006C2C98" w:rsidRPr="00685539">
        <w:rPr>
          <w:i/>
        </w:rPr>
        <w:t>tionell reaktion när det gäller</w:t>
      </w:r>
      <w:r w:rsidRPr="00685539">
        <w:rPr>
          <w:i/>
        </w:rPr>
        <w:t xml:space="preserve"> Irans kärnteknikprogram</w:t>
      </w:r>
      <w:r w:rsidRPr="00685539">
        <w:t xml:space="preserve"> (dok. 11294, res. 1567) debatterades vid junisess</w:t>
      </w:r>
      <w:r w:rsidR="00931E28" w:rsidRPr="00685539">
        <w:t>ionen. Iran kritiseras för att –</w:t>
      </w:r>
      <w:r w:rsidRPr="00685539">
        <w:t xml:space="preserve"> som part t</w:t>
      </w:r>
      <w:r w:rsidR="008D33B8" w:rsidRPr="00685539">
        <w:t>ill icke-spridningsavtalet NPT –</w:t>
      </w:r>
      <w:r w:rsidRPr="00685539">
        <w:t xml:space="preserve"> ha brutit mot sina åtaganden visavi IAEA och att inte ha ratificerat det nya tilläggsprotokollet till öve</w:t>
      </w:r>
      <w:r w:rsidRPr="00685539">
        <w:t>r</w:t>
      </w:r>
      <w:r w:rsidRPr="00685539">
        <w:t>enskommelsen. Dessutom har Iran vägrat att följa FN:s säkerhet</w:t>
      </w:r>
      <w:r w:rsidRPr="00685539">
        <w:t>s</w:t>
      </w:r>
      <w:r w:rsidRPr="00685539">
        <w:t xml:space="preserve">råds resolutioner angående stopp </w:t>
      </w:r>
      <w:r w:rsidR="00931E28" w:rsidRPr="00685539">
        <w:t xml:space="preserve">för </w:t>
      </w:r>
      <w:r w:rsidRPr="00685539">
        <w:t>all urananrikning, något som väckt oro i omvärlden. Bakom den oro som skapats finns en rädsla av spridning av kärnvapen i Mellanöstern. Om den redan sköra politiska situ</w:t>
      </w:r>
      <w:r w:rsidRPr="00685539">
        <w:t>a</w:t>
      </w:r>
      <w:r w:rsidRPr="00685539">
        <w:t>tionen i regionen rubbas riskerar det att få allvarliga konsekvenser för den internationella freden. Församlingen konst</w:t>
      </w:r>
      <w:r w:rsidRPr="00685539">
        <w:t>a</w:t>
      </w:r>
      <w:r w:rsidRPr="00685539">
        <w:t>terar att Irans legitima rättigheter måste respekteras och hänsyn tas till landets egen säkerhet. Församlingen tror att Iran har potential att bli en respekterad aktör och att det är möjligt att Iran kan få en roll som främjar stabilitet i regionen. Det förutsätter dock ett a</w:t>
      </w:r>
      <w:r w:rsidRPr="00685539">
        <w:t>n</w:t>
      </w:r>
      <w:r w:rsidRPr="00685539">
        <w:t>svarsfullt agerande från Irans sida och att landet efterlever sina åtaganden som medlem i internationella organisationer samt att demokrati och rättsst</w:t>
      </w:r>
      <w:r w:rsidRPr="00685539">
        <w:t>a</w:t>
      </w:r>
      <w:r w:rsidRPr="00685539">
        <w:t>tens principer införs. Församlingen vill g</w:t>
      </w:r>
      <w:r w:rsidRPr="00685539">
        <w:t>e</w:t>
      </w:r>
      <w:r w:rsidRPr="00685539">
        <w:t>n</w:t>
      </w:r>
      <w:r w:rsidR="00931E28" w:rsidRPr="00685539">
        <w:t>om en dialog med iranska kollege</w:t>
      </w:r>
      <w:r w:rsidRPr="00685539">
        <w:t>r och med landets civila samhä</w:t>
      </w:r>
      <w:r w:rsidRPr="00685539">
        <w:t>l</w:t>
      </w:r>
      <w:r w:rsidRPr="00685539">
        <w:t xml:space="preserve">le främja ömsesidigt förtroende.  </w:t>
      </w:r>
    </w:p>
    <w:p w:rsidR="00075C4B" w:rsidRPr="00685539" w:rsidRDefault="00075C4B" w:rsidP="006C2C98">
      <w:pPr>
        <w:pStyle w:val="Rubrik3"/>
        <w:rPr>
          <w:noProof w:val="0"/>
        </w:rPr>
      </w:pPr>
      <w:bookmarkStart w:id="54" w:name="_Toc192059523"/>
      <w:r w:rsidRPr="00685539">
        <w:rPr>
          <w:noProof w:val="0"/>
        </w:rPr>
        <w:t>4.2.6 Kampen mot antisemitism</w:t>
      </w:r>
      <w:bookmarkEnd w:id="54"/>
    </w:p>
    <w:p w:rsidR="00075C4B" w:rsidRPr="00685539" w:rsidRDefault="00075C4B" w:rsidP="006C2C98">
      <w:r w:rsidRPr="00685539">
        <w:t xml:space="preserve">Vid junisessionen debatterade församlingen </w:t>
      </w:r>
      <w:r w:rsidRPr="00685539">
        <w:rPr>
          <w:i/>
        </w:rPr>
        <w:t>kampen mot antisem</w:t>
      </w:r>
      <w:r w:rsidRPr="00685539">
        <w:rPr>
          <w:i/>
        </w:rPr>
        <w:t>i</w:t>
      </w:r>
      <w:r w:rsidRPr="00685539">
        <w:rPr>
          <w:i/>
        </w:rPr>
        <w:t>tism</w:t>
      </w:r>
      <w:r w:rsidRPr="00685539">
        <w:t xml:space="preserve"> (dok. 11292, 11320, res. 11563). Antisemitiska företeelser visar ökad tendens och förekommer i samtliga medlemsländer vilket oroar församlingen. Inom Eur</w:t>
      </w:r>
      <w:r w:rsidRPr="00685539">
        <w:t>o</w:t>
      </w:r>
      <w:r w:rsidRPr="00685539">
        <w:t>parådet verkar en särskild ant</w:t>
      </w:r>
      <w:r w:rsidRPr="00685539">
        <w:t>i</w:t>
      </w:r>
      <w:r w:rsidRPr="00685539">
        <w:t xml:space="preserve">rasismkommitté, Ecri. Församlingen stöder Ecris verksamhet som syftar till att bekämpa rasism, främlingsfientlighet, antisemitism och intolerans.  </w:t>
      </w:r>
    </w:p>
    <w:p w:rsidR="00075C4B" w:rsidRPr="00685539" w:rsidRDefault="00075C4B" w:rsidP="006C2C98">
      <w:pPr>
        <w:pStyle w:val="Normaltindrag"/>
      </w:pPr>
      <w:r w:rsidRPr="00685539">
        <w:rPr>
          <w:i/>
        </w:rPr>
        <w:t xml:space="preserve">Göran Lindblad </w:t>
      </w:r>
      <w:r w:rsidRPr="00685539">
        <w:t>sade i sitt debattinlägg att det var viktigt att b</w:t>
      </w:r>
      <w:r w:rsidRPr="00685539">
        <w:t>e</w:t>
      </w:r>
      <w:r w:rsidRPr="00685539">
        <w:t>kämpa all ondska vare sig det handlar om nazistisk ideologi, f</w:t>
      </w:r>
      <w:r w:rsidRPr="00685539">
        <w:t>a</w:t>
      </w:r>
      <w:r w:rsidRPr="00685539">
        <w:t>scism, kommunism eller fundamentalistisk islam. En ny antisem</w:t>
      </w:r>
      <w:r w:rsidRPr="00685539">
        <w:t>i</w:t>
      </w:r>
      <w:r w:rsidRPr="00685539">
        <w:t xml:space="preserve">tisk våg inleddes i Sovjetunionen efter sexdagarskriget 1967. Den senaste antisemitiska rörelsen stöds av Iran. Den iranska regimen förnekar förintelsen men vill själv förinta staten Israel och avvisar en två-statslösning i Palestina. </w:t>
      </w:r>
    </w:p>
    <w:p w:rsidR="00075C4B" w:rsidRPr="00685539" w:rsidRDefault="00075C4B" w:rsidP="006C2C98">
      <w:pPr>
        <w:pStyle w:val="Rubrik3"/>
        <w:rPr>
          <w:noProof w:val="0"/>
        </w:rPr>
      </w:pPr>
      <w:bookmarkStart w:id="55" w:name="_Toc192059524"/>
      <w:r w:rsidRPr="00685539">
        <w:rPr>
          <w:noProof w:val="0"/>
        </w:rPr>
        <w:t>4.2.7 Preventivt krig och internationella relationer</w:t>
      </w:r>
      <w:bookmarkEnd w:id="55"/>
    </w:p>
    <w:p w:rsidR="00075C4B" w:rsidRPr="00685539" w:rsidRDefault="00075C4B" w:rsidP="006C2C98">
      <w:r w:rsidRPr="00685539">
        <w:t>Nationers rätt till självförsvar är sedan länge en vedertagen rätti</w:t>
      </w:r>
      <w:r w:rsidRPr="00685539">
        <w:t>g</w:t>
      </w:r>
      <w:r w:rsidRPr="00685539">
        <w:t>het. Sedan 2003 har USA dock utvidgat begreppet självförsvar till en doktrin om för</w:t>
      </w:r>
      <w:r w:rsidRPr="00685539">
        <w:t>e</w:t>
      </w:r>
      <w:r w:rsidRPr="00685539">
        <w:t>byggande krig. Vid oktobersessionen behandl</w:t>
      </w:r>
      <w:r w:rsidRPr="00685539">
        <w:t>a</w:t>
      </w:r>
      <w:r w:rsidRPr="00685539">
        <w:t xml:space="preserve">de församlingen en rapport om </w:t>
      </w:r>
      <w:r w:rsidRPr="00685539">
        <w:rPr>
          <w:i/>
        </w:rPr>
        <w:t>konceptet förebyggande krig och dess konsekvenser för internationella rel</w:t>
      </w:r>
      <w:r w:rsidRPr="00685539">
        <w:rPr>
          <w:i/>
        </w:rPr>
        <w:t>a</w:t>
      </w:r>
      <w:r w:rsidRPr="00685539">
        <w:rPr>
          <w:i/>
        </w:rPr>
        <w:t>tioner</w:t>
      </w:r>
      <w:r w:rsidRPr="00685539">
        <w:t xml:space="preserve"> (dok</w:t>
      </w:r>
      <w:r w:rsidR="00931E28" w:rsidRPr="00685539">
        <w:t>.</w:t>
      </w:r>
      <w:r w:rsidRPr="00685539">
        <w:t xml:space="preserve"> 11293, res. 1578). Församlingen fastslog att multilaterala system, som grundar sig på FN och dess stadga, är det enda sättet att möta dagens utmaningar vad gäller hot mot internationell fred och säkerhet. Krigf</w:t>
      </w:r>
      <w:r w:rsidRPr="00685539">
        <w:t>ö</w:t>
      </w:r>
      <w:r w:rsidRPr="00685539">
        <w:t>ring i preventivt syfte bryter mot internationell rätt. Det undermin</w:t>
      </w:r>
      <w:r w:rsidRPr="00685539">
        <w:t>e</w:t>
      </w:r>
      <w:r w:rsidRPr="00685539">
        <w:t>rar betydelsen, trovärdigheten och legitimiteten hos FN:s säke</w:t>
      </w:r>
      <w:r w:rsidRPr="00685539">
        <w:t>r</w:t>
      </w:r>
      <w:r w:rsidRPr="00685539">
        <w:t>hetsråd. Det brådskar att nå en reform av FN:s säkerhetsråd så att det kan agera snabbare och mer effektivt. Ett reformerat säkerhetsråd skulle göra det möjligt att hindra grova krän</w:t>
      </w:r>
      <w:r w:rsidRPr="00685539">
        <w:t>k</w:t>
      </w:r>
      <w:r w:rsidRPr="00685539">
        <w:t>ningar av mäns</w:t>
      </w:r>
      <w:r w:rsidRPr="00685539">
        <w:t>k</w:t>
      </w:r>
      <w:r w:rsidRPr="00685539">
        <w:t>liga rättigheter, folkmord och etnisk rensning. Europarådet uppm</w:t>
      </w:r>
      <w:r w:rsidRPr="00685539">
        <w:t>a</w:t>
      </w:r>
      <w:r w:rsidRPr="00685539">
        <w:t xml:space="preserve">nas att intensifiera sina diplomatiska försök att nå en sådan reform. </w:t>
      </w:r>
    </w:p>
    <w:p w:rsidR="00075C4B" w:rsidRPr="00685539" w:rsidRDefault="00075C4B" w:rsidP="006C2C98">
      <w:pPr>
        <w:pStyle w:val="Normaltindrag"/>
      </w:pPr>
      <w:r w:rsidRPr="00685539">
        <w:rPr>
          <w:i/>
        </w:rPr>
        <w:t>Björn von Sydow</w:t>
      </w:r>
      <w:r w:rsidRPr="00685539">
        <w:t xml:space="preserve"> sade att demokratier behöver tid för att kunna bedöma, förstå och agera på utmaningar. Demokratier kan försvara sig när de blir attackerade. Det behövs öppenhet för att kunna b</w:t>
      </w:r>
      <w:r w:rsidRPr="00685539">
        <w:t>e</w:t>
      </w:r>
      <w:r w:rsidRPr="00685539">
        <w:t>döma utvecklingen på internationell nivå. Till syvende och sist avvisar medborgare preventiva krig om de vet vad som står på spel. De kommer att kräva att problem löses av ett relevant internationellt forum. Det är viktigt att argumentationen mot preve</w:t>
      </w:r>
      <w:r w:rsidRPr="00685539">
        <w:t>n</w:t>
      </w:r>
      <w:r w:rsidRPr="00685539">
        <w:t>tivt krig förs i medierna för att nå breda medborgarkretsar.</w:t>
      </w:r>
    </w:p>
    <w:p w:rsidR="00075C4B" w:rsidRPr="00685539" w:rsidRDefault="00075C4B" w:rsidP="006C2C98">
      <w:pPr>
        <w:pStyle w:val="Rubrik3"/>
        <w:rPr>
          <w:noProof w:val="0"/>
        </w:rPr>
      </w:pPr>
      <w:bookmarkStart w:id="56" w:name="_Toc192059525"/>
      <w:r w:rsidRPr="00685539">
        <w:rPr>
          <w:noProof w:val="0"/>
        </w:rPr>
        <w:t>4.2.8 Kodex för bra uppförande för politiska partier</w:t>
      </w:r>
      <w:bookmarkEnd w:id="56"/>
    </w:p>
    <w:p w:rsidR="00075C4B" w:rsidRPr="00685539" w:rsidRDefault="00075C4B" w:rsidP="006C2C98">
      <w:r w:rsidRPr="00685539">
        <w:t>Politiska partier har ett särskilt ansvar i den demokratiska proce</w:t>
      </w:r>
      <w:r w:rsidRPr="00685539">
        <w:t>s</w:t>
      </w:r>
      <w:r w:rsidRPr="00685539">
        <w:t>sen. Dock kritiseras och misstros många politiska partier och pol</w:t>
      </w:r>
      <w:r w:rsidRPr="00685539">
        <w:t>i</w:t>
      </w:r>
      <w:r w:rsidRPr="00685539">
        <w:t>tiker. De betraktas som korrupta och odemokratiska. Det bristande förtroendet för politiska partier bidrar i sin tur till misstro mot det demokratiska systemet och kan leda till lågt valdeltagande hos befolkningen. Vid aprilsessionen diskuterade församlingen pr</w:t>
      </w:r>
      <w:r w:rsidRPr="00685539">
        <w:t>o</w:t>
      </w:r>
      <w:r w:rsidRPr="00685539">
        <w:t xml:space="preserve">blemet och antog en resolution om </w:t>
      </w:r>
      <w:r w:rsidRPr="00685539">
        <w:rPr>
          <w:i/>
        </w:rPr>
        <w:t>en</w:t>
      </w:r>
      <w:r w:rsidRPr="00685539">
        <w:t xml:space="preserve"> </w:t>
      </w:r>
      <w:r w:rsidRPr="00685539">
        <w:rPr>
          <w:i/>
        </w:rPr>
        <w:t>uppförandekod för politiska partier</w:t>
      </w:r>
      <w:r w:rsidRPr="00685539">
        <w:t xml:space="preserve"> (dok. 11210, 11242, res. 1546). Församlingen uppmanar partierna att vidta skyndsamma åtgärder för att återupprätta det politiska systemets rykte. Eur</w:t>
      </w:r>
      <w:r w:rsidRPr="00685539">
        <w:t>o</w:t>
      </w:r>
      <w:r w:rsidRPr="00685539">
        <w:t xml:space="preserve">parådets s.k. Venedigkommission inbjuds att utarbeta regler som bör utgå från goda erfarenheter </w:t>
      </w:r>
      <w:r w:rsidR="00705DAF" w:rsidRPr="00685539">
        <w:t xml:space="preserve">av </w:t>
      </w:r>
      <w:r w:rsidRPr="00685539">
        <w:t>politiska partier i medlemsländerna och bl.a. omfatta va</w:t>
      </w:r>
      <w:r w:rsidRPr="00685539">
        <w:t>l</w:t>
      </w:r>
      <w:r w:rsidRPr="00685539">
        <w:t>processen, jämställdhet i partier, partifinansiering och valkampanjer samt relationen till samhället i stort. En sådan regelsamling skulle stärka partiernas interna demokrati och öka deras trovärdighet hos medborgarna och därig</w:t>
      </w:r>
      <w:r w:rsidRPr="00685539">
        <w:t>e</w:t>
      </w:r>
      <w:r w:rsidRPr="00685539">
        <w:t>nom främja ökat deltagande i det politiska livet. Den skulle också bidra till ökad jämställdhet, dialog, öppe</w:t>
      </w:r>
      <w:r w:rsidRPr="00685539">
        <w:t>n</w:t>
      </w:r>
      <w:r w:rsidRPr="00685539">
        <w:t>het och korruptionsbekämpning.</w:t>
      </w:r>
    </w:p>
    <w:p w:rsidR="00075C4B" w:rsidRPr="00685539" w:rsidRDefault="00075C4B" w:rsidP="006C2C98">
      <w:pPr>
        <w:pStyle w:val="Normaltindrag"/>
      </w:pPr>
      <w:r w:rsidRPr="00685539">
        <w:rPr>
          <w:i/>
        </w:rPr>
        <w:t>Göran Lindblad</w:t>
      </w:r>
      <w:r w:rsidRPr="00685539">
        <w:t xml:space="preserve"> konstaterade i sitt debattinlägg att partier och pol</w:t>
      </w:r>
      <w:r w:rsidRPr="00685539">
        <w:t>i</w:t>
      </w:r>
      <w:r w:rsidRPr="00685539">
        <w:t>tiker är olika</w:t>
      </w:r>
      <w:r w:rsidR="004D2C79" w:rsidRPr="00685539">
        <w:t>,</w:t>
      </w:r>
      <w:r w:rsidRPr="00685539">
        <w:t xml:space="preserve"> och allmänhetens syn på politik motsvarar ofta inte politikernas up</w:t>
      </w:r>
      <w:r w:rsidRPr="00685539">
        <w:t>p</w:t>
      </w:r>
      <w:r w:rsidRPr="00685539">
        <w:t>fattning. Många väljare ser politiker som korrupta. Politikerna måste kontin</w:t>
      </w:r>
      <w:r w:rsidRPr="00685539">
        <w:t>u</w:t>
      </w:r>
      <w:r w:rsidRPr="00685539">
        <w:t>erligt tänka på sin image. Ett pr</w:t>
      </w:r>
      <w:r w:rsidRPr="00685539">
        <w:t>o</w:t>
      </w:r>
      <w:r w:rsidRPr="00685539">
        <w:t>blem är bristen på yngre personer i politiken. Unga i</w:t>
      </w:r>
      <w:r w:rsidR="004D2C79" w:rsidRPr="00685539">
        <w:t xml:space="preserve"> </w:t>
      </w:r>
      <w:r w:rsidRPr="00685539">
        <w:t>dag intresserar sig för politik, men inte för politiska partier. Slutligen höjde Lin</w:t>
      </w:r>
      <w:r w:rsidRPr="00685539">
        <w:t>d</w:t>
      </w:r>
      <w:r w:rsidRPr="00685539">
        <w:t>blad ett varnande finger för politiska tjänstemäns ökade inflytande i polit</w:t>
      </w:r>
      <w:r w:rsidRPr="00685539">
        <w:t>i</w:t>
      </w:r>
      <w:r w:rsidRPr="00685539">
        <w:t>ken.</w:t>
      </w:r>
    </w:p>
    <w:p w:rsidR="00075C4B" w:rsidRPr="00685539" w:rsidRDefault="00075C4B" w:rsidP="006C2C98">
      <w:pPr>
        <w:pStyle w:val="Rubrik3"/>
        <w:rPr>
          <w:noProof w:val="0"/>
        </w:rPr>
      </w:pPr>
      <w:bookmarkStart w:id="57" w:name="_Toc192059526"/>
      <w:r w:rsidRPr="00685539">
        <w:rPr>
          <w:noProof w:val="0"/>
        </w:rPr>
        <w:t>4.2.9 Situationen i Darfur</w:t>
      </w:r>
      <w:bookmarkEnd w:id="57"/>
    </w:p>
    <w:p w:rsidR="00075C4B" w:rsidRPr="00685539" w:rsidRDefault="00075C4B" w:rsidP="006C2C98">
      <w:r w:rsidRPr="00685539">
        <w:t xml:space="preserve">Församlingen beslutade vid aprilsessionen att hålla en aktuell debatt om </w:t>
      </w:r>
      <w:r w:rsidRPr="00685539">
        <w:rPr>
          <w:i/>
        </w:rPr>
        <w:t>situ</w:t>
      </w:r>
      <w:r w:rsidRPr="00685539">
        <w:rPr>
          <w:i/>
        </w:rPr>
        <w:t>a</w:t>
      </w:r>
      <w:r w:rsidRPr="00685539">
        <w:rPr>
          <w:i/>
        </w:rPr>
        <w:t>tionen i Sudan och Darfur</w:t>
      </w:r>
      <w:r w:rsidRPr="00685539">
        <w:t>. Syftet med en sådan debatt är att fokusera på aktuella politiska frågor utan att debatten leder till ett skriftligt ställningst</w:t>
      </w:r>
      <w:r w:rsidRPr="00685539">
        <w:t>a</w:t>
      </w:r>
      <w:r w:rsidRPr="00685539">
        <w:t xml:space="preserve">gande. Sedan konflikten i Darfur blev akut i februari 2003 har hundratusentals människor fördrivits från sina hem i den västsudanesiska provinsen Darfur.  </w:t>
      </w:r>
    </w:p>
    <w:p w:rsidR="00075C4B" w:rsidRPr="00685539" w:rsidRDefault="00075C4B" w:rsidP="006C2C98">
      <w:pPr>
        <w:pStyle w:val="Normaltindrag"/>
      </w:pPr>
      <w:r w:rsidRPr="00685539">
        <w:rPr>
          <w:i/>
        </w:rPr>
        <w:t>Carina Hägg</w:t>
      </w:r>
      <w:r w:rsidRPr="00685539">
        <w:t xml:space="preserve"> sade i sitt anförande att Srebrenica och Rwanda sy</w:t>
      </w:r>
      <w:r w:rsidRPr="00685539">
        <w:t>m</w:t>
      </w:r>
      <w:r w:rsidRPr="00685539">
        <w:t>boliserar brister i världssamfundets agerande. Efter dessa hä</w:t>
      </w:r>
      <w:r w:rsidRPr="00685539">
        <w:t>n</w:t>
      </w:r>
      <w:r w:rsidRPr="00685539">
        <w:t>delser har folkrätten förändrats till att skydda individernas rättigheter mera än nationernas rättigh</w:t>
      </w:r>
      <w:r w:rsidRPr="00685539">
        <w:t>e</w:t>
      </w:r>
      <w:r w:rsidRPr="00685539">
        <w:t>ter. Omvärlden har ett gemensamt ansvar att skydda befolkningen när de egna regeringarna inte kan eller vill, så som fallet är i Darfur. Internationella kri</w:t>
      </w:r>
      <w:r w:rsidRPr="00685539">
        <w:t>s</w:t>
      </w:r>
      <w:r w:rsidRPr="00685539">
        <w:t xml:space="preserve">gruppen (ICG) har begärt att det internationella samfundet agerar starkare mot regimen i Sudan, eftersom den inte är villig att stoppa våldet. Det som sker i </w:t>
      </w:r>
      <w:r w:rsidR="00961CED" w:rsidRPr="00685539">
        <w:t xml:space="preserve">Darfur </w:t>
      </w:r>
      <w:r w:rsidRPr="00685539">
        <w:t>är ett folkmord, underströk Hägg. Under alltför lång tid har man nöjt sig med att kritisera Sudans regim genom deklar</w:t>
      </w:r>
      <w:r w:rsidRPr="00685539">
        <w:t>a</w:t>
      </w:r>
      <w:r w:rsidRPr="00685539">
        <w:t>tioner och tal. Församlingen borde föreslå att EU tar upp frågan och skärper sanktionerna riktade mot den sudanesiska statslednin</w:t>
      </w:r>
      <w:r w:rsidRPr="00685539">
        <w:t>g</w:t>
      </w:r>
      <w:r w:rsidRPr="00685539">
        <w:t>en.</w:t>
      </w:r>
    </w:p>
    <w:p w:rsidR="00075C4B" w:rsidRPr="00685539" w:rsidRDefault="00075C4B" w:rsidP="00CD71B1">
      <w:pPr>
        <w:pStyle w:val="Rubrik2"/>
        <w:spacing w:after="0"/>
      </w:pPr>
      <w:bookmarkStart w:id="58" w:name="_Toc192059527"/>
      <w:r w:rsidRPr="00685539">
        <w:t>4.3 Juridiska frågor och mänskliga rättigheter</w:t>
      </w:r>
      <w:bookmarkEnd w:id="58"/>
    </w:p>
    <w:p w:rsidR="00075C4B" w:rsidRPr="00685539" w:rsidRDefault="00075C4B" w:rsidP="006C2C98">
      <w:pPr>
        <w:pStyle w:val="Rubrik3"/>
        <w:rPr>
          <w:noProof w:val="0"/>
        </w:rPr>
      </w:pPr>
      <w:bookmarkStart w:id="59" w:name="_Toc192059528"/>
      <w:r w:rsidRPr="00685539">
        <w:rPr>
          <w:noProof w:val="0"/>
        </w:rPr>
        <w:t>4.3.1 Fokus på mänskliga rättigheter och demokrati</w:t>
      </w:r>
      <w:bookmarkEnd w:id="59"/>
    </w:p>
    <w:p w:rsidR="00075C4B" w:rsidRPr="00685539" w:rsidRDefault="00075C4B" w:rsidP="006C2C98">
      <w:r w:rsidRPr="00685539">
        <w:t>Församlingens fokus vid aprilsessionen var på debatterna om demokrati och mänskliga rättigheter</w:t>
      </w:r>
      <w:r w:rsidRPr="00685539">
        <w:rPr>
          <w:i/>
        </w:rPr>
        <w:t xml:space="preserve">. </w:t>
      </w:r>
      <w:r w:rsidRPr="00685539">
        <w:t xml:space="preserve">Underlaget för debatten om </w:t>
      </w:r>
      <w:r w:rsidRPr="00685539">
        <w:rPr>
          <w:i/>
        </w:rPr>
        <w:t>tillståndet för de mänskliga rättigheterna</w:t>
      </w:r>
      <w:r w:rsidRPr="00685539">
        <w:t xml:space="preserve"> var en rapport som utarbetats av det juridiska utsko</w:t>
      </w:r>
      <w:r w:rsidRPr="00685539">
        <w:t>t</w:t>
      </w:r>
      <w:r w:rsidRPr="00685539">
        <w:t>tet (dok. 11202, 11216, 11217, rek. 1791). Den parlamentariska församlingen uttrycker en djup oro över att brott mot mänskliga rättigheter, i vissa fall mycket allva</w:t>
      </w:r>
      <w:r w:rsidRPr="00685539">
        <w:t>r</w:t>
      </w:r>
      <w:r w:rsidRPr="00685539">
        <w:t>liga sådana, fortfarande förekommer i Europa. Det finns ett glapp mellan medlemsländernas överenskommelser på MR-området och hur verkligheten för medborgarna ser ut. För att förbättra utvecklingen inom mänskliga rätti</w:t>
      </w:r>
      <w:r w:rsidRPr="00685539">
        <w:t>g</w:t>
      </w:r>
      <w:r w:rsidRPr="00685539">
        <w:t>heter efterlyses konkreta åtgärder från medlemsländernas sida. Åtgärder krävs på ett antal områden: terrorism, människohandel, situationen för frihetsber</w:t>
      </w:r>
      <w:r w:rsidRPr="00685539">
        <w:t>ö</w:t>
      </w:r>
      <w:r w:rsidRPr="00685539">
        <w:t>vade människor, situationen för flyktingar och asylsökande</w:t>
      </w:r>
      <w:r w:rsidR="00CD71B1" w:rsidRPr="00685539">
        <w:t>,</w:t>
      </w:r>
      <w:r w:rsidRPr="00685539">
        <w:t xml:space="preserve"> barnets rättigh</w:t>
      </w:r>
      <w:r w:rsidRPr="00685539">
        <w:t>e</w:t>
      </w:r>
      <w:r w:rsidRPr="00685539">
        <w:t>ter, skydd för äldre personer och handikappade, situ</w:t>
      </w:r>
      <w:r w:rsidRPr="00685539">
        <w:t>a</w:t>
      </w:r>
      <w:r w:rsidRPr="00685539">
        <w:t>tionen för socialt utstötta personer, våld mot kvinnor, barnäktenskap, hedersvåld, könsstympning, r</w:t>
      </w:r>
      <w:r w:rsidRPr="00685539">
        <w:t>a</w:t>
      </w:r>
      <w:r w:rsidRPr="00685539">
        <w:t>sism, xenofobi, antisemitism, diskriminering på grund av sexuell läggning, minoriteters rättigheter, respekt för de sociala, ekon</w:t>
      </w:r>
      <w:r w:rsidRPr="00685539">
        <w:t>o</w:t>
      </w:r>
      <w:r w:rsidRPr="00685539">
        <w:t>miska och kulturella rättigheter</w:t>
      </w:r>
      <w:r w:rsidR="00961CED" w:rsidRPr="00685539">
        <w:t>na</w:t>
      </w:r>
      <w:r w:rsidRPr="00685539">
        <w:t xml:space="preserve">. </w:t>
      </w:r>
    </w:p>
    <w:p w:rsidR="00075C4B" w:rsidRPr="00685539" w:rsidRDefault="00075C4B" w:rsidP="006C2C98">
      <w:pPr>
        <w:pStyle w:val="Normaltindrag"/>
      </w:pPr>
      <w:r w:rsidRPr="00685539">
        <w:t xml:space="preserve">I sitt debattinlägg efterlyste </w:t>
      </w:r>
      <w:r w:rsidRPr="00685539">
        <w:rPr>
          <w:i/>
        </w:rPr>
        <w:t>Göran Lindblad</w:t>
      </w:r>
      <w:r w:rsidRPr="00685539">
        <w:t xml:space="preserve"> svar på MR-kommissariens fråga om klyftan mellan ord och handling. Parlamentarikerna behöver fokus</w:t>
      </w:r>
      <w:r w:rsidRPr="00685539">
        <w:t>e</w:t>
      </w:r>
      <w:r w:rsidRPr="00685539">
        <w:t>ra på Europarådets kärnvärden. Mänskliga rättigheter är individuella och universe</w:t>
      </w:r>
      <w:r w:rsidRPr="00685539">
        <w:t>l</w:t>
      </w:r>
      <w:r w:rsidRPr="00685539">
        <w:t>la. Det går inte att ha olika lagar för olika grupper i befolkningen av religiösa eller etniska skäl, påpekade Lindblad. Situationen för irreguljära invandrare och deras rättigheter bör uppmärksammas. Av Sveriges illeg</w:t>
      </w:r>
      <w:r w:rsidRPr="00685539">
        <w:t>a</w:t>
      </w:r>
      <w:r w:rsidRPr="00685539">
        <w:t>la invandrare arbetar 90 % i den svarta sektorn och saknar allt soc</w:t>
      </w:r>
      <w:r w:rsidRPr="00685539">
        <w:t>i</w:t>
      </w:r>
      <w:r w:rsidRPr="00685539">
        <w:t>alt skydd. Invandrare är arbetskraft som behövs och deras rättigh</w:t>
      </w:r>
      <w:r w:rsidRPr="00685539">
        <w:t>e</w:t>
      </w:r>
      <w:r w:rsidRPr="00685539">
        <w:t xml:space="preserve">ter måste garanteras. </w:t>
      </w:r>
    </w:p>
    <w:p w:rsidR="00075C4B" w:rsidRPr="00685539" w:rsidRDefault="00075C4B" w:rsidP="006C2C98">
      <w:pPr>
        <w:pStyle w:val="Rubrik3"/>
        <w:rPr>
          <w:noProof w:val="0"/>
        </w:rPr>
      </w:pPr>
      <w:bookmarkStart w:id="60" w:name="_Toc192059529"/>
      <w:r w:rsidRPr="00685539">
        <w:rPr>
          <w:noProof w:val="0"/>
        </w:rPr>
        <w:t>4.3.2</w:t>
      </w:r>
      <w:r w:rsidR="00AC1285" w:rsidRPr="00685539">
        <w:rPr>
          <w:noProof w:val="0"/>
        </w:rPr>
        <w:t xml:space="preserve"> Hemliga fängelsecentrum</w:t>
      </w:r>
      <w:r w:rsidRPr="00685539">
        <w:rPr>
          <w:noProof w:val="0"/>
        </w:rPr>
        <w:t xml:space="preserve"> i Europa</w:t>
      </w:r>
      <w:bookmarkEnd w:id="60"/>
    </w:p>
    <w:p w:rsidR="00075C4B" w:rsidRPr="00685539" w:rsidRDefault="00075C4B" w:rsidP="006C2C98">
      <w:r w:rsidRPr="00685539">
        <w:t xml:space="preserve">Sedan hösten 2006 har den schweiziska senatorn </w:t>
      </w:r>
      <w:r w:rsidRPr="00685539">
        <w:rPr>
          <w:i/>
        </w:rPr>
        <w:t>Dick Marty</w:t>
      </w:r>
      <w:r w:rsidRPr="00685539">
        <w:t>, som det juridi</w:t>
      </w:r>
      <w:r w:rsidRPr="00685539">
        <w:t>s</w:t>
      </w:r>
      <w:r w:rsidRPr="00685539">
        <w:t>ka utskottets rapportör, genom sin bevakning av CIA:s aktiviteter väckt up</w:t>
      </w:r>
      <w:r w:rsidRPr="00685539">
        <w:t>p</w:t>
      </w:r>
      <w:r w:rsidRPr="00685539">
        <w:t>märksamhet i internationella medier. Vid junisessionen debatterades en ra</w:t>
      </w:r>
      <w:r w:rsidRPr="00685539">
        <w:t>p</w:t>
      </w:r>
      <w:r w:rsidRPr="00685539">
        <w:t>port om förekomsten av CIA:s heml</w:t>
      </w:r>
      <w:r w:rsidRPr="00685539">
        <w:t>i</w:t>
      </w:r>
      <w:r w:rsidRPr="00685539">
        <w:t>ga fängelser i Europa (dok. 11302, rek. 1801, res. 1562). Den handlade om hemliga fängelser dit terroristmis</w:t>
      </w:r>
      <w:r w:rsidRPr="00685539">
        <w:t>s</w:t>
      </w:r>
      <w:r w:rsidRPr="00685539">
        <w:t>tänkta personer hade förts för förhör och förvar. Församlingen stöder Martys slutsa</w:t>
      </w:r>
      <w:r w:rsidRPr="00685539">
        <w:t>t</w:t>
      </w:r>
      <w:r w:rsidRPr="00685539">
        <w:t>ser och framför kritik mot Polen, Rumänien och andra länder. Den rumänska delegationen lämnade församlingen efter omröstningen och dekl</w:t>
      </w:r>
      <w:r w:rsidRPr="00685539">
        <w:t>a</w:t>
      </w:r>
      <w:r w:rsidRPr="00685539">
        <w:t>rerade att de</w:t>
      </w:r>
      <w:r w:rsidR="00CD71B1" w:rsidRPr="00685539">
        <w:t>n</w:t>
      </w:r>
      <w:r w:rsidRPr="00685539">
        <w:t xml:space="preserve"> inte avsåg </w:t>
      </w:r>
      <w:r w:rsidR="00BF6A27" w:rsidRPr="00685539">
        <w:t xml:space="preserve">att </w:t>
      </w:r>
      <w:r w:rsidRPr="00685539">
        <w:t>återvända förrän Marty besökt Rumänien. Natos inblan</w:t>
      </w:r>
      <w:r w:rsidRPr="00685539">
        <w:t>d</w:t>
      </w:r>
      <w:r w:rsidRPr="00685539">
        <w:t>ning i fångtransporter kritiseras. Parlamentarikerna aktualiserar behovet av demokratisk kontroll av säkerhetstjänsten. De uppmanar ministerkommi</w:t>
      </w:r>
      <w:r w:rsidRPr="00685539">
        <w:t>t</w:t>
      </w:r>
      <w:r w:rsidRPr="00685539">
        <w:t xml:space="preserve">tén att i synnerhet undersöka behovet av en ökad demokratisk kontroll av militära underrättelsetjänster. </w:t>
      </w:r>
    </w:p>
    <w:p w:rsidR="00075C4B" w:rsidRPr="00685539" w:rsidRDefault="00075C4B" w:rsidP="00EA4DCE">
      <w:pPr>
        <w:pStyle w:val="Normaltindrag"/>
      </w:pPr>
      <w:r w:rsidRPr="00685539">
        <w:t>En del av rapporten handlar om hemliga fängelser i Tjetjenien. Vid två b</w:t>
      </w:r>
      <w:r w:rsidRPr="00685539">
        <w:t>e</w:t>
      </w:r>
      <w:r w:rsidRPr="00685539">
        <w:t>sök i Tjetjenien under 2006 konstaterade Europarådets ant</w:t>
      </w:r>
      <w:r w:rsidRPr="00685539">
        <w:t>i</w:t>
      </w:r>
      <w:r w:rsidRPr="00685539">
        <w:t>tortyrkommitté att det hade förekommit hemliga fängelser i Tjetj</w:t>
      </w:r>
      <w:r w:rsidRPr="00685539">
        <w:t>e</w:t>
      </w:r>
      <w:r w:rsidRPr="00685539">
        <w:t>nien med påstådda fall av tortyr. Parlamentarikerna påpekar att ministerkommittén inte reagerat med anledning av antitortyrko</w:t>
      </w:r>
      <w:r w:rsidRPr="00685539">
        <w:t>m</w:t>
      </w:r>
      <w:r w:rsidRPr="00685539">
        <w:t xml:space="preserve">mitténs (CPT) rapport. </w:t>
      </w:r>
    </w:p>
    <w:p w:rsidR="00075C4B" w:rsidRPr="00685539" w:rsidRDefault="00075C4B" w:rsidP="00EA4DCE">
      <w:pPr>
        <w:pStyle w:val="Rubrik3"/>
        <w:rPr>
          <w:noProof w:val="0"/>
        </w:rPr>
      </w:pPr>
      <w:bookmarkStart w:id="61" w:name="_Toc192059530"/>
      <w:r w:rsidRPr="00685539">
        <w:rPr>
          <w:noProof w:val="0"/>
        </w:rPr>
        <w:t>4.3.3 Att förebygga IT-relaterade brott mot statliga institutioner</w:t>
      </w:r>
      <w:bookmarkEnd w:id="61"/>
    </w:p>
    <w:p w:rsidR="00075C4B" w:rsidRPr="00685539" w:rsidRDefault="00075C4B" w:rsidP="00EA4DCE">
      <w:r w:rsidRPr="00685539">
        <w:t>Mot bakgrund av att datasystem i Estland under våren utsattes för omfa</w:t>
      </w:r>
      <w:r w:rsidRPr="00685539">
        <w:t>t</w:t>
      </w:r>
      <w:r w:rsidRPr="00685539">
        <w:t>tande attacker beslutade församlingen att som ett brådskande ärende vid junisessi</w:t>
      </w:r>
      <w:r w:rsidRPr="00685539">
        <w:t>o</w:t>
      </w:r>
      <w:r w:rsidRPr="00685539">
        <w:t xml:space="preserve">nen debattera </w:t>
      </w:r>
      <w:r w:rsidRPr="00685539">
        <w:rPr>
          <w:i/>
        </w:rPr>
        <w:t>förebyggande av IT-relaterade brott mot statliga instit</w:t>
      </w:r>
      <w:r w:rsidRPr="00685539">
        <w:rPr>
          <w:i/>
        </w:rPr>
        <w:t>u</w:t>
      </w:r>
      <w:r w:rsidRPr="00685539">
        <w:rPr>
          <w:i/>
        </w:rPr>
        <w:t>tioner i medlems- och observatörsländerna</w:t>
      </w:r>
      <w:r w:rsidRPr="00685539">
        <w:t xml:space="preserve"> (dok. 11325, 11333, 11335, res. 1565). Europarådet har en konve</w:t>
      </w:r>
      <w:r w:rsidRPr="00685539">
        <w:t>n</w:t>
      </w:r>
      <w:r w:rsidRPr="00685539">
        <w:t>tion som handlar om kriminalisering av databrott och datarelaterad brottslighet</w:t>
      </w:r>
      <w:r w:rsidR="00BF6A27" w:rsidRPr="00685539">
        <w:t>,</w:t>
      </w:r>
      <w:r w:rsidRPr="00685539">
        <w:t xml:space="preserve"> bl.a. dataintrång och datarelaterat bedrägeri. Församlingen slår fast att IT-relaterad brottslighet utgör ett hot mot det d</w:t>
      </w:r>
      <w:r w:rsidRPr="00685539">
        <w:t>e</w:t>
      </w:r>
      <w:r w:rsidRPr="00685539">
        <w:t>mokratiska systemet och den nationella stabiliteten och säkerh</w:t>
      </w:r>
      <w:r w:rsidRPr="00685539">
        <w:t>e</w:t>
      </w:r>
      <w:r w:rsidRPr="00685539">
        <w:t xml:space="preserve">ten och bör behandlas </w:t>
      </w:r>
      <w:r w:rsidR="00C25E5A" w:rsidRPr="00685539">
        <w:t xml:space="preserve">som ett prioriterat ärende. </w:t>
      </w:r>
    </w:p>
    <w:p w:rsidR="00075C4B" w:rsidRPr="00685539" w:rsidRDefault="00075C4B" w:rsidP="00EA4DCE">
      <w:pPr>
        <w:pStyle w:val="Normaltindrag"/>
      </w:pPr>
      <w:r w:rsidRPr="00685539">
        <w:rPr>
          <w:i/>
        </w:rPr>
        <w:t>Anna Lilliehöök</w:t>
      </w:r>
      <w:r w:rsidRPr="00685539">
        <w:t xml:space="preserve"> presenterade ekonomiutskottets syn på resol</w:t>
      </w:r>
      <w:r w:rsidRPr="00685539">
        <w:t>u</w:t>
      </w:r>
      <w:r w:rsidRPr="00685539">
        <w:t>tionsutkastet. Mot bakgrund av att den privata sektorn har viktiga kunskaper och resurser som behövs för att förebygga och bekämpa dataattacker föreslog utskottet närmare samarbete mellan offentliga och privata sektorer för att effektivt bekämpa IT-relaterad brott</w:t>
      </w:r>
      <w:r w:rsidRPr="00685539">
        <w:t>s</w:t>
      </w:r>
      <w:r w:rsidRPr="00685539">
        <w:t>lighet.</w:t>
      </w:r>
    </w:p>
    <w:p w:rsidR="00075C4B" w:rsidRPr="00685539" w:rsidRDefault="00075C4B" w:rsidP="00EA4DCE">
      <w:pPr>
        <w:pStyle w:val="Normaltindrag"/>
      </w:pPr>
      <w:r w:rsidRPr="00685539">
        <w:t xml:space="preserve">Vi känner solidaritet med Estland, sade </w:t>
      </w:r>
      <w:r w:rsidRPr="00685539">
        <w:rPr>
          <w:i/>
        </w:rPr>
        <w:t>Björn von Sydow</w:t>
      </w:r>
      <w:r w:rsidRPr="00685539">
        <w:t xml:space="preserve"> i sitt debatti</w:t>
      </w:r>
      <w:r w:rsidRPr="00685539">
        <w:t>n</w:t>
      </w:r>
      <w:r w:rsidRPr="00685539">
        <w:t>lägg. Han trodde att slutbedömning av datorattackerna kommer att visa att de innehöll ett element av krigföring och frågade om det inte finns ett folkrätt</w:t>
      </w:r>
      <w:r w:rsidRPr="00685539">
        <w:t>s</w:t>
      </w:r>
      <w:r w:rsidRPr="00685539">
        <w:t xml:space="preserve">ligt ramverk som är relevant i denna typ </w:t>
      </w:r>
      <w:r w:rsidR="00BF6A27" w:rsidRPr="00685539">
        <w:t xml:space="preserve">av </w:t>
      </w:r>
      <w:r w:rsidRPr="00685539">
        <w:t>IT-relaterade brott. Kan ett oko</w:t>
      </w:r>
      <w:r w:rsidRPr="00685539">
        <w:t>n</w:t>
      </w:r>
      <w:r w:rsidRPr="00685539">
        <w:t>ventionellt krig startas och föras genom en kort attack mot ett lands datas</w:t>
      </w:r>
      <w:r w:rsidRPr="00685539">
        <w:t>y</w:t>
      </w:r>
      <w:r w:rsidRPr="00685539">
        <w:t>stem</w:t>
      </w:r>
      <w:r w:rsidR="00BF6A27" w:rsidRPr="00685539">
        <w:t>,</w:t>
      </w:r>
      <w:r w:rsidRPr="00685539">
        <w:t xml:space="preserve"> och ger en sådan attack rätt till självförsvar, undrade von Sydow. Dessa frågor är grundläggande för bevarande av fred, skydd av mänskliga rättigh</w:t>
      </w:r>
      <w:r w:rsidRPr="00685539">
        <w:t>e</w:t>
      </w:r>
      <w:r w:rsidRPr="00685539">
        <w:t>ter och välfärd.</w:t>
      </w:r>
    </w:p>
    <w:p w:rsidR="00075C4B" w:rsidRPr="00685539" w:rsidRDefault="00075C4B" w:rsidP="00EA4DCE">
      <w:pPr>
        <w:pStyle w:val="Rubrik3"/>
        <w:rPr>
          <w:noProof w:val="0"/>
        </w:rPr>
      </w:pPr>
      <w:bookmarkStart w:id="62" w:name="_Toc192059531"/>
      <w:r w:rsidRPr="00685539">
        <w:rPr>
          <w:noProof w:val="0"/>
        </w:rPr>
        <w:t>4.3.4 Nominering av domarkandidater</w:t>
      </w:r>
      <w:bookmarkEnd w:id="62"/>
      <w:r w:rsidRPr="00685539">
        <w:rPr>
          <w:noProof w:val="0"/>
        </w:rPr>
        <w:t xml:space="preserve"> </w:t>
      </w:r>
    </w:p>
    <w:p w:rsidR="00075C4B" w:rsidRPr="00685539" w:rsidRDefault="00075C4B" w:rsidP="00EA4DCE">
      <w:r w:rsidRPr="00685539">
        <w:t xml:space="preserve">Vid aprilsessionen avvisade församlingen en resolution som skulle göra det möjligt för församlingen att i särskilda fall göra undantag från de regler som gäller för </w:t>
      </w:r>
      <w:r w:rsidRPr="00685539">
        <w:rPr>
          <w:i/>
        </w:rPr>
        <w:t>val av domare till Europadomstolen</w:t>
      </w:r>
      <w:r w:rsidRPr="00685539">
        <w:t xml:space="preserve"> (dok. 11208, 1243). För att få mera jämställd könsbalans i Europ</w:t>
      </w:r>
      <w:r w:rsidRPr="00685539">
        <w:t>a</w:t>
      </w:r>
      <w:r w:rsidRPr="00685539">
        <w:t xml:space="preserve">domstolen beslutade församlingen år 2004 </w:t>
      </w:r>
      <w:r w:rsidR="007068D1" w:rsidRPr="00685539">
        <w:t>(res. 1366</w:t>
      </w:r>
      <w:r w:rsidRPr="00685539">
        <w:t>) att inte godkänna domarkandidatlistor som enbart innehåller ka</w:t>
      </w:r>
      <w:r w:rsidRPr="00685539">
        <w:t>n</w:t>
      </w:r>
      <w:r w:rsidRPr="00685539">
        <w:t>didater av det ena könet om inte kandidaterna tillhör det kön som utgör färre än 40</w:t>
      </w:r>
      <w:r w:rsidR="007068D1" w:rsidRPr="00685539">
        <w:t> </w:t>
      </w:r>
      <w:r w:rsidRPr="00685539">
        <w:t>% av det totala antalet domare. På grund av att kvinnor i dagsläget är underrepresenterade i domstolen innebär detta att församlingen har sky</w:t>
      </w:r>
      <w:r w:rsidRPr="00685539">
        <w:t>l</w:t>
      </w:r>
      <w:r w:rsidRPr="00685539">
        <w:t>dighet att avvisa listor som enbart består av manliga kandidater. Förslaget till resol</w:t>
      </w:r>
      <w:r w:rsidRPr="00685539">
        <w:t>u</w:t>
      </w:r>
      <w:r w:rsidRPr="00685539">
        <w:t>tion, som skulle göra det möjligt för församlingen att göra undantag från den fastställda regeln, byggde på att Malta två gånger presenterat en lista med endast manliga kandidater med argumentet att lämpliga kvinnliga kand</w:t>
      </w:r>
      <w:r w:rsidRPr="00685539">
        <w:t>i</w:t>
      </w:r>
      <w:r w:rsidRPr="00685539">
        <w:t xml:space="preserve">dater som uppnår kvalifikationskraven saknades. </w:t>
      </w:r>
    </w:p>
    <w:p w:rsidR="00075C4B" w:rsidRPr="00685539" w:rsidRDefault="00075C4B" w:rsidP="00EA4DCE">
      <w:pPr>
        <w:pStyle w:val="Normaltindrag"/>
      </w:pPr>
      <w:r w:rsidRPr="00685539">
        <w:t xml:space="preserve">I sitt debattinlägg motsatte sig </w:t>
      </w:r>
      <w:r w:rsidRPr="00685539">
        <w:rPr>
          <w:i/>
        </w:rPr>
        <w:t>Carina Hägg</w:t>
      </w:r>
      <w:r w:rsidRPr="00685539">
        <w:t xml:space="preserve"> förslaget. Hon menade att det handlade om vilket budskap församlingen ville sända. Ett undantag från r</w:t>
      </w:r>
      <w:r w:rsidRPr="00685539">
        <w:t>e</w:t>
      </w:r>
      <w:r w:rsidRPr="00685539">
        <w:t xml:space="preserve">geln skulle innebära ett steg tillbaka. Reglerna borde inte ändras enbart på grund av att ett land säger sig inte ha möjlighet att presentera en kvinnlig kandidat. </w:t>
      </w:r>
    </w:p>
    <w:p w:rsidR="00075C4B" w:rsidRPr="00685539" w:rsidRDefault="00075C4B" w:rsidP="001441EB">
      <w:pPr>
        <w:pStyle w:val="Rubrik2"/>
        <w:spacing w:after="0"/>
      </w:pPr>
      <w:bookmarkStart w:id="63" w:name="_Toc192059532"/>
      <w:r w:rsidRPr="00685539">
        <w:t>4.4 Ekonomiska frågor</w:t>
      </w:r>
      <w:bookmarkEnd w:id="63"/>
    </w:p>
    <w:p w:rsidR="00075C4B" w:rsidRPr="00685539" w:rsidRDefault="00075C4B" w:rsidP="001441EB">
      <w:pPr>
        <w:pStyle w:val="Rubrik3"/>
        <w:rPr>
          <w:noProof w:val="0"/>
        </w:rPr>
      </w:pPr>
      <w:bookmarkStart w:id="64" w:name="_Toc192059533"/>
      <w:r w:rsidRPr="00685539">
        <w:rPr>
          <w:noProof w:val="0"/>
        </w:rPr>
        <w:t>4.4.1 OECD och världsekonomin</w:t>
      </w:r>
      <w:bookmarkEnd w:id="64"/>
    </w:p>
    <w:p w:rsidR="00075C4B" w:rsidRPr="00685539" w:rsidRDefault="00075C4B" w:rsidP="00EA4DCE">
      <w:r w:rsidRPr="00685539">
        <w:t>Europarådets parlamentariska församling fungerar som OECD:s parlament</w:t>
      </w:r>
      <w:r w:rsidRPr="00685539">
        <w:t>a</w:t>
      </w:r>
      <w:r w:rsidRPr="00685539">
        <w:t>riska dimension. Sju av OECD:s trettio medlemsländer ingår inte i Europar</w:t>
      </w:r>
      <w:r w:rsidRPr="00685539">
        <w:t>å</w:t>
      </w:r>
      <w:r w:rsidRPr="00685539">
        <w:t>det, men deras parlamentariska delegationer har rätt att delta i den årliga debatten om OECD:s aktiviteter. I en debatt om</w:t>
      </w:r>
      <w:r w:rsidRPr="00685539">
        <w:rPr>
          <w:i/>
        </w:rPr>
        <w:t xml:space="preserve"> OECD och världsekonomin </w:t>
      </w:r>
      <w:r w:rsidRPr="00685539">
        <w:t xml:space="preserve">(dok. 11357, res. 1574) vid höstsessionen deltog parlamentariker från Japan, Kanada, Sydkorea och Mexiko samt OECD:s generalsekreterare </w:t>
      </w:r>
      <w:r w:rsidRPr="00685539">
        <w:rPr>
          <w:i/>
        </w:rPr>
        <w:t>Angel Gurría</w:t>
      </w:r>
      <w:r w:rsidRPr="00685539">
        <w:t>.</w:t>
      </w:r>
    </w:p>
    <w:p w:rsidR="00075C4B" w:rsidRPr="00685539" w:rsidRDefault="00075C4B" w:rsidP="00EA4DCE">
      <w:pPr>
        <w:pStyle w:val="Normaltindrag"/>
      </w:pPr>
      <w:r w:rsidRPr="00685539">
        <w:t>Den utvidgade församlingen välkomnar diskussioner som gäller medle</w:t>
      </w:r>
      <w:r w:rsidRPr="00685539">
        <w:t>m</w:t>
      </w:r>
      <w:r w:rsidRPr="00685539">
        <w:t>skap i OECD för Chile, Estland, Israel, Ryssland och Slovenien. OECD har des</w:t>
      </w:r>
      <w:r w:rsidRPr="00685539">
        <w:t>s</w:t>
      </w:r>
      <w:r w:rsidRPr="00685539">
        <w:t>utom fått i uppdrag från G8 att fungera som plattform för dialog mellan G8 och Brasilien, Kina, Indien, Indon</w:t>
      </w:r>
      <w:r w:rsidRPr="00685539">
        <w:t>e</w:t>
      </w:r>
      <w:r w:rsidRPr="00685539">
        <w:t>sien och Sydafrika. Under en period av snabb globalisering ökar OECD därigenom väsentligt sina möjligheter att bistå medlemsr</w:t>
      </w:r>
      <w:r w:rsidRPr="00685539">
        <w:t>e</w:t>
      </w:r>
      <w:r w:rsidRPr="00685539">
        <w:t>geringarna med goda råd och därmed bidra till att förbättra världsekonomin. Församlingen stöder OECD:s verksamhet för hållbar utvec</w:t>
      </w:r>
      <w:r w:rsidRPr="00685539">
        <w:t>k</w:t>
      </w:r>
      <w:r w:rsidRPr="00685539">
        <w:t>ling. När det gäller globala miljöhot understryker försa</w:t>
      </w:r>
      <w:r w:rsidRPr="00685539">
        <w:t>m</w:t>
      </w:r>
      <w:r w:rsidRPr="00685539">
        <w:t>lingen behovet av att stora tillväxtekonomier, särskilt Ryssland, Brasilien, Kina och Indien, konkret motverkar den miljösförstöring som är förknippad med den ekonomiska u</w:t>
      </w:r>
      <w:r w:rsidRPr="00685539">
        <w:t>t</w:t>
      </w:r>
      <w:r w:rsidRPr="00685539">
        <w:t xml:space="preserve">vecklingen. </w:t>
      </w:r>
    </w:p>
    <w:p w:rsidR="00075C4B" w:rsidRPr="00685539" w:rsidRDefault="00075C4B" w:rsidP="00EA4DCE">
      <w:pPr>
        <w:pStyle w:val="Normaltindrag"/>
      </w:pPr>
      <w:r w:rsidRPr="00685539">
        <w:t>Tillväxttakten inom OECD under 2007 förutspås enligt prognosen att vara</w:t>
      </w:r>
      <w:r w:rsidR="002E2D23" w:rsidRPr="00685539">
        <w:t xml:space="preserve"> 2,7 </w:t>
      </w:r>
      <w:r w:rsidRPr="00685539">
        <w:t>% och fortsätta på samma nivå under 2008. Inflation</w:t>
      </w:r>
      <w:r w:rsidRPr="00685539">
        <w:t>s</w:t>
      </w:r>
      <w:r w:rsidRPr="00685539">
        <w:t xml:space="preserve">nivån förutspås </w:t>
      </w:r>
      <w:r w:rsidR="002E2D23" w:rsidRPr="00685539">
        <w:t>ligga på dryga 2 </w:t>
      </w:r>
      <w:r w:rsidRPr="00685539">
        <w:t>%. Det finns dock åtskilliga fakt</w:t>
      </w:r>
      <w:r w:rsidRPr="00685539">
        <w:t>o</w:t>
      </w:r>
      <w:r w:rsidRPr="00685539">
        <w:t xml:space="preserve">rer som kan påverka tillväxten på ett negativt sätt. Bland akuta orosmoment finns USA:s bostadslånekris. </w:t>
      </w:r>
    </w:p>
    <w:p w:rsidR="00075C4B" w:rsidRPr="00685539" w:rsidRDefault="00075C4B" w:rsidP="00EA4DCE">
      <w:pPr>
        <w:pStyle w:val="Normaltindrag"/>
      </w:pPr>
      <w:r w:rsidRPr="00685539">
        <w:t>Arbetslösheten inom</w:t>
      </w:r>
      <w:r w:rsidR="00EA4DCE" w:rsidRPr="00685539">
        <w:t xml:space="preserve"> OECD förväntas sjunka från 5,9 % till 5,5 </w:t>
      </w:r>
      <w:r w:rsidRPr="00685539">
        <w:t>%. För att främja tillväxt och välstånd är det nödvändigt att stöd</w:t>
      </w:r>
      <w:r w:rsidR="007068D1" w:rsidRPr="00685539">
        <w:t>j</w:t>
      </w:r>
      <w:r w:rsidRPr="00685539">
        <w:t>a små och medelstora företag eftersom de har en nyckelposition när det gäller att skapa ekonomisk tillväxt, arbetsmöjligheter, regional utveckling och social sammanhållning. OECD:s verksamhet inom migration, vattenförsörjning och hälsovård fångar också försa</w:t>
      </w:r>
      <w:r w:rsidRPr="00685539">
        <w:t>m</w:t>
      </w:r>
      <w:r w:rsidRPr="00685539">
        <w:t xml:space="preserve">lingens uppmärksamhet.  </w:t>
      </w:r>
    </w:p>
    <w:p w:rsidR="00075C4B" w:rsidRPr="00685539" w:rsidRDefault="00075C4B" w:rsidP="00EA4DCE">
      <w:pPr>
        <w:pStyle w:val="Normaltindrag"/>
      </w:pPr>
      <w:r w:rsidRPr="00685539">
        <w:t xml:space="preserve">Församlingen tar </w:t>
      </w:r>
      <w:r w:rsidR="007068D1" w:rsidRPr="00685539">
        <w:t xml:space="preserve">också upp </w:t>
      </w:r>
      <w:r w:rsidRPr="00685539">
        <w:t>OECD:s insatser inom utbildning och välko</w:t>
      </w:r>
      <w:r w:rsidRPr="00685539">
        <w:t>m</w:t>
      </w:r>
      <w:r w:rsidRPr="00685539">
        <w:t>nar Pisa (Programme for international students’ assessment) som mäter 15-åringarnas kunskaper och färdigheter i läsning, m</w:t>
      </w:r>
      <w:r w:rsidRPr="00685539">
        <w:t>a</w:t>
      </w:r>
      <w:r w:rsidRPr="00685539">
        <w:t xml:space="preserve">tematik och naturkunskap. Också Europarådets och Unescos roll i Bolognaprocessen uppmärksammas. </w:t>
      </w:r>
    </w:p>
    <w:p w:rsidR="00075C4B" w:rsidRPr="00685539" w:rsidRDefault="002E2D23" w:rsidP="002E2D23">
      <w:pPr>
        <w:pStyle w:val="Rubrik3"/>
        <w:rPr>
          <w:noProof w:val="0"/>
        </w:rPr>
      </w:pPr>
      <w:bookmarkStart w:id="65" w:name="_Toc192059534"/>
      <w:r w:rsidRPr="00685539">
        <w:rPr>
          <w:noProof w:val="0"/>
        </w:rPr>
        <w:t>4.4.2</w:t>
      </w:r>
      <w:r w:rsidR="00075C4B" w:rsidRPr="00685539">
        <w:rPr>
          <w:noProof w:val="0"/>
        </w:rPr>
        <w:t xml:space="preserve"> Förbud mot piratkopior och handel med förfalskade produkter</w:t>
      </w:r>
      <w:bookmarkEnd w:id="65"/>
    </w:p>
    <w:p w:rsidR="00075C4B" w:rsidRPr="00685539" w:rsidRDefault="00075C4B" w:rsidP="002E2D23">
      <w:r w:rsidRPr="00685539">
        <w:t>Församlingen har tidigare uttryckt oro över det växande fenomenet med fö</w:t>
      </w:r>
      <w:r w:rsidRPr="00685539">
        <w:t>r</w:t>
      </w:r>
      <w:r w:rsidRPr="00685539">
        <w:t>falskningar, piratkopiering och handel med oäkta varor i Europa. Det han</w:t>
      </w:r>
      <w:r w:rsidRPr="00685539">
        <w:t>d</w:t>
      </w:r>
      <w:r w:rsidRPr="00685539">
        <w:t>lar om en brottslig verksamhet som bedrivs av kriminella nätverk och som skadar ländernas ekonomi. Dessutom kan de oäkta varorna vara direkt farliga för konsumenternas hälsa. Vid en debatt under aprilsessionen framkom att fö</w:t>
      </w:r>
      <w:r w:rsidRPr="00685539">
        <w:t>r</w:t>
      </w:r>
      <w:r w:rsidRPr="00685539">
        <w:t>samlingen anser att det är hög tid för Europarådet och medlemsländerna att ta tag i problemet på ett mer omfattande sätt än vad man hittills gjort och för</w:t>
      </w:r>
      <w:r w:rsidRPr="00685539">
        <w:t>e</w:t>
      </w:r>
      <w:r w:rsidRPr="00685539">
        <w:t xml:space="preserve">slår en </w:t>
      </w:r>
      <w:r w:rsidRPr="00685539">
        <w:rPr>
          <w:i/>
        </w:rPr>
        <w:t>konvention om förbud mot piratkopiering och handel med förfal</w:t>
      </w:r>
      <w:r w:rsidRPr="00685539">
        <w:rPr>
          <w:i/>
        </w:rPr>
        <w:t>s</w:t>
      </w:r>
      <w:r w:rsidRPr="00685539">
        <w:rPr>
          <w:i/>
        </w:rPr>
        <w:t xml:space="preserve">kade varor </w:t>
      </w:r>
      <w:r w:rsidRPr="00685539">
        <w:t xml:space="preserve">(dok. 11227, rek. 1793). Ministerkommittén bör ta initiativ </w:t>
      </w:r>
      <w:r w:rsidR="00394658" w:rsidRPr="00685539">
        <w:t xml:space="preserve">till </w:t>
      </w:r>
      <w:r w:rsidRPr="00685539">
        <w:t>att skapa enhetliga regler inom Europa för att förebygga och bekämpa piratk</w:t>
      </w:r>
      <w:r w:rsidRPr="00685539">
        <w:t>o</w:t>
      </w:r>
      <w:r w:rsidRPr="00685539">
        <w:t>piering. Den bör också få till stånd informationskampanjer för att öka me</w:t>
      </w:r>
      <w:r w:rsidRPr="00685539">
        <w:t>d</w:t>
      </w:r>
      <w:r w:rsidRPr="00685539">
        <w:t xml:space="preserve">vetenheten om farorna med denna verksamhet. </w:t>
      </w:r>
    </w:p>
    <w:p w:rsidR="00075C4B" w:rsidRPr="00685539" w:rsidRDefault="00075C4B" w:rsidP="002E2D23">
      <w:pPr>
        <w:pStyle w:val="Normaltindrag"/>
      </w:pPr>
      <w:r w:rsidRPr="00685539">
        <w:rPr>
          <w:i/>
        </w:rPr>
        <w:t>Anna Lilliehöök</w:t>
      </w:r>
      <w:r w:rsidRPr="00685539">
        <w:t xml:space="preserve"> beklagade i sitt debattinlägg att medvetenheten om pr</w:t>
      </w:r>
      <w:r w:rsidRPr="00685539">
        <w:t>o</w:t>
      </w:r>
      <w:r w:rsidRPr="00685539">
        <w:t>blemen med förfalskningar verkade vara låg. Den underjordiska tillverknin</w:t>
      </w:r>
      <w:r w:rsidRPr="00685539">
        <w:t>g</w:t>
      </w:r>
      <w:r w:rsidRPr="00685539">
        <w:t>en förser marknaden med imitationer och kopior av märkesprodukter till mycket låga priser. Faror förknippade med att köpa piratkopior handlar inte bara om kvalitet. Den bakomli</w:t>
      </w:r>
      <w:r w:rsidRPr="00685539">
        <w:t>g</w:t>
      </w:r>
      <w:r w:rsidRPr="00685539">
        <w:t>gande organisationen och svarthandel kan bl.a. bidra till att finansiera terroristaktioner. Det finns ingen kontroll av a</w:t>
      </w:r>
      <w:r w:rsidRPr="00685539">
        <w:t>r</w:t>
      </w:r>
      <w:r w:rsidRPr="00685539">
        <w:t>betsförhållanden. Genom att acceptera dubbelmoral legitimeras denna ver</w:t>
      </w:r>
      <w:r w:rsidRPr="00685539">
        <w:t>k</w:t>
      </w:r>
      <w:r w:rsidRPr="00685539">
        <w:t xml:space="preserve">samhet, menade Lilliehöök. </w:t>
      </w:r>
    </w:p>
    <w:p w:rsidR="00075C4B" w:rsidRPr="00685539" w:rsidRDefault="00075C4B" w:rsidP="002E2D23">
      <w:pPr>
        <w:pStyle w:val="Rubrik3"/>
        <w:rPr>
          <w:noProof w:val="0"/>
        </w:rPr>
      </w:pPr>
      <w:bookmarkStart w:id="66" w:name="_Toc192059535"/>
      <w:r w:rsidRPr="00685539">
        <w:rPr>
          <w:noProof w:val="0"/>
        </w:rPr>
        <w:t>4.4.3 Ekonomisk tillväxt och socialt skydd i Europa</w:t>
      </w:r>
      <w:bookmarkEnd w:id="66"/>
      <w:r w:rsidRPr="00685539">
        <w:rPr>
          <w:noProof w:val="0"/>
        </w:rPr>
        <w:t xml:space="preserve"> </w:t>
      </w:r>
    </w:p>
    <w:p w:rsidR="00075C4B" w:rsidRPr="00685539" w:rsidRDefault="00075C4B" w:rsidP="002E2D23">
      <w:r w:rsidRPr="00685539">
        <w:t xml:space="preserve">Vid oktobersessionen antog församlingen en resolution om hur man </w:t>
      </w:r>
      <w:r w:rsidRPr="00685539">
        <w:rPr>
          <w:i/>
        </w:rPr>
        <w:t>i en globaliserad era</w:t>
      </w:r>
      <w:r w:rsidRPr="00685539">
        <w:t xml:space="preserve"> </w:t>
      </w:r>
      <w:r w:rsidRPr="00685539">
        <w:rPr>
          <w:i/>
        </w:rPr>
        <w:t xml:space="preserve">förverkligar både ekonomisk tillväxt och socialt skydd i Europa </w:t>
      </w:r>
      <w:r w:rsidRPr="00685539">
        <w:t>(dok</w:t>
      </w:r>
      <w:r w:rsidR="00394658" w:rsidRPr="00685539">
        <w:t>.</w:t>
      </w:r>
      <w:r w:rsidRPr="00685539">
        <w:t xml:space="preserve"> 11366, 11397, res.</w:t>
      </w:r>
      <w:r w:rsidR="00783CA2" w:rsidRPr="00685539">
        <w:t xml:space="preserve"> </w:t>
      </w:r>
      <w:r w:rsidRPr="00685539">
        <w:t>1</w:t>
      </w:r>
      <w:r w:rsidR="00394658" w:rsidRPr="00685539">
        <w:t> </w:t>
      </w:r>
      <w:r w:rsidRPr="00685539">
        <w:t>573). För Europa innebär globalis</w:t>
      </w:r>
      <w:r w:rsidRPr="00685539">
        <w:t>e</w:t>
      </w:r>
      <w:r w:rsidRPr="00685539">
        <w:t>ringen tillfälle att stimulera tillväxt och vä</w:t>
      </w:r>
      <w:r w:rsidRPr="00685539">
        <w:t>l</w:t>
      </w:r>
      <w:r w:rsidRPr="00685539">
        <w:t>stånd genom allt större möjligheter till export och billig import, minskade produktionskostnader, utländska investe</w:t>
      </w:r>
      <w:r w:rsidRPr="00685539">
        <w:t>r</w:t>
      </w:r>
      <w:r w:rsidRPr="00685539">
        <w:t>ingar och direktinvesteringar utomlands. Församlingen anser att alla me</w:t>
      </w:r>
      <w:r w:rsidRPr="00685539">
        <w:t>d</w:t>
      </w:r>
      <w:r w:rsidRPr="00685539">
        <w:t>lemsstater bör ta del av globaliseringens potential för att stimulera til</w:t>
      </w:r>
      <w:r w:rsidRPr="00685539">
        <w:t>l</w:t>
      </w:r>
      <w:r w:rsidRPr="00685539">
        <w:t xml:space="preserve">växt, skapa nya sysselsättningar och bevara en hög nivå av socialt skydd. Dock kan man inte acceptera att globaliseringsprocessen ges så fria tyglar att den kan underminera de gemensamma sociala och kulturella värderingar som det europeiska samhället vilar på. </w:t>
      </w:r>
    </w:p>
    <w:p w:rsidR="00075C4B" w:rsidRPr="00685539" w:rsidRDefault="00075C4B" w:rsidP="002E2D23">
      <w:pPr>
        <w:pStyle w:val="Normaltindrag"/>
      </w:pPr>
      <w:r w:rsidRPr="00685539">
        <w:t xml:space="preserve">I den efterföljande debatten påpekade </w:t>
      </w:r>
      <w:r w:rsidRPr="00685539">
        <w:rPr>
          <w:i/>
        </w:rPr>
        <w:t xml:space="preserve">Maryam Yazdanfar </w:t>
      </w:r>
      <w:r w:rsidRPr="00685539">
        <w:t>att</w:t>
      </w:r>
      <w:r w:rsidRPr="00685539">
        <w:rPr>
          <w:i/>
        </w:rPr>
        <w:t xml:space="preserve"> </w:t>
      </w:r>
      <w:r w:rsidRPr="00685539">
        <w:t>den stora u</w:t>
      </w:r>
      <w:r w:rsidRPr="00685539">
        <w:t>t</w:t>
      </w:r>
      <w:r w:rsidRPr="00685539">
        <w:t>maningen för Europas regeringar är att främja en arbet</w:t>
      </w:r>
      <w:r w:rsidRPr="00685539">
        <w:t>s</w:t>
      </w:r>
      <w:r w:rsidRPr="00685539">
        <w:t>marknad som består av socialt trygga anställda som kan vara fle</w:t>
      </w:r>
      <w:r w:rsidRPr="00685539">
        <w:t>x</w:t>
      </w:r>
      <w:r w:rsidRPr="00685539">
        <w:t>ibla, kommunikativa och villiga att prova nya karriärvägar. Regeringar, arbetsgivarorganisationer och fackf</w:t>
      </w:r>
      <w:r w:rsidRPr="00685539">
        <w:t>ö</w:t>
      </w:r>
      <w:r w:rsidRPr="00685539">
        <w:t>r</w:t>
      </w:r>
      <w:r w:rsidR="00037ACE" w:rsidRPr="00685539">
        <w:t>-</w:t>
      </w:r>
      <w:r w:rsidRPr="00685539">
        <w:t>eningar måste samarb</w:t>
      </w:r>
      <w:r w:rsidRPr="00685539">
        <w:t>e</w:t>
      </w:r>
      <w:r w:rsidRPr="00685539">
        <w:t>ta för att utnyttja globaliseringens fördelar.</w:t>
      </w:r>
    </w:p>
    <w:p w:rsidR="00075C4B" w:rsidRPr="00685539" w:rsidRDefault="00075C4B" w:rsidP="007F160D">
      <w:pPr>
        <w:pStyle w:val="Rubrik2"/>
        <w:spacing w:after="0"/>
      </w:pPr>
      <w:bookmarkStart w:id="67" w:name="_Toc192059536"/>
      <w:r w:rsidRPr="00685539">
        <w:t>4.5 Kultur, utbildning och vetenskap</w:t>
      </w:r>
      <w:bookmarkEnd w:id="67"/>
    </w:p>
    <w:p w:rsidR="00075C4B" w:rsidRPr="00685539" w:rsidRDefault="00075C4B" w:rsidP="007F160D">
      <w:pPr>
        <w:pStyle w:val="Rubrik3"/>
        <w:rPr>
          <w:noProof w:val="0"/>
        </w:rPr>
      </w:pPr>
      <w:bookmarkStart w:id="68" w:name="_Toc192059537"/>
      <w:r w:rsidRPr="00685539">
        <w:rPr>
          <w:noProof w:val="0"/>
        </w:rPr>
        <w:t>4.5.1 Hot mot journalisters liv och yttrandefrihet</w:t>
      </w:r>
      <w:bookmarkEnd w:id="68"/>
    </w:p>
    <w:p w:rsidR="00075C4B" w:rsidRPr="00685539" w:rsidRDefault="00075C4B" w:rsidP="002E2D23">
      <w:r w:rsidRPr="00685539">
        <w:t>Som en reaktion på morden på journalisterna Anna Politkovskaja i Rys</w:t>
      </w:r>
      <w:r w:rsidRPr="00685539">
        <w:t>s</w:t>
      </w:r>
      <w:r w:rsidRPr="00685539">
        <w:t xml:space="preserve">land och Hrant Dink i Turkiet beslutade församlingen vid januarisessionen att hålla en brådskande debatt om </w:t>
      </w:r>
      <w:r w:rsidRPr="00685539">
        <w:rPr>
          <w:i/>
        </w:rPr>
        <w:t>hot mot journ</w:t>
      </w:r>
      <w:r w:rsidRPr="00685539">
        <w:rPr>
          <w:i/>
        </w:rPr>
        <w:t>a</w:t>
      </w:r>
      <w:r w:rsidRPr="00685539">
        <w:rPr>
          <w:i/>
        </w:rPr>
        <w:t>listers liv och yttrandefrihet</w:t>
      </w:r>
      <w:r w:rsidRPr="00685539">
        <w:t xml:space="preserve"> (dok. 11143, rek. 1783, res. 1535). Genom att ta upp ämnet på dagordningen sänder församlingen en tydlig signal om betydelsen av yttrandefrihet och journali</w:t>
      </w:r>
      <w:r w:rsidRPr="00685539">
        <w:t>s</w:t>
      </w:r>
      <w:r w:rsidRPr="00685539">
        <w:t>ters roll. Rapporten fokuserar framför allt på utvecklingen i Ryssland men också på Turkiet och särskilt den turkiska brottsbalkens artikel 301. Andra länder som tas upp är Azerbajdzjan, Bosnien och Hercegovina, Bulg</w:t>
      </w:r>
      <w:r w:rsidRPr="00685539">
        <w:t>a</w:t>
      </w:r>
      <w:r w:rsidRPr="00685539">
        <w:t>rien, Kroatien, Moldavien, Serbien och Ukraina. Våld och hot mot journali</w:t>
      </w:r>
      <w:r w:rsidRPr="00685539">
        <w:t>s</w:t>
      </w:r>
      <w:r w:rsidRPr="00685539">
        <w:t>ter är allvarlig</w:t>
      </w:r>
      <w:r w:rsidR="00F421CC" w:rsidRPr="00685539">
        <w:t>t</w:t>
      </w:r>
      <w:r w:rsidRPr="00685539">
        <w:t xml:space="preserve"> eftersom yttrande- och medi</w:t>
      </w:r>
      <w:r w:rsidRPr="00685539">
        <w:t>e</w:t>
      </w:r>
      <w:r w:rsidRPr="00685539">
        <w:t>friheten sätts ur spel. Yttrande- och informationsfrihet enligt Europakonventionens artikel 10 är ett grun</w:t>
      </w:r>
      <w:r w:rsidRPr="00685539">
        <w:t>d</w:t>
      </w:r>
      <w:r w:rsidRPr="00685539">
        <w:t>läggande element för ett demokratiskt samhälle. Demokratin är i fara om journalister har anledning att frukta för sina liv och sin säkerhet. Församlin</w:t>
      </w:r>
      <w:r w:rsidRPr="00685539">
        <w:t>g</w:t>
      </w:r>
      <w:r w:rsidRPr="00685539">
        <w:t>en påminner om medlemsländernas skyldighet att utreda mord, våld och hot mot journali</w:t>
      </w:r>
      <w:r w:rsidRPr="00685539">
        <w:t>s</w:t>
      </w:r>
      <w:r w:rsidRPr="00685539">
        <w:t>ter. Lagar som begränsar yttrandefriheten och kan missbrukas av extrema nationalister bör avskaffas. Församlingen vill också etablera en överva</w:t>
      </w:r>
      <w:r w:rsidRPr="00685539">
        <w:t>k</w:t>
      </w:r>
      <w:r w:rsidRPr="00685539">
        <w:t>ningsmekanism för att ident</w:t>
      </w:r>
      <w:r w:rsidRPr="00685539">
        <w:t>i</w:t>
      </w:r>
      <w:r w:rsidRPr="00685539">
        <w:t xml:space="preserve">fiera och analysera attacker mot journalisters liv och yttrandefrihet. </w:t>
      </w:r>
    </w:p>
    <w:p w:rsidR="00075C4B" w:rsidRPr="00685539" w:rsidRDefault="00075C4B" w:rsidP="00CC33C6">
      <w:pPr>
        <w:pStyle w:val="Normaltindrag"/>
      </w:pPr>
      <w:r w:rsidRPr="00685539">
        <w:t xml:space="preserve">Enligt </w:t>
      </w:r>
      <w:r w:rsidRPr="00685539">
        <w:rPr>
          <w:i/>
        </w:rPr>
        <w:t>Morgan Johansson</w:t>
      </w:r>
      <w:r w:rsidRPr="00685539">
        <w:t xml:space="preserve"> tecknade rapporten en mycket allvarlig bild. Den turkiska lagstiftningen och artikel 301 ger näring åt e</w:t>
      </w:r>
      <w:r w:rsidRPr="00685539">
        <w:t>x</w:t>
      </w:r>
      <w:r w:rsidRPr="00685539">
        <w:t>tremister och utsätter journalister för fara. Mordet på Hrant Dink var ett exempel. Artikel 301 utgör också ett hinder för Turkiets medlemskap i EU. Under Johanssons besök i Turkiet hösten 2006 hade regeringen visat en öppenhet i fråga om att avskaffa artikeln, medan oppositionen föreföll mera ovillig. Stöd för utsko</w:t>
      </w:r>
      <w:r w:rsidRPr="00685539">
        <w:t>t</w:t>
      </w:r>
      <w:r w:rsidRPr="00685539">
        <w:t>tets ra</w:t>
      </w:r>
      <w:r w:rsidRPr="00685539">
        <w:t>p</w:t>
      </w:r>
      <w:r w:rsidRPr="00685539">
        <w:t>port innebar ett stöd för yttrande- och mediefrihet i Turkiet.</w:t>
      </w:r>
    </w:p>
    <w:p w:rsidR="00075C4B" w:rsidRPr="00685539" w:rsidRDefault="00075C4B" w:rsidP="00CC33C6">
      <w:pPr>
        <w:pStyle w:val="Rubrik3"/>
        <w:rPr>
          <w:noProof w:val="0"/>
        </w:rPr>
      </w:pPr>
      <w:bookmarkStart w:id="69" w:name="_Toc192059538"/>
      <w:r w:rsidRPr="00685539">
        <w:rPr>
          <w:noProof w:val="0"/>
        </w:rPr>
        <w:t>4.5.2 Farorna med skapelseberättelsen</w:t>
      </w:r>
      <w:bookmarkEnd w:id="69"/>
      <w:r w:rsidRPr="00685539">
        <w:rPr>
          <w:noProof w:val="0"/>
        </w:rPr>
        <w:t xml:space="preserve"> </w:t>
      </w:r>
    </w:p>
    <w:p w:rsidR="00075C4B" w:rsidRPr="00685539" w:rsidRDefault="00075C4B" w:rsidP="00CC33C6">
      <w:r w:rsidRPr="00685539">
        <w:t xml:space="preserve">Vid oktobersessionen debatterade församlingen </w:t>
      </w:r>
      <w:r w:rsidRPr="00685539">
        <w:rPr>
          <w:i/>
        </w:rPr>
        <w:t>farorna med kre</w:t>
      </w:r>
      <w:r w:rsidRPr="00685539">
        <w:rPr>
          <w:i/>
        </w:rPr>
        <w:t>a</w:t>
      </w:r>
      <w:r w:rsidRPr="00685539">
        <w:rPr>
          <w:i/>
        </w:rPr>
        <w:t>tionism i utbildning</w:t>
      </w:r>
      <w:r w:rsidRPr="00685539">
        <w:t xml:space="preserve"> (dok.11375, </w:t>
      </w:r>
      <w:r w:rsidR="00CC33C6" w:rsidRPr="00685539">
        <w:t xml:space="preserve">res. 1580). </w:t>
      </w:r>
      <w:r w:rsidRPr="00685539">
        <w:t>Syftet med den anta</w:t>
      </w:r>
      <w:r w:rsidRPr="00685539">
        <w:t>g</w:t>
      </w:r>
      <w:r w:rsidRPr="00685539">
        <w:t>na resolutionen är att varna för vissa försök att ersätta det vete</w:t>
      </w:r>
      <w:r w:rsidRPr="00685539">
        <w:t>n</w:t>
      </w:r>
      <w:r w:rsidRPr="00685539">
        <w:t>skapliga synsättet i skolor med religiösa föreställningar som ”intelligent design”. Negativa följder av spri</w:t>
      </w:r>
      <w:r w:rsidRPr="00685539">
        <w:t>d</w:t>
      </w:r>
      <w:r w:rsidRPr="00685539">
        <w:t>ningen av kreationism inom utbildning och dess konsekvenser för det dem</w:t>
      </w:r>
      <w:r w:rsidRPr="00685539">
        <w:t>o</w:t>
      </w:r>
      <w:r w:rsidRPr="00685539">
        <w:t>kratiska s</w:t>
      </w:r>
      <w:r w:rsidRPr="00685539">
        <w:t>y</w:t>
      </w:r>
      <w:r w:rsidRPr="00685539">
        <w:t>stemet oroar församlingen. Evolutionsteorin utgör grunden för att förstå vår omvärld. Om vi inte är på vår vakt, kommer kreationi</w:t>
      </w:r>
      <w:r w:rsidRPr="00685539">
        <w:t>s</w:t>
      </w:r>
      <w:r w:rsidRPr="00685539">
        <w:t>men att bli ett hot mot de mänskliga rättigheterna, menar försa</w:t>
      </w:r>
      <w:r w:rsidRPr="00685539">
        <w:t>m</w:t>
      </w:r>
      <w:r w:rsidRPr="00685539">
        <w:t xml:space="preserve">lingen.  </w:t>
      </w:r>
    </w:p>
    <w:p w:rsidR="00075C4B" w:rsidRPr="00685539" w:rsidRDefault="00075C4B" w:rsidP="00CC33C6">
      <w:pPr>
        <w:pStyle w:val="Normaltindrag"/>
      </w:pPr>
      <w:r w:rsidRPr="00685539">
        <w:rPr>
          <w:i/>
        </w:rPr>
        <w:t>Morgan Johansson</w:t>
      </w:r>
      <w:r w:rsidRPr="00685539">
        <w:t xml:space="preserve"> deltog i debatten som representant för soci</w:t>
      </w:r>
      <w:r w:rsidRPr="00685539">
        <w:t>a</w:t>
      </w:r>
      <w:r w:rsidRPr="00685539">
        <w:t>listgruppen. Han inledde med att det var hög tid att ta itu med ra</w:t>
      </w:r>
      <w:r w:rsidRPr="00685539">
        <w:t>p</w:t>
      </w:r>
      <w:r w:rsidRPr="00685539">
        <w:t>porten vars behandling skjutits upp vid föregående session. För</w:t>
      </w:r>
      <w:r w:rsidRPr="00685539">
        <w:t>e</w:t>
      </w:r>
      <w:r w:rsidRPr="00685539">
        <w:t>språkarna för ”intelligent design” krävde att deras uppfattning om skapelseläran ska läras ut i skolorna som en teori likvärdig med evolutionsteorin trots att den saknar all vetenskaplig grund. Av religiösa skäl vill kreationisterna inte acceptera den vetenskap som bidragit till bättre levnadsvillkor. Barn är individer med egna rä</w:t>
      </w:r>
      <w:r w:rsidRPr="00685539">
        <w:t>t</w:t>
      </w:r>
      <w:r w:rsidRPr="00685539">
        <w:t>tigheter och har rätt att själva utforska världen och söka efter svar på djupa filosofiska och existentiella frågor. Kreationismen utgör ett hot mot dessa rättigheter</w:t>
      </w:r>
      <w:r w:rsidR="00E77B62" w:rsidRPr="00685539">
        <w:t>,</w:t>
      </w:r>
      <w:r w:rsidRPr="00685539">
        <w:t xml:space="preserve"> men den har i viss omfattning fått framgång i USA. Johansson uppmanade försa</w:t>
      </w:r>
      <w:r w:rsidRPr="00685539">
        <w:t>m</w:t>
      </w:r>
      <w:r w:rsidRPr="00685539">
        <w:t>lin</w:t>
      </w:r>
      <w:r w:rsidRPr="00685539">
        <w:t>g</w:t>
      </w:r>
      <w:r w:rsidRPr="00685539">
        <w:t>en att sätta stopp för kreationisters offensiv i Europa</w:t>
      </w:r>
      <w:r w:rsidR="00E77B62" w:rsidRPr="00685539">
        <w:t>.</w:t>
      </w:r>
      <w:r w:rsidRPr="00685539">
        <w:t xml:space="preserve"> </w:t>
      </w:r>
    </w:p>
    <w:p w:rsidR="00075C4B" w:rsidRPr="00685539" w:rsidRDefault="00075C4B" w:rsidP="007F160D">
      <w:pPr>
        <w:pStyle w:val="Rubrik2"/>
        <w:spacing w:after="0"/>
      </w:pPr>
      <w:bookmarkStart w:id="70" w:name="UDrubrik"/>
      <w:bookmarkStart w:id="71" w:name="UDArendemening"/>
      <w:bookmarkStart w:id="72" w:name="TelemErende"/>
      <w:bookmarkStart w:id="73" w:name="_Toc192059539"/>
      <w:bookmarkEnd w:id="70"/>
      <w:bookmarkEnd w:id="71"/>
      <w:bookmarkEnd w:id="72"/>
      <w:r w:rsidRPr="00685539">
        <w:t>4.6 Sociala frågor, hälso- och familjefrågor</w:t>
      </w:r>
      <w:bookmarkEnd w:id="73"/>
    </w:p>
    <w:p w:rsidR="00075C4B" w:rsidRPr="00685539" w:rsidRDefault="00075C4B" w:rsidP="007F160D">
      <w:pPr>
        <w:pStyle w:val="Rubrik3"/>
        <w:rPr>
          <w:noProof w:val="0"/>
        </w:rPr>
      </w:pPr>
      <w:bookmarkStart w:id="74" w:name="_Toc192059540"/>
      <w:r w:rsidRPr="00685539">
        <w:rPr>
          <w:noProof w:val="0"/>
        </w:rPr>
        <w:t>4.6.1 Europarådets konvention om skydd för barn mot sexuellt utnyttjande och sexuella övergrepp</w:t>
      </w:r>
      <w:bookmarkEnd w:id="74"/>
    </w:p>
    <w:p w:rsidR="00075C4B" w:rsidRPr="00685539" w:rsidRDefault="00075C4B" w:rsidP="00CC33C6">
      <w:r w:rsidRPr="00685539">
        <w:t xml:space="preserve">Församlingen yttrade sig vid aprilsessionen om ett </w:t>
      </w:r>
      <w:r w:rsidRPr="00685539">
        <w:rPr>
          <w:i/>
        </w:rPr>
        <w:t>utkast till en konvention om skydd för barn mot sexuellt utnyttjande och sexuella övergrepp</w:t>
      </w:r>
      <w:r w:rsidRPr="00685539">
        <w:t xml:space="preserve"> (dok. 11209, yttr</w:t>
      </w:r>
      <w:r w:rsidR="003B7824" w:rsidRPr="00685539">
        <w:t xml:space="preserve">. </w:t>
      </w:r>
      <w:r w:rsidRPr="00685539">
        <w:t>263). En expertkommitté inom Europarådet hade sedan maj 2006 utarbetat ett utkast till konvention om skydd för barn mot sexuellt u</w:t>
      </w:r>
      <w:r w:rsidRPr="00685539">
        <w:t>t</w:t>
      </w:r>
      <w:r w:rsidRPr="00685539">
        <w:t>nyttjande och sexuella öve</w:t>
      </w:r>
      <w:r w:rsidRPr="00685539">
        <w:t>r</w:t>
      </w:r>
      <w:r w:rsidRPr="00685539">
        <w:t>grepp. Konventionens syfte är att förebygga och bekämpa sexuell exploatering av och sexuella övergrepp på barn, att skydda brotts</w:t>
      </w:r>
      <w:r w:rsidR="003B7824" w:rsidRPr="00685539">
        <w:softHyphen/>
      </w:r>
      <w:r w:rsidRPr="00685539">
        <w:t>offers rättigheter samt att främja nationellt och internationellt samarbete i frågan. Konventionstexten innehåller en bestämmelse om förlängd preskri</w:t>
      </w:r>
      <w:r w:rsidRPr="00685539">
        <w:t>p</w:t>
      </w:r>
      <w:r w:rsidRPr="00685539">
        <w:t>tionstid för vissa allvarliga brott samt bestämme</w:t>
      </w:r>
      <w:r w:rsidRPr="00685539">
        <w:t>l</w:t>
      </w:r>
      <w:r w:rsidRPr="00685539">
        <w:t>ser om interventionsprogram för sexualbrottsförövare. En övervakningsmekanism finns med för att säke</w:t>
      </w:r>
      <w:r w:rsidRPr="00685539">
        <w:t>r</w:t>
      </w:r>
      <w:r w:rsidRPr="00685539">
        <w:t>ställa ett effektivt genomförande av konventionens bestämmelser. Försa</w:t>
      </w:r>
      <w:r w:rsidRPr="00685539">
        <w:t>m</w:t>
      </w:r>
      <w:r w:rsidRPr="00685539">
        <w:t>lingen välkomnar det snabba förberedandet av utkastet och anser att konve</w:t>
      </w:r>
      <w:r w:rsidRPr="00685539">
        <w:t>n</w:t>
      </w:r>
      <w:r w:rsidRPr="00685539">
        <w:t>tionen utgör ett stort steg framåt för att skydda barn mot denna avskyvä</w:t>
      </w:r>
      <w:r w:rsidRPr="00685539">
        <w:t>r</w:t>
      </w:r>
      <w:r w:rsidRPr="00685539">
        <w:t>da form av övergrepp. Konventionen passar väl in i församlingens och Europ</w:t>
      </w:r>
      <w:r w:rsidRPr="00685539">
        <w:t>a</w:t>
      </w:r>
      <w:r w:rsidRPr="00685539">
        <w:t>rådets prioriteringar att skapa ett Europa för och med barn. Församlingen föreslog dock textändringar, så att den viktiga roll som offrens föräldrar och familj har får större erkännande.</w:t>
      </w:r>
    </w:p>
    <w:p w:rsidR="00075C4B" w:rsidRPr="00685539" w:rsidRDefault="00075C4B" w:rsidP="00CC33C6">
      <w:pPr>
        <w:pStyle w:val="Normaltindrag"/>
      </w:pPr>
      <w:r w:rsidRPr="00685539">
        <w:rPr>
          <w:i/>
        </w:rPr>
        <w:t xml:space="preserve">Björn von Sydow </w:t>
      </w:r>
      <w:r w:rsidRPr="00685539">
        <w:t>sade sig stöd</w:t>
      </w:r>
      <w:r w:rsidR="00E77B62" w:rsidRPr="00685539">
        <w:t>j</w:t>
      </w:r>
      <w:r w:rsidRPr="00685539">
        <w:t>a den föreslagna konvention</w:t>
      </w:r>
      <w:r w:rsidR="00E77B62" w:rsidRPr="00685539">
        <w:t>en</w:t>
      </w:r>
      <w:r w:rsidR="007F160D" w:rsidRPr="00685539">
        <w:t>,</w:t>
      </w:r>
      <w:r w:rsidRPr="00685539">
        <w:t xml:space="preserve"> </w:t>
      </w:r>
      <w:r w:rsidR="00E77B62" w:rsidRPr="00685539">
        <w:t xml:space="preserve">vilken </w:t>
      </w:r>
      <w:r w:rsidRPr="00685539">
        <w:t>u</w:t>
      </w:r>
      <w:r w:rsidRPr="00685539">
        <w:t>t</w:t>
      </w:r>
      <w:r w:rsidRPr="00685539">
        <w:t xml:space="preserve">gjorde ett stort framsteg i skyddet av barn. Enligt svenska Rädda </w:t>
      </w:r>
      <w:r w:rsidR="00E77B62" w:rsidRPr="00685539">
        <w:t xml:space="preserve">Barnen </w:t>
      </w:r>
      <w:r w:rsidRPr="00685539">
        <w:t>är många sexuellt utnyttjade barn trängda till tys</w:t>
      </w:r>
      <w:r w:rsidRPr="00685539">
        <w:t>t</w:t>
      </w:r>
      <w:r w:rsidRPr="00685539">
        <w:t>nad. Det borde finnas i åtanke när det gäller de möjligheter som barn har att hantera sin situation och bli kvitt sin oro och skam. Bara då kan de fortsätta att utvecklas. Det är europei</w:t>
      </w:r>
      <w:r w:rsidRPr="00685539">
        <w:t>s</w:t>
      </w:r>
      <w:r w:rsidRPr="00685539">
        <w:t>ka staters ansvar att alla barn får kunskaper om sina rättigheter. Den föresla</w:t>
      </w:r>
      <w:r w:rsidRPr="00685539">
        <w:t>g</w:t>
      </w:r>
      <w:r w:rsidRPr="00685539">
        <w:t>na konventionen innehåller inte enbart bestämmelser om san</w:t>
      </w:r>
      <w:r w:rsidRPr="00685539">
        <w:t>k</w:t>
      </w:r>
      <w:r w:rsidRPr="00685539">
        <w:t>tioner utan ställer också krav på preventiva åtgärder.</w:t>
      </w:r>
    </w:p>
    <w:p w:rsidR="00075C4B" w:rsidRPr="00685539" w:rsidRDefault="00075C4B" w:rsidP="00CC33C6">
      <w:pPr>
        <w:pStyle w:val="Rubrik3"/>
        <w:rPr>
          <w:noProof w:val="0"/>
        </w:rPr>
      </w:pPr>
      <w:bookmarkStart w:id="75" w:name="_Toc192059541"/>
      <w:r w:rsidRPr="00685539">
        <w:rPr>
          <w:noProof w:val="0"/>
        </w:rPr>
        <w:t>4.6.2 Insatser mot våld mot barn</w:t>
      </w:r>
      <w:bookmarkEnd w:id="75"/>
      <w:r w:rsidRPr="00685539">
        <w:rPr>
          <w:noProof w:val="0"/>
        </w:rPr>
        <w:t xml:space="preserve"> </w:t>
      </w:r>
    </w:p>
    <w:p w:rsidR="00075C4B" w:rsidRPr="00685539" w:rsidRDefault="00075C4B" w:rsidP="00CC33C6">
      <w:r w:rsidRPr="00685539">
        <w:t xml:space="preserve">Vid januarisessionen höll församlingen en debatt om </w:t>
      </w:r>
      <w:r w:rsidRPr="00685539">
        <w:rPr>
          <w:i/>
        </w:rPr>
        <w:t>barns rätti</w:t>
      </w:r>
      <w:r w:rsidRPr="00685539">
        <w:rPr>
          <w:i/>
        </w:rPr>
        <w:t>g</w:t>
      </w:r>
      <w:r w:rsidRPr="00685539">
        <w:rPr>
          <w:i/>
        </w:rPr>
        <w:t>heter och våld mot barn</w:t>
      </w:r>
      <w:r w:rsidRPr="00685539">
        <w:t xml:space="preserve"> (dok. 11118 , rek. 1778, res. 1530). </w:t>
      </w:r>
      <w:r w:rsidR="00A37232" w:rsidRPr="00685539">
        <w:t>Un</w:t>
      </w:r>
      <w:r w:rsidR="00A37232" w:rsidRPr="00685539">
        <w:t>i</w:t>
      </w:r>
      <w:r w:rsidR="00A37232" w:rsidRPr="00685539">
        <w:t xml:space="preserve">cefs </w:t>
      </w:r>
      <w:r w:rsidRPr="00685539">
        <w:t xml:space="preserve">generaldirektör </w:t>
      </w:r>
      <w:r w:rsidRPr="00685539">
        <w:rPr>
          <w:i/>
        </w:rPr>
        <w:t>Ann Veneman</w:t>
      </w:r>
      <w:r w:rsidRPr="00685539">
        <w:t xml:space="preserve">, prinsessan </w:t>
      </w:r>
      <w:r w:rsidRPr="00685539">
        <w:rPr>
          <w:i/>
        </w:rPr>
        <w:t>Caroline av Ha</w:t>
      </w:r>
      <w:r w:rsidRPr="00685539">
        <w:rPr>
          <w:i/>
        </w:rPr>
        <w:t>n</w:t>
      </w:r>
      <w:r w:rsidRPr="00685539">
        <w:rPr>
          <w:i/>
        </w:rPr>
        <w:t>nover</w:t>
      </w:r>
      <w:r w:rsidRPr="00685539">
        <w:t xml:space="preserve">, i egenskap </w:t>
      </w:r>
      <w:r w:rsidR="007F160D" w:rsidRPr="00685539">
        <w:t xml:space="preserve">av </w:t>
      </w:r>
      <w:r w:rsidRPr="00685539">
        <w:t>ordförande i organisationen AMADE (World Association of Children’s Friends) och E</w:t>
      </w:r>
      <w:r w:rsidRPr="00685539">
        <w:t>u</w:t>
      </w:r>
      <w:r w:rsidRPr="00685539">
        <w:t xml:space="preserve">roparådets MR-kommissarie </w:t>
      </w:r>
      <w:r w:rsidRPr="00685539">
        <w:rPr>
          <w:i/>
        </w:rPr>
        <w:t>Thomas Hammarberg</w:t>
      </w:r>
      <w:r w:rsidRPr="00685539">
        <w:t xml:space="preserve"> deltog i debatten. Försa</w:t>
      </w:r>
      <w:r w:rsidRPr="00685539">
        <w:t>m</w:t>
      </w:r>
      <w:r w:rsidRPr="00685539">
        <w:t>lingen betonar vikten av att de europeiska regeringarna ökar ansträn</w:t>
      </w:r>
      <w:r w:rsidRPr="00685539">
        <w:t>g</w:t>
      </w:r>
      <w:r w:rsidRPr="00685539">
        <w:t>ningarna för att bekämpa våld mot barn. Bristen på tillförlitlig st</w:t>
      </w:r>
      <w:r w:rsidRPr="00685539">
        <w:t>a</w:t>
      </w:r>
      <w:r w:rsidRPr="00685539">
        <w:t>tistik är ett problem. För att få bättre statistik över våld mot barn, utnyttjande av och övergrepp på barn föreslås upprättande av observationsrutiner på både nationell och eur</w:t>
      </w:r>
      <w:r w:rsidRPr="00685539">
        <w:t>o</w:t>
      </w:r>
      <w:r w:rsidRPr="00685539">
        <w:t xml:space="preserve">peisk nivå. Genom en gemensam deklaration om samarbete kan </w:t>
      </w:r>
      <w:r w:rsidR="00A37232" w:rsidRPr="00685539">
        <w:t xml:space="preserve">Unicef </w:t>
      </w:r>
      <w:r w:rsidRPr="00685539">
        <w:t>och Europar</w:t>
      </w:r>
      <w:r w:rsidRPr="00685539">
        <w:t>å</w:t>
      </w:r>
      <w:r w:rsidRPr="00685539">
        <w:t>det fördjupa samarbetet. Lagändringar krävs på ett antal områden för att förbättra skyddet för barn</w:t>
      </w:r>
      <w:r w:rsidR="00A37232" w:rsidRPr="00685539">
        <w:t>,</w:t>
      </w:r>
      <w:r w:rsidRPr="00685539">
        <w:t xml:space="preserve"> t.ex. när det gäller påtvingade äktenskap. Man bör överväga att ändra minimiåldern för barnarb</w:t>
      </w:r>
      <w:r w:rsidRPr="00685539">
        <w:t>e</w:t>
      </w:r>
      <w:r w:rsidRPr="00685539">
        <w:t xml:space="preserve">te från 14 till 16 år. </w:t>
      </w:r>
    </w:p>
    <w:p w:rsidR="00075C4B" w:rsidRPr="00685539" w:rsidRDefault="00075C4B" w:rsidP="00CC33C6">
      <w:pPr>
        <w:pStyle w:val="Normaltindrag"/>
      </w:pPr>
      <w:r w:rsidRPr="00685539">
        <w:rPr>
          <w:i/>
        </w:rPr>
        <w:t>Carina Ohlsson</w:t>
      </w:r>
      <w:r w:rsidRPr="00685539">
        <w:t xml:space="preserve"> uttalade på socialutskottets vägnar fullt stöd för rapporten. Våld mot barn är oacceptabelt. Ett förbud sänder en tydlig signal. I likhet med MR-kommissarien betonade Ohlsson vikten av att alla länder inför ett rättsligt förbud mot barnaga. Hon redogjorde också för de svenska erfarenheterna. Stöd till föräldrar är ett viktigt element liksom utbildning av personal inom barno</w:t>
      </w:r>
      <w:r w:rsidRPr="00685539">
        <w:t>m</w:t>
      </w:r>
      <w:r w:rsidRPr="00685539">
        <w:t>sorg, skola och rättsväsen. Europarådet har en viktig uppgift när det gäller att förändra vuxnas attityd gentemot barn och ungdomar. Barn och unga måste tas på allvar</w:t>
      </w:r>
      <w:r w:rsidR="00A37232" w:rsidRPr="00685539">
        <w:t>,</w:t>
      </w:r>
      <w:r w:rsidRPr="00685539">
        <w:t xml:space="preserve"> och vuxna behöver lyssna på deras åsikter. </w:t>
      </w:r>
    </w:p>
    <w:p w:rsidR="00075C4B" w:rsidRPr="00685539" w:rsidRDefault="00075C4B" w:rsidP="00CC33C6">
      <w:pPr>
        <w:pStyle w:val="Rubrik3"/>
        <w:rPr>
          <w:noProof w:val="0"/>
        </w:rPr>
      </w:pPr>
      <w:bookmarkStart w:id="76" w:name="_Toc192059542"/>
      <w:r w:rsidRPr="00685539">
        <w:rPr>
          <w:noProof w:val="0"/>
        </w:rPr>
        <w:t>4.6.3 Situationen för de äldre i Europa</w:t>
      </w:r>
      <w:bookmarkEnd w:id="76"/>
    </w:p>
    <w:p w:rsidR="00075C4B" w:rsidRPr="00685539" w:rsidRDefault="00075C4B" w:rsidP="00CC33C6">
      <w:r w:rsidRPr="00685539">
        <w:t>Som resultat av sjunkande fertilitet och mortalitet blir Europas befolkning genomsnittligt allt äldre. Det ständiga utskottet debatt</w:t>
      </w:r>
      <w:r w:rsidRPr="00685539">
        <w:t>e</w:t>
      </w:r>
      <w:r w:rsidRPr="00685539">
        <w:t xml:space="preserve">rade </w:t>
      </w:r>
      <w:r w:rsidRPr="00685539">
        <w:rPr>
          <w:i/>
        </w:rPr>
        <w:t>situationen för äldre européer</w:t>
      </w:r>
      <w:r w:rsidRPr="00685539">
        <w:t xml:space="preserve"> vid sitt möte i Belgrad (doc. 11179, rek. 1796). Parlamentar</w:t>
      </w:r>
      <w:r w:rsidRPr="00685539">
        <w:t>i</w:t>
      </w:r>
      <w:r w:rsidRPr="00685539">
        <w:t>kerna uppmanar medlemsstaterna att ta till vara den resurs som utgörs av ”yngre seniora medborga</w:t>
      </w:r>
      <w:r w:rsidR="00347B1E" w:rsidRPr="00685539">
        <w:t>re”, dvs. människor i åldern 60–</w:t>
      </w:r>
      <w:r w:rsidRPr="00685539">
        <w:t xml:space="preserve">75 år. Dessa är friskare än tidigare generationer och vill fortsätta </w:t>
      </w:r>
      <w:r w:rsidR="00347B1E" w:rsidRPr="00685539">
        <w:t xml:space="preserve">att </w:t>
      </w:r>
      <w:r w:rsidRPr="00685539">
        <w:t>spela en aktiv roll i sa</w:t>
      </w:r>
      <w:r w:rsidRPr="00685539">
        <w:t>m</w:t>
      </w:r>
      <w:r w:rsidRPr="00685539">
        <w:t>hället. För att kunna utnyttja den resurs som äldre personers samlade erfare</w:t>
      </w:r>
      <w:r w:rsidRPr="00685539">
        <w:t>n</w:t>
      </w:r>
      <w:r w:rsidRPr="00685539">
        <w:t>het och initiativkraft utgör måste socialförsäkringssystemen anpassas. Samt</w:t>
      </w:r>
      <w:r w:rsidRPr="00685539">
        <w:t>i</w:t>
      </w:r>
      <w:r w:rsidRPr="00685539">
        <w:t>digt behövs åtgärder för att identifiera och aktivt motarbeta subtil åldersdi</w:t>
      </w:r>
      <w:r w:rsidRPr="00685539">
        <w:t>s</w:t>
      </w:r>
      <w:r w:rsidRPr="00685539">
        <w:t>krim</w:t>
      </w:r>
      <w:r w:rsidRPr="00685539">
        <w:t>i</w:t>
      </w:r>
      <w:r w:rsidRPr="00685539">
        <w:t>nering. Särskilt bör kvinnors, invandrares och handikappades situation bea</w:t>
      </w:r>
      <w:r w:rsidRPr="00685539">
        <w:t>k</w:t>
      </w:r>
      <w:r w:rsidRPr="00685539">
        <w:t xml:space="preserve">tas eftersom dessa i högre ålder ofta utsätts för dubbel diskriminering. </w:t>
      </w:r>
    </w:p>
    <w:p w:rsidR="00075C4B" w:rsidRPr="00685539" w:rsidRDefault="00075C4B" w:rsidP="00CC33C6">
      <w:pPr>
        <w:pStyle w:val="Rubrik3"/>
        <w:rPr>
          <w:noProof w:val="0"/>
        </w:rPr>
      </w:pPr>
      <w:bookmarkStart w:id="77" w:name="_Toc192059543"/>
      <w:r w:rsidRPr="00685539">
        <w:rPr>
          <w:noProof w:val="0"/>
        </w:rPr>
        <w:t>4.6.4 Situationen för barn i konfliktdrabbade zoner på Balkan</w:t>
      </w:r>
      <w:bookmarkEnd w:id="77"/>
    </w:p>
    <w:p w:rsidR="00075C4B" w:rsidRPr="00685539" w:rsidRDefault="00075C4B" w:rsidP="00CC33C6">
      <w:r w:rsidRPr="00685539">
        <w:t>Situationen för barn som lever på Balkan i konfliktdrabbade zoner (dok. 11353, res. 1587) debatterades av parlamentarikerna vid det ständiga utsko</w:t>
      </w:r>
      <w:r w:rsidRPr="00685539">
        <w:t>t</w:t>
      </w:r>
      <w:r w:rsidRPr="00685539">
        <w:t xml:space="preserve">tets möte i Bratislava. Underlag för debatten var en rapport som </w:t>
      </w:r>
      <w:r w:rsidRPr="00685539">
        <w:rPr>
          <w:i/>
        </w:rPr>
        <w:t>Carina Ohl</w:t>
      </w:r>
      <w:r w:rsidRPr="00685539">
        <w:rPr>
          <w:i/>
        </w:rPr>
        <w:t>s</w:t>
      </w:r>
      <w:r w:rsidRPr="00685539">
        <w:rPr>
          <w:i/>
        </w:rPr>
        <w:t xml:space="preserve">son </w:t>
      </w:r>
      <w:r w:rsidRPr="00685539">
        <w:t>var ansvarig för. Barnens situation måste ses i ljuset av barnens rätt till utveckling samt principerna om barnens bästa, icke-diskriminering och ba</w:t>
      </w:r>
      <w:r w:rsidRPr="00685539">
        <w:t>r</w:t>
      </w:r>
      <w:r w:rsidRPr="00685539">
        <w:t>nens deltagande. Den allmänna politiska, sociala och ekonomiska situationen på Balkan är oroande. Många regioner, med stor andel unga, är mycket fatt</w:t>
      </w:r>
      <w:r w:rsidRPr="00685539">
        <w:t>i</w:t>
      </w:r>
      <w:r w:rsidRPr="00685539">
        <w:t>ga. Handeln med människor och droger ökar. Barn från minoriteter och soc</w:t>
      </w:r>
      <w:r w:rsidRPr="00685539">
        <w:t>i</w:t>
      </w:r>
      <w:r w:rsidRPr="00685539">
        <w:t>alt utsatta grupper far särskilt illa, bl.a. utesluts de ofta från skolsystemet. Det brister i genomförandet av lagar om barnens rättigheter. Församlingen anser att det är centralt för fredsskapande åtgärdsprogram att barnen får en möjli</w:t>
      </w:r>
      <w:r w:rsidRPr="00685539">
        <w:t>g</w:t>
      </w:r>
      <w:r w:rsidRPr="00685539">
        <w:t>het att återintegreras. Det är också viktigt att skolan bidrar till fred och förs</w:t>
      </w:r>
      <w:r w:rsidRPr="00685539">
        <w:t>o</w:t>
      </w:r>
      <w:r w:rsidRPr="00685539">
        <w:t>ning. De berörda länderna på Balkan uppmanas att säkerställa att alla barn får gratis grundutbildning och att ge lärare utbildning om barns rättigheter. Vid</w:t>
      </w:r>
      <w:r w:rsidRPr="00685539">
        <w:t>a</w:t>
      </w:r>
      <w:r w:rsidRPr="00685539">
        <w:t>re uppmanas länderna att införa förbud mot all form av våld mot barn. Eur</w:t>
      </w:r>
      <w:r w:rsidRPr="00685539">
        <w:t>o</w:t>
      </w:r>
      <w:r w:rsidRPr="00685539">
        <w:t xml:space="preserve">parådets </w:t>
      </w:r>
      <w:r w:rsidRPr="00685539">
        <w:rPr>
          <w:color w:val="000000"/>
        </w:rPr>
        <w:t>konvention om människ</w:t>
      </w:r>
      <w:r w:rsidRPr="00685539">
        <w:rPr>
          <w:color w:val="000000"/>
        </w:rPr>
        <w:t>o</w:t>
      </w:r>
      <w:r w:rsidRPr="00685539">
        <w:rPr>
          <w:color w:val="000000"/>
        </w:rPr>
        <w:t>handel behöver</w:t>
      </w:r>
      <w:r w:rsidRPr="00685539">
        <w:t xml:space="preserve"> signeras och ratificeras. Församlingen understryker slutligen att barn också är aktörer för förändring och bör få de nö</w:t>
      </w:r>
      <w:r w:rsidRPr="00685539">
        <w:t>d</w:t>
      </w:r>
      <w:r w:rsidRPr="00685539">
        <w:t xml:space="preserve">vändiga förutsättningarna och verktygen för att kunna hjälpa till att skapa demokrati och fred. </w:t>
      </w:r>
    </w:p>
    <w:p w:rsidR="00075C4B" w:rsidRPr="00685539" w:rsidRDefault="00075C4B" w:rsidP="003C1E62">
      <w:pPr>
        <w:pStyle w:val="Rubrik2"/>
        <w:spacing w:after="0"/>
      </w:pPr>
      <w:bookmarkStart w:id="78" w:name="_Toc192059544"/>
      <w:r w:rsidRPr="00685539">
        <w:t>4.7 Befolknings- och flyktingfrågor</w:t>
      </w:r>
      <w:bookmarkEnd w:id="78"/>
    </w:p>
    <w:p w:rsidR="00075C4B" w:rsidRPr="00685539" w:rsidRDefault="00075C4B" w:rsidP="003C1E62">
      <w:pPr>
        <w:pStyle w:val="Rubrik3"/>
        <w:rPr>
          <w:noProof w:val="0"/>
        </w:rPr>
      </w:pPr>
      <w:bookmarkStart w:id="79" w:name="_Toc192059545"/>
      <w:r w:rsidRPr="00685539">
        <w:rPr>
          <w:noProof w:val="0"/>
        </w:rPr>
        <w:t>4.7.1 Internationella migrationsorganisationens aktiviteter</w:t>
      </w:r>
      <w:bookmarkEnd w:id="79"/>
    </w:p>
    <w:p w:rsidR="00075C4B" w:rsidRPr="00685539" w:rsidRDefault="00075C4B" w:rsidP="00CC33C6">
      <w:r w:rsidRPr="00685539">
        <w:t xml:space="preserve">Utgångspunkt för en debatt vid oktobersessionen var en rapport om </w:t>
      </w:r>
      <w:r w:rsidRPr="00685539">
        <w:rPr>
          <w:i/>
        </w:rPr>
        <w:t>Intern</w:t>
      </w:r>
      <w:r w:rsidRPr="00685539">
        <w:rPr>
          <w:i/>
        </w:rPr>
        <w:t>a</w:t>
      </w:r>
      <w:r w:rsidRPr="00685539">
        <w:rPr>
          <w:i/>
        </w:rPr>
        <w:t>tionella migration</w:t>
      </w:r>
      <w:r w:rsidR="006422AD" w:rsidRPr="00685539">
        <w:rPr>
          <w:i/>
        </w:rPr>
        <w:t>s</w:t>
      </w:r>
      <w:r w:rsidRPr="00685539">
        <w:rPr>
          <w:i/>
        </w:rPr>
        <w:t>organisationens (IOM) aktiviteter</w:t>
      </w:r>
      <w:r w:rsidRPr="00685539">
        <w:t xml:space="preserve"> (dok. 11351, rek. 1806). IOM:s generaldirektör </w:t>
      </w:r>
      <w:r w:rsidRPr="00685539">
        <w:rPr>
          <w:i/>
        </w:rPr>
        <w:t>Brunson McKinley</w:t>
      </w:r>
      <w:r w:rsidRPr="00685539">
        <w:t xml:space="preserve"> redogjorde för organisati</w:t>
      </w:r>
      <w:r w:rsidRPr="00685539">
        <w:t>o</w:t>
      </w:r>
      <w:r w:rsidRPr="00685539">
        <w:t>nens arbete för flyktingar och tvångsförfly</w:t>
      </w:r>
      <w:r w:rsidRPr="00685539">
        <w:t>t</w:t>
      </w:r>
      <w:r w:rsidRPr="00685539">
        <w:t>tade personer. För närvarande omfattar IOM sammanlagt 122 me</w:t>
      </w:r>
      <w:r w:rsidRPr="00685539">
        <w:t>d</w:t>
      </w:r>
      <w:r w:rsidRPr="00685539">
        <w:t>lemsstater. Församlingen slår fast att migration är en av 2000-talets viktigaste politiska frågor och uttrycker oro för ökad irr</w:t>
      </w:r>
      <w:r w:rsidRPr="00685539">
        <w:t>e</w:t>
      </w:r>
      <w:r w:rsidRPr="00685539">
        <w:t>guljär invandring, människosmuggling och -handel, integrationspr</w:t>
      </w:r>
      <w:r w:rsidRPr="00685539">
        <w:t>o</w:t>
      </w:r>
      <w:r w:rsidRPr="00685539">
        <w:t>blem och förekomsten av främlingsfientlighet. IOM gör omfattande i</w:t>
      </w:r>
      <w:r w:rsidRPr="00685539">
        <w:t>n</w:t>
      </w:r>
      <w:r w:rsidRPr="00685539">
        <w:t>satser för att hjälpa både stater och invandrare att ta itu med och lösa dessa problem. Den parlamentariska församlingen gav sitt fulla stöd för IOM:s verksamhet.</w:t>
      </w:r>
    </w:p>
    <w:p w:rsidR="00075C4B" w:rsidRPr="00685539" w:rsidRDefault="00075C4B" w:rsidP="00CC33C6">
      <w:pPr>
        <w:pStyle w:val="Rubrik3"/>
        <w:rPr>
          <w:noProof w:val="0"/>
        </w:rPr>
      </w:pPr>
      <w:bookmarkStart w:id="80" w:name="_Toc192059546"/>
      <w:r w:rsidRPr="00685539">
        <w:rPr>
          <w:noProof w:val="0"/>
        </w:rPr>
        <w:t>4.7.2 Irreguljära invandrare</w:t>
      </w:r>
      <w:bookmarkEnd w:id="80"/>
      <w:r w:rsidRPr="00685539">
        <w:rPr>
          <w:noProof w:val="0"/>
        </w:rPr>
        <w:t xml:space="preserve"> </w:t>
      </w:r>
    </w:p>
    <w:p w:rsidR="00075C4B" w:rsidRPr="00685539" w:rsidRDefault="00075C4B" w:rsidP="00CC33C6">
      <w:r w:rsidRPr="00685539">
        <w:t xml:space="preserve">I anslutning till debatten om IOM debatterade församlingen även </w:t>
      </w:r>
      <w:r w:rsidRPr="00685539">
        <w:rPr>
          <w:i/>
        </w:rPr>
        <w:t>reglering</w:t>
      </w:r>
      <w:r w:rsidRPr="00685539">
        <w:rPr>
          <w:i/>
        </w:rPr>
        <w:t>s</w:t>
      </w:r>
      <w:r w:rsidRPr="00685539">
        <w:rPr>
          <w:i/>
        </w:rPr>
        <w:t>program för irreguljära invandrare</w:t>
      </w:r>
      <w:r w:rsidRPr="00685539">
        <w:t xml:space="preserve"> (dok. 11350, rek. 1807, res. 1568). Inom EU finns uppskattningsvis 5,5 miljoner irreguljära invandrare och ytterligare 8 miljoner finns i Ryssland. Församlingen räknar med att ett stort antal av dem kommer att stanna i Europa. Många saknar lagstadgad status eller upp</w:t>
      </w:r>
      <w:r w:rsidRPr="00685539">
        <w:t>e</w:t>
      </w:r>
      <w:r w:rsidRPr="00685539">
        <w:t>hållstillstånd. Program har startats i vissa medlemsländer för att lösa probl</w:t>
      </w:r>
      <w:r w:rsidRPr="00685539">
        <w:t>e</w:t>
      </w:r>
      <w:r w:rsidRPr="00685539">
        <w:t>men med irreguljära invandrare. Det spanska programmet från 2005 omfatt</w:t>
      </w:r>
      <w:r w:rsidRPr="00685539">
        <w:t>a</w:t>
      </w:r>
      <w:r w:rsidRPr="00685539">
        <w:t>de 570 000 invandrare. Församlingen anser att det finns anle</w:t>
      </w:r>
      <w:r w:rsidRPr="00685539">
        <w:t>d</w:t>
      </w:r>
      <w:r w:rsidRPr="00685539">
        <w:t>ning att följa upp och utvärdera medlemsländernas pr</w:t>
      </w:r>
      <w:r w:rsidRPr="00685539">
        <w:t>o</w:t>
      </w:r>
      <w:r w:rsidRPr="00685539">
        <w:t>gram. Det är viktigt att dra lärdom av hur man hanterar frågan om irreguljära invandrare och samt</w:t>
      </w:r>
      <w:r w:rsidRPr="00685539">
        <w:t>i</w:t>
      </w:r>
      <w:r w:rsidRPr="00685539">
        <w:t xml:space="preserve">digt skyddar deras rättigheter.  </w:t>
      </w:r>
    </w:p>
    <w:p w:rsidR="00075C4B" w:rsidRPr="00685539" w:rsidRDefault="00075C4B" w:rsidP="00CC33C6">
      <w:pPr>
        <w:pStyle w:val="Rubrik3"/>
        <w:rPr>
          <w:noProof w:val="0"/>
        </w:rPr>
      </w:pPr>
      <w:bookmarkStart w:id="81" w:name="_Toc192059547"/>
      <w:r w:rsidRPr="00685539">
        <w:rPr>
          <w:noProof w:val="0"/>
        </w:rPr>
        <w:t>4.7.3 Transitcentrum för invandrare</w:t>
      </w:r>
      <w:bookmarkEnd w:id="81"/>
    </w:p>
    <w:p w:rsidR="00075C4B" w:rsidRPr="00685539" w:rsidRDefault="00075C4B" w:rsidP="00CC33C6">
      <w:r w:rsidRPr="00685539">
        <w:t xml:space="preserve">En tredje migrationsrapport vid oktobersessionen handlade om utvärdering av </w:t>
      </w:r>
      <w:r w:rsidRPr="00685539">
        <w:rPr>
          <w:i/>
        </w:rPr>
        <w:t>transitcentr</w:t>
      </w:r>
      <w:r w:rsidR="003229A7" w:rsidRPr="00685539">
        <w:rPr>
          <w:i/>
        </w:rPr>
        <w:t>um</w:t>
      </w:r>
      <w:r w:rsidRPr="00685539">
        <w:rPr>
          <w:i/>
        </w:rPr>
        <w:t xml:space="preserve"> för invandrare och asylsökande</w:t>
      </w:r>
      <w:r w:rsidRPr="00685539">
        <w:t xml:space="preserve"> (dok. 11304, 11393, rek. 1808, res. 1569). Församlingen oroar sig särskilt för praktiska och juridiska kons</w:t>
      </w:r>
      <w:r w:rsidRPr="00685539">
        <w:t>e</w:t>
      </w:r>
      <w:r w:rsidRPr="00685539">
        <w:t>kvenser som uppstår vid massiva rörelser av irreguljära invandrare och asy</w:t>
      </w:r>
      <w:r w:rsidRPr="00685539">
        <w:t>l</w:t>
      </w:r>
      <w:r w:rsidRPr="00685539">
        <w:t>sökande till och från Europa och hur MR-aspekter beaktas. Olika frågor kring transitcentr</w:t>
      </w:r>
      <w:r w:rsidR="003229A7" w:rsidRPr="00685539">
        <w:t>um</w:t>
      </w:r>
      <w:r w:rsidRPr="00685539">
        <w:t xml:space="preserve"> för invandrare och asylsökande analyseras i rapporten. Församlingen anser att det finns ett behov av att hitta nya innovat</w:t>
      </w:r>
      <w:r w:rsidRPr="00685539">
        <w:t>i</w:t>
      </w:r>
      <w:r w:rsidRPr="00685539">
        <w:t xml:space="preserve">va metoder för att kunna ta hand om dessa migrationsrörelser. </w:t>
      </w:r>
    </w:p>
    <w:p w:rsidR="00075C4B" w:rsidRPr="00685539" w:rsidRDefault="00075C4B" w:rsidP="00CC33C6">
      <w:pPr>
        <w:pStyle w:val="Normaltindrag"/>
      </w:pPr>
      <w:r w:rsidRPr="00685539">
        <w:t xml:space="preserve">I den gemensamma debatten om migrationsfrågor talade </w:t>
      </w:r>
      <w:r w:rsidRPr="00685539">
        <w:rPr>
          <w:i/>
        </w:rPr>
        <w:t>Göran Lindblad</w:t>
      </w:r>
      <w:r w:rsidRPr="00685539">
        <w:t xml:space="preserve"> för EPP/CD då han sade att Europa av demografiska skäl behöver mycket mer invandring. Det föds för få barn. Det dröjer 20 år innan de barn som föds nu börjar arbeta. Det är </w:t>
      </w:r>
      <w:r w:rsidR="003229A7" w:rsidRPr="00685539">
        <w:t>realistiskt att förvänta sig 10–</w:t>
      </w:r>
      <w:r w:rsidRPr="00685539">
        <w:t>20 miljoner invandrare till EU inom de kommande 10 åren. Då är det viktigt att inte glömma varför människor söker asyl. Det är viktigt att asylsökande även kan bli arbetssöka</w:t>
      </w:r>
      <w:r w:rsidRPr="00685539">
        <w:t>n</w:t>
      </w:r>
      <w:r w:rsidRPr="00685539">
        <w:t>de. Invandrare blir illegala när den enda vägen till vissa europeiska länder bara är med hjälp av smugglare. ”Illegal” är enligt Lindblad inget bra b</w:t>
      </w:r>
      <w:r w:rsidRPr="00685539">
        <w:t>e</w:t>
      </w:r>
      <w:r w:rsidRPr="00685539">
        <w:t>grepp. Människorna måste göras legala. En lösning kan vara s.k. uppsa</w:t>
      </w:r>
      <w:r w:rsidRPr="00685539">
        <w:t>m</w:t>
      </w:r>
      <w:r w:rsidR="003229A7" w:rsidRPr="00685539">
        <w:t>lingscentrum</w:t>
      </w:r>
      <w:r w:rsidRPr="00685539">
        <w:t xml:space="preserve">. Men människor i transit måste vistas där av egen fri vilja. </w:t>
      </w:r>
    </w:p>
    <w:p w:rsidR="00075C4B" w:rsidRPr="00685539" w:rsidRDefault="00075C4B" w:rsidP="00CC33C6">
      <w:pPr>
        <w:pStyle w:val="Rubrik3"/>
        <w:rPr>
          <w:noProof w:val="0"/>
        </w:rPr>
      </w:pPr>
      <w:bookmarkStart w:id="82" w:name="_Toc192059548"/>
      <w:r w:rsidRPr="00685539">
        <w:rPr>
          <w:noProof w:val="0"/>
        </w:rPr>
        <w:t>4.7.4 Försvinnanden i Armenien, Azerbajdzjan och Georgien</w:t>
      </w:r>
      <w:bookmarkEnd w:id="82"/>
      <w:r w:rsidRPr="00685539">
        <w:rPr>
          <w:noProof w:val="0"/>
        </w:rPr>
        <w:t xml:space="preserve"> </w:t>
      </w:r>
    </w:p>
    <w:p w:rsidR="00075C4B" w:rsidRPr="00685539" w:rsidRDefault="00075C4B" w:rsidP="00CC33C6">
      <w:r w:rsidRPr="00685539">
        <w:t>Vid det ständiga utskottets möte i Belgrad debatterade parlament</w:t>
      </w:r>
      <w:r w:rsidRPr="00685539">
        <w:t>a</w:t>
      </w:r>
      <w:r w:rsidRPr="00685539">
        <w:t>rikerna en rapport om försvunna personer i Armenien, Azerbajd</w:t>
      </w:r>
      <w:r w:rsidRPr="00685539">
        <w:t>z</w:t>
      </w:r>
      <w:r w:rsidRPr="00685539">
        <w:t xml:space="preserve">jan och Georgien som följd av konflikterna i Nagorno-Karabach, Abchazien och Sydossetien (dok. 11196, rek. 1797, res. 1553). </w:t>
      </w:r>
      <w:r w:rsidR="00F92F9D" w:rsidRPr="00685539">
        <w:t>Nästan</w:t>
      </w:r>
      <w:r w:rsidRPr="00685539">
        <w:t xml:space="preserve"> 8 000 personer saknas sedan bö</w:t>
      </w:r>
      <w:r w:rsidRPr="00685539">
        <w:t>r</w:t>
      </w:r>
      <w:r w:rsidRPr="00685539">
        <w:t>jan av 1990-talet i regionerna Nagorno-Karabach, Abchazien och Sydossetien. Ob</w:t>
      </w:r>
      <w:r w:rsidRPr="00685539">
        <w:t>e</w:t>
      </w:r>
      <w:r w:rsidRPr="00685539">
        <w:t>kräft</w:t>
      </w:r>
      <w:r w:rsidRPr="00685539">
        <w:t>a</w:t>
      </w:r>
      <w:r w:rsidRPr="00685539">
        <w:t>de rapporter gör gällande att vissa av dessa personer är vid liv men hålls i dold fångenskap. Problemet är inte politiskt utan i första hand humanitärt och handlar om mänskliga rättigheter, menar fö</w:t>
      </w:r>
      <w:r w:rsidRPr="00685539">
        <w:t>r</w:t>
      </w:r>
      <w:r w:rsidRPr="00685539">
        <w:t>samlingen. Det är av yttersta vikt att samtliga inblandade parter behandlar det som sådant och verkar för att bringa klarhet i de saknade personernas öden. Ingen varaktig lösning på ko</w:t>
      </w:r>
      <w:r w:rsidRPr="00685539">
        <w:t>n</w:t>
      </w:r>
      <w:r w:rsidRPr="00685539">
        <w:t xml:space="preserve">flikterna i regionerna kan komma till stånd innan man gått till botten med problemet med de försvunna personerna. Internationella </w:t>
      </w:r>
      <w:r w:rsidR="00F92F9D" w:rsidRPr="00685539">
        <w:t>Röd</w:t>
      </w:r>
      <w:r w:rsidR="00F92F9D" w:rsidRPr="00685539">
        <w:t>a</w:t>
      </w:r>
      <w:r w:rsidR="00F92F9D" w:rsidRPr="00685539">
        <w:t xml:space="preserve">korskommittén </w:t>
      </w:r>
      <w:r w:rsidRPr="00685539">
        <w:t>(ICRC) spelar en central roll och bör ges fullödigt stöd i arbetet för att mö</w:t>
      </w:r>
      <w:r w:rsidRPr="00685539">
        <w:t>j</w:t>
      </w:r>
      <w:r w:rsidRPr="00685539">
        <w:t>liggöra en kommunikation mellan parterna och fastställa de saknades ident</w:t>
      </w:r>
      <w:r w:rsidRPr="00685539">
        <w:t>i</w:t>
      </w:r>
      <w:r w:rsidRPr="00685539">
        <w:t xml:space="preserve">tet. </w:t>
      </w:r>
    </w:p>
    <w:p w:rsidR="00075C4B" w:rsidRPr="00685539" w:rsidRDefault="00075C4B" w:rsidP="00974060">
      <w:pPr>
        <w:pStyle w:val="Rubrik2"/>
        <w:spacing w:after="0"/>
      </w:pPr>
      <w:bookmarkStart w:id="83" w:name="_Toc192059549"/>
      <w:r w:rsidRPr="00685539">
        <w:t>4.8 Jordbruk och miljö</w:t>
      </w:r>
      <w:bookmarkEnd w:id="83"/>
    </w:p>
    <w:p w:rsidR="00075C4B" w:rsidRPr="00685539" w:rsidRDefault="00075C4B" w:rsidP="008C0E40">
      <w:pPr>
        <w:pStyle w:val="Rubrik3"/>
        <w:rPr>
          <w:noProof w:val="0"/>
        </w:rPr>
      </w:pPr>
      <w:bookmarkStart w:id="84" w:name="_Toc192059550"/>
      <w:r w:rsidRPr="00685539">
        <w:rPr>
          <w:noProof w:val="0"/>
        </w:rPr>
        <w:t>4.8.1 Lagring av koldioxid som metod i kampen mot klimatförändring</w:t>
      </w:r>
      <w:bookmarkEnd w:id="84"/>
      <w:r w:rsidRPr="00685539">
        <w:rPr>
          <w:noProof w:val="0"/>
        </w:rPr>
        <w:t xml:space="preserve"> </w:t>
      </w:r>
    </w:p>
    <w:p w:rsidR="00075C4B" w:rsidRPr="00685539" w:rsidRDefault="00075C4B" w:rsidP="008C0E40">
      <w:pPr>
        <w:rPr>
          <w:rFonts w:ascii="Garamond" w:hAnsi="Garamond"/>
        </w:rPr>
      </w:pPr>
      <w:r w:rsidRPr="00685539">
        <w:t xml:space="preserve">Vid det ständiga utskottets möte i Belgrad debatterades en rapport om </w:t>
      </w:r>
      <w:r w:rsidRPr="00685539">
        <w:rPr>
          <w:i/>
        </w:rPr>
        <w:t>tillv</w:t>
      </w:r>
      <w:r w:rsidRPr="00685539">
        <w:rPr>
          <w:i/>
        </w:rPr>
        <w:t>a</w:t>
      </w:r>
      <w:r w:rsidRPr="00685539">
        <w:rPr>
          <w:i/>
        </w:rPr>
        <w:t>ratagande av koldioxid som ett medel i kampen mot kl</w:t>
      </w:r>
      <w:r w:rsidRPr="00685539">
        <w:rPr>
          <w:i/>
        </w:rPr>
        <w:t>i</w:t>
      </w:r>
      <w:r w:rsidRPr="00685539">
        <w:rPr>
          <w:i/>
        </w:rPr>
        <w:t>matförändring</w:t>
      </w:r>
      <w:r w:rsidRPr="00685539">
        <w:t xml:space="preserve"> (dok. 11180, res. 1552). Kampen mot klimatförän</w:t>
      </w:r>
      <w:r w:rsidRPr="00685539">
        <w:t>d</w:t>
      </w:r>
      <w:r w:rsidRPr="00685539">
        <w:t>ring förs huvudsakligen efter de riktlinjer som ställts upp i Kyot</w:t>
      </w:r>
      <w:r w:rsidRPr="00685539">
        <w:t>o</w:t>
      </w:r>
      <w:r w:rsidRPr="00685539">
        <w:t>protokollet, vilka i huvudsak syftar till att minska utsläppen av växthusgaser. Det viktigaste sättet att minska utsläppen av växthusgaser är att mer effektivt utnyttja och utveckla befintliga förnyels</w:t>
      </w:r>
      <w:r w:rsidRPr="00685539">
        <w:t>e</w:t>
      </w:r>
      <w:r w:rsidRPr="00685539">
        <w:t>bara energikällor. I framtiden förutses lagring av koldioxid få en större bet</w:t>
      </w:r>
      <w:r w:rsidRPr="00685539">
        <w:t>y</w:t>
      </w:r>
      <w:r w:rsidRPr="00685539">
        <w:t>delse. Koldioxiden kan tas upp och lagras naturligt i bl.a. skogar och hav. Lagring av koldioxiden kan vara ett värdefullt bidrag i kampen mot klima</w:t>
      </w:r>
      <w:r w:rsidRPr="00685539">
        <w:t>t</w:t>
      </w:r>
      <w:r w:rsidRPr="00685539">
        <w:t>förändring</w:t>
      </w:r>
      <w:r w:rsidR="00B6658B" w:rsidRPr="00685539">
        <w:t>,</w:t>
      </w:r>
      <w:r w:rsidRPr="00685539">
        <w:t xml:space="preserve"> och därför finns det ett b</w:t>
      </w:r>
      <w:r w:rsidRPr="00685539">
        <w:t>e</w:t>
      </w:r>
      <w:r w:rsidRPr="00685539">
        <w:t>hov av att medlemsstaterna satsar på utveckling av teknik för la</w:t>
      </w:r>
      <w:r w:rsidRPr="00685539">
        <w:t>g</w:t>
      </w:r>
      <w:r w:rsidRPr="00685539">
        <w:t xml:space="preserve">ring av koldioxid. </w:t>
      </w:r>
    </w:p>
    <w:p w:rsidR="00075C4B" w:rsidRPr="00685539" w:rsidRDefault="00075C4B" w:rsidP="00974060">
      <w:pPr>
        <w:pStyle w:val="Rubrik2"/>
        <w:spacing w:after="0"/>
      </w:pPr>
      <w:bookmarkStart w:id="85" w:name="_Toc192059551"/>
      <w:r w:rsidRPr="00685539">
        <w:t>4.9 Jämställdhet</w:t>
      </w:r>
      <w:bookmarkEnd w:id="85"/>
    </w:p>
    <w:p w:rsidR="00075C4B" w:rsidRPr="00685539" w:rsidRDefault="00075C4B" w:rsidP="00974060">
      <w:pPr>
        <w:pStyle w:val="Rubrik3"/>
        <w:rPr>
          <w:noProof w:val="0"/>
        </w:rPr>
      </w:pPr>
      <w:bookmarkStart w:id="86" w:name="_Toc192059552"/>
      <w:r w:rsidRPr="00685539">
        <w:rPr>
          <w:noProof w:val="0"/>
        </w:rPr>
        <w:t>4.9.1 Utvärdering av kampanjen om kampen mot våld mot kvinnor</w:t>
      </w:r>
      <w:bookmarkEnd w:id="86"/>
      <w:r w:rsidRPr="00685539">
        <w:rPr>
          <w:noProof w:val="0"/>
        </w:rPr>
        <w:t xml:space="preserve"> </w:t>
      </w:r>
    </w:p>
    <w:p w:rsidR="00075C4B" w:rsidRPr="00685539" w:rsidRDefault="00075C4B" w:rsidP="008C0E40">
      <w:r w:rsidRPr="00685539">
        <w:t xml:space="preserve">Vid oktobersessionen debatterade församlingen en rapport om </w:t>
      </w:r>
      <w:r w:rsidRPr="00685539">
        <w:rPr>
          <w:i/>
        </w:rPr>
        <w:t>parlame</w:t>
      </w:r>
      <w:r w:rsidRPr="00685539">
        <w:rPr>
          <w:i/>
        </w:rPr>
        <w:t>n</w:t>
      </w:r>
      <w:r w:rsidRPr="00685539">
        <w:rPr>
          <w:i/>
        </w:rPr>
        <w:t xml:space="preserve">tens gemensamma kamp </w:t>
      </w:r>
      <w:r w:rsidR="008C0E40" w:rsidRPr="00685539">
        <w:rPr>
          <w:i/>
        </w:rPr>
        <w:t xml:space="preserve">mot våld i nära relationer </w:t>
      </w:r>
      <w:r w:rsidRPr="00685539">
        <w:t>(dok. 11366, 11397, rek. 1817, res. 1582) för att i halvtid analysera den pågående kampanjen. Försa</w:t>
      </w:r>
      <w:r w:rsidRPr="00685539">
        <w:t>m</w:t>
      </w:r>
      <w:r w:rsidRPr="00685539">
        <w:t xml:space="preserve">lingen slår fast sin avsikt att inom ramen för kampanjen fortsätta </w:t>
      </w:r>
      <w:r w:rsidR="00B6658B" w:rsidRPr="00685539">
        <w:t xml:space="preserve">att </w:t>
      </w:r>
      <w:r w:rsidRPr="00685539">
        <w:t>öka insatser och aktivit</w:t>
      </w:r>
      <w:r w:rsidRPr="00685539">
        <w:t>e</w:t>
      </w:r>
      <w:r w:rsidRPr="00685539">
        <w:t>ter på parlamentarisk nivå. Samtidigt understryks behovet av åtgärder på lokal och regional nivå och av stöd från frivilligorganisationer. I 44 eur</w:t>
      </w:r>
      <w:r w:rsidRPr="00685539">
        <w:t>o</w:t>
      </w:r>
      <w:r w:rsidRPr="00685539">
        <w:t>peiska parlament har man utsett en kontaktperson för kampanjen. De nati</w:t>
      </w:r>
      <w:r w:rsidRPr="00685539">
        <w:t>o</w:t>
      </w:r>
      <w:r w:rsidRPr="00685539">
        <w:t xml:space="preserve">nella parlamenten uppmanas bl.a. </w:t>
      </w:r>
      <w:r w:rsidR="00B6658B" w:rsidRPr="00685539">
        <w:t xml:space="preserve">att </w:t>
      </w:r>
      <w:r w:rsidRPr="00685539">
        <w:t>organisera en aktionsdag i parlame</w:t>
      </w:r>
      <w:r w:rsidRPr="00685539">
        <w:t>n</w:t>
      </w:r>
      <w:r w:rsidRPr="00685539">
        <w:t>tet, organisera allmänna och parlamentariska debatter och förse de parlamentari</w:t>
      </w:r>
      <w:r w:rsidRPr="00685539">
        <w:t>s</w:t>
      </w:r>
      <w:r w:rsidRPr="00685539">
        <w:t>ka kontaktpersonerna med nödvändig administrativ hjälp. Vidare up</w:t>
      </w:r>
      <w:r w:rsidRPr="00685539">
        <w:t>p</w:t>
      </w:r>
      <w:r w:rsidRPr="00685539">
        <w:t>muntras my</w:t>
      </w:r>
      <w:r w:rsidRPr="00685539">
        <w:t>n</w:t>
      </w:r>
      <w:r w:rsidRPr="00685539">
        <w:t>digheter att tillhandahålla skyddat boende, utbilda anställda inom berörda instanser</w:t>
      </w:r>
      <w:r w:rsidR="00B6658B" w:rsidRPr="00685539">
        <w:t>,</w:t>
      </w:r>
      <w:r w:rsidRPr="00685539">
        <w:t xml:space="preserve"> t.ex. hälsovård, skola, polis, socialtjänst</w:t>
      </w:r>
      <w:r w:rsidR="00B6658B" w:rsidRPr="00685539">
        <w:t xml:space="preserve"> och</w:t>
      </w:r>
      <w:r w:rsidRPr="00685539">
        <w:t xml:space="preserve"> se till att kvinnors anmälningar tas på allvar samt uppmana medier att inte sprida ster</w:t>
      </w:r>
      <w:r w:rsidRPr="00685539">
        <w:t>e</w:t>
      </w:r>
      <w:r w:rsidRPr="00685539">
        <w:t>otypa bilder av kvinnor. Församlingen beslutar att fortsätta samarbetet inom ramen för ka</w:t>
      </w:r>
      <w:r w:rsidRPr="00685539">
        <w:t>m</w:t>
      </w:r>
      <w:r w:rsidRPr="00685539">
        <w:t>panjen med interparlamentariska och regionala organisationer som IPU, E</w:t>
      </w:r>
      <w:r w:rsidRPr="00685539">
        <w:t>u</w:t>
      </w:r>
      <w:r w:rsidRPr="00685539">
        <w:t>ropaparlamentet och Nordiska rådet.</w:t>
      </w:r>
    </w:p>
    <w:p w:rsidR="00075C4B" w:rsidRPr="00685539" w:rsidRDefault="00075C4B" w:rsidP="008C0E40">
      <w:pPr>
        <w:pStyle w:val="Normaltindrag"/>
      </w:pPr>
      <w:r w:rsidRPr="00685539">
        <w:rPr>
          <w:i/>
        </w:rPr>
        <w:t>Carina Hägg</w:t>
      </w:r>
      <w:r w:rsidRPr="00685539">
        <w:t xml:space="preserve"> talade i debatten på socialistgruppens vägnar. Hon gratuler</w:t>
      </w:r>
      <w:r w:rsidRPr="00685539">
        <w:t>a</w:t>
      </w:r>
      <w:r w:rsidRPr="00685539">
        <w:t>de rapportören till en informativ rapport som både handlar om vad som gjorts och vad som återstår att göra. Bland annat behövs en översyn av lagstiftnin</w:t>
      </w:r>
      <w:r w:rsidRPr="00685539">
        <w:t>g</w:t>
      </w:r>
      <w:r w:rsidRPr="00685539">
        <w:t>en för att identifiera brister. Man måste även granska hur de föreslagna åtgä</w:t>
      </w:r>
      <w:r w:rsidRPr="00685539">
        <w:t>r</w:t>
      </w:r>
      <w:r w:rsidRPr="00685539">
        <w:t>derna genomförs. Me</w:t>
      </w:r>
      <w:r w:rsidRPr="00685539">
        <w:t>d</w:t>
      </w:r>
      <w:r w:rsidRPr="00685539">
        <w:t>lemsstaterna ska öronmärka budgetmedel för åtgärder mot genu</w:t>
      </w:r>
      <w:r w:rsidRPr="00685539">
        <w:t>s</w:t>
      </w:r>
      <w:r w:rsidRPr="00685539">
        <w:t xml:space="preserve">baserat våld. Målet är 1 </w:t>
      </w:r>
      <w:r w:rsidR="00B6658B" w:rsidRPr="00685539">
        <w:t>euro</w:t>
      </w:r>
      <w:r w:rsidRPr="00685539">
        <w:t xml:space="preserve"> av de offentliga medlen per invånare vilket sku</w:t>
      </w:r>
      <w:r w:rsidR="00B6658B" w:rsidRPr="00685539">
        <w:t>lle betyda totalt 800 miljoner euro</w:t>
      </w:r>
      <w:r w:rsidRPr="00685539">
        <w:t xml:space="preserve"> för Europarådets me</w:t>
      </w:r>
      <w:r w:rsidRPr="00685539">
        <w:t>d</w:t>
      </w:r>
      <w:r w:rsidRPr="00685539">
        <w:t xml:space="preserve">lemsstater. Den verkliga kostnaden för detta våld är dock betydligt högre och uppskattas till </w:t>
      </w:r>
      <w:r w:rsidR="00B6658B" w:rsidRPr="00685539">
        <w:t>33 miljarder euro</w:t>
      </w:r>
      <w:r w:rsidRPr="00685539">
        <w:t xml:space="preserve"> per år.</w:t>
      </w:r>
    </w:p>
    <w:p w:rsidR="00075C4B" w:rsidRPr="00685539" w:rsidRDefault="00075C4B" w:rsidP="008C0E40">
      <w:pPr>
        <w:pStyle w:val="Normaltindrag"/>
      </w:pPr>
      <w:r w:rsidRPr="00685539">
        <w:rPr>
          <w:i/>
        </w:rPr>
        <w:t xml:space="preserve">Carina Ohlsson </w:t>
      </w:r>
      <w:r w:rsidRPr="00685539">
        <w:t>betonade i sitt debattinlägg att mäns våld mot kvinnor är det ultimata uttrycket för den obalans i fråga om makt som råder mellan k</w:t>
      </w:r>
      <w:r w:rsidRPr="00685539">
        <w:t>ö</w:t>
      </w:r>
      <w:r w:rsidRPr="00685539">
        <w:t>nen. Under 2006 rapporterades i Sverige 25 412 övergrepp mot kvinnor, dvs. 70 per dag. Det antal fall som ej rapporteras är högre än så. I Sverige lever ca 200 000 barn i denna verklighet. Barnen kan ses som ”deltagande vittnen” efte</w:t>
      </w:r>
      <w:r w:rsidRPr="00685539">
        <w:t>r</w:t>
      </w:r>
      <w:r w:rsidRPr="00685539">
        <w:t>som våldet äger rum i deras hem och den utsatta är den person de är mest beroende av. Forskning visar att det är troligt att även barnen i dessa förhå</w:t>
      </w:r>
      <w:r w:rsidRPr="00685539">
        <w:t>l</w:t>
      </w:r>
      <w:r w:rsidRPr="00685539">
        <w:t xml:space="preserve">landen utsätts för </w:t>
      </w:r>
      <w:r w:rsidR="00B6658B" w:rsidRPr="00685539">
        <w:t xml:space="preserve">både </w:t>
      </w:r>
      <w:r w:rsidRPr="00685539">
        <w:t>våld och sexuella övergrepp. Särskild uppmärksa</w:t>
      </w:r>
      <w:r w:rsidRPr="00685539">
        <w:t>m</w:t>
      </w:r>
      <w:r w:rsidRPr="00685539">
        <w:t>het måste ägnas åt speciellt utsatta kvinnor</w:t>
      </w:r>
      <w:r w:rsidR="00B6658B" w:rsidRPr="00685539">
        <w:t>:</w:t>
      </w:r>
      <w:r w:rsidRPr="00685539">
        <w:t xml:space="preserve"> tonårsflickor, kvinnor med minor</w:t>
      </w:r>
      <w:r w:rsidRPr="00685539">
        <w:t>i</w:t>
      </w:r>
      <w:r w:rsidRPr="00685539">
        <w:t>tetsbakgrund, kvinnor utsatta för hedersvåld, drogberoende kvinnor, mentalt eller fysiskt handikappade kvinnor etc. Fler män måste involveras i kampen.</w:t>
      </w:r>
    </w:p>
    <w:p w:rsidR="00075C4B" w:rsidRPr="00685539" w:rsidRDefault="00075C4B" w:rsidP="008C0E40">
      <w:pPr>
        <w:pStyle w:val="Rubrik3"/>
        <w:rPr>
          <w:noProof w:val="0"/>
        </w:rPr>
      </w:pPr>
      <w:bookmarkStart w:id="87" w:name="_Toc192059553"/>
      <w:r w:rsidRPr="00685539">
        <w:rPr>
          <w:noProof w:val="0"/>
        </w:rPr>
        <w:t>4.9.2 Hantering av prostitution</w:t>
      </w:r>
      <w:bookmarkEnd w:id="87"/>
      <w:r w:rsidRPr="00685539">
        <w:rPr>
          <w:noProof w:val="0"/>
        </w:rPr>
        <w:t xml:space="preserve"> </w:t>
      </w:r>
    </w:p>
    <w:p w:rsidR="00075C4B" w:rsidRPr="00685539" w:rsidRDefault="00075C4B" w:rsidP="008C0E40">
      <w:r w:rsidRPr="00685539">
        <w:t>Vid oktobersessionen debatterade församlingen rapport</w:t>
      </w:r>
      <w:r w:rsidR="00203348" w:rsidRPr="00685539">
        <w:t>en</w:t>
      </w:r>
      <w:r w:rsidRPr="00685539">
        <w:t xml:space="preserve"> om </w:t>
      </w:r>
      <w:r w:rsidR="003B7824" w:rsidRPr="00685539">
        <w:rPr>
          <w:i/>
        </w:rPr>
        <w:t>P</w:t>
      </w:r>
      <w:r w:rsidRPr="00685539">
        <w:rPr>
          <w:i/>
        </w:rPr>
        <w:t xml:space="preserve">rostitution – vilken attityd bör man inta? </w:t>
      </w:r>
      <w:r w:rsidRPr="00685539">
        <w:t>(dok. 11352, rek. 1815, res.1579). Församlingen menar att alla medel måste användas för att bekämpa påtvingad prostitution och människohandel. Alla stater i Europarådet uppmanas att skriva under och ratificera konventi</w:t>
      </w:r>
      <w:r w:rsidRPr="00685539">
        <w:t>o</w:t>
      </w:r>
      <w:r w:rsidRPr="00685539">
        <w:t>nen för att bekämpa människohandel. Vid tidpunkten för debatten hade den endast signerats av 29 medlems</w:t>
      </w:r>
      <w:r w:rsidR="00203348" w:rsidRPr="00685539">
        <w:t>länder och ratificerats av 7</w:t>
      </w:r>
      <w:r w:rsidRPr="00685539">
        <w:t xml:space="preserve">. </w:t>
      </w:r>
      <w:r w:rsidR="00203348" w:rsidRPr="00685539">
        <w:t xml:space="preserve">10 </w:t>
      </w:r>
      <w:r w:rsidRPr="00685539">
        <w:t>ratificeringar krävs för att den ska träda i kraft. Konventionens överva</w:t>
      </w:r>
      <w:r w:rsidRPr="00685539">
        <w:t>k</w:t>
      </w:r>
      <w:r w:rsidRPr="00685539">
        <w:t>ningsmekanism GRETA (the Group of Experts on Action against Tra</w:t>
      </w:r>
      <w:r w:rsidRPr="00685539">
        <w:t>f</w:t>
      </w:r>
      <w:r w:rsidRPr="00685539">
        <w:t>ficking in Human Beings) måste ges nödvändiga medel för att kunna arbeta oberoe</w:t>
      </w:r>
      <w:r w:rsidRPr="00685539">
        <w:t>n</w:t>
      </w:r>
      <w:r w:rsidRPr="00685539">
        <w:t>de. Synen på prostitution varierar mycket mellan de 47 medlemslä</w:t>
      </w:r>
      <w:r w:rsidRPr="00685539">
        <w:t>n</w:t>
      </w:r>
      <w:r w:rsidRPr="00685539">
        <w:t>derna. 17 av dem kan ses som förbudsanhängare som förespråkar lika b</w:t>
      </w:r>
      <w:r w:rsidRPr="00685539">
        <w:t>e</w:t>
      </w:r>
      <w:r w:rsidRPr="00685539">
        <w:t>straffning för prostituerade och hallickar men inte alltid för kunderna. Nio länder kan rä</w:t>
      </w:r>
      <w:r w:rsidRPr="00685539">
        <w:t>k</w:t>
      </w:r>
      <w:r w:rsidRPr="00685539">
        <w:t xml:space="preserve">nas som föreskriftsanhängare som vill reglera i stället </w:t>
      </w:r>
      <w:r w:rsidR="00203348" w:rsidRPr="00685539">
        <w:t>för att förbjuda eller avskaffa</w:t>
      </w:r>
      <w:r w:rsidRPr="00685539">
        <w:t>, 20 anses stödja bestraffning av hallickar och koppl</w:t>
      </w:r>
      <w:r w:rsidRPr="00685539">
        <w:t>a</w:t>
      </w:r>
      <w:r w:rsidRPr="00685539">
        <w:t>re. Sverige ses som en förnyare i den sistnämnda kat</w:t>
      </w:r>
      <w:r w:rsidRPr="00685539">
        <w:t>e</w:t>
      </w:r>
      <w:r w:rsidRPr="00685539">
        <w:t>gorin eftersom man tar ett steg längre och inte bara straffar hallickar och kopplare utan även kunde</w:t>
      </w:r>
      <w:r w:rsidRPr="00685539">
        <w:t>r</w:t>
      </w:r>
      <w:r w:rsidRPr="00685539">
        <w:t>na. Problemet med att förbjuda prostitution är att sexhandeln i stället sker i det fördolda. Detta gör i sin tur att organiserad brottslighet blandas in och gör de prostitu</w:t>
      </w:r>
      <w:r w:rsidRPr="00685539">
        <w:t>e</w:t>
      </w:r>
      <w:r w:rsidRPr="00685539">
        <w:t>rades situation än mer utsatt. Fördelen med den svenska se</w:t>
      </w:r>
      <w:r w:rsidRPr="00685539">
        <w:t>x</w:t>
      </w:r>
      <w:r w:rsidRPr="00685539">
        <w:t>köpslagen är att den tydliggör att det är efterfrågan, och inte tillgången, som i första hand bör åtgärdas. Församlingen rekommenderar att medlemsstaterna avstår från att kriminalisera och straffa de prost</w:t>
      </w:r>
      <w:r w:rsidRPr="00685539">
        <w:t>i</w:t>
      </w:r>
      <w:r w:rsidRPr="00685539">
        <w:t>tuerade och i stället satsar på program som hjälper dem som vill lämna sexhandeln. Församlingen menar att barnprostit</w:t>
      </w:r>
      <w:r w:rsidRPr="00685539">
        <w:t>u</w:t>
      </w:r>
      <w:r w:rsidRPr="00685539">
        <w:t>tion aldrig kan ses som frivillig och rekommenderar att alla Eur</w:t>
      </w:r>
      <w:r w:rsidRPr="00685539">
        <w:t>o</w:t>
      </w:r>
      <w:r w:rsidRPr="00685539">
        <w:t>parådets länder förbjuder barnprostitution samt inför nolltolerans baserad på föreby</w:t>
      </w:r>
      <w:r w:rsidRPr="00685539">
        <w:t>g</w:t>
      </w:r>
      <w:r w:rsidRPr="00685539">
        <w:t>gande arbete, beskydd av offer och bestraffning av föröv</w:t>
      </w:r>
      <w:r w:rsidRPr="00685539">
        <w:t>a</w:t>
      </w:r>
      <w:r w:rsidRPr="00685539">
        <w:t>re.</w:t>
      </w:r>
    </w:p>
    <w:p w:rsidR="00075C4B" w:rsidRPr="00685539" w:rsidRDefault="00075C4B" w:rsidP="008C0E40">
      <w:pPr>
        <w:pStyle w:val="Normaltindrag"/>
      </w:pPr>
      <w:r w:rsidRPr="00685539">
        <w:rPr>
          <w:i/>
        </w:rPr>
        <w:t>Carina Ohlsson</w:t>
      </w:r>
      <w:r w:rsidRPr="00685539">
        <w:t xml:space="preserve"> kritiserade rapporten eftersom prostitution b</w:t>
      </w:r>
      <w:r w:rsidRPr="00685539">
        <w:t>e</w:t>
      </w:r>
      <w:r w:rsidRPr="00685539">
        <w:t>skrivs som ett medvetet och frivilligt valt arbete. Om vi resignerar i arbetet mot prostit</w:t>
      </w:r>
      <w:r w:rsidRPr="00685539">
        <w:t>u</w:t>
      </w:r>
      <w:r w:rsidRPr="00685539">
        <w:t>tion kommer, enligt Ohlsson, åtgärder kunna vidtas endast för att minska skadan av prostitution, såsom att licensera sexarbetare och legalisera sexha</w:t>
      </w:r>
      <w:r w:rsidRPr="00685539">
        <w:t>n</w:t>
      </w:r>
      <w:r w:rsidRPr="00685539">
        <w:t>del och bordeller. Uppfattningen att människor kan köpas och säljas bör fö</w:t>
      </w:r>
      <w:r w:rsidRPr="00685539">
        <w:t>r</w:t>
      </w:r>
      <w:r w:rsidRPr="00685539">
        <w:t>kastas</w:t>
      </w:r>
      <w:r w:rsidR="002F06C3" w:rsidRPr="00685539">
        <w:t>,</w:t>
      </w:r>
      <w:r w:rsidRPr="00685539">
        <w:t xml:space="preserve"> och vi ska fortsätta </w:t>
      </w:r>
      <w:r w:rsidR="002F06C3" w:rsidRPr="00685539">
        <w:t xml:space="preserve">att </w:t>
      </w:r>
      <w:r w:rsidRPr="00685539">
        <w:t>kämpa för att eliminera prostitution som är oförenlig med värdighet och människovärde. Fokus ska ligga på förebygga</w:t>
      </w:r>
      <w:r w:rsidRPr="00685539">
        <w:t>n</w:t>
      </w:r>
      <w:r w:rsidRPr="00685539">
        <w:t>de arbete, attitydförändringar, stärkande av offrens sociala, politiska och ekonomiska situ</w:t>
      </w:r>
      <w:r w:rsidRPr="00685539">
        <w:t>a</w:t>
      </w:r>
      <w:r w:rsidRPr="00685539">
        <w:t>tion, skydd och hjälp till offren samt en lagstiftning som riktar in sig på köp</w:t>
      </w:r>
      <w:r w:rsidRPr="00685539">
        <w:t>a</w:t>
      </w:r>
      <w:r w:rsidRPr="00685539">
        <w:t>re och hallickar.</w:t>
      </w:r>
    </w:p>
    <w:p w:rsidR="00075C4B" w:rsidRPr="00685539" w:rsidRDefault="00075C4B" w:rsidP="008C0E40">
      <w:pPr>
        <w:pStyle w:val="Normaltindrag"/>
      </w:pPr>
      <w:r w:rsidRPr="00685539">
        <w:rPr>
          <w:i/>
        </w:rPr>
        <w:t>Morgan Johansson</w:t>
      </w:r>
      <w:r w:rsidRPr="00685539">
        <w:t xml:space="preserve"> kallade rapporten för skamlig och naiv. Tankarna i ra</w:t>
      </w:r>
      <w:r w:rsidRPr="00685539">
        <w:t>p</w:t>
      </w:r>
      <w:r w:rsidRPr="00685539">
        <w:t>porten, att vi måste respektera prostituerades yrkesval och se det som ett vanligt jobb samt att se sexköpare som vanliga kunder på en normal marknad, ser Johansson som förkastliga. Att legalisera prostitution är att tillåta hallickar och kunder att dra nytta av människors olycka</w:t>
      </w:r>
      <w:r w:rsidR="002F06C3" w:rsidRPr="00685539">
        <w:t>,</w:t>
      </w:r>
      <w:r w:rsidRPr="00685539">
        <w:t xml:space="preserve"> och detta kan inte vara Eur</w:t>
      </w:r>
      <w:r w:rsidRPr="00685539">
        <w:t>o</w:t>
      </w:r>
      <w:r w:rsidRPr="00685539">
        <w:t>parådets synsätt. Prostituerades idealiserade verklighet från filmer och så som den målas upp i rapporten har ingenting att göra med det faktiska livet. Sver</w:t>
      </w:r>
      <w:r w:rsidRPr="00685539">
        <w:t>i</w:t>
      </w:r>
      <w:r w:rsidRPr="00685539">
        <w:t>ges sexköpslag har visat sig reducera problemet med männ</w:t>
      </w:r>
      <w:r w:rsidRPr="00685539">
        <w:t>i</w:t>
      </w:r>
      <w:r w:rsidRPr="00685539">
        <w:t>skohandel.</w:t>
      </w:r>
    </w:p>
    <w:p w:rsidR="00075C4B" w:rsidRPr="00685539" w:rsidRDefault="00075C4B" w:rsidP="008C0E40">
      <w:pPr>
        <w:pStyle w:val="Rubrik3"/>
        <w:rPr>
          <w:noProof w:val="0"/>
        </w:rPr>
      </w:pPr>
      <w:bookmarkStart w:id="88" w:name="_Toc192059554"/>
      <w:r w:rsidRPr="00685539">
        <w:rPr>
          <w:noProof w:val="0"/>
        </w:rPr>
        <w:t>4.9.3 Kvinnobilden i reklam</w:t>
      </w:r>
      <w:bookmarkEnd w:id="88"/>
    </w:p>
    <w:p w:rsidR="00075C4B" w:rsidRPr="00685539" w:rsidRDefault="00075C4B" w:rsidP="008C0E40">
      <w:r w:rsidRPr="00685539">
        <w:t xml:space="preserve">Vid junisessionen debatterade församlingen en rapport om </w:t>
      </w:r>
      <w:r w:rsidRPr="00685539">
        <w:rPr>
          <w:i/>
        </w:rPr>
        <w:t>bilden av kvi</w:t>
      </w:r>
      <w:r w:rsidRPr="00685539">
        <w:rPr>
          <w:i/>
        </w:rPr>
        <w:t>n</w:t>
      </w:r>
      <w:r w:rsidRPr="00685539">
        <w:rPr>
          <w:i/>
        </w:rPr>
        <w:t>nor i reklam</w:t>
      </w:r>
      <w:r w:rsidRPr="00685539">
        <w:t xml:space="preserve"> (dok. 11286, rek. 1799, res. 1557). Trots att mäns och kvinnors roll i samhället genomgått en snabb förändring har bilden i medier av kvinnor inte förändrats nämnvärt. Kvinnor i reklam framställs ofta på ett diskrimin</w:t>
      </w:r>
      <w:r w:rsidRPr="00685539">
        <w:t>e</w:t>
      </w:r>
      <w:r w:rsidRPr="00685539">
        <w:t>rande sätt, ofta som sexobjekt, på sätt som kränker den mänskliga värdi</w:t>
      </w:r>
      <w:r w:rsidRPr="00685539">
        <w:t>g</w:t>
      </w:r>
      <w:r w:rsidRPr="00685539">
        <w:t>heten. En konflikt mellan yttrandefriheten och respekten för mänsklig värdighet föro</w:t>
      </w:r>
      <w:r w:rsidRPr="00685539">
        <w:t>r</w:t>
      </w:r>
      <w:r w:rsidRPr="00685539">
        <w:t>sakar svårigheter. Församlingen uppmanar medlemsländerna att genom la</w:t>
      </w:r>
      <w:r w:rsidRPr="00685539">
        <w:t>g</w:t>
      </w:r>
      <w:r w:rsidRPr="00685539">
        <w:t>stiftning förhindra diskriminering i reklam. Det finns också behov av utbil</w:t>
      </w:r>
      <w:r w:rsidRPr="00685539">
        <w:t>d</w:t>
      </w:r>
      <w:r w:rsidRPr="00685539">
        <w:t>ning för att förändra attityder. Församlingen rekommenderar att ministe</w:t>
      </w:r>
      <w:r w:rsidRPr="00685539">
        <w:t>r</w:t>
      </w:r>
      <w:r w:rsidRPr="00685539">
        <w:t>kommittén utarbetar en europeisk uppförandekod så att reklambra</w:t>
      </w:r>
      <w:r w:rsidRPr="00685539">
        <w:t>n</w:t>
      </w:r>
      <w:r w:rsidRPr="00685539">
        <w:t>schens bilder inte är diskriminerande. Vidare föreslås ett europeiskt pris till reklam som motarbetar ster</w:t>
      </w:r>
      <w:r w:rsidRPr="00685539">
        <w:t>e</w:t>
      </w:r>
      <w:r w:rsidRPr="00685539">
        <w:t>otyper och främjar jämställdhet.</w:t>
      </w:r>
    </w:p>
    <w:p w:rsidR="00075C4B" w:rsidRPr="00685539" w:rsidRDefault="00075C4B" w:rsidP="008C0E40">
      <w:pPr>
        <w:pStyle w:val="Normaltindrag"/>
      </w:pPr>
      <w:r w:rsidRPr="00685539">
        <w:rPr>
          <w:i/>
        </w:rPr>
        <w:t>Tina Acketofts</w:t>
      </w:r>
      <w:r w:rsidRPr="00685539">
        <w:t xml:space="preserve"> motionerade om att skjuta upp behandlingen av rapporten</w:t>
      </w:r>
      <w:r w:rsidR="002F06C3" w:rsidRPr="00685539">
        <w:t>,</w:t>
      </w:r>
      <w:r w:rsidR="003B7824" w:rsidRPr="00685539">
        <w:t xml:space="preserve"> </w:t>
      </w:r>
      <w:r w:rsidRPr="00685539">
        <w:t>men det avslogs av församlingen. På grund av sena förändringar i dagor</w:t>
      </w:r>
      <w:r w:rsidRPr="00685539">
        <w:t>d</w:t>
      </w:r>
      <w:r w:rsidRPr="00685539">
        <w:t>ningen hade debatten tidigarelagts. Därmed fanns det inte tid för att lämna ändring</w:t>
      </w:r>
      <w:r w:rsidRPr="00685539">
        <w:t>s</w:t>
      </w:r>
      <w:r w:rsidRPr="00685539">
        <w:t>förslag inom den utsatta tidsramen. Acketoft underströk att hon höll med de förslag till å</w:t>
      </w:r>
      <w:r w:rsidRPr="00685539">
        <w:t>t</w:t>
      </w:r>
      <w:r w:rsidRPr="00685539">
        <w:t>gärder som det framlagda dokumentunderlaget innehöll. Reklam bidrar till att skapa en diskriminerande bild av kvinnor. Men Ack</w:t>
      </w:r>
      <w:r w:rsidRPr="00685539">
        <w:t>e</w:t>
      </w:r>
      <w:r w:rsidRPr="00685539">
        <w:t>toft talade mot rapporten eftersom den handlade om ett ämne som tidigare b</w:t>
      </w:r>
      <w:r w:rsidRPr="00685539">
        <w:t>e</w:t>
      </w:r>
      <w:r w:rsidRPr="00685539">
        <w:t>handlat</w:t>
      </w:r>
      <w:r w:rsidR="002F06C3" w:rsidRPr="00685539">
        <w:t>s av olika internationella forum</w:t>
      </w:r>
      <w:r w:rsidRPr="00685539">
        <w:t>. Europarådet borde fokusera sin ver</w:t>
      </w:r>
      <w:r w:rsidRPr="00685539">
        <w:t>k</w:t>
      </w:r>
      <w:r w:rsidRPr="00685539">
        <w:t>samhet på ett begränsat område. Acketoft efte</w:t>
      </w:r>
      <w:r w:rsidRPr="00685539">
        <w:t>r</w:t>
      </w:r>
      <w:r w:rsidRPr="00685539">
        <w:t xml:space="preserve">lyste mer kunskap om hur dagens reklam styrs. </w:t>
      </w:r>
    </w:p>
    <w:p w:rsidR="00075C4B" w:rsidRPr="00685539" w:rsidRDefault="00194021" w:rsidP="00075C4B">
      <w:pPr>
        <w:rPr>
          <w:i/>
        </w:rPr>
      </w:pPr>
      <w:r w:rsidRPr="00685539">
        <w:rPr>
          <w:i/>
        </w:rPr>
        <w:br w:type="page"/>
      </w:r>
      <w:r w:rsidR="00075C4B" w:rsidRPr="00685539">
        <w:rPr>
          <w:i/>
        </w:rPr>
        <w:t>Förteckning över församlingens beslut</w:t>
      </w:r>
    </w:p>
    <w:p w:rsidR="00075C4B" w:rsidRPr="00685539" w:rsidRDefault="00075C4B" w:rsidP="00420FB8">
      <w:pPr>
        <w:spacing w:before="187"/>
        <w:rPr>
          <w:b/>
        </w:rPr>
      </w:pPr>
      <w:r w:rsidRPr="00685539">
        <w:rPr>
          <w:b/>
        </w:rPr>
        <w:t>Rekommendationer</w:t>
      </w:r>
    </w:p>
    <w:p w:rsidR="00075C4B" w:rsidRPr="00685539" w:rsidRDefault="00075C4B" w:rsidP="00690E87">
      <w:pPr>
        <w:rPr>
          <w:b/>
        </w:rPr>
      </w:pPr>
      <w:r w:rsidRPr="00685539">
        <w:rPr>
          <w:b/>
        </w:rPr>
        <w:t>Nr</w:t>
      </w:r>
    </w:p>
    <w:p w:rsidR="00075C4B" w:rsidRPr="00685539" w:rsidRDefault="00075C4B" w:rsidP="007A359A">
      <w:pPr>
        <w:tabs>
          <w:tab w:val="left" w:pos="510"/>
        </w:tabs>
      </w:pPr>
      <w:r w:rsidRPr="00685539">
        <w:t>1777</w:t>
      </w:r>
      <w:r w:rsidR="007A359A" w:rsidRPr="00685539">
        <w:tab/>
      </w:r>
      <w:r w:rsidRPr="00685539">
        <w:t>Sexuella övergrepp i samband med drogning ”date-rape drugs”</w:t>
      </w:r>
    </w:p>
    <w:p w:rsidR="00075C4B" w:rsidRPr="00685539" w:rsidRDefault="007A359A" w:rsidP="007A359A">
      <w:pPr>
        <w:tabs>
          <w:tab w:val="left" w:pos="510"/>
        </w:tabs>
      </w:pPr>
      <w:r w:rsidRPr="00685539">
        <w:t>1778</w:t>
      </w:r>
      <w:r w:rsidRPr="00685539">
        <w:tab/>
      </w:r>
      <w:r w:rsidR="00075C4B" w:rsidRPr="00685539">
        <w:t>Barn som offer: utrotande av all</w:t>
      </w:r>
      <w:r w:rsidR="002F06C3" w:rsidRPr="00685539">
        <w:t>t</w:t>
      </w:r>
      <w:r w:rsidR="00075C4B" w:rsidRPr="00685539">
        <w:t xml:space="preserve"> slags våld, utnyttjande och övergrepp</w:t>
      </w:r>
    </w:p>
    <w:p w:rsidR="00075C4B" w:rsidRPr="00685539" w:rsidRDefault="00075C4B" w:rsidP="007A359A">
      <w:pPr>
        <w:tabs>
          <w:tab w:val="left" w:pos="510"/>
        </w:tabs>
        <w:ind w:left="510" w:hanging="510"/>
      </w:pPr>
      <w:r w:rsidRPr="00685539">
        <w:t>1779</w:t>
      </w:r>
      <w:r w:rsidR="007A359A" w:rsidRPr="00685539">
        <w:tab/>
      </w:r>
      <w:r w:rsidRPr="00685539">
        <w:t>Faran med att använda energiförsörjning som ett instrument för pol</w:t>
      </w:r>
      <w:r w:rsidRPr="00685539">
        <w:t>i</w:t>
      </w:r>
      <w:r w:rsidRPr="00685539">
        <w:t>tisk påverkan</w:t>
      </w:r>
    </w:p>
    <w:p w:rsidR="00075C4B" w:rsidRPr="00685539" w:rsidRDefault="007A359A" w:rsidP="007A359A">
      <w:pPr>
        <w:tabs>
          <w:tab w:val="left" w:pos="510"/>
        </w:tabs>
      </w:pPr>
      <w:r w:rsidRPr="00685539">
        <w:t>1780</w:t>
      </w:r>
      <w:r w:rsidRPr="00685539">
        <w:tab/>
      </w:r>
      <w:r w:rsidR="00075C4B" w:rsidRPr="00685539">
        <w:t>Nuvarande situation i Kosovo</w:t>
      </w:r>
    </w:p>
    <w:p w:rsidR="00075C4B" w:rsidRPr="00685539" w:rsidRDefault="007A359A" w:rsidP="007A359A">
      <w:pPr>
        <w:tabs>
          <w:tab w:val="left" w:pos="510"/>
        </w:tabs>
      </w:pPr>
      <w:r w:rsidRPr="00685539">
        <w:t>1781</w:t>
      </w:r>
      <w:r w:rsidRPr="00685539">
        <w:tab/>
      </w:r>
      <w:r w:rsidR="00075C4B" w:rsidRPr="00685539">
        <w:t>Jordbruk och illegala anställningar</w:t>
      </w:r>
    </w:p>
    <w:p w:rsidR="00075C4B" w:rsidRPr="00685539" w:rsidRDefault="00075C4B" w:rsidP="007A359A">
      <w:pPr>
        <w:tabs>
          <w:tab w:val="left" w:pos="510"/>
        </w:tabs>
      </w:pPr>
      <w:r w:rsidRPr="00685539">
        <w:t>1782</w:t>
      </w:r>
      <w:r w:rsidR="007A359A" w:rsidRPr="00685539">
        <w:tab/>
      </w:r>
      <w:r w:rsidRPr="00685539">
        <w:t>Situationen för migrerande arbetstagare i bemanningsföretag</w:t>
      </w:r>
    </w:p>
    <w:p w:rsidR="00075C4B" w:rsidRPr="00685539" w:rsidRDefault="00075C4B" w:rsidP="007A359A">
      <w:pPr>
        <w:tabs>
          <w:tab w:val="left" w:pos="510"/>
        </w:tabs>
      </w:pPr>
      <w:r w:rsidRPr="00685539">
        <w:t>1783</w:t>
      </w:r>
      <w:r w:rsidR="007A359A" w:rsidRPr="00685539">
        <w:tab/>
      </w:r>
      <w:r w:rsidRPr="00685539">
        <w:t>Hot mot liv och yttrandefrihet för journalister</w:t>
      </w:r>
    </w:p>
    <w:p w:rsidR="00075C4B" w:rsidRPr="00685539" w:rsidRDefault="00075C4B" w:rsidP="007A359A">
      <w:pPr>
        <w:tabs>
          <w:tab w:val="left" w:pos="510"/>
        </w:tabs>
      </w:pPr>
      <w:r w:rsidRPr="00685539">
        <w:t>1784</w:t>
      </w:r>
      <w:r w:rsidR="007A359A" w:rsidRPr="00685539">
        <w:tab/>
      </w:r>
      <w:r w:rsidR="002F06C3" w:rsidRPr="00685539">
        <w:t>Hiv</w:t>
      </w:r>
      <w:r w:rsidRPr="00685539">
        <w:t>/</w:t>
      </w:r>
      <w:r w:rsidR="002F06C3" w:rsidRPr="00685539">
        <w:t xml:space="preserve">aids </w:t>
      </w:r>
      <w:r w:rsidRPr="00685539">
        <w:t>i Europa</w:t>
      </w:r>
    </w:p>
    <w:p w:rsidR="00075C4B" w:rsidRPr="00685539" w:rsidRDefault="00075C4B" w:rsidP="007A359A">
      <w:pPr>
        <w:tabs>
          <w:tab w:val="left" w:pos="510"/>
        </w:tabs>
      </w:pPr>
      <w:r w:rsidRPr="00685539">
        <w:t>1785</w:t>
      </w:r>
      <w:r w:rsidR="007A359A" w:rsidRPr="00685539">
        <w:tab/>
      </w:r>
      <w:r w:rsidRPr="00685539">
        <w:t xml:space="preserve">Spridningen av </w:t>
      </w:r>
      <w:r w:rsidR="002F06C3" w:rsidRPr="00685539">
        <w:t>hiv/aids</w:t>
      </w:r>
      <w:r w:rsidRPr="00685539">
        <w:t>-epidemier hos kvinnor och flickor i Europa</w:t>
      </w:r>
    </w:p>
    <w:p w:rsidR="00075C4B" w:rsidRPr="00685539" w:rsidRDefault="00075C4B" w:rsidP="007A359A">
      <w:pPr>
        <w:tabs>
          <w:tab w:val="left" w:pos="510"/>
        </w:tabs>
      </w:pPr>
      <w:r w:rsidRPr="00685539">
        <w:t>1786</w:t>
      </w:r>
      <w:r w:rsidR="007A359A" w:rsidRPr="00685539">
        <w:tab/>
      </w:r>
      <w:r w:rsidRPr="00685539">
        <w:t>I riktning mot en ansvarsfull matkonsumtion</w:t>
      </w:r>
    </w:p>
    <w:p w:rsidR="00075C4B" w:rsidRPr="00685539" w:rsidRDefault="00075C4B" w:rsidP="007A359A">
      <w:pPr>
        <w:tabs>
          <w:tab w:val="left" w:pos="510"/>
        </w:tabs>
      </w:pPr>
      <w:r w:rsidRPr="00685539">
        <w:t>1787</w:t>
      </w:r>
      <w:r w:rsidR="007A359A" w:rsidRPr="00685539">
        <w:tab/>
      </w:r>
      <w:r w:rsidRPr="00685539">
        <w:t>Försiktighetsprincipen och ansvarsfull riskhantering</w:t>
      </w:r>
    </w:p>
    <w:p w:rsidR="00075C4B" w:rsidRPr="00685539" w:rsidRDefault="007A359A" w:rsidP="007A359A">
      <w:pPr>
        <w:tabs>
          <w:tab w:val="left" w:pos="510"/>
        </w:tabs>
      </w:pPr>
      <w:r w:rsidRPr="00685539">
        <w:t>1788</w:t>
      </w:r>
      <w:r w:rsidRPr="00685539">
        <w:tab/>
      </w:r>
      <w:r w:rsidR="00075C4B" w:rsidRPr="00685539">
        <w:t>Amerikas förenta stater och folkrätten</w:t>
      </w:r>
    </w:p>
    <w:p w:rsidR="00075C4B" w:rsidRPr="00685539" w:rsidRDefault="007A359A" w:rsidP="007A359A">
      <w:pPr>
        <w:tabs>
          <w:tab w:val="left" w:pos="510"/>
        </w:tabs>
      </w:pPr>
      <w:r w:rsidRPr="00685539">
        <w:t>1789</w:t>
      </w:r>
      <w:r w:rsidRPr="00685539">
        <w:tab/>
      </w:r>
      <w:r w:rsidR="00075C4B" w:rsidRPr="00685539">
        <w:t>Journalisters professionella yrkesutbildning</w:t>
      </w:r>
    </w:p>
    <w:p w:rsidR="00075C4B" w:rsidRPr="00685539" w:rsidRDefault="007A359A" w:rsidP="007A359A">
      <w:pPr>
        <w:tabs>
          <w:tab w:val="left" w:pos="510"/>
        </w:tabs>
      </w:pPr>
      <w:r w:rsidRPr="00685539">
        <w:t>1790</w:t>
      </w:r>
      <w:r w:rsidRPr="00685539">
        <w:tab/>
      </w:r>
      <w:r w:rsidR="00075C4B" w:rsidRPr="00685539">
        <w:t xml:space="preserve">Situationen för kvinnor i </w:t>
      </w:r>
      <w:r w:rsidR="002F06C3" w:rsidRPr="00685539">
        <w:t xml:space="preserve">södra </w:t>
      </w:r>
      <w:r w:rsidR="00075C4B" w:rsidRPr="00685539">
        <w:t>Kaukasus</w:t>
      </w:r>
    </w:p>
    <w:p w:rsidR="00075C4B" w:rsidRPr="00685539" w:rsidRDefault="007A359A" w:rsidP="007A359A">
      <w:pPr>
        <w:tabs>
          <w:tab w:val="left" w:pos="510"/>
        </w:tabs>
      </w:pPr>
      <w:r w:rsidRPr="00685539">
        <w:t>1791</w:t>
      </w:r>
      <w:r w:rsidRPr="00685539">
        <w:tab/>
      </w:r>
      <w:r w:rsidR="00075C4B" w:rsidRPr="00685539">
        <w:t>Situationen när det gäller mänskliga rättigheter och demokrati i Europa</w:t>
      </w:r>
    </w:p>
    <w:p w:rsidR="00075C4B" w:rsidRPr="00685539" w:rsidRDefault="007A359A" w:rsidP="007A359A">
      <w:pPr>
        <w:tabs>
          <w:tab w:val="left" w:pos="510"/>
        </w:tabs>
        <w:ind w:left="510" w:hanging="510"/>
        <w:rPr>
          <w:spacing w:val="-4"/>
        </w:rPr>
      </w:pPr>
      <w:r w:rsidRPr="00685539">
        <w:t>1792</w:t>
      </w:r>
      <w:r w:rsidRPr="00685539">
        <w:tab/>
      </w:r>
      <w:r w:rsidR="00075C4B" w:rsidRPr="00685539">
        <w:rPr>
          <w:spacing w:val="-4"/>
        </w:rPr>
        <w:t>Rättvisa rättegångar gällande spioneri eller avslöjande av statshemligh</w:t>
      </w:r>
      <w:r w:rsidR="00075C4B" w:rsidRPr="00685539">
        <w:rPr>
          <w:spacing w:val="-4"/>
        </w:rPr>
        <w:t>e</w:t>
      </w:r>
      <w:r w:rsidR="00075C4B" w:rsidRPr="00685539">
        <w:rPr>
          <w:spacing w:val="-4"/>
        </w:rPr>
        <w:t>ter</w:t>
      </w:r>
    </w:p>
    <w:p w:rsidR="00075C4B" w:rsidRPr="00685539" w:rsidRDefault="007A359A" w:rsidP="007A359A">
      <w:pPr>
        <w:tabs>
          <w:tab w:val="left" w:pos="510"/>
        </w:tabs>
        <w:ind w:left="510" w:hanging="510"/>
      </w:pPr>
      <w:r w:rsidRPr="00685539">
        <w:t>1793</w:t>
      </w:r>
      <w:r w:rsidRPr="00685539">
        <w:tab/>
      </w:r>
      <w:r w:rsidR="00075C4B" w:rsidRPr="00685539">
        <w:t>Behov av en Europarådskonvention om förbud mot förfalskning och mot handel med förfalskade varor</w:t>
      </w:r>
    </w:p>
    <w:p w:rsidR="00075C4B" w:rsidRPr="00685539" w:rsidRDefault="007A359A" w:rsidP="007A359A">
      <w:pPr>
        <w:tabs>
          <w:tab w:val="left" w:pos="510"/>
        </w:tabs>
      </w:pPr>
      <w:r w:rsidRPr="00685539">
        <w:t>1794</w:t>
      </w:r>
      <w:r w:rsidRPr="00685539">
        <w:tab/>
      </w:r>
      <w:r w:rsidR="00075C4B" w:rsidRPr="00685539">
        <w:t>Kvaliteten på mediciner i Europa</w:t>
      </w:r>
    </w:p>
    <w:p w:rsidR="00075C4B" w:rsidRPr="00685539" w:rsidRDefault="007A359A" w:rsidP="007A359A">
      <w:pPr>
        <w:tabs>
          <w:tab w:val="left" w:pos="510"/>
        </w:tabs>
      </w:pPr>
      <w:r w:rsidRPr="00685539">
        <w:t>1795</w:t>
      </w:r>
      <w:r w:rsidRPr="00685539">
        <w:tab/>
      </w:r>
      <w:r w:rsidR="00075C4B" w:rsidRPr="00685539">
        <w:t>Övervakande av förpliktelser gällande sociala rättigheter</w:t>
      </w:r>
    </w:p>
    <w:p w:rsidR="00075C4B" w:rsidRPr="00685539" w:rsidRDefault="007A359A" w:rsidP="007A359A">
      <w:pPr>
        <w:tabs>
          <w:tab w:val="left" w:pos="510"/>
        </w:tabs>
      </w:pPr>
      <w:r w:rsidRPr="00685539">
        <w:t>1796</w:t>
      </w:r>
      <w:r w:rsidRPr="00685539">
        <w:tab/>
      </w:r>
      <w:r w:rsidR="00075C4B" w:rsidRPr="00685539">
        <w:t>Situationen för äldre personer i Europa</w:t>
      </w:r>
    </w:p>
    <w:p w:rsidR="00075C4B" w:rsidRPr="00685539" w:rsidRDefault="007A359A" w:rsidP="007A359A">
      <w:pPr>
        <w:tabs>
          <w:tab w:val="left" w:pos="510"/>
        </w:tabs>
        <w:ind w:left="510" w:hanging="510"/>
        <w:rPr>
          <w:spacing w:val="-2"/>
        </w:rPr>
      </w:pPr>
      <w:r w:rsidRPr="00685539">
        <w:t>1797</w:t>
      </w:r>
      <w:r w:rsidRPr="00685539">
        <w:tab/>
      </w:r>
      <w:r w:rsidR="00075C4B" w:rsidRPr="00685539">
        <w:t xml:space="preserve">Saknade personer i Armenien, Azerbajdzjan och Georgien efter de </w:t>
      </w:r>
      <w:r w:rsidR="00075C4B" w:rsidRPr="00685539">
        <w:rPr>
          <w:spacing w:val="-2"/>
        </w:rPr>
        <w:t xml:space="preserve">regionala konflikterna i Nagorno-Karabach, Abchazien och </w:t>
      </w:r>
      <w:r w:rsidR="00075C4B" w:rsidRPr="00685539">
        <w:rPr>
          <w:bCs/>
          <w:spacing w:val="-2"/>
        </w:rPr>
        <w:t>Sydosset</w:t>
      </w:r>
      <w:r w:rsidR="00075C4B" w:rsidRPr="00685539">
        <w:rPr>
          <w:bCs/>
          <w:spacing w:val="-2"/>
        </w:rPr>
        <w:t>i</w:t>
      </w:r>
      <w:r w:rsidR="00075C4B" w:rsidRPr="00685539">
        <w:rPr>
          <w:bCs/>
          <w:spacing w:val="-2"/>
        </w:rPr>
        <w:t>en</w:t>
      </w:r>
    </w:p>
    <w:p w:rsidR="00075C4B" w:rsidRPr="00685539" w:rsidRDefault="007A359A" w:rsidP="007A359A">
      <w:pPr>
        <w:tabs>
          <w:tab w:val="left" w:pos="510"/>
        </w:tabs>
      </w:pPr>
      <w:r w:rsidRPr="00685539">
        <w:t>1798</w:t>
      </w:r>
      <w:r w:rsidRPr="00685539">
        <w:tab/>
      </w:r>
      <w:r w:rsidR="00075C4B" w:rsidRPr="00685539">
        <w:t>Respekt för principen om jämställdhet i civilrätten</w:t>
      </w:r>
    </w:p>
    <w:p w:rsidR="00075C4B" w:rsidRPr="00685539" w:rsidRDefault="007A359A" w:rsidP="007A359A">
      <w:pPr>
        <w:tabs>
          <w:tab w:val="left" w:pos="510"/>
        </w:tabs>
      </w:pPr>
      <w:r w:rsidRPr="00685539">
        <w:t>1799</w:t>
      </w:r>
      <w:r w:rsidRPr="00685539">
        <w:tab/>
      </w:r>
      <w:r w:rsidR="00075C4B" w:rsidRPr="00685539">
        <w:t>Synen på kvinnor i reklam</w:t>
      </w:r>
    </w:p>
    <w:p w:rsidR="00075C4B" w:rsidRPr="00685539" w:rsidRDefault="007A359A" w:rsidP="007A359A">
      <w:pPr>
        <w:tabs>
          <w:tab w:val="left" w:pos="510"/>
        </w:tabs>
      </w:pPr>
      <w:r w:rsidRPr="00685539">
        <w:t>1800</w:t>
      </w:r>
      <w:r w:rsidRPr="00685539">
        <w:tab/>
      </w:r>
      <w:r w:rsidR="00075C4B" w:rsidRPr="00685539">
        <w:t>Feminiseringen av fattigdom</w:t>
      </w:r>
    </w:p>
    <w:p w:rsidR="00075C4B" w:rsidRPr="00685539" w:rsidRDefault="007A359A" w:rsidP="007A359A">
      <w:pPr>
        <w:tabs>
          <w:tab w:val="left" w:pos="510"/>
        </w:tabs>
        <w:ind w:left="510" w:hanging="510"/>
      </w:pPr>
      <w:r w:rsidRPr="00685539">
        <w:t>1801</w:t>
      </w:r>
      <w:r w:rsidRPr="00685539">
        <w:tab/>
      </w:r>
      <w:r w:rsidR="00075C4B" w:rsidRPr="00685539">
        <w:t>Hemlig förvaring och olagliga transporter av fångar där Europarådets medlemsstater är involverade: andra rapporten</w:t>
      </w:r>
    </w:p>
    <w:p w:rsidR="00075C4B" w:rsidRPr="00685539" w:rsidRDefault="007A359A" w:rsidP="007A359A">
      <w:pPr>
        <w:tabs>
          <w:tab w:val="left" w:pos="510"/>
        </w:tabs>
        <w:ind w:left="510" w:hanging="510"/>
      </w:pPr>
      <w:r w:rsidRPr="00685539">
        <w:t>1802</w:t>
      </w:r>
      <w:r w:rsidRPr="00685539">
        <w:tab/>
      </w:r>
      <w:r w:rsidR="00075C4B" w:rsidRPr="00685539">
        <w:t>Situationen för långvariga flyktingar och tvångsförflyttade personer i sydöstra Europa</w:t>
      </w:r>
    </w:p>
    <w:p w:rsidR="00075C4B" w:rsidRPr="00685539" w:rsidRDefault="007A359A" w:rsidP="007A359A">
      <w:pPr>
        <w:tabs>
          <w:tab w:val="left" w:pos="510"/>
        </w:tabs>
        <w:ind w:left="510" w:hanging="510"/>
      </w:pPr>
      <w:r w:rsidRPr="00685539">
        <w:t>1803</w:t>
      </w:r>
      <w:r w:rsidRPr="00685539">
        <w:tab/>
      </w:r>
      <w:r w:rsidR="00075C4B" w:rsidRPr="00685539">
        <w:t>Åtal för brott inom jurisdiktionen för Internationella krigsförbrytartr</w:t>
      </w:r>
      <w:r w:rsidR="00075C4B" w:rsidRPr="00685539">
        <w:t>i</w:t>
      </w:r>
      <w:r w:rsidR="00075C4B" w:rsidRPr="00685539">
        <w:t>bunalen för det forna Jugoslavien (ICTY)</w:t>
      </w:r>
    </w:p>
    <w:p w:rsidR="00075C4B" w:rsidRPr="00685539" w:rsidRDefault="007A359A" w:rsidP="007A359A">
      <w:pPr>
        <w:tabs>
          <w:tab w:val="left" w:pos="510"/>
        </w:tabs>
      </w:pPr>
      <w:r w:rsidRPr="00685539">
        <w:t>1804</w:t>
      </w:r>
      <w:r w:rsidRPr="00685539">
        <w:tab/>
      </w:r>
      <w:r w:rsidR="00075C4B" w:rsidRPr="00685539">
        <w:t>Stat, religion, sekularisering och mänskliga rättigheter</w:t>
      </w:r>
    </w:p>
    <w:p w:rsidR="00075C4B" w:rsidRPr="00685539" w:rsidRDefault="007A359A" w:rsidP="007A359A">
      <w:pPr>
        <w:tabs>
          <w:tab w:val="left" w:pos="510"/>
        </w:tabs>
        <w:ind w:left="510" w:hanging="510"/>
      </w:pPr>
      <w:r w:rsidRPr="00685539">
        <w:t>1805</w:t>
      </w:r>
      <w:r w:rsidRPr="00685539">
        <w:tab/>
      </w:r>
      <w:r w:rsidR="00075C4B" w:rsidRPr="00685539">
        <w:t>Blasfemi, religiösa förolämpningar och hätska tal riktade mot personer på grund av deras religion</w:t>
      </w:r>
    </w:p>
    <w:p w:rsidR="00075C4B" w:rsidRPr="00685539" w:rsidRDefault="00075C4B" w:rsidP="007A359A">
      <w:pPr>
        <w:tabs>
          <w:tab w:val="left" w:pos="510"/>
        </w:tabs>
      </w:pPr>
      <w:r w:rsidRPr="00685539">
        <w:t>1806</w:t>
      </w:r>
      <w:r w:rsidR="007A359A" w:rsidRPr="00685539">
        <w:tab/>
      </w:r>
      <w:r w:rsidRPr="00685539">
        <w:t xml:space="preserve">Verksamheten av Internationella Organisationen för Migration (IOM) </w:t>
      </w:r>
    </w:p>
    <w:p w:rsidR="00075C4B" w:rsidRPr="00685539" w:rsidRDefault="007A359A" w:rsidP="007A359A">
      <w:pPr>
        <w:tabs>
          <w:tab w:val="left" w:pos="510"/>
        </w:tabs>
      </w:pPr>
      <w:r w:rsidRPr="00685539">
        <w:t>1807</w:t>
      </w:r>
      <w:r w:rsidRPr="00685539">
        <w:tab/>
      </w:r>
      <w:r w:rsidR="00075C4B" w:rsidRPr="00685539">
        <w:t>Regulariseringsprogram för illegala invandrare</w:t>
      </w:r>
    </w:p>
    <w:p w:rsidR="00075C4B" w:rsidRPr="00685539" w:rsidRDefault="007A359A" w:rsidP="007A359A">
      <w:pPr>
        <w:tabs>
          <w:tab w:val="left" w:pos="510"/>
        </w:tabs>
        <w:ind w:left="510" w:hanging="510"/>
      </w:pPr>
      <w:r w:rsidRPr="00685539">
        <w:t>1808</w:t>
      </w:r>
      <w:r w:rsidRPr="00685539">
        <w:tab/>
      </w:r>
      <w:r w:rsidR="00075C4B" w:rsidRPr="00685539">
        <w:t>Bedömning av transit- och handläggningscentrum som ett svar på bla</w:t>
      </w:r>
      <w:r w:rsidR="00075C4B" w:rsidRPr="00685539">
        <w:t>n</w:t>
      </w:r>
      <w:r w:rsidR="00075C4B" w:rsidRPr="00685539">
        <w:t>dade strömmar av invandrare och asylsökande</w:t>
      </w:r>
    </w:p>
    <w:p w:rsidR="00075C4B" w:rsidRPr="00685539" w:rsidRDefault="007A359A" w:rsidP="007A359A">
      <w:pPr>
        <w:tabs>
          <w:tab w:val="left" w:pos="510"/>
        </w:tabs>
      </w:pPr>
      <w:r w:rsidRPr="00685539">
        <w:t>1809</w:t>
      </w:r>
      <w:r w:rsidRPr="00685539">
        <w:tab/>
      </w:r>
      <w:r w:rsidR="00075C4B" w:rsidRPr="00685539">
        <w:t>Medlemsstaternas skyldighet att samarbeta med Europadomstolen</w:t>
      </w:r>
    </w:p>
    <w:p w:rsidR="00075C4B" w:rsidRPr="00685539" w:rsidRDefault="007A359A" w:rsidP="007A359A">
      <w:pPr>
        <w:tabs>
          <w:tab w:val="left" w:pos="510"/>
        </w:tabs>
      </w:pPr>
      <w:r w:rsidRPr="00685539">
        <w:t>1810</w:t>
      </w:r>
      <w:r w:rsidRPr="00685539">
        <w:tab/>
      </w:r>
      <w:r w:rsidR="00075C4B" w:rsidRPr="00685539">
        <w:t>Moldaviens uppfyllande av förpliktelser och åtaganden</w:t>
      </w:r>
    </w:p>
    <w:p w:rsidR="00075C4B" w:rsidRPr="00685539" w:rsidRDefault="007A359A" w:rsidP="007A359A">
      <w:pPr>
        <w:tabs>
          <w:tab w:val="left" w:pos="510"/>
        </w:tabs>
      </w:pPr>
      <w:r w:rsidRPr="00685539">
        <w:t>1811</w:t>
      </w:r>
      <w:r w:rsidRPr="00685539">
        <w:tab/>
      </w:r>
      <w:r w:rsidR="00075C4B" w:rsidRPr="00685539">
        <w:t>Regionalisering i Europa</w:t>
      </w:r>
    </w:p>
    <w:p w:rsidR="00075C4B" w:rsidRPr="00685539" w:rsidRDefault="007A359A" w:rsidP="007A359A">
      <w:pPr>
        <w:tabs>
          <w:tab w:val="left" w:pos="510"/>
        </w:tabs>
      </w:pPr>
      <w:r w:rsidRPr="00685539">
        <w:t>1812</w:t>
      </w:r>
      <w:r w:rsidRPr="00685539">
        <w:tab/>
      </w:r>
      <w:r w:rsidR="00075C4B" w:rsidRPr="00685539">
        <w:t>Politisk dimension av Europarådets budget</w:t>
      </w:r>
    </w:p>
    <w:p w:rsidR="00075C4B" w:rsidRPr="00685539" w:rsidRDefault="007A359A" w:rsidP="007A359A">
      <w:pPr>
        <w:tabs>
          <w:tab w:val="left" w:pos="510"/>
        </w:tabs>
        <w:ind w:left="510" w:hanging="510"/>
      </w:pPr>
      <w:r w:rsidRPr="00685539">
        <w:t>1813</w:t>
      </w:r>
      <w:r w:rsidRPr="00685539">
        <w:tab/>
      </w:r>
      <w:r w:rsidR="00075C4B" w:rsidRPr="00685539">
        <w:t>För en europeisk konvention om att verka för en allmän hälsopolitik avseende drogkontroll</w:t>
      </w:r>
    </w:p>
    <w:p w:rsidR="00075C4B" w:rsidRPr="00685539" w:rsidRDefault="007A359A" w:rsidP="007A359A">
      <w:pPr>
        <w:tabs>
          <w:tab w:val="left" w:pos="510"/>
        </w:tabs>
      </w:pPr>
      <w:r w:rsidRPr="00685539">
        <w:t>1814</w:t>
      </w:r>
      <w:r w:rsidRPr="00685539">
        <w:tab/>
      </w:r>
      <w:r w:rsidR="00075C4B" w:rsidRPr="00685539">
        <w:t>Mot avkriminalisering av ärekränkning</w:t>
      </w:r>
    </w:p>
    <w:p w:rsidR="00075C4B" w:rsidRPr="00685539" w:rsidRDefault="007A359A" w:rsidP="007A359A">
      <w:pPr>
        <w:tabs>
          <w:tab w:val="left" w:pos="510"/>
        </w:tabs>
      </w:pPr>
      <w:r w:rsidRPr="00685539">
        <w:t>1815</w:t>
      </w:r>
      <w:r w:rsidRPr="00685539">
        <w:tab/>
      </w:r>
      <w:r w:rsidR="00075C4B" w:rsidRPr="00685539">
        <w:t>Prostitution – vilken inställning ska tas?</w:t>
      </w:r>
    </w:p>
    <w:p w:rsidR="00075C4B" w:rsidRPr="00685539" w:rsidRDefault="007A359A" w:rsidP="007A359A">
      <w:pPr>
        <w:tabs>
          <w:tab w:val="left" w:pos="510"/>
        </w:tabs>
        <w:ind w:left="510" w:hanging="510"/>
      </w:pPr>
      <w:r w:rsidRPr="00685539">
        <w:t>1816</w:t>
      </w:r>
      <w:r w:rsidRPr="00685539">
        <w:tab/>
      </w:r>
      <w:r w:rsidR="00075C4B" w:rsidRPr="00685539">
        <w:t>Europarådets kommissionär för mänskliga rättigheter – överblick och perspektiv</w:t>
      </w:r>
    </w:p>
    <w:p w:rsidR="00075C4B" w:rsidRPr="00685539" w:rsidRDefault="007A359A" w:rsidP="007A359A">
      <w:pPr>
        <w:tabs>
          <w:tab w:val="left" w:pos="510"/>
        </w:tabs>
        <w:ind w:left="510" w:hanging="510"/>
      </w:pPr>
      <w:r w:rsidRPr="00685539">
        <w:t>1817</w:t>
      </w:r>
      <w:r w:rsidRPr="00685539">
        <w:tab/>
      </w:r>
      <w:r w:rsidR="00075C4B" w:rsidRPr="00685539">
        <w:t>Parlamentens gemensamma kamp mot våld i hemmet: bedömning av kampanjen i halvtid</w:t>
      </w:r>
    </w:p>
    <w:p w:rsidR="00075C4B" w:rsidRPr="00685539" w:rsidRDefault="007A359A" w:rsidP="007A359A">
      <w:pPr>
        <w:tabs>
          <w:tab w:val="left" w:pos="510"/>
        </w:tabs>
      </w:pPr>
      <w:r w:rsidRPr="00685539">
        <w:t>1818</w:t>
      </w:r>
      <w:r w:rsidRPr="00685539">
        <w:tab/>
      </w:r>
      <w:r w:rsidR="00075C4B" w:rsidRPr="00685539">
        <w:t>Europarådets utvecklingsbanks aktiviteter och inriktning</w:t>
      </w:r>
    </w:p>
    <w:p w:rsidR="00075C4B" w:rsidRPr="00685539" w:rsidRDefault="007A359A" w:rsidP="007A359A">
      <w:pPr>
        <w:tabs>
          <w:tab w:val="left" w:pos="510"/>
        </w:tabs>
      </w:pPr>
      <w:r w:rsidRPr="00685539">
        <w:t>1819</w:t>
      </w:r>
      <w:r w:rsidRPr="00685539">
        <w:tab/>
      </w:r>
      <w:r w:rsidR="00075C4B" w:rsidRPr="00685539">
        <w:t>Principer för jämställdhet i den parlamentariska församlingen</w:t>
      </w:r>
    </w:p>
    <w:p w:rsidR="00075C4B" w:rsidRPr="00685539" w:rsidRDefault="007A359A" w:rsidP="007A359A">
      <w:pPr>
        <w:tabs>
          <w:tab w:val="left" w:pos="510"/>
        </w:tabs>
        <w:ind w:left="510" w:hanging="510"/>
      </w:pPr>
      <w:r w:rsidRPr="00685539">
        <w:t>1820</w:t>
      </w:r>
      <w:r w:rsidRPr="00685539">
        <w:tab/>
      </w:r>
      <w:r w:rsidR="00075C4B" w:rsidRPr="00685539">
        <w:t xml:space="preserve">Samarbete mellan församlingen och </w:t>
      </w:r>
      <w:r w:rsidR="002F06C3" w:rsidRPr="00685539">
        <w:t xml:space="preserve">de </w:t>
      </w:r>
      <w:r w:rsidR="00075C4B" w:rsidRPr="00685539">
        <w:t>internationella frivilligorgan</w:t>
      </w:r>
      <w:r w:rsidR="00075C4B" w:rsidRPr="00685539">
        <w:t>i</w:t>
      </w:r>
      <w:r w:rsidR="00075C4B" w:rsidRPr="00685539">
        <w:t>sationernas konferens</w:t>
      </w:r>
    </w:p>
    <w:p w:rsidR="00075C4B" w:rsidRPr="00685539" w:rsidRDefault="007A359A" w:rsidP="007A359A">
      <w:pPr>
        <w:tabs>
          <w:tab w:val="left" w:pos="510"/>
        </w:tabs>
      </w:pPr>
      <w:r w:rsidRPr="00685539">
        <w:t>1821</w:t>
      </w:r>
      <w:r w:rsidRPr="00685539">
        <w:tab/>
      </w:r>
      <w:r w:rsidR="00075C4B" w:rsidRPr="00685539">
        <w:t>Kodex för bra praxis för folkomröstningar</w:t>
      </w:r>
    </w:p>
    <w:p w:rsidR="00420FB8" w:rsidRPr="00685539" w:rsidRDefault="00420FB8" w:rsidP="007A359A">
      <w:pPr>
        <w:tabs>
          <w:tab w:val="left" w:pos="510"/>
        </w:tabs>
        <w:rPr>
          <w:b/>
        </w:rPr>
      </w:pPr>
    </w:p>
    <w:p w:rsidR="00075C4B" w:rsidRPr="00685539" w:rsidRDefault="00075C4B" w:rsidP="007A359A">
      <w:pPr>
        <w:tabs>
          <w:tab w:val="left" w:pos="510"/>
        </w:tabs>
        <w:rPr>
          <w:b/>
        </w:rPr>
      </w:pPr>
      <w:r w:rsidRPr="00685539">
        <w:rPr>
          <w:b/>
        </w:rPr>
        <w:t>Resolutioner</w:t>
      </w:r>
    </w:p>
    <w:p w:rsidR="00075C4B" w:rsidRPr="00685539" w:rsidRDefault="00075C4B" w:rsidP="007A359A">
      <w:pPr>
        <w:tabs>
          <w:tab w:val="left" w:pos="510"/>
        </w:tabs>
        <w:rPr>
          <w:b/>
        </w:rPr>
      </w:pPr>
      <w:r w:rsidRPr="00685539">
        <w:rPr>
          <w:b/>
        </w:rPr>
        <w:t>Nr</w:t>
      </w:r>
    </w:p>
    <w:p w:rsidR="00075C4B" w:rsidRPr="00685539" w:rsidRDefault="007A359A" w:rsidP="007A359A">
      <w:pPr>
        <w:tabs>
          <w:tab w:val="left" w:pos="510"/>
        </w:tabs>
      </w:pPr>
      <w:r w:rsidRPr="00685539">
        <w:t>1530</w:t>
      </w:r>
      <w:r w:rsidRPr="00685539">
        <w:tab/>
      </w:r>
      <w:r w:rsidR="00075C4B" w:rsidRPr="00685539">
        <w:t>Barn som offer: utrotande av all</w:t>
      </w:r>
      <w:r w:rsidR="003B7824" w:rsidRPr="00685539">
        <w:t>t</w:t>
      </w:r>
      <w:r w:rsidR="00075C4B" w:rsidRPr="00685539">
        <w:t xml:space="preserve"> slags våld, utnyttjande och övergrepp</w:t>
      </w:r>
    </w:p>
    <w:p w:rsidR="00075C4B" w:rsidRPr="00685539" w:rsidRDefault="007A359A" w:rsidP="007A359A">
      <w:pPr>
        <w:tabs>
          <w:tab w:val="left" w:pos="510"/>
        </w:tabs>
        <w:ind w:left="510" w:hanging="510"/>
      </w:pPr>
      <w:r w:rsidRPr="00685539">
        <w:t>1531</w:t>
      </w:r>
      <w:r w:rsidRPr="00685539">
        <w:tab/>
      </w:r>
      <w:r w:rsidR="00075C4B" w:rsidRPr="00685539">
        <w:t>Faran med att använda energiförsörjning som ett instrument för politisk påverkan</w:t>
      </w:r>
    </w:p>
    <w:p w:rsidR="00075C4B" w:rsidRPr="00685539" w:rsidRDefault="007A359A" w:rsidP="007A359A">
      <w:pPr>
        <w:tabs>
          <w:tab w:val="left" w:pos="510"/>
        </w:tabs>
      </w:pPr>
      <w:r w:rsidRPr="00685539">
        <w:t>1532</w:t>
      </w:r>
      <w:r w:rsidRPr="00685539">
        <w:tab/>
      </w:r>
      <w:r w:rsidR="00075C4B" w:rsidRPr="00685539">
        <w:t>Armeniens uppfyllande av förpliktelser och åtaganden</w:t>
      </w:r>
    </w:p>
    <w:p w:rsidR="00075C4B" w:rsidRPr="00685539" w:rsidRDefault="007A359A" w:rsidP="007A359A">
      <w:pPr>
        <w:tabs>
          <w:tab w:val="left" w:pos="510"/>
        </w:tabs>
      </w:pPr>
      <w:r w:rsidRPr="00685539">
        <w:t>1533</w:t>
      </w:r>
      <w:r w:rsidRPr="00685539">
        <w:tab/>
      </w:r>
      <w:r w:rsidR="00075C4B" w:rsidRPr="00685539">
        <w:t>Nuvarande situation i Kosovo</w:t>
      </w:r>
    </w:p>
    <w:p w:rsidR="00075C4B" w:rsidRPr="00685539" w:rsidRDefault="007A359A" w:rsidP="007A359A">
      <w:pPr>
        <w:tabs>
          <w:tab w:val="left" w:pos="510"/>
        </w:tabs>
      </w:pPr>
      <w:r w:rsidRPr="00685539">
        <w:t>1534</w:t>
      </w:r>
      <w:r w:rsidRPr="00685539">
        <w:tab/>
      </w:r>
      <w:r w:rsidR="00075C4B" w:rsidRPr="00685539">
        <w:t>Situationen för invandrade arbetstagare i bemanningsföretag</w:t>
      </w:r>
    </w:p>
    <w:p w:rsidR="00075C4B" w:rsidRPr="00685539" w:rsidRDefault="007A359A" w:rsidP="007A359A">
      <w:pPr>
        <w:tabs>
          <w:tab w:val="left" w:pos="510"/>
        </w:tabs>
      </w:pPr>
      <w:r w:rsidRPr="00685539">
        <w:t>1535</w:t>
      </w:r>
      <w:r w:rsidRPr="00685539">
        <w:tab/>
      </w:r>
      <w:r w:rsidR="00075C4B" w:rsidRPr="00685539">
        <w:t>Hot mot liv och yttrandefrihet för journalister</w:t>
      </w:r>
    </w:p>
    <w:p w:rsidR="00075C4B" w:rsidRPr="00685539" w:rsidRDefault="007A359A" w:rsidP="007A359A">
      <w:pPr>
        <w:tabs>
          <w:tab w:val="left" w:pos="510"/>
        </w:tabs>
      </w:pPr>
      <w:r w:rsidRPr="00685539">
        <w:t>1536</w:t>
      </w:r>
      <w:r w:rsidRPr="00685539">
        <w:tab/>
      </w:r>
      <w:r w:rsidR="002F06C3" w:rsidRPr="00685539">
        <w:t>Hiv</w:t>
      </w:r>
      <w:r w:rsidR="00075C4B" w:rsidRPr="00685539">
        <w:t>/</w:t>
      </w:r>
      <w:r w:rsidR="002F06C3" w:rsidRPr="00685539">
        <w:t xml:space="preserve">aids </w:t>
      </w:r>
      <w:r w:rsidR="00075C4B" w:rsidRPr="00685539">
        <w:t>i Europa</w:t>
      </w:r>
    </w:p>
    <w:p w:rsidR="00075C4B" w:rsidRPr="00685539" w:rsidRDefault="007A359A" w:rsidP="007A359A">
      <w:pPr>
        <w:tabs>
          <w:tab w:val="left" w:pos="510"/>
        </w:tabs>
      </w:pPr>
      <w:r w:rsidRPr="00685539">
        <w:t>1537</w:t>
      </w:r>
      <w:r w:rsidRPr="00685539">
        <w:tab/>
      </w:r>
      <w:r w:rsidR="00075C4B" w:rsidRPr="00685539">
        <w:t xml:space="preserve">En framtid för </w:t>
      </w:r>
      <w:r w:rsidR="003B7824" w:rsidRPr="00685539">
        <w:t>hiv/aids</w:t>
      </w:r>
      <w:r w:rsidR="00075C4B" w:rsidRPr="00685539">
        <w:t xml:space="preserve">-barn och </w:t>
      </w:r>
      <w:r w:rsidR="002F06C3" w:rsidRPr="00685539">
        <w:t>aids</w:t>
      </w:r>
      <w:r w:rsidR="00075C4B" w:rsidRPr="00685539">
        <w:t>-föräldralösa</w:t>
      </w:r>
    </w:p>
    <w:p w:rsidR="00075C4B" w:rsidRPr="00685539" w:rsidRDefault="007A359A" w:rsidP="007A359A">
      <w:pPr>
        <w:tabs>
          <w:tab w:val="left" w:pos="510"/>
        </w:tabs>
      </w:pPr>
      <w:r w:rsidRPr="00685539">
        <w:t>1538</w:t>
      </w:r>
      <w:r w:rsidRPr="00685539">
        <w:tab/>
      </w:r>
      <w:r w:rsidR="00075C4B" w:rsidRPr="00685539">
        <w:t>Albaniens uppfyllande av förpliktelser och åtaganden</w:t>
      </w:r>
    </w:p>
    <w:p w:rsidR="00075C4B" w:rsidRPr="00685539" w:rsidRDefault="007A359A" w:rsidP="007A359A">
      <w:pPr>
        <w:tabs>
          <w:tab w:val="left" w:pos="510"/>
        </w:tabs>
      </w:pPr>
      <w:r w:rsidRPr="00685539">
        <w:t>1539</w:t>
      </w:r>
      <w:r w:rsidRPr="00685539">
        <w:tab/>
      </w:r>
      <w:r w:rsidR="00075C4B" w:rsidRPr="00685539">
        <w:t>Amerikas förenta stater och folkrätten</w:t>
      </w:r>
    </w:p>
    <w:p w:rsidR="00075C4B" w:rsidRPr="00685539" w:rsidRDefault="007A359A" w:rsidP="007A359A">
      <w:pPr>
        <w:tabs>
          <w:tab w:val="left" w:pos="510"/>
        </w:tabs>
      </w:pPr>
      <w:r w:rsidRPr="00685539">
        <w:t>1540</w:t>
      </w:r>
      <w:r w:rsidRPr="00685539">
        <w:tab/>
      </w:r>
      <w:r w:rsidR="00075C4B" w:rsidRPr="00685539">
        <w:t xml:space="preserve">Förbättrade urvalsprocedurer för medlemmar av </w:t>
      </w:r>
      <w:r w:rsidR="002F06C3" w:rsidRPr="00685539">
        <w:t>Anti</w:t>
      </w:r>
      <w:r w:rsidR="00075C4B" w:rsidRPr="00685539">
        <w:t>tortyrkommittén</w:t>
      </w:r>
    </w:p>
    <w:p w:rsidR="00075C4B" w:rsidRPr="00685539" w:rsidRDefault="007A359A" w:rsidP="007A359A">
      <w:pPr>
        <w:tabs>
          <w:tab w:val="left" w:pos="510"/>
        </w:tabs>
        <w:ind w:left="510" w:hanging="510"/>
        <w:rPr>
          <w:u w:val="single"/>
        </w:rPr>
      </w:pPr>
      <w:r w:rsidRPr="00685539">
        <w:t>1541</w:t>
      </w:r>
      <w:r w:rsidRPr="00685539">
        <w:tab/>
      </w:r>
      <w:r w:rsidR="00075C4B" w:rsidRPr="00685539">
        <w:t>Rollen för etiskt och solidariskt baserad finansiering och ansvarsfull konsumtion i social sammanhållning</w:t>
      </w:r>
    </w:p>
    <w:p w:rsidR="00075C4B" w:rsidRPr="00685539" w:rsidRDefault="007A359A" w:rsidP="007A359A">
      <w:pPr>
        <w:tabs>
          <w:tab w:val="left" w:pos="510"/>
        </w:tabs>
      </w:pPr>
      <w:r w:rsidRPr="00685539">
        <w:t>1542</w:t>
      </w:r>
      <w:r w:rsidRPr="00685539">
        <w:tab/>
      </w:r>
      <w:r w:rsidR="00075C4B" w:rsidRPr="00685539">
        <w:t>El-avfall och miljön</w:t>
      </w:r>
    </w:p>
    <w:p w:rsidR="00075C4B" w:rsidRPr="00685539" w:rsidRDefault="007A359A" w:rsidP="007A359A">
      <w:pPr>
        <w:tabs>
          <w:tab w:val="left" w:pos="510"/>
        </w:tabs>
      </w:pPr>
      <w:r w:rsidRPr="00685539">
        <w:t>1543</w:t>
      </w:r>
      <w:r w:rsidRPr="00685539">
        <w:tab/>
      </w:r>
      <w:r w:rsidR="00075C4B" w:rsidRPr="00685539">
        <w:t>Hantering av kommunalt sopavfall i Europa</w:t>
      </w:r>
    </w:p>
    <w:p w:rsidR="00075C4B" w:rsidRPr="00685539" w:rsidRDefault="007A359A" w:rsidP="007A359A">
      <w:pPr>
        <w:tabs>
          <w:tab w:val="left" w:pos="510"/>
        </w:tabs>
      </w:pPr>
      <w:r w:rsidRPr="00685539">
        <w:t>1544</w:t>
      </w:r>
      <w:r w:rsidRPr="00685539">
        <w:tab/>
      </w:r>
      <w:r w:rsidR="00075C4B" w:rsidRPr="00685539">
        <w:t xml:space="preserve">Situationen för kvinnor i </w:t>
      </w:r>
      <w:r w:rsidR="002F06C3" w:rsidRPr="00685539">
        <w:t xml:space="preserve">södra </w:t>
      </w:r>
      <w:r w:rsidR="00075C4B" w:rsidRPr="00685539">
        <w:t>Kaukasus</w:t>
      </w:r>
    </w:p>
    <w:p w:rsidR="00075C4B" w:rsidRPr="00685539" w:rsidRDefault="007A359A" w:rsidP="007A359A">
      <w:pPr>
        <w:tabs>
          <w:tab w:val="left" w:pos="510"/>
        </w:tabs>
      </w:pPr>
      <w:r w:rsidRPr="00685539">
        <w:t>1545</w:t>
      </w:r>
      <w:r w:rsidRPr="00685539">
        <w:tab/>
      </w:r>
      <w:r w:rsidR="00075C4B" w:rsidRPr="00685539">
        <w:t>Azerbajdzjans uppfyllande av förpliktelser och åtaganden</w:t>
      </w:r>
    </w:p>
    <w:p w:rsidR="00075C4B" w:rsidRPr="00685539" w:rsidRDefault="007A359A" w:rsidP="007A359A">
      <w:pPr>
        <w:tabs>
          <w:tab w:val="left" w:pos="510"/>
        </w:tabs>
      </w:pPr>
      <w:r w:rsidRPr="00685539">
        <w:t>1546</w:t>
      </w:r>
      <w:r w:rsidRPr="00685539">
        <w:tab/>
      </w:r>
      <w:r w:rsidR="00075C4B" w:rsidRPr="00685539">
        <w:t>Kodex för bra uppförande för politiska partier</w:t>
      </w:r>
    </w:p>
    <w:p w:rsidR="00075C4B" w:rsidRPr="00685539" w:rsidRDefault="007A359A" w:rsidP="007A359A">
      <w:pPr>
        <w:tabs>
          <w:tab w:val="left" w:pos="510"/>
        </w:tabs>
      </w:pPr>
      <w:r w:rsidRPr="00685539">
        <w:t>1547</w:t>
      </w:r>
      <w:r w:rsidRPr="00685539">
        <w:tab/>
      </w:r>
      <w:r w:rsidR="00075C4B" w:rsidRPr="00685539">
        <w:t>Situationen när det gäller mänskliga rättigheter och demokrati i Europa</w:t>
      </w:r>
    </w:p>
    <w:p w:rsidR="00075C4B" w:rsidRPr="00685539" w:rsidRDefault="007A359A" w:rsidP="007A359A">
      <w:pPr>
        <w:tabs>
          <w:tab w:val="left" w:pos="510"/>
        </w:tabs>
      </w:pPr>
      <w:r w:rsidRPr="00685539">
        <w:t>1548</w:t>
      </w:r>
      <w:r w:rsidRPr="00685539">
        <w:tab/>
      </w:r>
      <w:r w:rsidR="00075C4B" w:rsidRPr="00685539">
        <w:t>Framstegen för Församlingens övervakningsprocedur</w:t>
      </w:r>
    </w:p>
    <w:p w:rsidR="00075C4B" w:rsidRPr="00685539" w:rsidRDefault="007A359A" w:rsidP="007A359A">
      <w:pPr>
        <w:tabs>
          <w:tab w:val="left" w:pos="510"/>
        </w:tabs>
      </w:pPr>
      <w:r w:rsidRPr="00685539">
        <w:t>1549</w:t>
      </w:r>
      <w:r w:rsidRPr="00685539">
        <w:tab/>
      </w:r>
      <w:r w:rsidR="00075C4B" w:rsidRPr="00685539">
        <w:t>Funktionen av demokratiska institutioner i Ukraina</w:t>
      </w:r>
    </w:p>
    <w:p w:rsidR="00075C4B" w:rsidRPr="00685539" w:rsidRDefault="007A359A" w:rsidP="007A359A">
      <w:pPr>
        <w:tabs>
          <w:tab w:val="left" w:pos="510"/>
        </w:tabs>
      </w:pPr>
      <w:r w:rsidRPr="00685539">
        <w:t>1550</w:t>
      </w:r>
      <w:r w:rsidRPr="00685539">
        <w:tab/>
      </w:r>
      <w:r w:rsidR="00075C4B" w:rsidRPr="00685539">
        <w:t>Situationen i Mellanöstern</w:t>
      </w:r>
    </w:p>
    <w:p w:rsidR="00075C4B" w:rsidRPr="00685539" w:rsidRDefault="007A359A" w:rsidP="007A359A">
      <w:pPr>
        <w:tabs>
          <w:tab w:val="left" w:pos="510"/>
        </w:tabs>
        <w:ind w:left="510" w:hanging="510"/>
        <w:rPr>
          <w:spacing w:val="-2"/>
        </w:rPr>
      </w:pPr>
      <w:r w:rsidRPr="00685539">
        <w:t>1551</w:t>
      </w:r>
      <w:r w:rsidRPr="00685539">
        <w:tab/>
      </w:r>
      <w:r w:rsidR="00075C4B" w:rsidRPr="00685539">
        <w:rPr>
          <w:spacing w:val="-3"/>
        </w:rPr>
        <w:t>Rättvisa rättegångar gällande spioneri eller avslöjande av statshemligh</w:t>
      </w:r>
      <w:r w:rsidR="00075C4B" w:rsidRPr="00685539">
        <w:rPr>
          <w:spacing w:val="-3"/>
        </w:rPr>
        <w:t>e</w:t>
      </w:r>
      <w:r w:rsidR="00075C4B" w:rsidRPr="00685539">
        <w:rPr>
          <w:spacing w:val="-3"/>
        </w:rPr>
        <w:t>ter</w:t>
      </w:r>
    </w:p>
    <w:p w:rsidR="00075C4B" w:rsidRPr="00685539" w:rsidRDefault="007A359A" w:rsidP="007A359A">
      <w:pPr>
        <w:tabs>
          <w:tab w:val="left" w:pos="510"/>
        </w:tabs>
        <w:ind w:left="510" w:hanging="510"/>
      </w:pPr>
      <w:r w:rsidRPr="00685539">
        <w:t>1552</w:t>
      </w:r>
      <w:r w:rsidRPr="00685539">
        <w:tab/>
      </w:r>
      <w:r w:rsidR="00075C4B" w:rsidRPr="00685539">
        <w:t>Tillvaratagande av koldioxid som ett medel i kampen mot klimatfö</w:t>
      </w:r>
      <w:r w:rsidR="00075C4B" w:rsidRPr="00685539">
        <w:t>r</w:t>
      </w:r>
      <w:r w:rsidR="00075C4B" w:rsidRPr="00685539">
        <w:t>ändring</w:t>
      </w:r>
    </w:p>
    <w:p w:rsidR="00075C4B" w:rsidRPr="00685539" w:rsidRDefault="007A359A" w:rsidP="007A359A">
      <w:pPr>
        <w:tabs>
          <w:tab w:val="left" w:pos="510"/>
        </w:tabs>
        <w:ind w:left="510" w:hanging="510"/>
      </w:pPr>
      <w:r w:rsidRPr="00685539">
        <w:t>1553</w:t>
      </w:r>
      <w:r w:rsidRPr="00685539">
        <w:tab/>
      </w:r>
      <w:r w:rsidR="00075C4B" w:rsidRPr="00685539">
        <w:t>Saknade personer i Armenien, Azerbajdzjan och Georgien efter de re</w:t>
      </w:r>
      <w:r w:rsidR="004E79E3" w:rsidRPr="00685539">
        <w:softHyphen/>
      </w:r>
      <w:r w:rsidR="00075C4B" w:rsidRPr="00685539">
        <w:t>gi</w:t>
      </w:r>
      <w:r w:rsidR="004E79E3" w:rsidRPr="00685539">
        <w:softHyphen/>
      </w:r>
      <w:r w:rsidR="00075C4B" w:rsidRPr="00685539">
        <w:t xml:space="preserve">onala konflikterna i Nagorno-Karabach, Abchazien och </w:t>
      </w:r>
      <w:r w:rsidR="00075C4B" w:rsidRPr="00685539">
        <w:rPr>
          <w:bCs/>
        </w:rPr>
        <w:t>Sydosset</w:t>
      </w:r>
      <w:r w:rsidR="00075C4B" w:rsidRPr="00685539">
        <w:rPr>
          <w:bCs/>
        </w:rPr>
        <w:t>i</w:t>
      </w:r>
      <w:r w:rsidR="00075C4B" w:rsidRPr="00685539">
        <w:rPr>
          <w:bCs/>
        </w:rPr>
        <w:t>en</w:t>
      </w:r>
    </w:p>
    <w:p w:rsidR="00075C4B" w:rsidRPr="00685539" w:rsidRDefault="007A359A" w:rsidP="007A359A">
      <w:pPr>
        <w:tabs>
          <w:tab w:val="left" w:pos="510"/>
        </w:tabs>
      </w:pPr>
      <w:r w:rsidRPr="00685539">
        <w:t>1554</w:t>
      </w:r>
      <w:r w:rsidRPr="00685539">
        <w:tab/>
      </w:r>
      <w:r w:rsidR="00075C4B" w:rsidRPr="00685539">
        <w:t>Intressekonflikt</w:t>
      </w:r>
    </w:p>
    <w:p w:rsidR="00075C4B" w:rsidRPr="00685539" w:rsidRDefault="007A359A" w:rsidP="007A359A">
      <w:pPr>
        <w:tabs>
          <w:tab w:val="left" w:pos="510"/>
        </w:tabs>
        <w:ind w:left="510" w:hanging="510"/>
      </w:pPr>
      <w:r w:rsidRPr="00685539">
        <w:t>1555</w:t>
      </w:r>
      <w:r w:rsidRPr="00685539">
        <w:tab/>
      </w:r>
      <w:r w:rsidR="00075C4B" w:rsidRPr="00685539">
        <w:t>Situationen för invånarna i de brittiskstyrda basområdena Akrotiri and Dhekelia</w:t>
      </w:r>
    </w:p>
    <w:p w:rsidR="00075C4B" w:rsidRPr="00685539" w:rsidRDefault="007A359A" w:rsidP="007A359A">
      <w:pPr>
        <w:tabs>
          <w:tab w:val="left" w:pos="510"/>
        </w:tabs>
      </w:pPr>
      <w:r w:rsidRPr="00685539">
        <w:t>1556</w:t>
      </w:r>
      <w:r w:rsidRPr="00685539">
        <w:tab/>
      </w:r>
      <w:r w:rsidR="00075C4B" w:rsidRPr="00685539">
        <w:t>Euro-Medelhavsområdets jordbruks- och landsbygdspolitik</w:t>
      </w:r>
    </w:p>
    <w:p w:rsidR="00075C4B" w:rsidRPr="00685539" w:rsidRDefault="007A359A" w:rsidP="007A359A">
      <w:pPr>
        <w:tabs>
          <w:tab w:val="left" w:pos="510"/>
        </w:tabs>
      </w:pPr>
      <w:r w:rsidRPr="00685539">
        <w:t>1557</w:t>
      </w:r>
      <w:r w:rsidRPr="00685539">
        <w:tab/>
      </w:r>
      <w:r w:rsidR="00075C4B" w:rsidRPr="00685539">
        <w:t>Synen på kvinnor i reklam</w:t>
      </w:r>
    </w:p>
    <w:p w:rsidR="00075C4B" w:rsidRPr="00685539" w:rsidRDefault="007A359A" w:rsidP="007A359A">
      <w:pPr>
        <w:tabs>
          <w:tab w:val="left" w:pos="510"/>
        </w:tabs>
      </w:pPr>
      <w:r w:rsidRPr="00685539">
        <w:t>1558</w:t>
      </w:r>
      <w:r w:rsidRPr="00685539">
        <w:tab/>
      </w:r>
      <w:r w:rsidR="00075C4B" w:rsidRPr="00685539">
        <w:t>Feminiseringen av fattigdom</w:t>
      </w:r>
    </w:p>
    <w:p w:rsidR="00075C4B" w:rsidRPr="00685539" w:rsidRDefault="007A359A" w:rsidP="007A359A">
      <w:pPr>
        <w:tabs>
          <w:tab w:val="left" w:pos="510"/>
        </w:tabs>
        <w:ind w:left="510" w:hanging="510"/>
        <w:rPr>
          <w:spacing w:val="-2"/>
        </w:rPr>
      </w:pPr>
      <w:r w:rsidRPr="00685539">
        <w:rPr>
          <w:spacing w:val="-2"/>
        </w:rPr>
        <w:t>1559</w:t>
      </w:r>
      <w:r w:rsidRPr="00685539">
        <w:rPr>
          <w:spacing w:val="-2"/>
        </w:rPr>
        <w:tab/>
      </w:r>
      <w:r w:rsidR="00075C4B" w:rsidRPr="00685539">
        <w:t>Europas</w:t>
      </w:r>
      <w:r w:rsidR="00075C4B" w:rsidRPr="00685539">
        <w:rPr>
          <w:spacing w:val="-2"/>
        </w:rPr>
        <w:t xml:space="preserve"> sociala dimension: full tillämpning av den reviderade </w:t>
      </w:r>
      <w:r w:rsidR="004E79E3" w:rsidRPr="00685539">
        <w:rPr>
          <w:spacing w:val="-2"/>
        </w:rPr>
        <w:t>europé</w:t>
      </w:r>
      <w:r w:rsidR="004E79E3" w:rsidRPr="00685539">
        <w:rPr>
          <w:spacing w:val="-2"/>
        </w:rPr>
        <w:softHyphen/>
      </w:r>
      <w:r w:rsidR="000E7BC0" w:rsidRPr="00685539">
        <w:rPr>
          <w:spacing w:val="-2"/>
        </w:rPr>
        <w:t xml:space="preserve">iska </w:t>
      </w:r>
      <w:r w:rsidR="00075C4B" w:rsidRPr="00685539">
        <w:rPr>
          <w:spacing w:val="-2"/>
        </w:rPr>
        <w:t>sociala stadgan och utvärdering av nya arbetsförordningar och m</w:t>
      </w:r>
      <w:r w:rsidR="00075C4B" w:rsidRPr="00685539">
        <w:rPr>
          <w:spacing w:val="-2"/>
        </w:rPr>
        <w:t>i</w:t>
      </w:r>
      <w:r w:rsidR="00075C4B" w:rsidRPr="00685539">
        <w:rPr>
          <w:spacing w:val="-2"/>
        </w:rPr>
        <w:t>nimil</w:t>
      </w:r>
      <w:r w:rsidR="00075C4B" w:rsidRPr="00685539">
        <w:rPr>
          <w:spacing w:val="-2"/>
        </w:rPr>
        <w:t>ö</w:t>
      </w:r>
      <w:r w:rsidR="00075C4B" w:rsidRPr="00685539">
        <w:rPr>
          <w:spacing w:val="-2"/>
        </w:rPr>
        <w:t>ner</w:t>
      </w:r>
    </w:p>
    <w:p w:rsidR="00075C4B" w:rsidRPr="00685539" w:rsidRDefault="007A359A" w:rsidP="007A359A">
      <w:pPr>
        <w:tabs>
          <w:tab w:val="left" w:pos="510"/>
        </w:tabs>
        <w:ind w:left="510" w:hanging="510"/>
      </w:pPr>
      <w:r w:rsidRPr="00685539">
        <w:t>1560</w:t>
      </w:r>
      <w:r w:rsidRPr="00685539">
        <w:tab/>
      </w:r>
      <w:r w:rsidR="00075C4B" w:rsidRPr="00685539">
        <w:t>Europarådets medlemsstaters främjande av ett internationellt morator</w:t>
      </w:r>
      <w:r w:rsidR="00075C4B" w:rsidRPr="00685539">
        <w:t>i</w:t>
      </w:r>
      <w:r w:rsidR="00075C4B" w:rsidRPr="00685539">
        <w:t>um för dödsstraffet</w:t>
      </w:r>
    </w:p>
    <w:p w:rsidR="00075C4B" w:rsidRPr="00685539" w:rsidRDefault="007A359A" w:rsidP="007A359A">
      <w:pPr>
        <w:tabs>
          <w:tab w:val="left" w:pos="510"/>
        </w:tabs>
        <w:ind w:left="510" w:hanging="510"/>
      </w:pPr>
      <w:r w:rsidRPr="00685539">
        <w:t>1561</w:t>
      </w:r>
      <w:r w:rsidRPr="00685539">
        <w:tab/>
      </w:r>
      <w:r w:rsidR="00075C4B" w:rsidRPr="00685539">
        <w:t>Europeiska banken för återuppbyggnad och utveckling (EBRD): fokus på östra och sydöstra Europa</w:t>
      </w:r>
    </w:p>
    <w:p w:rsidR="00075C4B" w:rsidRPr="00685539" w:rsidRDefault="007A359A" w:rsidP="007A359A">
      <w:pPr>
        <w:tabs>
          <w:tab w:val="left" w:pos="510"/>
        </w:tabs>
        <w:ind w:left="510" w:hanging="510"/>
      </w:pPr>
      <w:r w:rsidRPr="00685539">
        <w:t>1562</w:t>
      </w:r>
      <w:r w:rsidRPr="00685539">
        <w:tab/>
      </w:r>
      <w:r w:rsidR="00075C4B" w:rsidRPr="00685539">
        <w:t>Hemlig förvaring och olagliga transporter av fångar där Europarådets medlemsstater är involverade: andra rapporten</w:t>
      </w:r>
    </w:p>
    <w:p w:rsidR="00075C4B" w:rsidRPr="00685539" w:rsidRDefault="007A359A" w:rsidP="007A359A">
      <w:pPr>
        <w:tabs>
          <w:tab w:val="left" w:pos="510"/>
        </w:tabs>
      </w:pPr>
      <w:r w:rsidRPr="00685539">
        <w:t>1563</w:t>
      </w:r>
      <w:r w:rsidRPr="00685539">
        <w:tab/>
      </w:r>
      <w:r w:rsidR="00075C4B" w:rsidRPr="00685539">
        <w:t>Kampen mot antisemitism i Europa</w:t>
      </w:r>
    </w:p>
    <w:p w:rsidR="00075C4B" w:rsidRPr="00685539" w:rsidRDefault="007A359A" w:rsidP="007A359A">
      <w:pPr>
        <w:tabs>
          <w:tab w:val="left" w:pos="510"/>
        </w:tabs>
        <w:ind w:left="510" w:hanging="510"/>
      </w:pPr>
      <w:r w:rsidRPr="00685539">
        <w:t>1564</w:t>
      </w:r>
      <w:r w:rsidRPr="00685539">
        <w:tab/>
      </w:r>
      <w:r w:rsidR="00075C4B" w:rsidRPr="00685539">
        <w:t xml:space="preserve">Åtal för brott inom jurisdiktionen för </w:t>
      </w:r>
      <w:r w:rsidR="00075C4B" w:rsidRPr="00685539">
        <w:rPr>
          <w:color w:val="000000"/>
        </w:rPr>
        <w:t>Internationella krigsförbrytar</w:t>
      </w:r>
      <w:r w:rsidR="004E79E3" w:rsidRPr="00685539">
        <w:rPr>
          <w:color w:val="000000"/>
        </w:rPr>
        <w:softHyphen/>
      </w:r>
      <w:r w:rsidR="00075C4B" w:rsidRPr="00685539">
        <w:rPr>
          <w:color w:val="000000"/>
        </w:rPr>
        <w:t>tr</w:t>
      </w:r>
      <w:r w:rsidR="00075C4B" w:rsidRPr="00685539">
        <w:rPr>
          <w:color w:val="000000"/>
        </w:rPr>
        <w:t>i</w:t>
      </w:r>
      <w:r w:rsidR="00075C4B" w:rsidRPr="00685539">
        <w:rPr>
          <w:color w:val="000000"/>
        </w:rPr>
        <w:t>bunalen för det forna Jugoslavien</w:t>
      </w:r>
      <w:r w:rsidR="00075C4B" w:rsidRPr="00685539">
        <w:t xml:space="preserve"> (ICTY)</w:t>
      </w:r>
    </w:p>
    <w:p w:rsidR="00075C4B" w:rsidRPr="00685539" w:rsidRDefault="007A359A" w:rsidP="007A359A">
      <w:pPr>
        <w:tabs>
          <w:tab w:val="left" w:pos="510"/>
        </w:tabs>
        <w:ind w:left="510" w:hanging="510"/>
      </w:pPr>
      <w:r w:rsidRPr="00685539">
        <w:t>1565</w:t>
      </w:r>
      <w:r w:rsidRPr="00685539">
        <w:tab/>
      </w:r>
      <w:r w:rsidR="00075C4B" w:rsidRPr="00685539">
        <w:t>Hur cyberbrott mot statliga institutioner i medlemsstater och observ</w:t>
      </w:r>
      <w:r w:rsidR="00075C4B" w:rsidRPr="00685539">
        <w:t>a</w:t>
      </w:r>
      <w:r w:rsidR="00075C4B" w:rsidRPr="00685539">
        <w:t>törsstater ska förhindras</w:t>
      </w:r>
    </w:p>
    <w:p w:rsidR="00075C4B" w:rsidRPr="00685539" w:rsidRDefault="007A359A" w:rsidP="007A359A">
      <w:pPr>
        <w:tabs>
          <w:tab w:val="left" w:pos="510"/>
        </w:tabs>
      </w:pPr>
      <w:r w:rsidRPr="00685539">
        <w:t>1566</w:t>
      </w:r>
      <w:r w:rsidRPr="00685539">
        <w:tab/>
      </w:r>
      <w:r w:rsidR="00075C4B" w:rsidRPr="00685539">
        <w:t>Monacos uppfyllande av förpliktelser och åtaganden</w:t>
      </w:r>
    </w:p>
    <w:p w:rsidR="00075C4B" w:rsidRPr="00685539" w:rsidRDefault="007A359A" w:rsidP="007A359A">
      <w:pPr>
        <w:tabs>
          <w:tab w:val="left" w:pos="510"/>
        </w:tabs>
      </w:pPr>
      <w:r w:rsidRPr="00685539">
        <w:t>1567</w:t>
      </w:r>
      <w:r w:rsidRPr="00685539">
        <w:tab/>
      </w:r>
      <w:r w:rsidR="00075C4B" w:rsidRPr="00685539">
        <w:t xml:space="preserve">Irans kärnkraftsprogram: behov av en internationell reaktion </w:t>
      </w:r>
    </w:p>
    <w:p w:rsidR="00075C4B" w:rsidRPr="00685539" w:rsidRDefault="007A359A" w:rsidP="007A359A">
      <w:pPr>
        <w:tabs>
          <w:tab w:val="left" w:pos="510"/>
        </w:tabs>
      </w:pPr>
      <w:r w:rsidRPr="00685539">
        <w:t>1568</w:t>
      </w:r>
      <w:r w:rsidRPr="00685539">
        <w:tab/>
      </w:r>
      <w:r w:rsidR="00075C4B" w:rsidRPr="00685539">
        <w:t>Regulariseringsprogram för illegala invandrare</w:t>
      </w:r>
    </w:p>
    <w:p w:rsidR="00075C4B" w:rsidRPr="00685539" w:rsidRDefault="007A359A" w:rsidP="007A359A">
      <w:pPr>
        <w:tabs>
          <w:tab w:val="left" w:pos="510"/>
        </w:tabs>
        <w:ind w:left="510" w:hanging="510"/>
      </w:pPr>
      <w:r w:rsidRPr="00685539">
        <w:t>1569</w:t>
      </w:r>
      <w:r w:rsidRPr="00685539">
        <w:tab/>
      </w:r>
      <w:r w:rsidR="00075C4B" w:rsidRPr="00685539">
        <w:t>Bedömning av transit- och handläggningscentrum som ett svar på bla</w:t>
      </w:r>
      <w:r w:rsidR="00075C4B" w:rsidRPr="00685539">
        <w:t>n</w:t>
      </w:r>
      <w:r w:rsidR="00075C4B" w:rsidRPr="00685539">
        <w:t>dade strömmar av invandrare och asylsökande</w:t>
      </w:r>
    </w:p>
    <w:p w:rsidR="00075C4B" w:rsidRPr="00685539" w:rsidRDefault="007A359A" w:rsidP="007A359A">
      <w:pPr>
        <w:tabs>
          <w:tab w:val="left" w:pos="510"/>
        </w:tabs>
      </w:pPr>
      <w:r w:rsidRPr="00685539">
        <w:t>1570</w:t>
      </w:r>
      <w:r w:rsidRPr="00685539">
        <w:tab/>
      </w:r>
      <w:r w:rsidR="00075C4B" w:rsidRPr="00685539">
        <w:t>Den humanitära krisen i Darfur</w:t>
      </w:r>
    </w:p>
    <w:p w:rsidR="00075C4B" w:rsidRPr="00685539" w:rsidRDefault="007A359A" w:rsidP="007A359A">
      <w:pPr>
        <w:tabs>
          <w:tab w:val="left" w:pos="510"/>
        </w:tabs>
      </w:pPr>
      <w:r w:rsidRPr="00685539">
        <w:t>1571</w:t>
      </w:r>
      <w:r w:rsidRPr="00685539">
        <w:tab/>
      </w:r>
      <w:r w:rsidR="00075C4B" w:rsidRPr="00685539">
        <w:t>Medlemsstaternas skyldighet att samarbeta med Europadomstolen</w:t>
      </w:r>
    </w:p>
    <w:p w:rsidR="00075C4B" w:rsidRPr="00685539" w:rsidRDefault="007A359A" w:rsidP="007A359A">
      <w:pPr>
        <w:tabs>
          <w:tab w:val="left" w:pos="510"/>
        </w:tabs>
      </w:pPr>
      <w:r w:rsidRPr="00685539">
        <w:t>1572</w:t>
      </w:r>
      <w:r w:rsidRPr="00685539">
        <w:tab/>
      </w:r>
      <w:r w:rsidR="00075C4B" w:rsidRPr="00685539">
        <w:t>Moldaviens uppfyllande av förpliktelser och åtaganden</w:t>
      </w:r>
    </w:p>
    <w:p w:rsidR="00075C4B" w:rsidRPr="00685539" w:rsidRDefault="007A359A" w:rsidP="007A359A">
      <w:pPr>
        <w:tabs>
          <w:tab w:val="left" w:pos="510"/>
        </w:tabs>
        <w:ind w:left="510" w:hanging="510"/>
      </w:pPr>
      <w:r w:rsidRPr="00685539">
        <w:t>1573</w:t>
      </w:r>
      <w:r w:rsidRPr="00685539">
        <w:tab/>
      </w:r>
      <w:r w:rsidR="00075C4B" w:rsidRPr="00685539">
        <w:t>Förverkliga både ekonomisk tillväxt och socialt skydd i Europa i en globaliserad era</w:t>
      </w:r>
    </w:p>
    <w:p w:rsidR="00075C4B" w:rsidRPr="00685539" w:rsidRDefault="00075C4B" w:rsidP="007A359A">
      <w:pPr>
        <w:tabs>
          <w:tab w:val="left" w:pos="510"/>
        </w:tabs>
      </w:pPr>
      <w:r w:rsidRPr="00685539">
        <w:t>1574</w:t>
      </w:r>
      <w:r w:rsidR="007A359A" w:rsidRPr="00685539">
        <w:tab/>
      </w:r>
      <w:r w:rsidRPr="00685539">
        <w:t>OECD och världsekonomin 2007</w:t>
      </w:r>
    </w:p>
    <w:p w:rsidR="00075C4B" w:rsidRPr="00685539" w:rsidRDefault="007A359A" w:rsidP="007A359A">
      <w:pPr>
        <w:tabs>
          <w:tab w:val="left" w:pos="510"/>
        </w:tabs>
      </w:pPr>
      <w:r w:rsidRPr="00685539">
        <w:t>1575</w:t>
      </w:r>
      <w:r w:rsidRPr="00685539">
        <w:tab/>
      </w:r>
      <w:r w:rsidR="00075C4B" w:rsidRPr="00685539">
        <w:t>Politiska dimensionen av Europarådets budget</w:t>
      </w:r>
    </w:p>
    <w:p w:rsidR="00075C4B" w:rsidRPr="00685539" w:rsidRDefault="00075C4B" w:rsidP="007A359A">
      <w:pPr>
        <w:tabs>
          <w:tab w:val="left" w:pos="510"/>
        </w:tabs>
        <w:ind w:left="510" w:hanging="510"/>
      </w:pPr>
      <w:r w:rsidRPr="00685539">
        <w:t>1576</w:t>
      </w:r>
      <w:r w:rsidR="007A359A" w:rsidRPr="00685539">
        <w:tab/>
      </w:r>
      <w:r w:rsidRPr="00685539">
        <w:t>För en europeisk konvention om att verka för en allmän hälsopolitik avseende drogkontroll</w:t>
      </w:r>
    </w:p>
    <w:p w:rsidR="00075C4B" w:rsidRPr="00685539" w:rsidRDefault="007A359A" w:rsidP="007A359A">
      <w:pPr>
        <w:tabs>
          <w:tab w:val="left" w:pos="510"/>
        </w:tabs>
        <w:ind w:left="510" w:hanging="510"/>
      </w:pPr>
      <w:r w:rsidRPr="00685539">
        <w:t>1577</w:t>
      </w:r>
      <w:r w:rsidRPr="00685539">
        <w:tab/>
      </w:r>
      <w:r w:rsidR="00075C4B" w:rsidRPr="00685539">
        <w:t>Mot avkriminalisering av ärekränkning</w:t>
      </w:r>
    </w:p>
    <w:p w:rsidR="00075C4B" w:rsidRPr="00685539" w:rsidRDefault="007A359A" w:rsidP="007A359A">
      <w:pPr>
        <w:tabs>
          <w:tab w:val="left" w:pos="510"/>
        </w:tabs>
        <w:ind w:left="510" w:hanging="510"/>
      </w:pPr>
      <w:r w:rsidRPr="00685539">
        <w:t>1578</w:t>
      </w:r>
      <w:r w:rsidRPr="00685539">
        <w:tab/>
      </w:r>
      <w:r w:rsidR="00075C4B" w:rsidRPr="00685539">
        <w:t>Konceptet förebyggande krig och dess konsekvenser för internationella relationer</w:t>
      </w:r>
    </w:p>
    <w:p w:rsidR="00075C4B" w:rsidRPr="00685539" w:rsidRDefault="007A359A" w:rsidP="007A359A">
      <w:pPr>
        <w:tabs>
          <w:tab w:val="left" w:pos="510"/>
        </w:tabs>
      </w:pPr>
      <w:r w:rsidRPr="00685539">
        <w:t>1579</w:t>
      </w:r>
      <w:r w:rsidRPr="00685539">
        <w:tab/>
      </w:r>
      <w:r w:rsidR="00075C4B" w:rsidRPr="00685539">
        <w:t>Prostitution – vilken inställning ska tas?</w:t>
      </w:r>
    </w:p>
    <w:p w:rsidR="00075C4B" w:rsidRPr="00685539" w:rsidRDefault="007A359A" w:rsidP="007A359A">
      <w:pPr>
        <w:tabs>
          <w:tab w:val="left" w:pos="510"/>
        </w:tabs>
      </w:pPr>
      <w:r w:rsidRPr="00685539">
        <w:t>1580</w:t>
      </w:r>
      <w:r w:rsidRPr="00685539">
        <w:tab/>
      </w:r>
      <w:r w:rsidR="00075C4B" w:rsidRPr="00685539">
        <w:t>Farorna med skapelseberättelsen i utbildning</w:t>
      </w:r>
    </w:p>
    <w:p w:rsidR="00075C4B" w:rsidRPr="00685539" w:rsidRDefault="007A359A" w:rsidP="007A359A">
      <w:pPr>
        <w:tabs>
          <w:tab w:val="left" w:pos="510"/>
        </w:tabs>
        <w:ind w:left="510" w:hanging="510"/>
        <w:rPr>
          <w:u w:val="single"/>
        </w:rPr>
      </w:pPr>
      <w:r w:rsidRPr="00685539">
        <w:t>1581</w:t>
      </w:r>
      <w:r w:rsidRPr="00685539">
        <w:tab/>
      </w:r>
      <w:r w:rsidR="00075C4B" w:rsidRPr="00685539">
        <w:t>Europarådets kommissionär för mänskliga rättigheter – överblick och perspektiv</w:t>
      </w:r>
    </w:p>
    <w:p w:rsidR="00075C4B" w:rsidRPr="00685539" w:rsidRDefault="007A359A" w:rsidP="007A359A">
      <w:pPr>
        <w:tabs>
          <w:tab w:val="left" w:pos="510"/>
        </w:tabs>
        <w:ind w:left="510" w:hanging="510"/>
      </w:pPr>
      <w:r w:rsidRPr="00685539">
        <w:t>1582</w:t>
      </w:r>
      <w:r w:rsidRPr="00685539">
        <w:tab/>
      </w:r>
      <w:r w:rsidR="00075C4B" w:rsidRPr="00685539">
        <w:t>Parlamentens gemensamma kamp mot våld i hemmet: bedömning av kampanjen i halvtid</w:t>
      </w:r>
    </w:p>
    <w:p w:rsidR="00075C4B" w:rsidRPr="00685539" w:rsidRDefault="007A359A" w:rsidP="007A359A">
      <w:pPr>
        <w:tabs>
          <w:tab w:val="left" w:pos="510"/>
        </w:tabs>
        <w:ind w:left="510" w:hanging="510"/>
      </w:pPr>
      <w:r w:rsidRPr="00685539">
        <w:t>1583</w:t>
      </w:r>
      <w:r w:rsidRPr="00685539">
        <w:tab/>
      </w:r>
      <w:r w:rsidR="00075C4B" w:rsidRPr="00685539">
        <w:t>Förbättring av medlemmarnas deltagande i församlingens plenarmöten och utskottsmöten</w:t>
      </w:r>
    </w:p>
    <w:p w:rsidR="00075C4B" w:rsidRPr="00685539" w:rsidRDefault="007A359A" w:rsidP="007A359A">
      <w:pPr>
        <w:tabs>
          <w:tab w:val="left" w:pos="510"/>
        </w:tabs>
        <w:ind w:left="510" w:hanging="510"/>
      </w:pPr>
      <w:r w:rsidRPr="00685539">
        <w:t>1584</w:t>
      </w:r>
      <w:r w:rsidRPr="00685539">
        <w:tab/>
      </w:r>
      <w:r w:rsidR="00075C4B" w:rsidRPr="00685539">
        <w:t>Tillämpning och tillägg av olika bestämmelser i församlingens arbet</w:t>
      </w:r>
      <w:r w:rsidR="00075C4B" w:rsidRPr="00685539">
        <w:t>s</w:t>
      </w:r>
      <w:r w:rsidR="00075C4B" w:rsidRPr="00685539">
        <w:t>regler</w:t>
      </w:r>
    </w:p>
    <w:p w:rsidR="00075C4B" w:rsidRPr="00685539" w:rsidRDefault="007A359A" w:rsidP="007A359A">
      <w:pPr>
        <w:tabs>
          <w:tab w:val="left" w:pos="510"/>
        </w:tabs>
      </w:pPr>
      <w:r w:rsidRPr="00685539">
        <w:t>1585</w:t>
      </w:r>
      <w:r w:rsidRPr="00685539">
        <w:tab/>
      </w:r>
      <w:r w:rsidR="00075C4B" w:rsidRPr="00685539">
        <w:t>Principer för jämställdhet i den parlamentariska församlingen</w:t>
      </w:r>
    </w:p>
    <w:p w:rsidR="00075C4B" w:rsidRPr="00685539" w:rsidRDefault="007A359A" w:rsidP="007A359A">
      <w:pPr>
        <w:tabs>
          <w:tab w:val="left" w:pos="510"/>
        </w:tabs>
      </w:pPr>
      <w:r w:rsidRPr="00685539">
        <w:t>1586</w:t>
      </w:r>
      <w:r w:rsidRPr="00685539">
        <w:tab/>
      </w:r>
      <w:r w:rsidR="00075C4B" w:rsidRPr="00685539">
        <w:t>Europas svar på humanitära katastrofer</w:t>
      </w:r>
    </w:p>
    <w:p w:rsidR="00075C4B" w:rsidRPr="00685539" w:rsidRDefault="007A359A" w:rsidP="007A359A">
      <w:pPr>
        <w:tabs>
          <w:tab w:val="left" w:pos="510"/>
        </w:tabs>
      </w:pPr>
      <w:r w:rsidRPr="00685539">
        <w:t>1587</w:t>
      </w:r>
      <w:r w:rsidRPr="00685539">
        <w:tab/>
      </w:r>
      <w:r w:rsidR="00075C4B" w:rsidRPr="00685539">
        <w:t>Situationen för barn som lever i postkonfliktzoner på Balkan</w:t>
      </w:r>
    </w:p>
    <w:p w:rsidR="00075C4B" w:rsidRPr="00685539" w:rsidRDefault="007A359A" w:rsidP="007A359A">
      <w:pPr>
        <w:tabs>
          <w:tab w:val="left" w:pos="510"/>
        </w:tabs>
      </w:pPr>
      <w:r w:rsidRPr="00685539">
        <w:t>1588</w:t>
      </w:r>
      <w:r w:rsidRPr="00685539">
        <w:tab/>
      </w:r>
      <w:r w:rsidR="00075C4B" w:rsidRPr="00685539">
        <w:t>Radioaktivt avfall och miljöskydd</w:t>
      </w:r>
    </w:p>
    <w:p w:rsidR="00075C4B" w:rsidRPr="00685539" w:rsidRDefault="007A359A" w:rsidP="007A359A">
      <w:pPr>
        <w:tabs>
          <w:tab w:val="left" w:pos="510"/>
        </w:tabs>
        <w:ind w:left="510" w:hanging="510"/>
        <w:rPr>
          <w:u w:val="single"/>
        </w:rPr>
      </w:pPr>
      <w:r w:rsidRPr="00685539">
        <w:t>1589</w:t>
      </w:r>
      <w:r w:rsidRPr="00685539">
        <w:tab/>
      </w:r>
      <w:r w:rsidR="00075C4B" w:rsidRPr="00685539">
        <w:t xml:space="preserve">Samarbete mellan församlingen och </w:t>
      </w:r>
      <w:r w:rsidR="003B7824" w:rsidRPr="00685539">
        <w:t xml:space="preserve">de </w:t>
      </w:r>
      <w:r w:rsidR="00075C4B" w:rsidRPr="00685539">
        <w:t>internationella frivilligorgan</w:t>
      </w:r>
      <w:r w:rsidR="00075C4B" w:rsidRPr="00685539">
        <w:t>i</w:t>
      </w:r>
      <w:r w:rsidR="00075C4B" w:rsidRPr="00685539">
        <w:t>sationernas konferens</w:t>
      </w:r>
    </w:p>
    <w:p w:rsidR="00075C4B" w:rsidRPr="00685539" w:rsidRDefault="007A359A" w:rsidP="007A359A">
      <w:pPr>
        <w:tabs>
          <w:tab w:val="left" w:pos="510"/>
        </w:tabs>
        <w:ind w:left="510" w:hanging="510"/>
      </w:pPr>
      <w:r w:rsidRPr="00685539">
        <w:t>1590</w:t>
      </w:r>
      <w:r w:rsidRPr="00685539">
        <w:tab/>
      </w:r>
      <w:r w:rsidR="00075C4B" w:rsidRPr="00685539">
        <w:t>Slutna omröstningar – Europeisk uppförandekodex för slutna omrös</w:t>
      </w:r>
      <w:r w:rsidR="00075C4B" w:rsidRPr="00685539">
        <w:t>t</w:t>
      </w:r>
      <w:r w:rsidR="00075C4B" w:rsidRPr="00685539">
        <w:t>ningar, inklusive riktlinjer för politiker, observatörer och väljare</w:t>
      </w:r>
    </w:p>
    <w:p w:rsidR="00075C4B" w:rsidRPr="00685539" w:rsidRDefault="007A359A" w:rsidP="007A359A">
      <w:pPr>
        <w:tabs>
          <w:tab w:val="left" w:pos="510"/>
        </w:tabs>
      </w:pPr>
      <w:r w:rsidRPr="00685539">
        <w:t>1591</w:t>
      </w:r>
      <w:r w:rsidRPr="00685539">
        <w:tab/>
      </w:r>
      <w:r w:rsidR="00075C4B" w:rsidRPr="00685539">
        <w:t>Distansröstning</w:t>
      </w:r>
    </w:p>
    <w:p w:rsidR="00075C4B" w:rsidRPr="00685539" w:rsidRDefault="007A359A" w:rsidP="007A359A">
      <w:pPr>
        <w:tabs>
          <w:tab w:val="left" w:pos="510"/>
        </w:tabs>
      </w:pPr>
      <w:r w:rsidRPr="00685539">
        <w:t>1592</w:t>
      </w:r>
      <w:r w:rsidRPr="00685539">
        <w:tab/>
      </w:r>
      <w:r w:rsidR="00075C4B" w:rsidRPr="00685539">
        <w:t>Kodex för bra praxis för folkomröstningar</w:t>
      </w:r>
    </w:p>
    <w:p w:rsidR="00075C4B" w:rsidRPr="00685539" w:rsidRDefault="007A359A" w:rsidP="007A359A">
      <w:pPr>
        <w:tabs>
          <w:tab w:val="left" w:pos="510"/>
        </w:tabs>
      </w:pPr>
      <w:r w:rsidRPr="00685539">
        <w:t>1593</w:t>
      </w:r>
      <w:r w:rsidRPr="00685539">
        <w:tab/>
      </w:r>
      <w:r w:rsidR="00075C4B" w:rsidRPr="00685539">
        <w:t>Till förmån för församlingens ”Jämställdhetspris”</w:t>
      </w:r>
    </w:p>
    <w:p w:rsidR="00075C4B" w:rsidRPr="00685539" w:rsidRDefault="007A359A" w:rsidP="007A359A">
      <w:pPr>
        <w:tabs>
          <w:tab w:val="left" w:pos="510"/>
        </w:tabs>
      </w:pPr>
      <w:r w:rsidRPr="00685539">
        <w:t>1594</w:t>
      </w:r>
      <w:r w:rsidRPr="00685539">
        <w:tab/>
      </w:r>
      <w:r w:rsidR="00075C4B" w:rsidRPr="00685539">
        <w:t>Principen för rättssäkerhet</w:t>
      </w:r>
    </w:p>
    <w:p w:rsidR="00075C4B" w:rsidRPr="00685539" w:rsidRDefault="003B7824" w:rsidP="007A359A">
      <w:pPr>
        <w:tabs>
          <w:tab w:val="left" w:pos="510"/>
        </w:tabs>
        <w:spacing w:before="0"/>
        <w:rPr>
          <w:b/>
        </w:rPr>
      </w:pPr>
      <w:r w:rsidRPr="00685539">
        <w:br w:type="page"/>
      </w:r>
      <w:r w:rsidR="00075C4B" w:rsidRPr="00685539">
        <w:rPr>
          <w:b/>
        </w:rPr>
        <w:t>Yttranden</w:t>
      </w:r>
    </w:p>
    <w:p w:rsidR="00075C4B" w:rsidRPr="00685539" w:rsidRDefault="00075C4B" w:rsidP="007A359A">
      <w:pPr>
        <w:tabs>
          <w:tab w:val="left" w:pos="510"/>
        </w:tabs>
        <w:rPr>
          <w:b/>
        </w:rPr>
      </w:pPr>
      <w:r w:rsidRPr="00685539">
        <w:rPr>
          <w:b/>
        </w:rPr>
        <w:t>Nr</w:t>
      </w:r>
    </w:p>
    <w:p w:rsidR="00075C4B" w:rsidRPr="00685539" w:rsidRDefault="00075C4B" w:rsidP="007A359A">
      <w:pPr>
        <w:tabs>
          <w:tab w:val="left" w:pos="510"/>
        </w:tabs>
      </w:pPr>
      <w:r w:rsidRPr="00685539">
        <w:t>261</w:t>
      </w:r>
      <w:r w:rsidR="007A359A" w:rsidRPr="00685539">
        <w:tab/>
      </w:r>
      <w:r w:rsidRPr="00685539">
        <w:t>Republiken Montenegros anslutning till Europarådet</w:t>
      </w:r>
    </w:p>
    <w:p w:rsidR="00075C4B" w:rsidRPr="00685539" w:rsidRDefault="00075C4B" w:rsidP="007A359A">
      <w:pPr>
        <w:tabs>
          <w:tab w:val="left" w:pos="510"/>
        </w:tabs>
      </w:pPr>
      <w:r w:rsidRPr="00685539">
        <w:t>262</w:t>
      </w:r>
      <w:r w:rsidR="007A359A" w:rsidRPr="00685539">
        <w:tab/>
      </w:r>
      <w:r w:rsidRPr="00685539">
        <w:t>Överenskommelse mellan Europarådet och Europeiska unionen</w:t>
      </w:r>
    </w:p>
    <w:p w:rsidR="00075C4B" w:rsidRPr="00685539" w:rsidRDefault="00075C4B" w:rsidP="007A359A">
      <w:pPr>
        <w:tabs>
          <w:tab w:val="left" w:pos="510"/>
        </w:tabs>
        <w:ind w:left="510" w:hanging="510"/>
      </w:pPr>
      <w:r w:rsidRPr="00685539">
        <w:t>263</w:t>
      </w:r>
      <w:r w:rsidR="007A359A" w:rsidRPr="00685539">
        <w:tab/>
      </w:r>
      <w:r w:rsidRPr="00685539">
        <w:t>Utkast till konvention om skydd för barn mot sexuellt utnyttjande och sexuella övergrepp</w:t>
      </w:r>
    </w:p>
    <w:p w:rsidR="00075C4B" w:rsidRPr="00685539" w:rsidRDefault="00075C4B" w:rsidP="007A359A">
      <w:pPr>
        <w:tabs>
          <w:tab w:val="left" w:pos="510"/>
        </w:tabs>
      </w:pPr>
      <w:r w:rsidRPr="00685539">
        <w:t>264</w:t>
      </w:r>
      <w:r w:rsidR="007A359A" w:rsidRPr="00685539">
        <w:tab/>
      </w:r>
      <w:r w:rsidRPr="00685539">
        <w:t>Europarådets budget för budgetåret 2008</w:t>
      </w:r>
    </w:p>
    <w:p w:rsidR="00075C4B" w:rsidRPr="00685539" w:rsidRDefault="00075C4B" w:rsidP="007A359A">
      <w:pPr>
        <w:tabs>
          <w:tab w:val="left" w:pos="510"/>
        </w:tabs>
      </w:pPr>
      <w:r w:rsidRPr="00685539">
        <w:t>265</w:t>
      </w:r>
      <w:r w:rsidR="007A359A" w:rsidRPr="00685539">
        <w:tab/>
      </w:r>
      <w:r w:rsidRPr="00685539">
        <w:t>Den parlamentariska församlingens utgifter för budgetåret 2008</w:t>
      </w:r>
    </w:p>
    <w:p w:rsidR="00075C4B" w:rsidRPr="00685539" w:rsidRDefault="00075C4B" w:rsidP="007A359A">
      <w:pPr>
        <w:tabs>
          <w:tab w:val="left" w:pos="510"/>
        </w:tabs>
      </w:pPr>
      <w:r w:rsidRPr="00685539">
        <w:t>266</w:t>
      </w:r>
      <w:r w:rsidR="007A359A" w:rsidRPr="00685539">
        <w:tab/>
      </w:r>
      <w:r w:rsidRPr="00685539">
        <w:t>Utkast till Europarådets konvention om barnadoption (reviderad)</w:t>
      </w:r>
    </w:p>
    <w:p w:rsidR="00194021" w:rsidRPr="00685539" w:rsidRDefault="00194021" w:rsidP="007A359A">
      <w:pPr>
        <w:tabs>
          <w:tab w:val="left" w:pos="510"/>
        </w:tabs>
        <w:rPr>
          <w:sz w:val="22"/>
          <w:szCs w:val="22"/>
        </w:rPr>
      </w:pPr>
    </w:p>
    <w:p w:rsidR="00194021" w:rsidRPr="00685539" w:rsidRDefault="00194021" w:rsidP="007A359A">
      <w:pPr>
        <w:pStyle w:val="Tryckort"/>
        <w:framePr w:wrap="around"/>
        <w:tabs>
          <w:tab w:val="left" w:pos="510"/>
        </w:tabs>
      </w:pPr>
      <w:r w:rsidRPr="00685539">
        <w:t>Elanders, Vällingby  2008</w:t>
      </w:r>
    </w:p>
    <w:p w:rsidR="00075C4B" w:rsidRPr="00685539" w:rsidRDefault="00075C4B" w:rsidP="007A359A">
      <w:pPr>
        <w:pStyle w:val="Normaltindrag"/>
        <w:tabs>
          <w:tab w:val="left" w:pos="510"/>
        </w:tabs>
      </w:pPr>
    </w:p>
    <w:sectPr w:rsidR="00075C4B" w:rsidRPr="00685539" w:rsidSect="00C614C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A81" w:rsidRPr="00685539" w:rsidRDefault="00E07A81">
      <w:r w:rsidRPr="00685539">
        <w:separator/>
      </w:r>
    </w:p>
  </w:endnote>
  <w:endnote w:type="continuationSeparator" w:id="0">
    <w:p w:rsidR="00E07A81" w:rsidRPr="00685539" w:rsidRDefault="00E07A81">
      <w:r w:rsidRPr="00685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2</w:t>
    </w:r>
    <w:r w:rsidRPr="00685539">
      <w:fldChar w:fldCharType="end"/>
    </w:r>
  </w:p>
  <w:p w:rsidR="00895E97" w:rsidRPr="00685539" w:rsidRDefault="00895E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24</w:t>
    </w:r>
    <w:r w:rsidRPr="00685539">
      <w:fldChar w:fldCharType="end"/>
    </w:r>
  </w:p>
  <w:p w:rsidR="00895E97" w:rsidRPr="00685539" w:rsidRDefault="00895E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25</w:t>
    </w:r>
    <w:r w:rsidRPr="00685539">
      <w:fldChar w:fldCharType="end"/>
    </w:r>
  </w:p>
  <w:p w:rsidR="00895E97" w:rsidRPr="00685539" w:rsidRDefault="00895E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9</w:instrText>
    </w:r>
    <w:r w:rsidRPr="00685539">
      <w:fldChar w:fldCharType="end"/>
    </w:r>
    <w:r w:rsidRPr="00685539">
      <w:instrText xml:space="preserve">/2 </w:instrText>
    </w:r>
    <w:r w:rsidRPr="00685539">
      <w:fldChar w:fldCharType="separate"/>
    </w:r>
    <w:r w:rsidRPr="00685539">
      <w:instrText>4,5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9</w:instrText>
    </w:r>
    <w:r w:rsidRPr="00685539">
      <w:fldChar w:fldCharType="end"/>
    </w:r>
    <w:r w:rsidRPr="00685539">
      <w:instrText xml:space="preserve">/2) </w:instrText>
    </w:r>
    <w:r w:rsidRPr="00685539">
      <w:fldChar w:fldCharType="separate"/>
    </w:r>
    <w:r w:rsidRPr="00685539">
      <w:instrText>4</w:instrText>
    </w:r>
    <w:r w:rsidRPr="00685539">
      <w:fldChar w:fldCharType="end"/>
    </w:r>
    <w:r w:rsidRPr="00685539">
      <w:fldChar w:fldCharType="separate"/>
    </w:r>
    <w:r w:rsidRPr="00685539">
      <w:instrText>0,5</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8</w:instrText>
    </w:r>
    <w:r w:rsidRPr="00685539">
      <w:fldChar w:fldCharType="end"/>
    </w:r>
  </w:p>
  <w:p w:rsidR="00895E97" w:rsidRPr="00685539" w:rsidRDefault="00895E97">
    <w:pPr>
      <w:pStyle w:val="SidfotH"/>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9</w:instrText>
    </w:r>
    <w:r w:rsidRPr="00685539">
      <w:fldChar w:fldCharType="end"/>
    </w:r>
    <w:r w:rsidRPr="00685539">
      <w:instrText>"</w:instrText>
    </w:r>
    <w:r w:rsidRPr="00685539">
      <w:fldChar w:fldCharType="separate"/>
    </w:r>
    <w:r w:rsidRPr="00685539">
      <w:t>9</w:t>
    </w:r>
    <w:r w:rsidRPr="00685539">
      <w:fldChar w:fldCharType="end"/>
    </w:r>
  </w:p>
  <w:p w:rsidR="00895E97" w:rsidRPr="00685539" w:rsidRDefault="00895E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28</w:t>
    </w:r>
    <w:r w:rsidRPr="00685539">
      <w:fldChar w:fldCharType="end"/>
    </w:r>
  </w:p>
  <w:p w:rsidR="00895E97" w:rsidRPr="00685539" w:rsidRDefault="00895E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27</w:t>
    </w:r>
    <w:r w:rsidRPr="00685539">
      <w:fldChar w:fldCharType="end"/>
    </w:r>
  </w:p>
  <w:p w:rsidR="00895E97" w:rsidRPr="00685539" w:rsidRDefault="00895E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26</w:instrText>
    </w:r>
    <w:r w:rsidRPr="00685539">
      <w:fldChar w:fldCharType="end"/>
    </w:r>
    <w:r w:rsidRPr="00685539">
      <w:instrText xml:space="preserve">/2 </w:instrText>
    </w:r>
    <w:r w:rsidRPr="00685539">
      <w:fldChar w:fldCharType="separate"/>
    </w:r>
    <w:r w:rsidRPr="00685539">
      <w:instrText>13</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26</w:instrText>
    </w:r>
    <w:r w:rsidRPr="00685539">
      <w:fldChar w:fldCharType="end"/>
    </w:r>
    <w:r w:rsidRPr="00685539">
      <w:instrText xml:space="preserve">/2) </w:instrText>
    </w:r>
    <w:r w:rsidRPr="00685539">
      <w:fldChar w:fldCharType="separate"/>
    </w:r>
    <w:r w:rsidRPr="00685539">
      <w:instrText>13</w:instrText>
    </w:r>
    <w:r w:rsidRPr="00685539">
      <w:fldChar w:fldCharType="end"/>
    </w:r>
    <w:r w:rsidRPr="00685539">
      <w:fldChar w:fldCharType="separate"/>
    </w:r>
    <w:r w:rsidRPr="00685539">
      <w:instrText>0</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26</w:instrText>
    </w:r>
    <w:r w:rsidRPr="00685539">
      <w:fldChar w:fldCharType="end"/>
    </w:r>
  </w:p>
  <w:p w:rsidR="00895E97" w:rsidRPr="00685539" w:rsidRDefault="00895E97">
    <w:pPr>
      <w:pStyle w:val="SidfotV"/>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25</w:instrText>
    </w:r>
    <w:r w:rsidRPr="00685539">
      <w:fldChar w:fldCharType="end"/>
    </w:r>
    <w:r w:rsidRPr="00685539">
      <w:instrText>"</w:instrText>
    </w:r>
    <w:r w:rsidRPr="00685539">
      <w:fldChar w:fldCharType="separate"/>
    </w:r>
    <w:r w:rsidRPr="00685539">
      <w:t>26</w:t>
    </w:r>
  </w:p>
  <w:p w:rsidR="00895E97" w:rsidRPr="00685539" w:rsidRDefault="00895E97">
    <w:pPr>
      <w:pStyle w:val="SidfotH"/>
      <w:framePr w:w="8732" w:h="284" w:hRule="exact" w:hSpace="0" w:vSpace="0" w:wrap="around" w:xAlign="inside" w:y="13042" w:anchorLock="0"/>
    </w:pPr>
    <w:r w:rsidRPr="00685539">
      <w:fldChar w:fldCharType="end"/>
    </w:r>
  </w:p>
  <w:p w:rsidR="00895E97" w:rsidRPr="00685539" w:rsidRDefault="00895E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EF540A" w:rsidRPr="00685539">
      <w:t>52</w:t>
    </w:r>
    <w:r w:rsidRPr="00685539">
      <w:fldChar w:fldCharType="end"/>
    </w:r>
  </w:p>
  <w:p w:rsidR="00895E97" w:rsidRPr="00685539" w:rsidRDefault="00895E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51</w:t>
    </w:r>
    <w:r w:rsidRPr="00685539">
      <w:fldChar w:fldCharType="end"/>
    </w:r>
  </w:p>
  <w:p w:rsidR="00895E97" w:rsidRPr="00685539" w:rsidRDefault="00895E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29</w:instrText>
    </w:r>
    <w:r w:rsidRPr="00685539">
      <w:fldChar w:fldCharType="end"/>
    </w:r>
    <w:r w:rsidRPr="00685539">
      <w:instrText xml:space="preserve">/2 </w:instrText>
    </w:r>
    <w:r w:rsidRPr="00685539">
      <w:fldChar w:fldCharType="separate"/>
    </w:r>
    <w:r w:rsidRPr="00685539">
      <w:instrText>14,5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29</w:instrText>
    </w:r>
    <w:r w:rsidRPr="00685539">
      <w:fldChar w:fldCharType="end"/>
    </w:r>
    <w:r w:rsidRPr="00685539">
      <w:instrText xml:space="preserve">/2) </w:instrText>
    </w:r>
    <w:r w:rsidRPr="00685539">
      <w:fldChar w:fldCharType="separate"/>
    </w:r>
    <w:r w:rsidRPr="00685539">
      <w:instrText>14</w:instrText>
    </w:r>
    <w:r w:rsidRPr="00685539">
      <w:fldChar w:fldCharType="end"/>
    </w:r>
    <w:r w:rsidRPr="00685539">
      <w:fldChar w:fldCharType="separate"/>
    </w:r>
    <w:r w:rsidRPr="00685539">
      <w:instrText>0,5</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52</w:instrText>
    </w:r>
    <w:r w:rsidRPr="00685539">
      <w:fldChar w:fldCharType="end"/>
    </w:r>
  </w:p>
  <w:p w:rsidR="00895E97" w:rsidRPr="00685539" w:rsidRDefault="00895E97">
    <w:pPr>
      <w:pStyle w:val="SidfotH"/>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29</w:instrText>
    </w:r>
    <w:r w:rsidRPr="00685539">
      <w:fldChar w:fldCharType="end"/>
    </w:r>
    <w:r w:rsidRPr="00685539">
      <w:instrText>"</w:instrText>
    </w:r>
    <w:r w:rsidRPr="00685539">
      <w:fldChar w:fldCharType="separate"/>
    </w:r>
    <w:r w:rsidRPr="00685539">
      <w:t>29</w:t>
    </w:r>
    <w:r w:rsidRPr="00685539">
      <w:fldChar w:fldCharType="end"/>
    </w:r>
  </w:p>
  <w:p w:rsidR="00895E97" w:rsidRPr="00685539" w:rsidRDefault="00895E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3</w:t>
    </w:r>
    <w:r w:rsidRPr="00685539">
      <w:fldChar w:fldCharType="end"/>
    </w:r>
  </w:p>
  <w:p w:rsidR="00895E97" w:rsidRPr="00685539" w:rsidRDefault="00895E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00685539">
      <w:rPr>
        <w:noProof/>
      </w:rPr>
      <w:instrText>1</w:instrText>
    </w:r>
    <w:r w:rsidRPr="00685539">
      <w:fldChar w:fldCharType="end"/>
    </w:r>
    <w:r w:rsidRPr="00685539">
      <w:instrText xml:space="preserve">/2 </w:instrText>
    </w:r>
    <w:r w:rsidRPr="00685539">
      <w:fldChar w:fldCharType="separate"/>
    </w:r>
    <w:r w:rsidR="00685539">
      <w:rPr>
        <w:noProof/>
      </w:rPr>
      <w:instrText>0,5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00685539">
      <w:rPr>
        <w:noProof/>
      </w:rPr>
      <w:instrText>1</w:instrText>
    </w:r>
    <w:r w:rsidRPr="00685539">
      <w:fldChar w:fldCharType="end"/>
    </w:r>
    <w:r w:rsidRPr="00685539">
      <w:instrText xml:space="preserve">/2) </w:instrText>
    </w:r>
    <w:r w:rsidRPr="00685539">
      <w:fldChar w:fldCharType="separate"/>
    </w:r>
    <w:r w:rsidR="00685539">
      <w:rPr>
        <w:noProof/>
      </w:rPr>
      <w:instrText>0</w:instrText>
    </w:r>
    <w:r w:rsidRPr="00685539">
      <w:fldChar w:fldCharType="end"/>
    </w:r>
    <w:r w:rsidRPr="00685539">
      <w:fldChar w:fldCharType="separate"/>
    </w:r>
    <w:r w:rsidR="00685539">
      <w:rPr>
        <w:noProof/>
      </w:rPr>
      <w:instrText>0,5</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EF540A" w:rsidRPr="00685539">
      <w:instrText>2</w:instrText>
    </w:r>
    <w:r w:rsidRPr="00685539">
      <w:fldChar w:fldCharType="end"/>
    </w:r>
  </w:p>
  <w:p w:rsidR="00895E97" w:rsidRPr="00685539" w:rsidRDefault="00895E97">
    <w:pPr>
      <w:pStyle w:val="SidfotH"/>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685539">
      <w:rPr>
        <w:noProof/>
      </w:rPr>
      <w:instrText>1</w:instrText>
    </w:r>
    <w:r w:rsidRPr="00685539">
      <w:fldChar w:fldCharType="end"/>
    </w:r>
    <w:r w:rsidRPr="00685539">
      <w:instrText>"</w:instrText>
    </w:r>
    <w:r w:rsidRPr="00685539">
      <w:fldChar w:fldCharType="separate"/>
    </w:r>
    <w:r w:rsidR="00685539">
      <w:rPr>
        <w:noProof/>
      </w:rPr>
      <w:t>1</w:t>
    </w:r>
    <w:r w:rsidRPr="00685539">
      <w:fldChar w:fldCharType="end"/>
    </w:r>
  </w:p>
  <w:p w:rsidR="00895E97" w:rsidRPr="00685539" w:rsidRDefault="00895E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EF540A" w:rsidRPr="00685539">
      <w:t>4</w:t>
    </w:r>
    <w:r w:rsidRPr="00685539">
      <w:fldChar w:fldCharType="end"/>
    </w:r>
  </w:p>
  <w:p w:rsidR="00895E97" w:rsidRPr="00685539" w:rsidRDefault="00895E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EF540A" w:rsidRPr="00685539">
      <w:t>5</w:t>
    </w:r>
    <w:r w:rsidRPr="00685539">
      <w:fldChar w:fldCharType="end"/>
    </w:r>
  </w:p>
  <w:p w:rsidR="00895E97" w:rsidRPr="00685539" w:rsidRDefault="00895E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00EF540A" w:rsidRPr="00685539">
      <w:instrText>3</w:instrText>
    </w:r>
    <w:r w:rsidRPr="00685539">
      <w:fldChar w:fldCharType="end"/>
    </w:r>
    <w:r w:rsidRPr="00685539">
      <w:instrText xml:space="preserve">/2 </w:instrText>
    </w:r>
    <w:r w:rsidRPr="00685539">
      <w:fldChar w:fldCharType="separate"/>
    </w:r>
    <w:r w:rsidR="00EF540A" w:rsidRPr="00685539">
      <w:instrText>1,5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00EF540A" w:rsidRPr="00685539">
      <w:instrText>3</w:instrText>
    </w:r>
    <w:r w:rsidRPr="00685539">
      <w:fldChar w:fldCharType="end"/>
    </w:r>
    <w:r w:rsidRPr="00685539">
      <w:instrText xml:space="preserve">/2) </w:instrText>
    </w:r>
    <w:r w:rsidRPr="00685539">
      <w:fldChar w:fldCharType="separate"/>
    </w:r>
    <w:r w:rsidR="00EF540A" w:rsidRPr="00685539">
      <w:instrText>1</w:instrText>
    </w:r>
    <w:r w:rsidRPr="00685539">
      <w:fldChar w:fldCharType="end"/>
    </w:r>
    <w:r w:rsidRPr="00685539">
      <w:fldChar w:fldCharType="separate"/>
    </w:r>
    <w:r w:rsidR="00EF540A" w:rsidRPr="00685539">
      <w:instrText>0,5</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4</w:instrText>
    </w:r>
    <w:r w:rsidRPr="00685539">
      <w:fldChar w:fldCharType="end"/>
    </w:r>
  </w:p>
  <w:p w:rsidR="00895E97" w:rsidRPr="00685539" w:rsidRDefault="00895E97">
    <w:pPr>
      <w:pStyle w:val="SidfotH"/>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00EF540A" w:rsidRPr="00685539">
      <w:instrText>3</w:instrText>
    </w:r>
    <w:r w:rsidRPr="00685539">
      <w:fldChar w:fldCharType="end"/>
    </w:r>
    <w:r w:rsidRPr="00685539">
      <w:instrText>"</w:instrText>
    </w:r>
    <w:r w:rsidRPr="00685539">
      <w:fldChar w:fldCharType="separate"/>
    </w:r>
    <w:r w:rsidR="00EF540A" w:rsidRPr="00685539">
      <w:t>3</w:t>
    </w:r>
    <w:r w:rsidRPr="00685539">
      <w:fldChar w:fldCharType="end"/>
    </w:r>
  </w:p>
  <w:p w:rsidR="00895E97" w:rsidRPr="00685539" w:rsidRDefault="00895E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8</w:t>
    </w:r>
    <w:r w:rsidRPr="00685539">
      <w:fldChar w:fldCharType="end"/>
    </w:r>
  </w:p>
  <w:p w:rsidR="00895E97" w:rsidRPr="00685539" w:rsidRDefault="00895E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H"/>
      <w:framePr w:w="8732" w:h="284" w:hRule="exact" w:hSpace="0" w:vSpace="0" w:wrap="around" w:xAlign="inside" w:y="13042" w:anchorLock="0"/>
    </w:pP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t>7</w:t>
    </w:r>
    <w:r w:rsidRPr="00685539">
      <w:fldChar w:fldCharType="end"/>
    </w:r>
  </w:p>
  <w:p w:rsidR="00895E97" w:rsidRPr="00685539" w:rsidRDefault="00895E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fotV"/>
      <w:framePr w:w="8732" w:h="284" w:hRule="exact" w:hSpace="0" w:vSpace="0" w:wrap="around" w:xAlign="inside" w:y="13042" w:anchorLock="0"/>
    </w:pP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6</w:instrText>
    </w:r>
    <w:r w:rsidRPr="00685539">
      <w:fldChar w:fldCharType="end"/>
    </w:r>
    <w:r w:rsidRPr="00685539">
      <w:instrText xml:space="preserve">/2 </w:instrText>
    </w:r>
    <w:r w:rsidRPr="00685539">
      <w:fldChar w:fldCharType="separate"/>
    </w:r>
    <w:r w:rsidRPr="00685539">
      <w:instrText>3</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6</w:instrText>
    </w:r>
    <w:r w:rsidRPr="00685539">
      <w:fldChar w:fldCharType="end"/>
    </w:r>
    <w:r w:rsidRPr="00685539">
      <w:instrText xml:space="preserve">/2) </w:instrText>
    </w:r>
    <w:r w:rsidRPr="00685539">
      <w:fldChar w:fldCharType="separate"/>
    </w:r>
    <w:r w:rsidRPr="00685539">
      <w:instrText>3</w:instrText>
    </w:r>
    <w:r w:rsidRPr="00685539">
      <w:fldChar w:fldCharType="end"/>
    </w:r>
    <w:r w:rsidRPr="00685539">
      <w:fldChar w:fldCharType="separate"/>
    </w:r>
    <w:r w:rsidRPr="00685539">
      <w:instrText>0</w:instrText>
    </w:r>
    <w:r w:rsidRPr="00685539">
      <w:fldChar w:fldCharType="end"/>
    </w:r>
    <w:r w:rsidRPr="00685539">
      <w:instrText xml:space="preserve"> = 0 "</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6</w:instrText>
    </w:r>
    <w:r w:rsidRPr="00685539">
      <w:fldChar w:fldCharType="end"/>
    </w:r>
  </w:p>
  <w:p w:rsidR="00895E97" w:rsidRPr="00685539" w:rsidRDefault="00895E97">
    <w:pPr>
      <w:pStyle w:val="SidfotV"/>
      <w:framePr w:w="8732" w:h="284" w:hRule="exact" w:hSpace="0" w:vSpace="0" w:wrap="around" w:xAlign="inside" w:y="13042" w:anchorLock="0"/>
    </w:pPr>
    <w:r w:rsidRPr="00685539">
      <w:instrText>""</w:instrText>
    </w:r>
    <w:r w:rsidRPr="00685539">
      <w:fldChar w:fldCharType="begin" w:fldLock="1"/>
    </w:r>
    <w:r w:rsidRPr="00685539">
      <w:instrText xml:space="preserve"> P</w:instrText>
    </w:r>
    <w:r w:rsidRPr="00685539">
      <w:instrText>A</w:instrText>
    </w:r>
    <w:r w:rsidRPr="00685539">
      <w:instrText xml:space="preserve">GE </w:instrText>
    </w:r>
    <w:r w:rsidRPr="00685539">
      <w:fldChar w:fldCharType="separate"/>
    </w:r>
    <w:r w:rsidRPr="00685539">
      <w:instrText>5</w:instrText>
    </w:r>
    <w:r w:rsidRPr="00685539">
      <w:fldChar w:fldCharType="end"/>
    </w:r>
    <w:r w:rsidRPr="00685539">
      <w:instrText>"</w:instrText>
    </w:r>
    <w:r w:rsidRPr="00685539">
      <w:fldChar w:fldCharType="separate"/>
    </w:r>
    <w:r w:rsidRPr="00685539">
      <w:t>6</w:t>
    </w:r>
  </w:p>
  <w:p w:rsidR="00895E97" w:rsidRPr="00685539" w:rsidRDefault="00895E97">
    <w:pPr>
      <w:pStyle w:val="SidfotH"/>
      <w:framePr w:w="8732" w:h="284" w:hRule="exact" w:hSpace="0" w:vSpace="0" w:wrap="around" w:xAlign="inside" w:y="13042" w:anchorLock="0"/>
    </w:pPr>
    <w:r w:rsidRPr="00685539">
      <w:fldChar w:fldCharType="end"/>
    </w:r>
  </w:p>
  <w:p w:rsidR="00895E97" w:rsidRPr="00685539" w:rsidRDefault="00895E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A81" w:rsidRPr="00685539" w:rsidRDefault="00E07A81">
      <w:r w:rsidRPr="00685539">
        <w:separator/>
      </w:r>
    </w:p>
  </w:footnote>
  <w:footnote w:type="continuationSeparator" w:id="0">
    <w:p w:rsidR="00E07A81" w:rsidRPr="00685539" w:rsidRDefault="00E07A81">
      <w:r w:rsidRPr="00685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Sammanfattning</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2 Den parlamentariska församlingens verksamhet under 2007</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2 Den parlamentariska församlingens verksamhet under 2007</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fldChar w:fldCharType="begin" w:fldLock="1"/>
    </w:r>
    <w:r w:rsidRPr="00685539">
      <w:instrText xml:space="preserve"> if </w:instrText>
    </w:r>
    <w:r w:rsidRPr="00685539">
      <w:fldChar w:fldCharType="begin" w:fldLock="1"/>
    </w:r>
    <w:r w:rsidRPr="00685539">
      <w:instrText xml:space="preserve"> page</w:instrText>
    </w:r>
    <w:r w:rsidRPr="00685539">
      <w:fldChar w:fldCharType="separate"/>
    </w:r>
    <w:r w:rsidRPr="00685539">
      <w:instrText>9</w:instrText>
    </w:r>
    <w:r w:rsidRPr="00685539">
      <w:fldChar w:fldCharType="end"/>
    </w:r>
    <w:r w:rsidRPr="00685539">
      <w:instrText xml:space="preserve"> &gt; 1 "</w:instrText>
    </w: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9</w:instrText>
    </w:r>
    <w:r w:rsidRPr="00685539">
      <w:fldChar w:fldCharType="end"/>
    </w:r>
    <w:r w:rsidRPr="00685539">
      <w:instrText xml:space="preserve">/2 </w:instrText>
    </w:r>
    <w:r w:rsidRPr="00685539">
      <w:fldChar w:fldCharType="separate"/>
    </w:r>
    <w:r w:rsidRPr="00685539">
      <w:instrText>4,5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9</w:instrText>
    </w:r>
    <w:r w:rsidRPr="00685539">
      <w:fldChar w:fldCharType="end"/>
    </w:r>
    <w:r w:rsidRPr="00685539">
      <w:instrText xml:space="preserve">/2) </w:instrText>
    </w:r>
    <w:r w:rsidRPr="00685539">
      <w:fldChar w:fldCharType="separate"/>
    </w:r>
    <w:r w:rsidRPr="00685539">
      <w:instrText>4</w:instrText>
    </w:r>
    <w:r w:rsidRPr="00685539">
      <w:fldChar w:fldCharType="end"/>
    </w:r>
    <w:r w:rsidRPr="00685539">
      <w:fldChar w:fldCharType="separate"/>
    </w:r>
    <w:r w:rsidRPr="00685539">
      <w:instrText>0,5</w:instrText>
    </w:r>
    <w:r w:rsidRPr="00685539">
      <w:fldChar w:fldCharType="end"/>
    </w:r>
    <w:r w:rsidRPr="00685539">
      <w:instrText xml:space="preserve"> = 0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w:instrText>
    </w:r>
    <w:r w:rsidRPr="00685539">
      <w:rPr>
        <w:rStyle w:val="SidhuvudUtskott"/>
      </w:rPr>
      <w:instrText>R</w:instrText>
    </w:r>
    <w:r w:rsidRPr="00685539">
      <w:rPr>
        <w:rStyle w:val="SidhuvudUtskott"/>
      </w:rPr>
      <w:instrText>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r w:rsidRPr="00685539">
      <w:instrText xml:space="preserve">    </w:instrText>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separate"/>
    </w:r>
    <w:r w:rsidRPr="00685539">
      <w:rPr>
        <w:rStyle w:val="SidhuvudUtskott"/>
      </w:rPr>
      <w:instrText>Utkast</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RubrikReferens"/>
        <w:smallCaps w:val="0"/>
      </w:rPr>
      <w:instrText xml:space="preserve"> </w:instrText>
    </w:r>
    <w:r w:rsidRPr="00685539">
      <w:instrText xml:space="preserve">"  "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r w:rsidRPr="00685539">
      <w:instrText>"</w:instrText>
    </w:r>
    <w:r w:rsidRPr="00685539">
      <w:fldChar w:fldCharType="separate"/>
    </w:r>
    <w:r w:rsidRPr="00685539">
      <w:instrText xml:space="preserve">  </w:instrText>
    </w:r>
    <w:r w:rsidRPr="00685539">
      <w:rPr>
        <w:rStyle w:val="SidhuvudUtskott"/>
      </w:rPr>
      <w:instrText>2007/08:ER1</w:instrText>
    </w:r>
  </w:p>
  <w:p w:rsidR="00895E97" w:rsidRPr="00685539" w:rsidRDefault="00895E97">
    <w:pPr>
      <w:pStyle w:val="SidhuvudKantUdda"/>
      <w:framePr w:w="8732" w:h="567" w:hRule="exact" w:vSpace="0" w:wrap="around" w:vAnchor="page" w:y="341" w:anchorLock="0"/>
    </w:pPr>
    <w:r w:rsidRPr="00685539">
      <w:fldChar w:fldCharType="end"/>
    </w:r>
    <w:r w:rsidRPr="00685539">
      <w:instrText>" " "</w:instrText>
    </w:r>
    <w:r w:rsidRPr="00685539">
      <w:fldChar w:fldCharType="separate"/>
    </w:r>
    <w:r w:rsidRPr="00685539">
      <w:t xml:space="preserve">  </w:t>
    </w:r>
    <w:r w:rsidRPr="00685539">
      <w:rPr>
        <w:rStyle w:val="SidhuvudUtskott"/>
      </w:rPr>
      <w:t>2007/08:ER1</w:t>
    </w:r>
  </w:p>
  <w:p w:rsidR="00895E97" w:rsidRPr="00685539" w:rsidRDefault="00895E97">
    <w:pPr>
      <w:pStyle w:val="SidhuvudKantUdda"/>
      <w:framePr w:w="8732" w:h="567" w:hRule="exact" w:vSpace="0" w:wrap="around" w:vAnchor="page" w:y="341" w:anchorLock="0"/>
    </w:pPr>
    <w:r w:rsidRPr="00685539">
      <w:fldChar w:fldCharType="end"/>
    </w:r>
  </w:p>
  <w:p w:rsidR="00895E97" w:rsidRPr="00685539" w:rsidRDefault="00895E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3 Den svenska representationen</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3 Den svenska representationen</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fldChar w:fldCharType="begin" w:fldLock="1"/>
    </w:r>
    <w:r w:rsidRPr="00685539">
      <w:instrText xml:space="preserve"> if </w:instrText>
    </w:r>
    <w:r w:rsidRPr="00685539">
      <w:fldChar w:fldCharType="begin" w:fldLock="1"/>
    </w:r>
    <w:r w:rsidRPr="00685539">
      <w:instrText xml:space="preserve"> page</w:instrText>
    </w:r>
    <w:r w:rsidRPr="00685539">
      <w:fldChar w:fldCharType="separate"/>
    </w:r>
    <w:r w:rsidRPr="00685539">
      <w:instrText>26</w:instrText>
    </w:r>
    <w:r w:rsidRPr="00685539">
      <w:fldChar w:fldCharType="end"/>
    </w:r>
    <w:r w:rsidRPr="00685539">
      <w:instrText xml:space="preserve"> &gt; 1 "</w:instrText>
    </w: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26</w:instrText>
    </w:r>
    <w:r w:rsidRPr="00685539">
      <w:fldChar w:fldCharType="end"/>
    </w:r>
    <w:r w:rsidRPr="00685539">
      <w:instrText xml:space="preserve">/2 </w:instrText>
    </w:r>
    <w:r w:rsidRPr="00685539">
      <w:fldChar w:fldCharType="separate"/>
    </w:r>
    <w:r w:rsidRPr="00685539">
      <w:instrText>13</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26</w:instrText>
    </w:r>
    <w:r w:rsidRPr="00685539">
      <w:fldChar w:fldCharType="end"/>
    </w:r>
    <w:r w:rsidRPr="00685539">
      <w:instrText xml:space="preserve">/2) </w:instrText>
    </w:r>
    <w:r w:rsidRPr="00685539">
      <w:fldChar w:fldCharType="separate"/>
    </w:r>
    <w:r w:rsidRPr="00685539">
      <w:instrText>13</w:instrText>
    </w:r>
    <w:r w:rsidRPr="00685539">
      <w:fldChar w:fldCharType="end"/>
    </w:r>
    <w:r w:rsidRPr="00685539">
      <w:fldChar w:fldCharType="separate"/>
    </w:r>
    <w:r w:rsidRPr="00685539">
      <w:instrText>0</w:instrText>
    </w:r>
    <w:r w:rsidRPr="00685539">
      <w:fldChar w:fldCharType="end"/>
    </w:r>
    <w:r w:rsidRPr="00685539">
      <w:instrText xml:space="preserve"> = 0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w:instrText>
    </w:r>
    <w:r w:rsidRPr="00685539">
      <w:rPr>
        <w:rStyle w:val="SidhuvudUtskott"/>
      </w:rPr>
      <w:instrText>R</w:instrText>
    </w:r>
    <w:r w:rsidRPr="00685539">
      <w:rPr>
        <w:rStyle w:val="SidhuvudUtskott"/>
      </w:rPr>
      <w:instrText>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r w:rsidRPr="00685539">
      <w:instrText xml:space="preserve">    </w:instrText>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RubrikReferens"/>
        <w:smallCaps w:val="0"/>
      </w:rPr>
      <w:instrText xml:space="preserve"> </w:instrText>
    </w:r>
    <w:r w:rsidRPr="00685539">
      <w:instrText xml:space="preserve">"  "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separate"/>
    </w:r>
    <w:r w:rsidRPr="00685539">
      <w:rPr>
        <w:rStyle w:val="SidhuvudUtskott"/>
      </w:rPr>
      <w:instrText>Utkast</w:instrText>
    </w:r>
    <w:r w:rsidRPr="00685539">
      <w:rPr>
        <w:rStyle w:val="SidhuvudUtskott"/>
      </w:rPr>
      <w:fldChar w:fldCharType="end"/>
    </w:r>
    <w:r w:rsidRPr="00685539">
      <w:instrText>"</w:instrText>
    </w:r>
    <w:r w:rsidRPr="00685539">
      <w:fldChar w:fldCharType="separate"/>
    </w:r>
    <w:r w:rsidRPr="00685539">
      <w:rPr>
        <w:rStyle w:val="SidhuvudUtskott"/>
      </w:rPr>
      <w:instrText>2007/08:ER1</w:instrText>
    </w:r>
    <w:r w:rsidRPr="00685539">
      <w:instrText xml:space="preserve">    </w:instrText>
    </w:r>
  </w:p>
  <w:p w:rsidR="00895E97" w:rsidRPr="00685539" w:rsidRDefault="00895E97">
    <w:pPr>
      <w:pStyle w:val="SidhuvudKantJmn"/>
      <w:framePr w:w="8732" w:h="567" w:hRule="exact" w:vSpace="0" w:wrap="around" w:vAnchor="page" w:y="341" w:anchorLock="0"/>
    </w:pPr>
  </w:p>
  <w:p w:rsidR="00895E97" w:rsidRPr="00685539" w:rsidRDefault="00895E97">
    <w:pPr>
      <w:pStyle w:val="SidhuvudKantJmn"/>
      <w:framePr w:w="8732" w:h="567" w:hRule="exact" w:vSpace="0" w:wrap="around" w:vAnchor="page" w:y="341" w:anchorLock="0"/>
    </w:pPr>
    <w:r w:rsidRPr="00685539">
      <w:rPr>
        <w:rStyle w:val="SidhuvudRubrikReferens"/>
        <w:smallCaps w:val="0"/>
      </w:rPr>
      <w:instrText xml:space="preserve"> </w:instrText>
    </w:r>
    <w:r w:rsidRPr="00685539">
      <w:fldChar w:fldCharType="end"/>
    </w:r>
    <w:r w:rsidRPr="00685539">
      <w:instrText>" " "</w:instrText>
    </w:r>
    <w:r w:rsidRPr="00685539">
      <w:fldChar w:fldCharType="separate"/>
    </w:r>
    <w:r w:rsidRPr="00685539">
      <w:rPr>
        <w:rStyle w:val="SidhuvudUtskott"/>
      </w:rPr>
      <w:t>2007/08:ER1</w:t>
    </w:r>
    <w:r w:rsidRPr="00685539">
      <w:t xml:space="preserve">    </w:t>
    </w:r>
  </w:p>
  <w:p w:rsidR="00895E97" w:rsidRPr="00685539" w:rsidRDefault="00895E97">
    <w:pPr>
      <w:pStyle w:val="SidhuvudKantJmn"/>
      <w:framePr w:w="8732" w:h="567" w:hRule="exact" w:vSpace="0" w:wrap="around" w:vAnchor="page" w:y="341" w:anchorLock="0"/>
    </w:pPr>
  </w:p>
  <w:p w:rsidR="00895E97" w:rsidRPr="00685539" w:rsidRDefault="00895E97">
    <w:pPr>
      <w:pStyle w:val="SidhuvudKantUdda"/>
      <w:framePr w:w="8732" w:h="567" w:hRule="exact" w:vSpace="0" w:wrap="around" w:vAnchor="page" w:y="341" w:anchorLock="0"/>
    </w:pPr>
    <w:r w:rsidRPr="00685539">
      <w:rPr>
        <w:rStyle w:val="SidhuvudRubrikReferens"/>
        <w:smallCaps w:val="0"/>
      </w:rPr>
      <w:t xml:space="preserve"> </w:t>
    </w:r>
    <w:r w:rsidRPr="00685539">
      <w:fldChar w:fldCharType="end"/>
    </w:r>
  </w:p>
  <w:p w:rsidR="00895E97" w:rsidRPr="00685539" w:rsidRDefault="00895E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00EF540A" w:rsidRPr="00685539">
      <w:rPr>
        <w:rStyle w:val="SidhuvudRubrikReferens"/>
      </w:rPr>
      <w:t>4 Huvudområden för församlingens verksamhet</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4 Huvudområden för församlingens verksamhet</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fldChar w:fldCharType="begin" w:fldLock="1"/>
    </w:r>
    <w:r w:rsidRPr="00685539">
      <w:instrText xml:space="preserve"> if </w:instrText>
    </w:r>
    <w:r w:rsidRPr="00685539">
      <w:fldChar w:fldCharType="begin" w:fldLock="1"/>
    </w:r>
    <w:r w:rsidRPr="00685539">
      <w:instrText xml:space="preserve"> page</w:instrText>
    </w:r>
    <w:r w:rsidRPr="00685539">
      <w:fldChar w:fldCharType="separate"/>
    </w:r>
    <w:r w:rsidRPr="00685539">
      <w:instrText>29</w:instrText>
    </w:r>
    <w:r w:rsidRPr="00685539">
      <w:fldChar w:fldCharType="end"/>
    </w:r>
    <w:r w:rsidRPr="00685539">
      <w:instrText xml:space="preserve"> &gt; 1 "</w:instrText>
    </w: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29</w:instrText>
    </w:r>
    <w:r w:rsidRPr="00685539">
      <w:fldChar w:fldCharType="end"/>
    </w:r>
    <w:r w:rsidRPr="00685539">
      <w:instrText xml:space="preserve">/2 </w:instrText>
    </w:r>
    <w:r w:rsidRPr="00685539">
      <w:fldChar w:fldCharType="separate"/>
    </w:r>
    <w:r w:rsidRPr="00685539">
      <w:instrText>14,5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29</w:instrText>
    </w:r>
    <w:r w:rsidRPr="00685539">
      <w:fldChar w:fldCharType="end"/>
    </w:r>
    <w:r w:rsidRPr="00685539">
      <w:instrText xml:space="preserve">/2) </w:instrText>
    </w:r>
    <w:r w:rsidRPr="00685539">
      <w:fldChar w:fldCharType="separate"/>
    </w:r>
    <w:r w:rsidRPr="00685539">
      <w:instrText>14</w:instrText>
    </w:r>
    <w:r w:rsidRPr="00685539">
      <w:fldChar w:fldCharType="end"/>
    </w:r>
    <w:r w:rsidRPr="00685539">
      <w:fldChar w:fldCharType="separate"/>
    </w:r>
    <w:r w:rsidRPr="00685539">
      <w:instrText>0,5</w:instrText>
    </w:r>
    <w:r w:rsidRPr="00685539">
      <w:fldChar w:fldCharType="end"/>
    </w:r>
    <w:r w:rsidRPr="00685539">
      <w:instrText xml:space="preserve"> = 0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w:instrText>
    </w:r>
    <w:r w:rsidRPr="00685539">
      <w:rPr>
        <w:rStyle w:val="SidhuvudUtskott"/>
      </w:rPr>
      <w:instrText>R</w:instrText>
    </w:r>
    <w:r w:rsidRPr="00685539">
      <w:rPr>
        <w:rStyle w:val="SidhuvudUtskott"/>
      </w:rPr>
      <w:instrText>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r w:rsidRPr="00685539">
      <w:instrText xml:space="preserve">    </w:instrText>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RubrikReferens"/>
        <w:smallCaps w:val="0"/>
      </w:rPr>
      <w:instrText xml:space="preserve"> </w:instrText>
    </w:r>
    <w:r w:rsidRPr="00685539">
      <w:instrText xml:space="preserve">"  "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r w:rsidRPr="00685539">
      <w:instrText>"</w:instrText>
    </w:r>
    <w:r w:rsidRPr="00685539">
      <w:fldChar w:fldCharType="separate"/>
    </w:r>
    <w:r w:rsidRPr="00685539">
      <w:instrText xml:space="preserve">  </w:instrText>
    </w:r>
    <w:r w:rsidRPr="00685539">
      <w:rPr>
        <w:rStyle w:val="SidhuvudUtskott"/>
      </w:rPr>
      <w:instrText>2007/08:ER1</w:instrText>
    </w:r>
  </w:p>
  <w:p w:rsidR="00895E97" w:rsidRPr="00685539" w:rsidRDefault="00895E97">
    <w:pPr>
      <w:pStyle w:val="SidhuvudKantUdda"/>
      <w:framePr w:w="8732" w:h="567" w:hRule="exact" w:vSpace="0" w:wrap="around" w:vAnchor="page" w:y="341" w:anchorLock="0"/>
    </w:pPr>
    <w:r w:rsidRPr="00685539">
      <w:fldChar w:fldCharType="end"/>
    </w:r>
    <w:r w:rsidRPr="00685539">
      <w:instrText>" " "</w:instrText>
    </w:r>
    <w:r w:rsidRPr="00685539">
      <w:fldChar w:fldCharType="separate"/>
    </w:r>
    <w:r w:rsidRPr="00685539">
      <w:t xml:space="preserve">  </w:t>
    </w:r>
    <w:r w:rsidRPr="00685539">
      <w:rPr>
        <w:rStyle w:val="SidhuvudUtskott"/>
      </w:rPr>
      <w:t>2007/08:ER1</w:t>
    </w:r>
  </w:p>
  <w:p w:rsidR="00895E97" w:rsidRPr="00685539" w:rsidRDefault="00895E97">
    <w:pPr>
      <w:pStyle w:val="SidhuvudKantUdda"/>
      <w:framePr w:w="8732" w:h="567" w:hRule="exact" w:vSpace="0" w:wrap="around" w:vAnchor="page" w:y="341" w:anchorLock="0"/>
    </w:pPr>
    <w:r w:rsidRPr="00685539">
      <w:fldChar w:fldCharType="end"/>
    </w:r>
  </w:p>
  <w:p w:rsidR="00895E97" w:rsidRPr="00685539" w:rsidRDefault="00895E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Sammanfattning</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EF540A">
    <w:pPr>
      <w:pStyle w:val="SidhuvudKantUdda"/>
      <w:framePr w:w="8732" w:h="567" w:hRule="exact" w:vSpace="0" w:wrap="around" w:vAnchor="page" w:y="341" w:anchorLock="0"/>
    </w:pPr>
    <w:r w:rsidRPr="00685539">
      <w:t xml:space="preserve"> </w:t>
    </w:r>
  </w:p>
  <w:p w:rsidR="00895E97" w:rsidRPr="00685539" w:rsidRDefault="00895E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00EF540A" w:rsidRPr="00685539">
      <w:rPr>
        <w:rStyle w:val="SidhuvudRubrikReferens"/>
      </w:rPr>
      <w:t>Europarådets medlemsstater 2007</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00EF540A" w:rsidRPr="00685539">
      <w:rPr>
        <w:rStyle w:val="SidhuvudRubrikReferens"/>
      </w:rPr>
      <w:t>Europarådets medlemsstater 2007</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fldChar w:fldCharType="begin" w:fldLock="1"/>
    </w:r>
    <w:r w:rsidRPr="00685539">
      <w:instrText xml:space="preserve"> if </w:instrText>
    </w:r>
    <w:r w:rsidRPr="00685539">
      <w:fldChar w:fldCharType="begin" w:fldLock="1"/>
    </w:r>
    <w:r w:rsidRPr="00685539">
      <w:instrText xml:space="preserve"> page</w:instrText>
    </w:r>
    <w:r w:rsidRPr="00685539">
      <w:fldChar w:fldCharType="separate"/>
    </w:r>
    <w:r w:rsidR="00EF540A" w:rsidRPr="00685539">
      <w:instrText>3</w:instrText>
    </w:r>
    <w:r w:rsidRPr="00685539">
      <w:fldChar w:fldCharType="end"/>
    </w:r>
    <w:r w:rsidRPr="00685539">
      <w:instrText xml:space="preserve"> &gt; 1 "</w:instrText>
    </w: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00EF540A" w:rsidRPr="00685539">
      <w:instrText>3</w:instrText>
    </w:r>
    <w:r w:rsidRPr="00685539">
      <w:fldChar w:fldCharType="end"/>
    </w:r>
    <w:r w:rsidRPr="00685539">
      <w:instrText xml:space="preserve">/2 </w:instrText>
    </w:r>
    <w:r w:rsidRPr="00685539">
      <w:fldChar w:fldCharType="separate"/>
    </w:r>
    <w:r w:rsidR="00EF540A" w:rsidRPr="00685539">
      <w:instrText>1,5</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00EF540A" w:rsidRPr="00685539">
      <w:instrText>3</w:instrText>
    </w:r>
    <w:r w:rsidRPr="00685539">
      <w:fldChar w:fldCharType="end"/>
    </w:r>
    <w:r w:rsidRPr="00685539">
      <w:instrText xml:space="preserve">/2) </w:instrText>
    </w:r>
    <w:r w:rsidRPr="00685539">
      <w:fldChar w:fldCharType="separate"/>
    </w:r>
    <w:r w:rsidR="00EF540A" w:rsidRPr="00685539">
      <w:instrText>1</w:instrText>
    </w:r>
    <w:r w:rsidRPr="00685539">
      <w:fldChar w:fldCharType="end"/>
    </w:r>
    <w:r w:rsidRPr="00685539">
      <w:fldChar w:fldCharType="separate"/>
    </w:r>
    <w:r w:rsidR="00EF540A" w:rsidRPr="00685539">
      <w:instrText>0,5</w:instrText>
    </w:r>
    <w:r w:rsidRPr="00685539">
      <w:fldChar w:fldCharType="end"/>
    </w:r>
    <w:r w:rsidRPr="00685539">
      <w:instrText xml:space="preserve"> = 0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w:instrText>
    </w:r>
    <w:r w:rsidRPr="00685539">
      <w:rPr>
        <w:rStyle w:val="SidhuvudUtskott"/>
      </w:rPr>
      <w:instrText>R</w:instrText>
    </w:r>
    <w:r w:rsidRPr="00685539">
      <w:rPr>
        <w:rStyle w:val="SidhuvudUtskott"/>
      </w:rPr>
      <w:instrText>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r w:rsidRPr="00685539">
      <w:instrText xml:space="preserve">    </w:instrText>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separate"/>
    </w:r>
    <w:r w:rsidRPr="00685539">
      <w:rPr>
        <w:rStyle w:val="SidhuvudUtskott"/>
      </w:rPr>
      <w:instrText>Utkast</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RubrikReferens"/>
        <w:smallCaps w:val="0"/>
      </w:rPr>
      <w:instrText xml:space="preserve"> </w:instrText>
    </w:r>
    <w:r w:rsidRPr="00685539">
      <w:instrText xml:space="preserve">"  "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p>
  <w:p w:rsidR="00EF540A"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r w:rsidRPr="00685539">
      <w:instrText>"</w:instrText>
    </w:r>
    <w:r w:rsidRPr="00685539">
      <w:fldChar w:fldCharType="separate"/>
    </w:r>
    <w:r w:rsidR="00EF540A" w:rsidRPr="00685539">
      <w:instrText xml:space="preserve">  </w:instrText>
    </w:r>
    <w:r w:rsidR="00EF540A" w:rsidRPr="00685539">
      <w:rPr>
        <w:rStyle w:val="SidhuvudUtskott"/>
      </w:rPr>
      <w:instrText>2007/08:ER1</w:instrText>
    </w:r>
  </w:p>
  <w:p w:rsidR="00EF540A" w:rsidRPr="00685539" w:rsidRDefault="00895E97">
    <w:pPr>
      <w:pStyle w:val="SidhuvudKantUdda"/>
      <w:framePr w:w="8732" w:h="567" w:hRule="exact" w:vSpace="0" w:wrap="around" w:vAnchor="page" w:y="341" w:anchorLock="0"/>
    </w:pPr>
    <w:r w:rsidRPr="00685539">
      <w:fldChar w:fldCharType="end"/>
    </w:r>
    <w:r w:rsidRPr="00685539">
      <w:instrText>" " "</w:instrText>
    </w:r>
    <w:r w:rsidRPr="00685539">
      <w:fldChar w:fldCharType="separate"/>
    </w:r>
    <w:r w:rsidR="00EF540A" w:rsidRPr="00685539">
      <w:t xml:space="preserve">  </w:t>
    </w:r>
    <w:r w:rsidR="00EF540A" w:rsidRPr="00685539">
      <w:rPr>
        <w:rStyle w:val="SidhuvudUtskott"/>
      </w:rPr>
      <w:t>2007/08:ER1</w:t>
    </w:r>
  </w:p>
  <w:p w:rsidR="00895E97" w:rsidRPr="00685539" w:rsidRDefault="00895E97">
    <w:pPr>
      <w:pStyle w:val="SidhuvudKantUdda"/>
      <w:framePr w:w="8732" w:h="567" w:hRule="exact" w:vSpace="0" w:wrap="around" w:vAnchor="page" w:y="341" w:anchorLock="0"/>
    </w:pPr>
    <w:r w:rsidRPr="00685539">
      <w:fldChar w:fldCharType="end"/>
    </w:r>
  </w:p>
  <w:p w:rsidR="00895E97" w:rsidRPr="00685539" w:rsidRDefault="00895E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t>1</w:t>
    </w:r>
    <w:r w:rsidRPr="00685539">
      <w:rPr>
        <w:rStyle w:val="SidhuvudUtskott"/>
      </w:rPr>
      <w:fldChar w:fldCharType="end"/>
    </w:r>
    <w:r w:rsidRPr="00685539">
      <w:t xml:space="preserve">     </w:t>
    </w:r>
    <w:r w:rsidRPr="00685539">
      <w:rPr>
        <w:rStyle w:val="SidhuvudBilaga"/>
      </w:rPr>
      <w:t xml:space="preserve"> </w:t>
    </w: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1 Europarådets roll i det europeiska samarbetet</w:t>
    </w:r>
    <w:r w:rsidRPr="00685539">
      <w:rPr>
        <w:rStyle w:val="SidhuvudRubrikReferens"/>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Udda"/>
      <w:framePr w:w="8732" w:h="567" w:hRule="exact" w:vSpace="0" w:wrap="around" w:vAnchor="page" w:y="341" w:anchorLock="0"/>
    </w:pPr>
    <w:r w:rsidRPr="00685539">
      <w:rPr>
        <w:rStyle w:val="SidhuvudRubrikReferens"/>
      </w:rPr>
      <w:fldChar w:fldCharType="begin" w:fldLock="1"/>
    </w:r>
    <w:r w:rsidRPr="00685539">
      <w:rPr>
        <w:rStyle w:val="SidhuvudRubrikReferens"/>
      </w:rPr>
      <w:instrText xml:space="preserve"> StyleREF "Rubrik 1" </w:instrText>
    </w:r>
    <w:r w:rsidRPr="00685539">
      <w:rPr>
        <w:rStyle w:val="SidhuvudRubrikReferens"/>
      </w:rPr>
      <w:fldChar w:fldCharType="separate"/>
    </w:r>
    <w:r w:rsidRPr="00685539">
      <w:rPr>
        <w:rStyle w:val="SidhuvudRubrikReferens"/>
      </w:rPr>
      <w:t>1 Europarådets roll i det europeiska samarbetet</w:t>
    </w:r>
    <w:r w:rsidRPr="00685539">
      <w:rPr>
        <w:rStyle w:val="SidhuvudRubrikReferens"/>
      </w:rPr>
      <w:fldChar w:fldCharType="end"/>
    </w:r>
    <w:r w:rsidRPr="00685539">
      <w:rPr>
        <w:rStyle w:val="SidhuvudBilaga"/>
      </w:rPr>
      <w:t xml:space="preserve"> </w:t>
    </w:r>
    <w:r w:rsidRPr="00685539">
      <w:t xml:space="preserve">     </w: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t>2007/08</w:t>
    </w:r>
    <w:r w:rsidRPr="00685539">
      <w:rPr>
        <w:rStyle w:val="SidhuvudUtskott"/>
      </w:rPr>
      <w:fldChar w:fldCharType="end"/>
    </w:r>
    <w:r w:rsidRPr="00685539">
      <w:rPr>
        <w:rStyle w:val="SidhuvudUtskott"/>
      </w:rPr>
      <w:t>:</w:t>
    </w:r>
    <w:r w:rsidRPr="00685539">
      <w:rPr>
        <w:rStyle w:val="SidhuvudUtskott"/>
      </w:rPr>
      <w:fldChar w:fldCharType="begin" w:fldLock="1"/>
    </w:r>
    <w:r w:rsidRPr="00685539">
      <w:rPr>
        <w:rStyle w:val="SidhuvudUtskott"/>
      </w:rPr>
      <w:instrText xml:space="preserve"> DOCPROPERTY</w:instrText>
    </w:r>
    <w:r w:rsidRPr="00685539">
      <w:instrText xml:space="preserve"> </w:instrText>
    </w:r>
    <w:r w:rsidRPr="00685539">
      <w:rPr>
        <w:rStyle w:val="SidhuvudUtskott"/>
      </w:rPr>
      <w:instrText>Utskott</w:instrText>
    </w:r>
    <w:r w:rsidRPr="00685539">
      <w:rPr>
        <w:rStyle w:val="SidhuvudUtskott"/>
      </w:rPr>
      <w:fldChar w:fldCharType="separate"/>
    </w:r>
    <w:r w:rsidRPr="00685539">
      <w:rPr>
        <w:rStyle w:val="SidhuvudUtskott"/>
      </w:rPr>
      <w:t>ER</w: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w:instrText>
    </w:r>
    <w:r w:rsidRPr="00685539">
      <w:rPr>
        <w:rStyle w:val="SidhuvudUtskott"/>
      </w:rPr>
      <w:instrText>n</w:instrText>
    </w:r>
    <w:r w:rsidRPr="00685539">
      <w:rPr>
        <w:rStyle w:val="SidhuvudUtskott"/>
      </w:rPr>
      <w:instrText>kandeNr</w:instrText>
    </w:r>
    <w:r w:rsidRPr="00685539">
      <w:rPr>
        <w:rStyle w:val="SidhuvudUtskott"/>
      </w:rPr>
      <w:fldChar w:fldCharType="separate"/>
    </w:r>
    <w:r w:rsidRPr="00685539">
      <w:rPr>
        <w:rStyle w:val="SidhuvudUtskott"/>
      </w:rPr>
      <w:t>1</w: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end"/>
    </w:r>
  </w:p>
  <w:p w:rsidR="00895E97" w:rsidRPr="00685539" w:rsidRDefault="00895E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E97" w:rsidRPr="00685539" w:rsidRDefault="00895E97">
    <w:pPr>
      <w:pStyle w:val="SidhuvudKantJmn"/>
      <w:framePr w:w="8732" w:h="567" w:hRule="exact" w:vSpace="0" w:wrap="around" w:vAnchor="page" w:y="341" w:anchorLock="0"/>
    </w:pPr>
    <w:r w:rsidRPr="00685539">
      <w:fldChar w:fldCharType="begin" w:fldLock="1"/>
    </w:r>
    <w:r w:rsidRPr="00685539">
      <w:instrText xml:space="preserve"> if </w:instrText>
    </w:r>
    <w:r w:rsidRPr="00685539">
      <w:fldChar w:fldCharType="begin" w:fldLock="1"/>
    </w:r>
    <w:r w:rsidRPr="00685539">
      <w:instrText xml:space="preserve"> page</w:instrText>
    </w:r>
    <w:r w:rsidRPr="00685539">
      <w:fldChar w:fldCharType="separate"/>
    </w:r>
    <w:r w:rsidRPr="00685539">
      <w:instrText>6</w:instrText>
    </w:r>
    <w:r w:rsidRPr="00685539">
      <w:fldChar w:fldCharType="end"/>
    </w:r>
    <w:r w:rsidRPr="00685539">
      <w:instrText xml:space="preserve"> &gt; 1 "</w:instrText>
    </w:r>
    <w:r w:rsidRPr="00685539">
      <w:fldChar w:fldCharType="begin" w:fldLock="1"/>
    </w:r>
    <w:r w:rsidRPr="00685539">
      <w:instrText xml:space="preserve"> if </w:instrText>
    </w:r>
    <w:r w:rsidRPr="00685539">
      <w:fldChar w:fldCharType="begin" w:fldLock="1"/>
    </w:r>
    <w:r w:rsidRPr="00685539">
      <w:instrText xml:space="preserve"> = </w:instrText>
    </w:r>
    <w:r w:rsidRPr="00685539">
      <w:fldChar w:fldCharType="begin" w:fldLock="1"/>
    </w:r>
    <w:r w:rsidRPr="00685539">
      <w:instrText xml:space="preserve"> = </w:instrText>
    </w:r>
    <w:r w:rsidRPr="00685539">
      <w:fldChar w:fldCharType="begin" w:fldLock="1"/>
    </w:r>
    <w:r w:rsidRPr="00685539">
      <w:instrText xml:space="preserve"> page</w:instrText>
    </w:r>
    <w:r w:rsidRPr="00685539">
      <w:fldChar w:fldCharType="separate"/>
    </w:r>
    <w:r w:rsidRPr="00685539">
      <w:instrText>6</w:instrText>
    </w:r>
    <w:r w:rsidRPr="00685539">
      <w:fldChar w:fldCharType="end"/>
    </w:r>
    <w:r w:rsidRPr="00685539">
      <w:instrText xml:space="preserve">/2 </w:instrText>
    </w:r>
    <w:r w:rsidRPr="00685539">
      <w:fldChar w:fldCharType="separate"/>
    </w:r>
    <w:r w:rsidRPr="00685539">
      <w:instrText>3</w:instrText>
    </w:r>
    <w:r w:rsidRPr="00685539">
      <w:fldChar w:fldCharType="end"/>
    </w:r>
    <w:r w:rsidRPr="00685539">
      <w:instrText xml:space="preserve"> - </w:instrText>
    </w:r>
    <w:r w:rsidRPr="00685539">
      <w:fldChar w:fldCharType="begin" w:fldLock="1"/>
    </w:r>
    <w:r w:rsidRPr="00685539">
      <w:instrText xml:space="preserve"> = int(</w:instrText>
    </w:r>
    <w:r w:rsidRPr="00685539">
      <w:fldChar w:fldCharType="begin" w:fldLock="1"/>
    </w:r>
    <w:r w:rsidRPr="00685539">
      <w:instrText xml:space="preserve"> page</w:instrText>
    </w:r>
    <w:r w:rsidRPr="00685539">
      <w:fldChar w:fldCharType="separate"/>
    </w:r>
    <w:r w:rsidRPr="00685539">
      <w:instrText>6</w:instrText>
    </w:r>
    <w:r w:rsidRPr="00685539">
      <w:fldChar w:fldCharType="end"/>
    </w:r>
    <w:r w:rsidRPr="00685539">
      <w:instrText xml:space="preserve">/2) </w:instrText>
    </w:r>
    <w:r w:rsidRPr="00685539">
      <w:fldChar w:fldCharType="separate"/>
    </w:r>
    <w:r w:rsidRPr="00685539">
      <w:instrText>3</w:instrText>
    </w:r>
    <w:r w:rsidRPr="00685539">
      <w:fldChar w:fldCharType="end"/>
    </w:r>
    <w:r w:rsidRPr="00685539">
      <w:fldChar w:fldCharType="separate"/>
    </w:r>
    <w:r w:rsidRPr="00685539">
      <w:instrText>0</w:instrText>
    </w:r>
    <w:r w:rsidRPr="00685539">
      <w:fldChar w:fldCharType="end"/>
    </w:r>
    <w:r w:rsidRPr="00685539">
      <w:instrText xml:space="preserve"> = 0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w:instrText>
    </w:r>
    <w:r w:rsidRPr="00685539">
      <w:rPr>
        <w:rStyle w:val="SidhuvudUtskott"/>
      </w:rPr>
      <w:instrText>R</w:instrText>
    </w:r>
    <w:r w:rsidRPr="00685539">
      <w:rPr>
        <w:rStyle w:val="SidhuvudUtskott"/>
      </w:rPr>
      <w:instrText>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r w:rsidRPr="00685539">
      <w:instrText xml:space="preserve">    </w:instrText>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DOCPROPERTY Status</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    </w:instrText>
    </w:r>
    <w:r w:rsidRPr="00685539">
      <w:rPr>
        <w:rStyle w:val="SidhuvudUtskott"/>
      </w:rPr>
      <w:fldChar w:fldCharType="begin" w:fldLock="1"/>
    </w:r>
    <w:r w:rsidRPr="00685539">
      <w:rPr>
        <w:rStyle w:val="SidhuvudUtskott"/>
      </w:rPr>
      <w:instrText xml:space="preserve"> PRINTDATE \@ "yyyy-MM-dd HH.mm"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p>
  <w:p w:rsidR="00895E97" w:rsidRPr="00685539" w:rsidRDefault="00895E97">
    <w:pPr>
      <w:pStyle w:val="SidhuvudKantUdda"/>
      <w:framePr w:w="8732" w:h="567" w:hRule="exact" w:vSpace="0" w:wrap="around" w:vAnchor="page" w:y="341" w:anchorLock="0"/>
    </w:pPr>
    <w:r w:rsidRPr="00685539">
      <w:rPr>
        <w:rStyle w:val="SidhuvudRubrikReferens"/>
        <w:smallCaps w:val="0"/>
      </w:rPr>
      <w:instrText xml:space="preserve"> </w:instrText>
    </w:r>
    <w:r w:rsidRPr="00685539">
      <w:instrText xml:space="preserve">"  "  </w:instrText>
    </w:r>
    <w:r w:rsidRPr="00685539">
      <w:rPr>
        <w:rStyle w:val="SidhuvudUtskott"/>
      </w:rPr>
      <w:fldChar w:fldCharType="begin" w:fldLock="1"/>
    </w:r>
    <w:r w:rsidRPr="00685539">
      <w:rPr>
        <w:rStyle w:val="SidhuvudUtskott"/>
      </w:rPr>
      <w:instrText xml:space="preserve"> DOCPROPERTY BetänkandeÅr</w:instrText>
    </w:r>
    <w:r w:rsidRPr="00685539">
      <w:rPr>
        <w:rStyle w:val="SidhuvudUtskott"/>
      </w:rPr>
      <w:fldChar w:fldCharType="separate"/>
    </w:r>
    <w:r w:rsidRPr="00685539">
      <w:rPr>
        <w:rStyle w:val="SidhuvudUtskott"/>
      </w:rPr>
      <w:instrText>2007/08</w:instrText>
    </w:r>
    <w:r w:rsidRPr="00685539">
      <w:rPr>
        <w:rStyle w:val="SidhuvudUtskott"/>
      </w:rPr>
      <w:fldChar w:fldCharType="end"/>
    </w:r>
    <w:r w:rsidRPr="00685539">
      <w:rPr>
        <w:rStyle w:val="SidhuvudUtskott"/>
      </w:rPr>
      <w:instrText>:</w:instrText>
    </w:r>
    <w:r w:rsidRPr="00685539">
      <w:rPr>
        <w:rStyle w:val="SidhuvudUtskott"/>
      </w:rPr>
      <w:fldChar w:fldCharType="begin" w:fldLock="1"/>
    </w:r>
    <w:r w:rsidRPr="00685539">
      <w:rPr>
        <w:rStyle w:val="SidhuvudUtskott"/>
      </w:rPr>
      <w:instrText xml:space="preserve"> DOCPROPERTY Utskott</w:instrText>
    </w:r>
    <w:r w:rsidRPr="00685539">
      <w:rPr>
        <w:rStyle w:val="SidhuvudUtskott"/>
      </w:rPr>
      <w:fldChar w:fldCharType="separate"/>
    </w:r>
    <w:r w:rsidRPr="00685539">
      <w:rPr>
        <w:rStyle w:val="SidhuvudUtskott"/>
      </w:rPr>
      <w:instrText>ER</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DOCPROPERTY BetänkandeNr</w:instrText>
    </w:r>
    <w:r w:rsidRPr="00685539">
      <w:rPr>
        <w:rStyle w:val="SidhuvudUtskott"/>
      </w:rPr>
      <w:fldChar w:fldCharType="separate"/>
    </w:r>
    <w:r w:rsidRPr="00685539">
      <w:rPr>
        <w:rStyle w:val="SidhuvudUtskott"/>
      </w:rPr>
      <w:instrText>1</w:instrText>
    </w:r>
    <w:r w:rsidRPr="00685539">
      <w:rPr>
        <w:rStyle w:val="SidhuvudUtskott"/>
      </w:rPr>
      <w:fldChar w:fldCharType="end"/>
    </w:r>
  </w:p>
  <w:p w:rsidR="00895E97" w:rsidRPr="00685539" w:rsidRDefault="00895E97">
    <w:pPr>
      <w:pStyle w:val="SidhuvudKantJmn"/>
      <w:framePr w:w="8732" w:h="567" w:hRule="exact" w:vSpace="0" w:wrap="around" w:vAnchor="page" w:y="341" w:anchorLock="0"/>
    </w:pPr>
    <w:r w:rsidRPr="00685539">
      <w:rPr>
        <w:rStyle w:val="SidhuvudUtskott"/>
      </w:rPr>
      <w:fldChar w:fldCharType="begin" w:fldLock="1"/>
    </w:r>
    <w:r w:rsidRPr="00685539">
      <w:rPr>
        <w:rStyle w:val="SidhuvudUtskott"/>
      </w:rPr>
      <w:instrText xml:space="preserve"> if </w:instrText>
    </w:r>
    <w:r w:rsidRPr="00685539">
      <w:rPr>
        <w:rStyle w:val="SidhuvudUtskott"/>
      </w:rPr>
      <w:fldChar w:fldCharType="begin" w:fldLock="1"/>
    </w:r>
    <w:r w:rsidRPr="00685539">
      <w:rPr>
        <w:rStyle w:val="SidhuvudUtskott"/>
      </w:rPr>
      <w:instrText xml:space="preserve"> DOCPROPERTY "UtkastDatum"</w:instrText>
    </w:r>
    <w:r w:rsidRPr="00685539">
      <w:rPr>
        <w:rStyle w:val="SidhuvudUtskott"/>
      </w:rPr>
      <w:fldChar w:fldCharType="separate"/>
    </w:r>
    <w:r w:rsidRPr="00685539">
      <w:rPr>
        <w:rStyle w:val="SidhuvudUtskott"/>
      </w:rPr>
      <w:instrText>Nej</w:instrText>
    </w:r>
    <w:r w:rsidRPr="00685539">
      <w:rPr>
        <w:rStyle w:val="SidhuvudUtskott"/>
      </w:rPr>
      <w:fldChar w:fldCharType="end"/>
    </w:r>
    <w:r w:rsidRPr="00685539">
      <w:rPr>
        <w:rStyle w:val="SidhuvudUtskott"/>
      </w:rPr>
      <w:instrText xml:space="preserve"> = "Ja" "</w:instrText>
    </w:r>
    <w:r w:rsidRPr="00685539">
      <w:rPr>
        <w:rStyle w:val="SidhuvudUtskott"/>
      </w:rPr>
      <w:fldChar w:fldCharType="begin" w:fldLock="1"/>
    </w:r>
    <w:r w:rsidRPr="00685539">
      <w:rPr>
        <w:rStyle w:val="SidhuvudUtskott"/>
      </w:rPr>
      <w:instrText xml:space="preserve"> PRINTDATE \@ "yyyy-MM-dd HH.mm    " </w:instrText>
    </w:r>
    <w:r w:rsidRPr="00685539">
      <w:rPr>
        <w:rStyle w:val="SidhuvudUtskott"/>
      </w:rPr>
      <w:fldChar w:fldCharType="separate"/>
    </w:r>
    <w:r w:rsidRPr="00685539">
      <w:rPr>
        <w:rStyle w:val="SidhuvudUtskott"/>
      </w:rPr>
      <w:instrText>2000-08-11 16.42</w:instrText>
    </w:r>
    <w:r w:rsidRPr="00685539">
      <w:rPr>
        <w:rStyle w:val="SidhuvudUtskott"/>
      </w:rPr>
      <w:fldChar w:fldCharType="end"/>
    </w:r>
    <w:r w:rsidRPr="00685539">
      <w:rPr>
        <w:rStyle w:val="SidhuvudUtskott"/>
      </w:rPr>
      <w:instrText xml:space="preserve">" </w:instrText>
    </w:r>
    <w:r w:rsidRPr="00685539">
      <w:rPr>
        <w:rStyle w:val="SidhuvudUtskott"/>
      </w:rPr>
      <w:fldChar w:fldCharType="end"/>
    </w:r>
    <w:r w:rsidRPr="00685539">
      <w:rPr>
        <w:rStyle w:val="SidhuvudUtskott"/>
      </w:rPr>
      <w:fldChar w:fldCharType="begin" w:fldLock="1"/>
    </w:r>
    <w:r w:rsidRPr="00685539">
      <w:rPr>
        <w:rStyle w:val="SidhuvudUtskott"/>
      </w:rPr>
      <w:instrText xml:space="preserve"> DOCPR</w:instrText>
    </w:r>
    <w:r w:rsidRPr="00685539">
      <w:rPr>
        <w:rStyle w:val="SidhuvudUtskott"/>
      </w:rPr>
      <w:instrText>O</w:instrText>
    </w:r>
    <w:r w:rsidRPr="00685539">
      <w:rPr>
        <w:rStyle w:val="SidhuvudUtskott"/>
      </w:rPr>
      <w:instrText>PERTY Status</w:instrText>
    </w:r>
    <w:r w:rsidRPr="00685539">
      <w:rPr>
        <w:rStyle w:val="SidhuvudUtskott"/>
      </w:rPr>
      <w:fldChar w:fldCharType="separate"/>
    </w:r>
    <w:r w:rsidRPr="00685539">
      <w:rPr>
        <w:rStyle w:val="SidhuvudUtskott"/>
      </w:rPr>
      <w:instrText>Utkast</w:instrText>
    </w:r>
    <w:r w:rsidRPr="00685539">
      <w:rPr>
        <w:rStyle w:val="SidhuvudUtskott"/>
      </w:rPr>
      <w:fldChar w:fldCharType="end"/>
    </w:r>
    <w:r w:rsidRPr="00685539">
      <w:instrText>"</w:instrText>
    </w:r>
    <w:r w:rsidRPr="00685539">
      <w:fldChar w:fldCharType="separate"/>
    </w:r>
    <w:r w:rsidRPr="00685539">
      <w:rPr>
        <w:rStyle w:val="SidhuvudUtskott"/>
      </w:rPr>
      <w:instrText>2007/08:ER1</w:instrText>
    </w:r>
    <w:r w:rsidRPr="00685539">
      <w:instrText xml:space="preserve">    </w:instrText>
    </w:r>
  </w:p>
  <w:p w:rsidR="00895E97" w:rsidRPr="00685539" w:rsidRDefault="00895E97">
    <w:pPr>
      <w:pStyle w:val="SidhuvudKantJmn"/>
      <w:framePr w:w="8732" w:h="567" w:hRule="exact" w:vSpace="0" w:wrap="around" w:vAnchor="page" w:y="341" w:anchorLock="0"/>
    </w:pPr>
  </w:p>
  <w:p w:rsidR="00895E97" w:rsidRPr="00685539" w:rsidRDefault="00895E97">
    <w:pPr>
      <w:pStyle w:val="SidhuvudKantJmn"/>
      <w:framePr w:w="8732" w:h="567" w:hRule="exact" w:vSpace="0" w:wrap="around" w:vAnchor="page" w:y="341" w:anchorLock="0"/>
    </w:pPr>
    <w:r w:rsidRPr="00685539">
      <w:rPr>
        <w:rStyle w:val="SidhuvudRubrikReferens"/>
        <w:smallCaps w:val="0"/>
      </w:rPr>
      <w:instrText xml:space="preserve"> </w:instrText>
    </w:r>
    <w:r w:rsidRPr="00685539">
      <w:fldChar w:fldCharType="end"/>
    </w:r>
    <w:r w:rsidRPr="00685539">
      <w:instrText>" " "</w:instrText>
    </w:r>
    <w:r w:rsidRPr="00685539">
      <w:fldChar w:fldCharType="separate"/>
    </w:r>
    <w:r w:rsidRPr="00685539">
      <w:rPr>
        <w:rStyle w:val="SidhuvudUtskott"/>
      </w:rPr>
      <w:t>2007/08:ER1</w:t>
    </w:r>
    <w:r w:rsidRPr="00685539">
      <w:t xml:space="preserve">    </w:t>
    </w:r>
  </w:p>
  <w:p w:rsidR="00895E97" w:rsidRPr="00685539" w:rsidRDefault="00895E97">
    <w:pPr>
      <w:pStyle w:val="SidhuvudKantJmn"/>
      <w:framePr w:w="8732" w:h="567" w:hRule="exact" w:vSpace="0" w:wrap="around" w:vAnchor="page" w:y="341" w:anchorLock="0"/>
    </w:pPr>
  </w:p>
  <w:p w:rsidR="00895E97" w:rsidRPr="00685539" w:rsidRDefault="00895E97">
    <w:pPr>
      <w:pStyle w:val="SidhuvudKantUdda"/>
      <w:framePr w:w="8732" w:h="567" w:hRule="exact" w:vSpace="0" w:wrap="around" w:vAnchor="page" w:y="341" w:anchorLock="0"/>
    </w:pPr>
    <w:r w:rsidRPr="00685539">
      <w:rPr>
        <w:rStyle w:val="SidhuvudRubrikReferens"/>
        <w:smallCaps w:val="0"/>
      </w:rPr>
      <w:t xml:space="preserve"> </w:t>
    </w:r>
    <w:r w:rsidRPr="00685539">
      <w:fldChar w:fldCharType="end"/>
    </w:r>
  </w:p>
  <w:p w:rsidR="00895E97" w:rsidRPr="00685539" w:rsidRDefault="00895E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3FF0"/>
    <w:multiLevelType w:val="hybridMultilevel"/>
    <w:tmpl w:val="1172B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2F6E84"/>
    <w:multiLevelType w:val="multilevel"/>
    <w:tmpl w:val="40AA3A0A"/>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E474D36"/>
    <w:multiLevelType w:val="hybridMultilevel"/>
    <w:tmpl w:val="C6E27890"/>
    <w:lvl w:ilvl="0" w:tplc="BFC468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C61FE4"/>
    <w:multiLevelType w:val="hybridMultilevel"/>
    <w:tmpl w:val="DD42E674"/>
    <w:lvl w:ilvl="0" w:tplc="041D000F">
      <w:start w:val="1"/>
      <w:numFmt w:val="decimal"/>
      <w:lvlText w:val="%1."/>
      <w:lvlJc w:val="left"/>
      <w:pPr>
        <w:tabs>
          <w:tab w:val="num" w:pos="928"/>
        </w:tabs>
        <w:ind w:left="928"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E52DE4"/>
    <w:multiLevelType w:val="hybridMultilevel"/>
    <w:tmpl w:val="DF7E97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8B14B7"/>
    <w:multiLevelType w:val="hybridMultilevel"/>
    <w:tmpl w:val="EF367CE6"/>
    <w:lvl w:ilvl="0" w:tplc="BFC468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49687D"/>
    <w:multiLevelType w:val="hybridMultilevel"/>
    <w:tmpl w:val="A83ED3B4"/>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num w:numId="1" w16cid:durableId="602997627">
    <w:abstractNumId w:val="12"/>
  </w:num>
  <w:num w:numId="2" w16cid:durableId="839351433">
    <w:abstractNumId w:val="8"/>
  </w:num>
  <w:num w:numId="3" w16cid:durableId="1879199475">
    <w:abstractNumId w:val="3"/>
  </w:num>
  <w:num w:numId="4" w16cid:durableId="331447353">
    <w:abstractNumId w:val="2"/>
  </w:num>
  <w:num w:numId="5" w16cid:durableId="1946764386">
    <w:abstractNumId w:val="1"/>
  </w:num>
  <w:num w:numId="6" w16cid:durableId="729184027">
    <w:abstractNumId w:val="0"/>
  </w:num>
  <w:num w:numId="7" w16cid:durableId="512502182">
    <w:abstractNumId w:val="9"/>
  </w:num>
  <w:num w:numId="8" w16cid:durableId="2094083788">
    <w:abstractNumId w:val="7"/>
  </w:num>
  <w:num w:numId="9" w16cid:durableId="136846301">
    <w:abstractNumId w:val="6"/>
  </w:num>
  <w:num w:numId="10" w16cid:durableId="480121918">
    <w:abstractNumId w:val="5"/>
  </w:num>
  <w:num w:numId="11" w16cid:durableId="1060906874">
    <w:abstractNumId w:val="4"/>
  </w:num>
  <w:num w:numId="12" w16cid:durableId="566653669">
    <w:abstractNumId w:val="14"/>
  </w:num>
  <w:num w:numId="13" w16cid:durableId="414934070">
    <w:abstractNumId w:val="17"/>
  </w:num>
  <w:num w:numId="14" w16cid:durableId="717899754">
    <w:abstractNumId w:val="10"/>
  </w:num>
  <w:num w:numId="15" w16cid:durableId="347369371">
    <w:abstractNumId w:val="15"/>
  </w:num>
  <w:num w:numId="16" w16cid:durableId="1878660192">
    <w:abstractNumId w:val="11"/>
  </w:num>
  <w:num w:numId="17" w16cid:durableId="1558469364">
    <w:abstractNumId w:val="16"/>
  </w:num>
  <w:num w:numId="18" w16cid:durableId="208997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708"/>
  </w:docVars>
  <w:rsids>
    <w:rsidRoot w:val="007C2D20"/>
    <w:rsid w:val="00037ACE"/>
    <w:rsid w:val="00051DBF"/>
    <w:rsid w:val="00063924"/>
    <w:rsid w:val="00075C4B"/>
    <w:rsid w:val="000B0A85"/>
    <w:rsid w:val="000E7BC0"/>
    <w:rsid w:val="0010124D"/>
    <w:rsid w:val="001441EB"/>
    <w:rsid w:val="001458CB"/>
    <w:rsid w:val="0015164F"/>
    <w:rsid w:val="0019399E"/>
    <w:rsid w:val="00194021"/>
    <w:rsid w:val="001C6495"/>
    <w:rsid w:val="001C7377"/>
    <w:rsid w:val="001D283E"/>
    <w:rsid w:val="001E5BC8"/>
    <w:rsid w:val="00203348"/>
    <w:rsid w:val="00242F67"/>
    <w:rsid w:val="00262D01"/>
    <w:rsid w:val="00291A6F"/>
    <w:rsid w:val="00293C4B"/>
    <w:rsid w:val="002B0969"/>
    <w:rsid w:val="002E2D23"/>
    <w:rsid w:val="002F06C3"/>
    <w:rsid w:val="002F19B5"/>
    <w:rsid w:val="002F406B"/>
    <w:rsid w:val="00302AD5"/>
    <w:rsid w:val="00322737"/>
    <w:rsid w:val="003229A7"/>
    <w:rsid w:val="00347B1E"/>
    <w:rsid w:val="00353011"/>
    <w:rsid w:val="003701DA"/>
    <w:rsid w:val="00394658"/>
    <w:rsid w:val="003B709E"/>
    <w:rsid w:val="003B7824"/>
    <w:rsid w:val="003C1E62"/>
    <w:rsid w:val="003C4B8D"/>
    <w:rsid w:val="00404B62"/>
    <w:rsid w:val="00420FB8"/>
    <w:rsid w:val="0044601F"/>
    <w:rsid w:val="00462A27"/>
    <w:rsid w:val="00464EF6"/>
    <w:rsid w:val="00484F62"/>
    <w:rsid w:val="004A6CC0"/>
    <w:rsid w:val="004D2C79"/>
    <w:rsid w:val="004E79E3"/>
    <w:rsid w:val="0050136C"/>
    <w:rsid w:val="005435C7"/>
    <w:rsid w:val="005F2D60"/>
    <w:rsid w:val="00614254"/>
    <w:rsid w:val="0062542C"/>
    <w:rsid w:val="0063749D"/>
    <w:rsid w:val="006422AD"/>
    <w:rsid w:val="00644530"/>
    <w:rsid w:val="00685539"/>
    <w:rsid w:val="00690E87"/>
    <w:rsid w:val="0069294A"/>
    <w:rsid w:val="006B44DC"/>
    <w:rsid w:val="006C2C98"/>
    <w:rsid w:val="00705DAF"/>
    <w:rsid w:val="007068D1"/>
    <w:rsid w:val="00741470"/>
    <w:rsid w:val="00783CA2"/>
    <w:rsid w:val="00785B5E"/>
    <w:rsid w:val="007A359A"/>
    <w:rsid w:val="007C2D20"/>
    <w:rsid w:val="007C2F28"/>
    <w:rsid w:val="007D57C5"/>
    <w:rsid w:val="007F160D"/>
    <w:rsid w:val="007F380F"/>
    <w:rsid w:val="00867681"/>
    <w:rsid w:val="00895E97"/>
    <w:rsid w:val="008A6C84"/>
    <w:rsid w:val="008C0E40"/>
    <w:rsid w:val="008D33B8"/>
    <w:rsid w:val="008D642F"/>
    <w:rsid w:val="00906852"/>
    <w:rsid w:val="00931E28"/>
    <w:rsid w:val="00961CED"/>
    <w:rsid w:val="00974060"/>
    <w:rsid w:val="00A37232"/>
    <w:rsid w:val="00AA2772"/>
    <w:rsid w:val="00AC1285"/>
    <w:rsid w:val="00AC17B1"/>
    <w:rsid w:val="00B373E1"/>
    <w:rsid w:val="00B6658B"/>
    <w:rsid w:val="00BA6202"/>
    <w:rsid w:val="00BF6A27"/>
    <w:rsid w:val="00C20F59"/>
    <w:rsid w:val="00C25E5A"/>
    <w:rsid w:val="00C33E00"/>
    <w:rsid w:val="00C614C8"/>
    <w:rsid w:val="00CC33C6"/>
    <w:rsid w:val="00CD212A"/>
    <w:rsid w:val="00CD71B1"/>
    <w:rsid w:val="00D1540A"/>
    <w:rsid w:val="00D2705C"/>
    <w:rsid w:val="00D74634"/>
    <w:rsid w:val="00D95335"/>
    <w:rsid w:val="00D97D43"/>
    <w:rsid w:val="00DA2D00"/>
    <w:rsid w:val="00DB3483"/>
    <w:rsid w:val="00DD1F6B"/>
    <w:rsid w:val="00DE5B02"/>
    <w:rsid w:val="00E07A81"/>
    <w:rsid w:val="00E2683C"/>
    <w:rsid w:val="00E77B62"/>
    <w:rsid w:val="00EA4DCE"/>
    <w:rsid w:val="00EF540A"/>
    <w:rsid w:val="00F10B10"/>
    <w:rsid w:val="00F421CC"/>
    <w:rsid w:val="00F53A97"/>
    <w:rsid w:val="00F87EE3"/>
    <w:rsid w:val="00F92F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D688A0-7188-4500-A682-6600F41F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basedOn w:val="Standardstycketeckensnitt"/>
    <w:link w:val="Fotnotstext"/>
    <w:rsid w:val="00075C4B"/>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Brdtext1">
    <w:name w:val="Brödtext1"/>
    <w:basedOn w:val="Normal"/>
    <w:rsid w:val="00075C4B"/>
    <w:pPr>
      <w:spacing w:before="0" w:line="320" w:lineRule="exact"/>
      <w:jc w:val="left"/>
    </w:pPr>
    <w:rPr>
      <w:sz w:val="24"/>
      <w:szCs w:val="24"/>
      <w:lang w:eastAsia="zh-CN"/>
    </w:rPr>
  </w:style>
  <w:style w:type="paragraph" w:customStyle="1" w:styleId="Depnamn">
    <w:name w:val="Depnamn"/>
    <w:basedOn w:val="Normal"/>
    <w:rsid w:val="00075C4B"/>
    <w:pPr>
      <w:spacing w:before="0" w:line="260" w:lineRule="exact"/>
      <w:jc w:val="left"/>
    </w:pPr>
    <w:rPr>
      <w:rFonts w:ascii="TradeGothic Bold" w:hAnsi="TradeGothic Bold"/>
      <w:b/>
      <w:bCs/>
      <w:sz w:val="22"/>
      <w:szCs w:val="22"/>
      <w:lang w:eastAsia="zh-CN"/>
    </w:rPr>
  </w:style>
  <w:style w:type="paragraph" w:customStyle="1" w:styleId="Enhetnamn">
    <w:name w:val="Enhetnamn"/>
    <w:basedOn w:val="Normal"/>
    <w:rsid w:val="00075C4B"/>
    <w:pPr>
      <w:spacing w:before="0" w:after="260" w:line="240" w:lineRule="auto"/>
      <w:jc w:val="left"/>
    </w:pPr>
    <w:rPr>
      <w:rFonts w:ascii="TradeGothic" w:hAnsi="TradeGothic"/>
      <w:i/>
      <w:iCs/>
      <w:sz w:val="18"/>
      <w:szCs w:val="18"/>
      <w:lang w:eastAsia="zh-CN"/>
    </w:rPr>
  </w:style>
  <w:style w:type="paragraph" w:customStyle="1" w:styleId="Namnenhet">
    <w:name w:val="Namnenhet"/>
    <w:basedOn w:val="Depnamn"/>
    <w:rsid w:val="00075C4B"/>
    <w:pPr>
      <w:framePr w:h="2183" w:wrap="notBeside" w:vAnchor="text" w:hAnchor="page" w:x="1447" w:y="1"/>
    </w:pPr>
    <w:rPr>
      <w:rFonts w:ascii="Arial" w:hAnsi="Arial" w:cs="Arial"/>
      <w:b w:val="0"/>
      <w:bCs w:val="0"/>
      <w:i/>
      <w:iCs/>
      <w:sz w:val="18"/>
      <w:szCs w:val="18"/>
    </w:rPr>
  </w:style>
  <w:style w:type="paragraph" w:customStyle="1" w:styleId="Brdtexthuvud">
    <w:name w:val="Brödtext huvud"/>
    <w:basedOn w:val="Brdtext1"/>
    <w:rsid w:val="00075C4B"/>
    <w:pPr>
      <w:framePr w:w="4570" w:h="1701" w:hRule="exact" w:hSpace="181" w:wrap="around" w:vAnchor="page" w:hAnchor="page" w:x="6697" w:y="681"/>
    </w:pPr>
    <w:rPr>
      <w:rFonts w:ascii="Arial" w:hAnsi="Arial" w:cs="Arial"/>
    </w:rPr>
  </w:style>
  <w:style w:type="paragraph" w:customStyle="1" w:styleId="UDrubrik">
    <w:name w:val="UDrubrik"/>
    <w:basedOn w:val="Normal"/>
    <w:next w:val="Brdtext1"/>
    <w:rsid w:val="00075C4B"/>
    <w:pPr>
      <w:spacing w:before="0" w:line="320" w:lineRule="exact"/>
      <w:jc w:val="left"/>
    </w:pPr>
    <w:rPr>
      <w:rFonts w:ascii="TradeGothic Bold" w:hAnsi="TradeGothic Bold"/>
      <w:b/>
      <w:bCs/>
      <w:sz w:val="22"/>
      <w:szCs w:val="22"/>
      <w:lang w:eastAsia="zh-CN"/>
    </w:rPr>
  </w:style>
  <w:style w:type="paragraph" w:customStyle="1" w:styleId="Mellanrubrik">
    <w:name w:val="Mellanrubrik"/>
    <w:basedOn w:val="Brdtext1"/>
    <w:next w:val="Brdtext1"/>
    <w:rsid w:val="00075C4B"/>
    <w:rPr>
      <w:rFonts w:ascii="TradeGothic" w:hAnsi="TradeGothic"/>
      <w:b/>
      <w:bCs/>
      <w:sz w:val="22"/>
      <w:szCs w:val="22"/>
    </w:rPr>
  </w:style>
  <w:style w:type="paragraph" w:customStyle="1" w:styleId="RKnormal">
    <w:name w:val="RKnormal"/>
    <w:basedOn w:val="Normal"/>
    <w:rsid w:val="00075C4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rsid w:val="00075C4B"/>
    <w:pPr>
      <w:keepNext/>
      <w:tabs>
        <w:tab w:val="left" w:pos="1134"/>
      </w:tabs>
      <w:spacing w:before="360" w:after="120"/>
    </w:pPr>
    <w:rPr>
      <w:rFonts w:ascii="TradeGothic" w:hAnsi="TradeGothic"/>
      <w:b/>
      <w:sz w:val="22"/>
    </w:rPr>
  </w:style>
  <w:style w:type="paragraph" w:styleId="Normalwebb">
    <w:name w:val="Normal (Web)"/>
    <w:basedOn w:val="Normal"/>
    <w:rsid w:val="00075C4B"/>
    <w:pPr>
      <w:spacing w:before="100" w:beforeAutospacing="1" w:after="100" w:afterAutospacing="1" w:line="240" w:lineRule="auto"/>
      <w:jc w:val="left"/>
    </w:pPr>
    <w:rPr>
      <w:rFonts w:ascii="Verdana" w:hAnsi="Verdana"/>
      <w:sz w:val="17"/>
      <w:szCs w:val="17"/>
    </w:rPr>
  </w:style>
  <w:style w:type="character" w:styleId="Hyperlnk">
    <w:name w:val="Hyperlink"/>
    <w:basedOn w:val="Standardstycketeckensnitt"/>
    <w:rsid w:val="00075C4B"/>
    <w:rPr>
      <w:color w:val="0000FF"/>
      <w:u w:val="single"/>
    </w:rPr>
  </w:style>
  <w:style w:type="character" w:customStyle="1" w:styleId="NormaltindragChar">
    <w:name w:val="Normalt indrag Char"/>
    <w:basedOn w:val="Standardstycketeckensnitt"/>
    <w:link w:val="Normaltindrag"/>
    <w:rsid w:val="00464EF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16756</Words>
  <Characters>108077</Characters>
  <Application>Microsoft Office Word</Application>
  <DocSecurity>4</DocSecurity>
  <Lines>2001</Lines>
  <Paragraphs>617</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2008-03-04T09:08:00Z</cp:lastPrinted>
  <dcterms:created xsi:type="dcterms:W3CDTF">2025-12-17T11:28:00Z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