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670DC1" w:rsidRPr="007A26AA">
        <w:tblPrEx>
          <w:tblCellMar>
            <w:top w:w="0" w:type="dxa"/>
            <w:bottom w:w="0" w:type="dxa"/>
          </w:tblCellMar>
        </w:tblPrEx>
        <w:tc>
          <w:tcPr>
            <w:tcW w:w="2268" w:type="dxa"/>
          </w:tcPr>
          <w:p w:rsidR="00670DC1" w:rsidRPr="007A26AA" w:rsidRDefault="00670DC1" w:rsidP="008D743B">
            <w:pPr>
              <w:framePr w:w="4400" w:h="1644" w:wrap="notBeside" w:vAnchor="page" w:hAnchor="page" w:x="6573" w:y="721"/>
              <w:spacing w:line="240" w:lineRule="auto"/>
              <w:rPr>
                <w:rFonts w:ascii="TradeGothic" w:hAnsi="TradeGothic"/>
                <w:i/>
                <w:sz w:val="18"/>
              </w:rPr>
            </w:pPr>
          </w:p>
        </w:tc>
        <w:tc>
          <w:tcPr>
            <w:tcW w:w="2347" w:type="dxa"/>
            <w:gridSpan w:val="2"/>
          </w:tcPr>
          <w:p w:rsidR="00670DC1" w:rsidRPr="007A26AA" w:rsidRDefault="00670DC1" w:rsidP="008D743B">
            <w:pPr>
              <w:framePr w:w="4400" w:h="1644" w:wrap="notBeside" w:vAnchor="page" w:hAnchor="page" w:x="6573" w:y="721"/>
              <w:spacing w:line="240" w:lineRule="auto"/>
              <w:rPr>
                <w:rFonts w:ascii="TradeGothic" w:hAnsi="TradeGothic"/>
                <w:i/>
                <w:sz w:val="18"/>
              </w:rPr>
            </w:pPr>
          </w:p>
        </w:tc>
      </w:tr>
      <w:tr w:rsidR="00670DC1" w:rsidRPr="007A26AA">
        <w:tblPrEx>
          <w:tblCellMar>
            <w:top w:w="0" w:type="dxa"/>
            <w:bottom w:w="0" w:type="dxa"/>
          </w:tblCellMar>
        </w:tblPrEx>
        <w:trPr>
          <w:cantSplit/>
        </w:trPr>
        <w:tc>
          <w:tcPr>
            <w:tcW w:w="4615" w:type="dxa"/>
            <w:gridSpan w:val="3"/>
          </w:tcPr>
          <w:p w:rsidR="00816EB4" w:rsidRPr="007A26AA" w:rsidRDefault="00816EB4" w:rsidP="008D743B">
            <w:pPr>
              <w:framePr w:w="4400" w:h="1644" w:wrap="notBeside" w:vAnchor="page" w:hAnchor="page" w:x="6573" w:y="721"/>
              <w:spacing w:line="240" w:lineRule="auto"/>
              <w:rPr>
                <w:rFonts w:ascii="TradeGothic" w:hAnsi="TradeGothic"/>
                <w:sz w:val="22"/>
              </w:rPr>
            </w:pPr>
            <w:r w:rsidRPr="007A26AA">
              <w:rPr>
                <w:rFonts w:ascii="TradeGothic" w:hAnsi="TradeGothic"/>
                <w:sz w:val="22"/>
              </w:rPr>
              <w:t xml:space="preserve"> </w:t>
            </w:r>
          </w:p>
          <w:p w:rsidR="00670DC1" w:rsidRPr="007A26AA" w:rsidRDefault="00670DC1" w:rsidP="008D743B">
            <w:pPr>
              <w:framePr w:w="4400" w:h="1644" w:wrap="notBeside" w:vAnchor="page" w:hAnchor="page" w:x="6573" w:y="721"/>
              <w:spacing w:line="240" w:lineRule="auto"/>
              <w:rPr>
                <w:rFonts w:ascii="TradeGothic" w:hAnsi="TradeGothic"/>
                <w:b/>
                <w:sz w:val="22"/>
              </w:rPr>
            </w:pPr>
            <w:r w:rsidRPr="007A26AA">
              <w:rPr>
                <w:rFonts w:ascii="TradeGothic" w:hAnsi="TradeGothic"/>
                <w:b/>
                <w:sz w:val="22"/>
              </w:rPr>
              <w:t>Rådspromemoria</w:t>
            </w:r>
          </w:p>
        </w:tc>
      </w:tr>
      <w:tr w:rsidR="00670DC1" w:rsidRPr="007A26AA">
        <w:tblPrEx>
          <w:tblCellMar>
            <w:top w:w="0" w:type="dxa"/>
            <w:bottom w:w="0" w:type="dxa"/>
          </w:tblCellMar>
        </w:tblPrEx>
        <w:tc>
          <w:tcPr>
            <w:tcW w:w="3402" w:type="dxa"/>
            <w:gridSpan w:val="2"/>
          </w:tcPr>
          <w:p w:rsidR="00670DC1" w:rsidRPr="007A26AA" w:rsidRDefault="00670DC1" w:rsidP="008D743B">
            <w:pPr>
              <w:framePr w:w="4400" w:h="1644" w:wrap="notBeside" w:vAnchor="page" w:hAnchor="page" w:x="6573" w:y="721"/>
              <w:spacing w:line="240" w:lineRule="auto"/>
            </w:pPr>
          </w:p>
        </w:tc>
        <w:tc>
          <w:tcPr>
            <w:tcW w:w="1213" w:type="dxa"/>
          </w:tcPr>
          <w:p w:rsidR="00670DC1" w:rsidRPr="007A26AA" w:rsidRDefault="00670DC1" w:rsidP="008D743B">
            <w:pPr>
              <w:framePr w:w="4400" w:h="1644" w:wrap="notBeside" w:vAnchor="page" w:hAnchor="page" w:x="6573" w:y="721"/>
              <w:spacing w:line="240" w:lineRule="auto"/>
            </w:pPr>
          </w:p>
        </w:tc>
      </w:tr>
      <w:tr w:rsidR="00670DC1" w:rsidRPr="007A26AA">
        <w:tblPrEx>
          <w:tblCellMar>
            <w:top w:w="0" w:type="dxa"/>
            <w:bottom w:w="0" w:type="dxa"/>
          </w:tblCellMar>
        </w:tblPrEx>
        <w:tc>
          <w:tcPr>
            <w:tcW w:w="2268" w:type="dxa"/>
          </w:tcPr>
          <w:p w:rsidR="00670DC1" w:rsidRPr="007A26AA" w:rsidRDefault="00670DC1" w:rsidP="008D743B">
            <w:pPr>
              <w:framePr w:w="4400" w:h="1644" w:wrap="notBeside" w:vAnchor="page" w:hAnchor="page" w:x="6573" w:y="721"/>
              <w:spacing w:line="240" w:lineRule="auto"/>
            </w:pPr>
            <w:r w:rsidRPr="007A26AA">
              <w:t>20</w:t>
            </w:r>
            <w:r w:rsidR="00A556A9" w:rsidRPr="007A26AA">
              <w:t>10- 05- 2</w:t>
            </w:r>
            <w:r w:rsidR="00341AFD" w:rsidRPr="007A26AA">
              <w:t>8</w:t>
            </w:r>
          </w:p>
        </w:tc>
        <w:tc>
          <w:tcPr>
            <w:tcW w:w="2347" w:type="dxa"/>
            <w:gridSpan w:val="2"/>
          </w:tcPr>
          <w:p w:rsidR="00670DC1" w:rsidRPr="007A26AA" w:rsidRDefault="00670DC1" w:rsidP="008D743B">
            <w:pPr>
              <w:framePr w:w="4400" w:h="1644" w:wrap="notBeside" w:vAnchor="page" w:hAnchor="page" w:x="6573" w:y="721"/>
              <w:spacing w:line="240" w:lineRule="auto"/>
            </w:pPr>
          </w:p>
        </w:tc>
      </w:tr>
      <w:tr w:rsidR="00670DC1" w:rsidRPr="007A26AA">
        <w:tblPrEx>
          <w:tblCellMar>
            <w:top w:w="0" w:type="dxa"/>
            <w:bottom w:w="0" w:type="dxa"/>
          </w:tblCellMar>
        </w:tblPrEx>
        <w:tc>
          <w:tcPr>
            <w:tcW w:w="2268" w:type="dxa"/>
          </w:tcPr>
          <w:p w:rsidR="00670DC1" w:rsidRPr="007A26AA" w:rsidRDefault="00670DC1" w:rsidP="008D743B">
            <w:pPr>
              <w:framePr w:w="4400" w:h="1644" w:wrap="notBeside" w:vAnchor="page" w:hAnchor="page" w:x="6573" w:y="721"/>
              <w:spacing w:line="240" w:lineRule="auto"/>
            </w:pPr>
          </w:p>
        </w:tc>
        <w:tc>
          <w:tcPr>
            <w:tcW w:w="2347" w:type="dxa"/>
            <w:gridSpan w:val="2"/>
          </w:tcPr>
          <w:p w:rsidR="00670DC1" w:rsidRPr="007A26AA" w:rsidRDefault="00670DC1" w:rsidP="008D743B">
            <w:pPr>
              <w:framePr w:w="4400" w:h="1644" w:wrap="notBeside" w:vAnchor="page" w:hAnchor="page" w:x="6573" w:y="721"/>
              <w:spacing w:line="240" w:lineRule="auto"/>
            </w:pPr>
          </w:p>
        </w:tc>
      </w:tr>
    </w:tbl>
    <w:tbl>
      <w:tblPr>
        <w:tblW w:w="0" w:type="auto"/>
        <w:tblLayout w:type="fixed"/>
        <w:tblLook w:val="0000" w:firstRow="0" w:lastRow="0" w:firstColumn="0" w:lastColumn="0" w:noHBand="0" w:noVBand="0"/>
      </w:tblPr>
      <w:tblGrid>
        <w:gridCol w:w="4911"/>
      </w:tblGrid>
      <w:tr w:rsidR="00670DC1" w:rsidRPr="007A26AA">
        <w:tblPrEx>
          <w:tblCellMar>
            <w:top w:w="0" w:type="dxa"/>
            <w:bottom w:w="0" w:type="dxa"/>
          </w:tblCellMar>
        </w:tblPrEx>
        <w:trPr>
          <w:trHeight w:val="284"/>
        </w:trPr>
        <w:tc>
          <w:tcPr>
            <w:tcW w:w="4911" w:type="dxa"/>
          </w:tcPr>
          <w:p w:rsidR="00670DC1" w:rsidRPr="007A26AA" w:rsidRDefault="00670DC1" w:rsidP="008D743B">
            <w:pPr>
              <w:pStyle w:val="Avsndare"/>
              <w:framePr w:h="2483" w:wrap="notBeside" w:x="1504"/>
              <w:spacing w:line="240" w:lineRule="auto"/>
              <w:rPr>
                <w:b/>
                <w:i w:val="0"/>
                <w:sz w:val="22"/>
              </w:rPr>
            </w:pPr>
            <w:r w:rsidRPr="007A26AA">
              <w:rPr>
                <w:b/>
                <w:i w:val="0"/>
                <w:sz w:val="22"/>
              </w:rPr>
              <w:t>Socialdepartementet</w:t>
            </w:r>
          </w:p>
        </w:tc>
      </w:tr>
      <w:tr w:rsidR="00670DC1" w:rsidRPr="007A26AA">
        <w:tblPrEx>
          <w:tblCellMar>
            <w:top w:w="0" w:type="dxa"/>
            <w:bottom w:w="0" w:type="dxa"/>
          </w:tblCellMar>
        </w:tblPrEx>
        <w:trPr>
          <w:trHeight w:val="284"/>
        </w:trPr>
        <w:tc>
          <w:tcPr>
            <w:tcW w:w="4911" w:type="dxa"/>
          </w:tcPr>
          <w:p w:rsidR="00670DC1" w:rsidRPr="007A26AA" w:rsidRDefault="00670DC1" w:rsidP="008D743B">
            <w:pPr>
              <w:pStyle w:val="Avsndare"/>
              <w:framePr w:h="2483" w:wrap="notBeside" w:x="1504"/>
              <w:spacing w:line="240" w:lineRule="auto"/>
              <w:rPr>
                <w:bCs/>
                <w:iCs/>
              </w:rPr>
            </w:pPr>
          </w:p>
        </w:tc>
      </w:tr>
      <w:tr w:rsidR="00670DC1" w:rsidRPr="007A26AA">
        <w:tblPrEx>
          <w:tblCellMar>
            <w:top w:w="0" w:type="dxa"/>
            <w:bottom w:w="0" w:type="dxa"/>
          </w:tblCellMar>
        </w:tblPrEx>
        <w:trPr>
          <w:trHeight w:val="284"/>
        </w:trPr>
        <w:tc>
          <w:tcPr>
            <w:tcW w:w="4911" w:type="dxa"/>
          </w:tcPr>
          <w:p w:rsidR="00670DC1" w:rsidRPr="007A26AA" w:rsidRDefault="00670DC1" w:rsidP="008D743B">
            <w:pPr>
              <w:pStyle w:val="Avsndare"/>
              <w:framePr w:h="2483" w:wrap="notBeside" w:x="1504"/>
              <w:spacing w:line="240" w:lineRule="auto"/>
              <w:rPr>
                <w:bCs/>
                <w:iCs/>
              </w:rPr>
            </w:pPr>
            <w:r w:rsidRPr="007A26AA">
              <w:rPr>
                <w:bCs/>
                <w:iCs/>
              </w:rPr>
              <w:t>Socialförsäkringsenheten</w:t>
            </w:r>
          </w:p>
          <w:p w:rsidR="00816EB4" w:rsidRPr="007A26AA" w:rsidRDefault="00816EB4" w:rsidP="008D743B">
            <w:pPr>
              <w:pStyle w:val="Avsndare"/>
              <w:framePr w:h="2483" w:wrap="notBeside" w:x="1504"/>
              <w:spacing w:line="240" w:lineRule="auto"/>
              <w:rPr>
                <w:bCs/>
                <w:iCs/>
              </w:rPr>
            </w:pPr>
            <w:r w:rsidRPr="007A26AA">
              <w:rPr>
                <w:bCs/>
                <w:iCs/>
              </w:rPr>
              <w:t>Lena Malmberg</w:t>
            </w:r>
          </w:p>
        </w:tc>
      </w:tr>
      <w:tr w:rsidR="00670DC1" w:rsidRPr="007A26AA">
        <w:tblPrEx>
          <w:tblCellMar>
            <w:top w:w="0" w:type="dxa"/>
            <w:bottom w:w="0" w:type="dxa"/>
          </w:tblCellMar>
        </w:tblPrEx>
        <w:trPr>
          <w:trHeight w:val="284"/>
        </w:trPr>
        <w:tc>
          <w:tcPr>
            <w:tcW w:w="4911" w:type="dxa"/>
          </w:tcPr>
          <w:p w:rsidR="00670DC1" w:rsidRPr="007A26AA" w:rsidRDefault="00670DC1" w:rsidP="008D743B">
            <w:pPr>
              <w:pStyle w:val="Avsndare"/>
              <w:framePr w:h="2483" w:wrap="notBeside" w:x="1504"/>
              <w:spacing w:line="240" w:lineRule="auto"/>
              <w:rPr>
                <w:bCs/>
                <w:iCs/>
              </w:rPr>
            </w:pPr>
          </w:p>
        </w:tc>
      </w:tr>
      <w:tr w:rsidR="00670DC1" w:rsidRPr="007A26AA">
        <w:tblPrEx>
          <w:tblCellMar>
            <w:top w:w="0" w:type="dxa"/>
            <w:bottom w:w="0" w:type="dxa"/>
          </w:tblCellMar>
        </w:tblPrEx>
        <w:trPr>
          <w:trHeight w:val="284"/>
        </w:trPr>
        <w:tc>
          <w:tcPr>
            <w:tcW w:w="4911" w:type="dxa"/>
          </w:tcPr>
          <w:p w:rsidR="00670DC1" w:rsidRPr="007A26AA" w:rsidRDefault="00670DC1" w:rsidP="008D743B">
            <w:pPr>
              <w:pStyle w:val="Avsndare"/>
              <w:framePr w:h="2483" w:wrap="notBeside" w:x="1504"/>
              <w:spacing w:line="240" w:lineRule="auto"/>
              <w:rPr>
                <w:bCs/>
                <w:iCs/>
              </w:rPr>
            </w:pPr>
          </w:p>
        </w:tc>
      </w:tr>
      <w:tr w:rsidR="00670DC1" w:rsidRPr="007A26AA">
        <w:tblPrEx>
          <w:tblCellMar>
            <w:top w:w="0" w:type="dxa"/>
            <w:bottom w:w="0" w:type="dxa"/>
          </w:tblCellMar>
        </w:tblPrEx>
        <w:trPr>
          <w:trHeight w:val="284"/>
        </w:trPr>
        <w:tc>
          <w:tcPr>
            <w:tcW w:w="4911" w:type="dxa"/>
          </w:tcPr>
          <w:p w:rsidR="00670DC1" w:rsidRPr="007A26AA" w:rsidRDefault="00670DC1" w:rsidP="008D743B">
            <w:pPr>
              <w:pStyle w:val="Avsndare"/>
              <w:framePr w:h="2483" w:wrap="notBeside" w:x="1504"/>
              <w:spacing w:line="240" w:lineRule="auto"/>
              <w:rPr>
                <w:bCs/>
                <w:iCs/>
              </w:rPr>
            </w:pPr>
          </w:p>
        </w:tc>
      </w:tr>
      <w:tr w:rsidR="00670DC1" w:rsidRPr="007A26AA">
        <w:tblPrEx>
          <w:tblCellMar>
            <w:top w:w="0" w:type="dxa"/>
            <w:bottom w:w="0" w:type="dxa"/>
          </w:tblCellMar>
        </w:tblPrEx>
        <w:trPr>
          <w:trHeight w:val="284"/>
        </w:trPr>
        <w:tc>
          <w:tcPr>
            <w:tcW w:w="4911" w:type="dxa"/>
          </w:tcPr>
          <w:p w:rsidR="00670DC1" w:rsidRPr="007A26AA" w:rsidRDefault="00670DC1" w:rsidP="008D743B">
            <w:pPr>
              <w:pStyle w:val="Avsndare"/>
              <w:framePr w:h="2483" w:wrap="notBeside" w:x="1504"/>
              <w:spacing w:line="240" w:lineRule="auto"/>
              <w:rPr>
                <w:bCs/>
                <w:iCs/>
              </w:rPr>
            </w:pPr>
          </w:p>
        </w:tc>
      </w:tr>
      <w:tr w:rsidR="00670DC1" w:rsidRPr="007A26AA">
        <w:tblPrEx>
          <w:tblCellMar>
            <w:top w:w="0" w:type="dxa"/>
            <w:bottom w:w="0" w:type="dxa"/>
          </w:tblCellMar>
        </w:tblPrEx>
        <w:trPr>
          <w:trHeight w:val="284"/>
        </w:trPr>
        <w:tc>
          <w:tcPr>
            <w:tcW w:w="4911" w:type="dxa"/>
          </w:tcPr>
          <w:p w:rsidR="00670DC1" w:rsidRPr="007A26AA" w:rsidRDefault="00670DC1" w:rsidP="008D743B">
            <w:pPr>
              <w:pStyle w:val="Avsndare"/>
              <w:framePr w:h="2483" w:wrap="notBeside" w:x="1504"/>
              <w:spacing w:line="240" w:lineRule="auto"/>
              <w:rPr>
                <w:bCs/>
                <w:iCs/>
              </w:rPr>
            </w:pPr>
          </w:p>
        </w:tc>
      </w:tr>
      <w:tr w:rsidR="00670DC1" w:rsidRPr="007A26AA">
        <w:tblPrEx>
          <w:tblCellMar>
            <w:top w:w="0" w:type="dxa"/>
            <w:bottom w:w="0" w:type="dxa"/>
          </w:tblCellMar>
        </w:tblPrEx>
        <w:trPr>
          <w:trHeight w:val="284"/>
        </w:trPr>
        <w:tc>
          <w:tcPr>
            <w:tcW w:w="4911" w:type="dxa"/>
          </w:tcPr>
          <w:p w:rsidR="00670DC1" w:rsidRPr="007A26AA" w:rsidRDefault="00670DC1" w:rsidP="008D743B">
            <w:pPr>
              <w:pStyle w:val="Avsndare"/>
              <w:framePr w:h="2483" w:wrap="notBeside" w:x="1504"/>
              <w:spacing w:line="240" w:lineRule="auto"/>
              <w:rPr>
                <w:bCs/>
                <w:iCs/>
              </w:rPr>
            </w:pPr>
          </w:p>
        </w:tc>
      </w:tr>
    </w:tbl>
    <w:p w:rsidR="00670DC1" w:rsidRPr="007A26AA" w:rsidRDefault="00670DC1" w:rsidP="008D743B">
      <w:pPr>
        <w:framePr w:w="4400" w:h="2523" w:wrap="notBeside" w:vAnchor="page" w:hAnchor="page" w:x="6453" w:y="2445"/>
        <w:spacing w:line="240" w:lineRule="auto"/>
        <w:ind w:left="142"/>
        <w:rPr>
          <w:b/>
        </w:rPr>
      </w:pPr>
    </w:p>
    <w:p w:rsidR="00670DC1" w:rsidRPr="007A26AA" w:rsidRDefault="00670DC1" w:rsidP="003F31E1">
      <w:pPr>
        <w:pStyle w:val="RKrubrik"/>
        <w:pBdr>
          <w:bottom w:val="single" w:sz="6" w:space="1" w:color="auto"/>
        </w:pBdr>
        <w:spacing w:line="240" w:lineRule="auto"/>
      </w:pPr>
      <w:bookmarkStart w:id="0" w:name="bRubrik"/>
      <w:bookmarkEnd w:id="0"/>
      <w:r w:rsidRPr="007A26AA">
        <w:t>EPSCO rådets möte den</w:t>
      </w:r>
      <w:r w:rsidR="00FA66EE" w:rsidRPr="007A26AA">
        <w:t xml:space="preserve"> </w:t>
      </w:r>
      <w:r w:rsidR="00A556A9" w:rsidRPr="007A26AA">
        <w:t>7 juni 2010</w:t>
      </w:r>
      <w:r w:rsidR="00891C3F" w:rsidRPr="007A26AA">
        <w:t xml:space="preserve"> </w:t>
      </w:r>
      <w:r w:rsidR="003F31E1" w:rsidRPr="007A26AA">
        <w:t xml:space="preserve"> – dagordningspunkt 10.</w:t>
      </w:r>
    </w:p>
    <w:p w:rsidR="00670DC1" w:rsidRPr="007A26AA" w:rsidRDefault="00670DC1" w:rsidP="008D743B">
      <w:pPr>
        <w:pStyle w:val="RKnormal"/>
        <w:spacing w:line="240" w:lineRule="auto"/>
      </w:pPr>
    </w:p>
    <w:p w:rsidR="00A46E39" w:rsidRPr="007A26AA" w:rsidRDefault="00A46E39" w:rsidP="003517D5">
      <w:pPr>
        <w:pStyle w:val="RKnormal"/>
      </w:pPr>
    </w:p>
    <w:p w:rsidR="00A46E39" w:rsidRPr="007A26AA" w:rsidRDefault="00A46E39" w:rsidP="003517D5">
      <w:pPr>
        <w:pStyle w:val="RKnormal"/>
      </w:pPr>
      <w:r w:rsidRPr="007A26AA">
        <w:t>Kom(2007) 787, 788, 789, 790, 792, 793 med förslag till rådets beslut om gemenskapens ståndpunkt i det stabiliserings- och associeringsråd som inrättas genom stabiliserings- och associeringsavtalet mellan Europeiska gemenskaperna och deras medlemsstater å ena sidan, och Algeriet, Makedonien, Marocko, Israel, Kroatien och Tunisien å andra sidan, vad avser antagandet av bestämmelser om samordning av de sociala trygghetssystemen.</w:t>
      </w:r>
    </w:p>
    <w:p w:rsidR="00A46E39" w:rsidRPr="007A26AA" w:rsidRDefault="00A46E39" w:rsidP="003517D5">
      <w:pPr>
        <w:pStyle w:val="RKnormal"/>
      </w:pPr>
    </w:p>
    <w:p w:rsidR="00A46E39" w:rsidRPr="007A26AA" w:rsidRDefault="00E6480E" w:rsidP="00A46E39">
      <w:pPr>
        <w:rPr>
          <w:b/>
          <w:bCs/>
        </w:rPr>
      </w:pPr>
      <w:r w:rsidRPr="007A26AA">
        <w:rPr>
          <w:b/>
          <w:bCs/>
        </w:rPr>
        <w:t>Dokument</w:t>
      </w:r>
      <w:r w:rsidR="003517D5" w:rsidRPr="007A26AA">
        <w:rPr>
          <w:b/>
          <w:bCs/>
        </w:rPr>
        <w:t xml:space="preserve">: </w:t>
      </w:r>
    </w:p>
    <w:p w:rsidR="007F538B" w:rsidRPr="007A26AA" w:rsidRDefault="007F538B" w:rsidP="00A46E39"/>
    <w:p w:rsidR="00A46E39" w:rsidRPr="007A26AA" w:rsidRDefault="00CF28B2" w:rsidP="00CF28B2">
      <w:r w:rsidRPr="007A26AA">
        <w:t>9991</w:t>
      </w:r>
      <w:r w:rsidR="00A46E39" w:rsidRPr="007A26AA">
        <w:t xml:space="preserve">/10 LMITE SOC </w:t>
      </w:r>
      <w:r w:rsidRPr="007A26AA">
        <w:t>360</w:t>
      </w:r>
    </w:p>
    <w:p w:rsidR="00A46E39" w:rsidRPr="007A26AA" w:rsidRDefault="00CF28B2" w:rsidP="00CF28B2">
      <w:r w:rsidRPr="007A26AA">
        <w:t>9996/</w:t>
      </w:r>
      <w:r w:rsidR="00A46E39" w:rsidRPr="007A26AA">
        <w:t xml:space="preserve">10 LIMITE SOC </w:t>
      </w:r>
      <w:r w:rsidRPr="007A26AA">
        <w:t>362</w:t>
      </w:r>
    </w:p>
    <w:p w:rsidR="00A46E39" w:rsidRPr="007A26AA" w:rsidRDefault="00CF28B2" w:rsidP="00CF28B2">
      <w:r w:rsidRPr="007A26AA">
        <w:t>10008</w:t>
      </w:r>
      <w:r w:rsidR="00A46E39" w:rsidRPr="007A26AA">
        <w:t xml:space="preserve">/10 LIMITE SOC </w:t>
      </w:r>
      <w:r w:rsidRPr="007A26AA">
        <w:t>363</w:t>
      </w:r>
    </w:p>
    <w:p w:rsidR="00A46E39" w:rsidRPr="007A26AA" w:rsidRDefault="00CF28B2" w:rsidP="00CF28B2">
      <w:r w:rsidRPr="007A26AA">
        <w:t>10009</w:t>
      </w:r>
      <w:r w:rsidR="00A46E39" w:rsidRPr="007A26AA">
        <w:t xml:space="preserve">/10 LIMITE SOC </w:t>
      </w:r>
      <w:r w:rsidRPr="007A26AA">
        <w:t>364</w:t>
      </w:r>
    </w:p>
    <w:p w:rsidR="00A46E39" w:rsidRPr="007A26AA" w:rsidRDefault="00CF28B2" w:rsidP="00CF28B2">
      <w:r w:rsidRPr="007A26AA">
        <w:t>10010</w:t>
      </w:r>
      <w:r w:rsidR="00A46E39" w:rsidRPr="007A26AA">
        <w:t xml:space="preserve">/10 LIMITE SOC </w:t>
      </w:r>
      <w:r w:rsidRPr="007A26AA">
        <w:t>365</w:t>
      </w:r>
    </w:p>
    <w:p w:rsidR="00A46E39" w:rsidRPr="007A26AA" w:rsidRDefault="00CF28B2" w:rsidP="00CF28B2">
      <w:r w:rsidRPr="007A26AA">
        <w:t>10011</w:t>
      </w:r>
      <w:r w:rsidR="00A46E39" w:rsidRPr="007A26AA">
        <w:t>/10 LIMITE SOC 3</w:t>
      </w:r>
      <w:r w:rsidRPr="007A26AA">
        <w:t>66</w:t>
      </w:r>
    </w:p>
    <w:p w:rsidR="00A46E39" w:rsidRPr="007A26AA" w:rsidRDefault="00A46E39" w:rsidP="00A46E39">
      <w:r w:rsidRPr="007A26AA">
        <w:t>9992/10 LIMITE SOC 361</w:t>
      </w:r>
    </w:p>
    <w:p w:rsidR="00E6480E" w:rsidRPr="007A26AA" w:rsidRDefault="00E6480E" w:rsidP="00A46E39">
      <w:pPr>
        <w:pStyle w:val="RKnormal"/>
      </w:pPr>
    </w:p>
    <w:p w:rsidR="00E6480E" w:rsidRPr="007A26AA" w:rsidRDefault="00E6480E" w:rsidP="008D743B">
      <w:pPr>
        <w:pStyle w:val="RKnormal"/>
        <w:spacing w:line="240" w:lineRule="auto"/>
      </w:pPr>
    </w:p>
    <w:p w:rsidR="007F538B" w:rsidRPr="007A26AA" w:rsidRDefault="00E6480E" w:rsidP="007F538B">
      <w:pPr>
        <w:rPr>
          <w:b/>
          <w:bCs/>
          <w:color w:val="000000"/>
        </w:rPr>
      </w:pPr>
      <w:r w:rsidRPr="007A26AA">
        <w:rPr>
          <w:b/>
          <w:bCs/>
        </w:rPr>
        <w:t>Tidigare dokument:</w:t>
      </w:r>
      <w:r w:rsidRPr="007A26AA">
        <w:rPr>
          <w:b/>
          <w:bCs/>
          <w:color w:val="000000"/>
        </w:rPr>
        <w:t xml:space="preserve"> </w:t>
      </w:r>
    </w:p>
    <w:p w:rsidR="007F538B" w:rsidRPr="007A26AA" w:rsidRDefault="007F538B" w:rsidP="007F538B">
      <w:pPr>
        <w:rPr>
          <w:color w:val="000000"/>
        </w:rPr>
      </w:pPr>
    </w:p>
    <w:p w:rsidR="007F538B" w:rsidRPr="007A26AA" w:rsidRDefault="007F538B" w:rsidP="007F538B">
      <w:r w:rsidRPr="007A26AA">
        <w:rPr>
          <w:color w:val="000000"/>
        </w:rPr>
        <w:t>FPM2007/08 FPM. Samordning av de sociala trygghetssystemen mellan EU och Algeriet, Israel, Kroatien, Makedonien, Marocko och Tunisien.</w:t>
      </w:r>
      <w:r w:rsidRPr="007A26AA">
        <w:t xml:space="preserve">  Dokument 5574/10 LIMITE SOC 37</w:t>
      </w:r>
    </w:p>
    <w:p w:rsidR="007F538B" w:rsidRPr="007A26AA" w:rsidRDefault="007F538B" w:rsidP="007F538B">
      <w:r w:rsidRPr="007A26AA">
        <w:t>MA1</w:t>
      </w:r>
    </w:p>
    <w:p w:rsidR="007F538B" w:rsidRPr="007A26AA" w:rsidRDefault="007F538B" w:rsidP="007F538B">
      <w:r w:rsidRPr="007A26AA">
        <w:t>AL1</w:t>
      </w:r>
    </w:p>
    <w:p w:rsidR="007F538B" w:rsidRPr="007A26AA" w:rsidRDefault="007F538B" w:rsidP="007F538B">
      <w:r w:rsidRPr="007A26AA">
        <w:t>TU1</w:t>
      </w:r>
    </w:p>
    <w:p w:rsidR="007F538B" w:rsidRPr="007A26AA" w:rsidRDefault="007F538B" w:rsidP="007F538B">
      <w:r w:rsidRPr="007A26AA">
        <w:t>ISR4</w:t>
      </w:r>
    </w:p>
    <w:p w:rsidR="007F538B" w:rsidRPr="007A26AA" w:rsidRDefault="007F538B" w:rsidP="007F538B">
      <w:r w:rsidRPr="007A26AA">
        <w:t>HR3</w:t>
      </w:r>
    </w:p>
    <w:p w:rsidR="007F538B" w:rsidRPr="007A26AA" w:rsidRDefault="007F538B" w:rsidP="007F538B">
      <w:r w:rsidRPr="007A26AA">
        <w:lastRenderedPageBreak/>
        <w:t>COWEB 16</w:t>
      </w:r>
    </w:p>
    <w:p w:rsidR="00644707" w:rsidRPr="007A26AA" w:rsidRDefault="00644707" w:rsidP="007F538B">
      <w:pPr>
        <w:pStyle w:val="RKnormal"/>
        <w:spacing w:line="240" w:lineRule="auto"/>
      </w:pPr>
    </w:p>
    <w:p w:rsidR="00B312D4" w:rsidRPr="007A26AA" w:rsidRDefault="00670DC1" w:rsidP="008D743B">
      <w:pPr>
        <w:pStyle w:val="RKrubrik"/>
        <w:spacing w:line="240" w:lineRule="auto"/>
        <w:rPr>
          <w:iCs/>
        </w:rPr>
      </w:pPr>
      <w:r w:rsidRPr="007A26AA">
        <w:rPr>
          <w:iCs/>
        </w:rPr>
        <w:t>Bakgrund</w:t>
      </w:r>
    </w:p>
    <w:p w:rsidR="007F538B" w:rsidRPr="007A26AA" w:rsidRDefault="007F538B" w:rsidP="007F538B">
      <w:r w:rsidRPr="007A26AA">
        <w:t xml:space="preserve">Europeiska gemenskaperna har ingått associeringsavtal med ett antal tredje länder i närområdet, däribland Algeriet, Israel, Kroatien, Makedonien, Marocko och Tunisien. Syftet med avtalen är att bidra till stabilitet samt till en positiv ekonomisk och social utveckling. Avtalen innehåller bestämmelser om frihandel, politisk dialog och samarbete på en rad olika områden. </w:t>
      </w:r>
      <w:r w:rsidR="00341AFD" w:rsidRPr="007A26AA" w:rsidDel="00341AFD">
        <w:t xml:space="preserve"> </w:t>
      </w:r>
    </w:p>
    <w:p w:rsidR="00341AFD" w:rsidRPr="007A26AA" w:rsidRDefault="007F538B" w:rsidP="00341AFD">
      <w:r w:rsidRPr="007A26AA">
        <w:t xml:space="preserve">Avtalen innehåller också regler om samordning av de sociala trygghetssystemen för arbetstagare och deras familjemedlemmar. </w:t>
      </w:r>
    </w:p>
    <w:p w:rsidR="00341AFD" w:rsidRPr="007A26AA" w:rsidRDefault="00341AFD" w:rsidP="00341AFD"/>
    <w:p w:rsidR="007F538B" w:rsidRPr="007A26AA" w:rsidRDefault="007F538B" w:rsidP="00341AFD">
      <w:r w:rsidRPr="007A26AA">
        <w:t>För att regler</w:t>
      </w:r>
      <w:r w:rsidR="00341AFD" w:rsidRPr="007A26AA">
        <w:t>na om samordning av de sociala trygghetssystemen</w:t>
      </w:r>
      <w:r w:rsidRPr="007A26AA">
        <w:t xml:space="preserve"> </w:t>
      </w:r>
      <w:r w:rsidR="00341AFD" w:rsidRPr="007A26AA">
        <w:t xml:space="preserve">i avtalen </w:t>
      </w:r>
      <w:r w:rsidRPr="007A26AA">
        <w:t>ska träda ikraft krävs att associeringsråd</w:t>
      </w:r>
      <w:r w:rsidR="00341AFD" w:rsidRPr="007A26AA">
        <w:t>et för respektive avtal</w:t>
      </w:r>
      <w:r w:rsidRPr="007A26AA">
        <w:rPr>
          <w:rStyle w:val="Fotnotsreferens"/>
          <w:szCs w:val="24"/>
        </w:rPr>
        <w:footnoteReference w:id="1"/>
      </w:r>
      <w:r w:rsidRPr="007A26AA">
        <w:t xml:space="preserve"> antar särskilda bestämmelser. Kommissionen lade den 11 och 12 december 2007 fram förslag till att godkänna sådana regler angående avtalen med Algeriet, Israel, Kroatien, Makedonien, Marocko och Tunisien. Förslagen bygger på avtalens bestämmelser som dock skiljer sig åt i vissa avseenden. </w:t>
      </w:r>
    </w:p>
    <w:p w:rsidR="00341AFD" w:rsidRPr="007A26AA" w:rsidRDefault="00341AFD" w:rsidP="00341AFD"/>
    <w:p w:rsidR="00341AFD" w:rsidRPr="007A26AA" w:rsidRDefault="00341AFD" w:rsidP="00341AFD">
      <w:r w:rsidRPr="007A26AA">
        <w:t>Under denna dagordningspunkt ska EPSCO-rådet godkänna kommissionens förslag, varmed EU:s representation i associeringsråden (rådet och kommissionen) kan anta förslagen tillsammans med associeringslandet. Därmed kan reglerna om samordning av sociala trygghetssystem träda i kraft enligt respektive avtal.</w:t>
      </w:r>
    </w:p>
    <w:p w:rsidR="00670DC1" w:rsidRPr="007A26AA" w:rsidRDefault="00670DC1" w:rsidP="008D743B">
      <w:pPr>
        <w:pStyle w:val="RKrubrik"/>
        <w:spacing w:line="240" w:lineRule="auto"/>
        <w:rPr>
          <w:iCs/>
        </w:rPr>
      </w:pPr>
      <w:r w:rsidRPr="007A26AA">
        <w:rPr>
          <w:iCs/>
        </w:rPr>
        <w:t>Rättslig grund och beslutsförfarande</w:t>
      </w:r>
    </w:p>
    <w:p w:rsidR="007F538B" w:rsidRPr="007A26AA" w:rsidRDefault="007F538B" w:rsidP="007F538B">
      <w:pPr>
        <w:pStyle w:val="RKnormal"/>
      </w:pPr>
      <w:r w:rsidRPr="007A26AA">
        <w:t>Artiklarna  217 och 218 (9) och artikel 79(2) EUF- fördraget</w:t>
      </w:r>
      <w:r w:rsidR="00D539E7" w:rsidRPr="007A26AA">
        <w:t>, antas med QMV</w:t>
      </w:r>
    </w:p>
    <w:p w:rsidR="00670DC1" w:rsidRPr="007A26AA" w:rsidRDefault="00670DC1" w:rsidP="008D743B">
      <w:pPr>
        <w:pStyle w:val="RKrubrik"/>
        <w:spacing w:line="240" w:lineRule="auto"/>
      </w:pPr>
      <w:r w:rsidRPr="007A26AA">
        <w:t>Svensk ståndpunkt</w:t>
      </w:r>
    </w:p>
    <w:p w:rsidR="004508B6" w:rsidRPr="007A26AA" w:rsidRDefault="00341AFD" w:rsidP="004508B6">
      <w:pPr>
        <w:pStyle w:val="RKnormal"/>
      </w:pPr>
      <w:r w:rsidRPr="007A26AA">
        <w:t xml:space="preserve">Regeringen föreslår att Sverige </w:t>
      </w:r>
      <w:r w:rsidR="004508B6" w:rsidRPr="007A26AA">
        <w:t>stöder förslaget.</w:t>
      </w:r>
      <w:r w:rsidR="004E6EC1" w:rsidRPr="007A26AA">
        <w:t xml:space="preserve"> Bestämmelserna om samordning av de sociala trygghetssystemen mellan EU och dessa tredje länder har gynnsamma effekter för bl.a. arbetskraftens rörlighet mellan länderna.</w:t>
      </w:r>
    </w:p>
    <w:p w:rsidR="00670DC1" w:rsidRPr="007A26AA" w:rsidRDefault="00670DC1" w:rsidP="008D743B">
      <w:pPr>
        <w:pStyle w:val="RKrubrik"/>
        <w:spacing w:line="240" w:lineRule="auto"/>
        <w:rPr>
          <w:iCs/>
        </w:rPr>
      </w:pPr>
      <w:r w:rsidRPr="007A26AA">
        <w:rPr>
          <w:iCs/>
        </w:rPr>
        <w:t>Europaparlamentets inställning</w:t>
      </w:r>
    </w:p>
    <w:p w:rsidR="004508B6" w:rsidRPr="007A26AA" w:rsidRDefault="004508B6" w:rsidP="004508B6">
      <w:pPr>
        <w:pStyle w:val="RKnormal"/>
      </w:pPr>
      <w:r w:rsidRPr="007A26AA">
        <w:t>Inte aktuellt.</w:t>
      </w:r>
    </w:p>
    <w:p w:rsidR="00670DC1" w:rsidRPr="007A26AA" w:rsidRDefault="00670DC1" w:rsidP="008D743B">
      <w:pPr>
        <w:pStyle w:val="RKrubrik"/>
        <w:spacing w:line="240" w:lineRule="auto"/>
      </w:pPr>
      <w:r w:rsidRPr="007A26AA">
        <w:t>Förslaget</w:t>
      </w:r>
    </w:p>
    <w:p w:rsidR="004508B6" w:rsidRPr="007A26AA" w:rsidRDefault="004508B6" w:rsidP="004508B6">
      <w:r w:rsidRPr="007A26AA">
        <w:t>Det spanska ordförandeskapet har arbetat med att få likalydande  avtalstexter utifrån Associationsavtalen och fått till stånd texter med i huvudsak likalydande innehåll så långt det varit möjligt med hänsyn till den bakomliggande texten.</w:t>
      </w:r>
    </w:p>
    <w:p w:rsidR="004508B6" w:rsidRPr="007A26AA" w:rsidRDefault="004508B6" w:rsidP="004508B6">
      <w:pPr>
        <w:pStyle w:val="RKnormal"/>
      </w:pPr>
    </w:p>
    <w:p w:rsidR="004508B6" w:rsidRPr="007A26AA" w:rsidRDefault="004508B6" w:rsidP="004508B6">
      <w:pPr>
        <w:pStyle w:val="RKnormal"/>
      </w:pPr>
      <w:r w:rsidRPr="007A26AA">
        <w:t xml:space="preserve">Förmåner som omfattas av  avtalen har samma materiella innebörd som i </w:t>
      </w:r>
      <w:r w:rsidR="00341AFD" w:rsidRPr="007A26AA">
        <w:t>EU-</w:t>
      </w:r>
      <w:r w:rsidRPr="007A26AA">
        <w:t>förordningen 883/2004</w:t>
      </w:r>
      <w:r w:rsidR="00341AFD" w:rsidRPr="007A26AA">
        <w:t xml:space="preserve"> om samordning av de sociala trygghetssystemen</w:t>
      </w:r>
      <w:r w:rsidRPr="007A26AA">
        <w:t xml:space="preserve">. </w:t>
      </w:r>
      <w:r w:rsidR="007B6043" w:rsidRPr="007A26AA">
        <w:t xml:space="preserve">Avtalens </w:t>
      </w:r>
      <w:r w:rsidRPr="007A26AA">
        <w:t>personkrets är emellertid snävare och omfattar endast medborgare i avtalsländerna som är arbetstagare och deras medföljande familjemedlemmar. Vidare innebär avtalen att vissa förmåner som intjänats i EU länderna eller avtalsländerna ska exporteras utanför respektive lands gränser till personer som vistas i något annat av de avtalade länderna</w:t>
      </w:r>
      <w:r w:rsidR="007B6043" w:rsidRPr="007A26AA">
        <w:t xml:space="preserve"> (s.k. exportabla förmåner)</w:t>
      </w:r>
      <w:r w:rsidRPr="007A26AA">
        <w:t xml:space="preserve">. Familjeförmåner kommer endast att utges till familjemedlemmar som är bosatta i samma land som arbetstagaren och </w:t>
      </w:r>
      <w:r w:rsidR="007B6043" w:rsidRPr="007A26AA">
        <w:t xml:space="preserve">de kan </w:t>
      </w:r>
      <w:r w:rsidRPr="007A26AA">
        <w:t>inte exporteras utanför arbetslandets gränser.  Vissa särskilda förmåner som anges i bilagan X till förordningen 883/2004 ska också vara undantagna från export. Ålders- och efterlevandepension, förmåner vid olycksfall i arbetet och arbetssjukdomar, liksom invaliditetsförmåner (vad gäller avtalet med Israel) som en  arbetstagare tjänat in under arbete i något av de avtalsslutande länderna ska däremot kunna exporteras.</w:t>
      </w:r>
    </w:p>
    <w:p w:rsidR="007B6043" w:rsidRPr="007A26AA" w:rsidRDefault="007B6043" w:rsidP="004508B6">
      <w:pPr>
        <w:pStyle w:val="RKnormal"/>
      </w:pPr>
    </w:p>
    <w:p w:rsidR="004508B6" w:rsidRPr="007A26AA" w:rsidRDefault="007B6043" w:rsidP="004508B6">
      <w:pPr>
        <w:pStyle w:val="RKnormal"/>
      </w:pPr>
      <w:r w:rsidRPr="007A26AA">
        <w:t xml:space="preserve">Inom </w:t>
      </w:r>
      <w:r w:rsidR="004508B6" w:rsidRPr="007A26AA">
        <w:t xml:space="preserve">EU- området gäller förordningen 859/2003( eller kommande förordning som ersätter denna) för </w:t>
      </w:r>
      <w:r w:rsidRPr="007A26AA">
        <w:t xml:space="preserve">samordning av socialförsäkringsförmåner för </w:t>
      </w:r>
      <w:r w:rsidR="004508B6" w:rsidRPr="007A26AA">
        <w:t>tredjelandsmedborgare</w:t>
      </w:r>
      <w:r w:rsidRPr="007A26AA">
        <w:t>. U</w:t>
      </w:r>
      <w:r w:rsidR="004508B6" w:rsidRPr="007A26AA">
        <w:t xml:space="preserve">tanför EU- området i de avtalsslutande länderna kommer avtalen att tillämpas för medborgare i något av dessa länder. </w:t>
      </w:r>
    </w:p>
    <w:p w:rsidR="004508B6" w:rsidRPr="007A26AA" w:rsidRDefault="004508B6" w:rsidP="004508B6">
      <w:pPr>
        <w:pStyle w:val="RKnormal"/>
      </w:pPr>
    </w:p>
    <w:p w:rsidR="007B6043" w:rsidRPr="007A26AA" w:rsidRDefault="004508B6" w:rsidP="004508B6">
      <w:pPr>
        <w:pStyle w:val="Punktlista"/>
        <w:numPr>
          <w:ilvl w:val="0"/>
          <w:numId w:val="0"/>
        </w:numPr>
        <w:spacing w:line="240" w:lineRule="auto"/>
      </w:pPr>
      <w:r w:rsidRPr="007A26AA">
        <w:t xml:space="preserve">Irland och UK, som har möjlighet att besluta att tillämpa avtalen eller avstå har beslutat att tillämpa </w:t>
      </w:r>
      <w:r w:rsidR="007B6043" w:rsidRPr="007A26AA">
        <w:t>associations</w:t>
      </w:r>
      <w:r w:rsidRPr="007A26AA">
        <w:t xml:space="preserve">avtalen. </w:t>
      </w:r>
    </w:p>
    <w:p w:rsidR="007B6043" w:rsidRPr="007A26AA" w:rsidRDefault="007B6043" w:rsidP="004508B6">
      <w:pPr>
        <w:pStyle w:val="Punktlista"/>
        <w:numPr>
          <w:ilvl w:val="0"/>
          <w:numId w:val="0"/>
        </w:numPr>
        <w:spacing w:line="240" w:lineRule="auto"/>
      </w:pPr>
    </w:p>
    <w:p w:rsidR="008C6C23" w:rsidRPr="007A26AA" w:rsidRDefault="004508B6" w:rsidP="004508B6">
      <w:pPr>
        <w:pStyle w:val="Punktlista"/>
        <w:numPr>
          <w:ilvl w:val="0"/>
          <w:numId w:val="0"/>
        </w:numPr>
        <w:spacing w:line="240" w:lineRule="auto"/>
      </w:pPr>
      <w:r w:rsidRPr="007A26AA">
        <w:t xml:space="preserve">Danmark kommer inte att tillämpa </w:t>
      </w:r>
      <w:r w:rsidR="007B6043" w:rsidRPr="007A26AA">
        <w:t>EG-</w:t>
      </w:r>
      <w:r w:rsidRPr="007A26AA">
        <w:t>förordningen</w:t>
      </w:r>
      <w:r w:rsidR="007B6043" w:rsidRPr="007A26AA">
        <w:t xml:space="preserve"> för samordning av socialförsäkringsförmåner för tredjelandsmedborgare inom EU</w:t>
      </w:r>
      <w:r w:rsidRPr="007A26AA">
        <w:t>.</w:t>
      </w:r>
    </w:p>
    <w:p w:rsidR="004508B6" w:rsidRPr="007A26AA" w:rsidRDefault="004508B6" w:rsidP="004508B6">
      <w:pPr>
        <w:pStyle w:val="Punktlista"/>
        <w:numPr>
          <w:ilvl w:val="0"/>
          <w:numId w:val="0"/>
        </w:numPr>
        <w:spacing w:line="240" w:lineRule="auto"/>
      </w:pPr>
    </w:p>
    <w:p w:rsidR="00670DC1" w:rsidRPr="007A26AA" w:rsidRDefault="00670DC1" w:rsidP="008C6C23">
      <w:pPr>
        <w:pStyle w:val="Punktlista"/>
        <w:numPr>
          <w:ilvl w:val="0"/>
          <w:numId w:val="0"/>
        </w:numPr>
        <w:spacing w:line="240" w:lineRule="auto"/>
        <w:rPr>
          <w:rFonts w:ascii="TradeGothic" w:hAnsi="TradeGothic"/>
          <w:b/>
          <w:sz w:val="22"/>
          <w:szCs w:val="22"/>
        </w:rPr>
      </w:pPr>
      <w:r w:rsidRPr="007A26AA">
        <w:rPr>
          <w:rFonts w:ascii="TradeGothic" w:hAnsi="TradeGothic"/>
          <w:b/>
          <w:sz w:val="22"/>
          <w:szCs w:val="22"/>
        </w:rPr>
        <w:t>Gällande svenska regler och förslagets effekter på dessa</w:t>
      </w:r>
      <w:r w:rsidR="009E5758" w:rsidRPr="007A26AA">
        <w:rPr>
          <w:rFonts w:ascii="TradeGothic" w:hAnsi="TradeGothic"/>
          <w:b/>
          <w:sz w:val="22"/>
          <w:szCs w:val="22"/>
        </w:rPr>
        <w:t>.</w:t>
      </w:r>
    </w:p>
    <w:p w:rsidR="003517D5" w:rsidRPr="007A26AA" w:rsidRDefault="003517D5" w:rsidP="0067579C">
      <w:pPr>
        <w:pStyle w:val="RKnormal"/>
      </w:pPr>
    </w:p>
    <w:p w:rsidR="004508B6" w:rsidRPr="007A26AA" w:rsidRDefault="004508B6" w:rsidP="00A042E8">
      <w:pPr>
        <w:pStyle w:val="RKnormal"/>
      </w:pPr>
      <w:r w:rsidRPr="007A26AA">
        <w:t xml:space="preserve">För Sveriges del innebär det inte några förändringar i förhållande till inkomstpensionerna som </w:t>
      </w:r>
      <w:r w:rsidR="00AE4AFC" w:rsidRPr="007A26AA">
        <w:t xml:space="preserve">redan </w:t>
      </w:r>
      <w:r w:rsidRPr="007A26AA">
        <w:t xml:space="preserve">idag kan exporteras </w:t>
      </w:r>
      <w:r w:rsidR="007B6043" w:rsidRPr="007A26AA">
        <w:t xml:space="preserve">utan begränsningar enligt </w:t>
      </w:r>
      <w:r w:rsidRPr="007A26AA">
        <w:t>den sv</w:t>
      </w:r>
      <w:r w:rsidR="002E28A8" w:rsidRPr="007A26AA">
        <w:t>e</w:t>
      </w:r>
      <w:r w:rsidRPr="007A26AA">
        <w:t xml:space="preserve">nska lagstiftningen. För garantipensioner innebär </w:t>
      </w:r>
      <w:r w:rsidR="007B6043" w:rsidRPr="007A26AA">
        <w:t xml:space="preserve">avtalen </w:t>
      </w:r>
      <w:r w:rsidR="00AE4AFC" w:rsidRPr="007A26AA">
        <w:t xml:space="preserve">emellertid </w:t>
      </w:r>
      <w:r w:rsidRPr="007A26AA">
        <w:t>att ålderspension och efterlevandepension kan exporteras i förhål</w:t>
      </w:r>
      <w:r w:rsidR="002E28A8" w:rsidRPr="007A26AA">
        <w:t xml:space="preserve">lande till det antal år som en arbetstagare förvärvsarbetat i Sverige. För familjemedlemmar som inte förvärvsarbetat kommer inte någon ålderspension att exporteras. </w:t>
      </w:r>
      <w:r w:rsidR="00AE4AFC" w:rsidRPr="007A26AA">
        <w:t>Inte heller kommer familjeförmåner att exporteras.</w:t>
      </w:r>
    </w:p>
    <w:p w:rsidR="00571A05" w:rsidRPr="007A26AA" w:rsidRDefault="00670DC1" w:rsidP="00571A05">
      <w:pPr>
        <w:pStyle w:val="RKrubrik"/>
        <w:spacing w:line="240" w:lineRule="auto"/>
      </w:pPr>
      <w:r w:rsidRPr="007A26AA">
        <w:t>Ekonomiska konsekvenser</w:t>
      </w:r>
    </w:p>
    <w:p w:rsidR="002E28A8" w:rsidRPr="007A26AA" w:rsidRDefault="001C7C39" w:rsidP="00EE0D08">
      <w:pPr>
        <w:pStyle w:val="RKnormal"/>
      </w:pPr>
      <w:r w:rsidRPr="007A26AA">
        <w:t xml:space="preserve">Det är </w:t>
      </w:r>
      <w:r w:rsidR="006360EC" w:rsidRPr="007A26AA">
        <w:t xml:space="preserve">mycket </w:t>
      </w:r>
      <w:r w:rsidRPr="007A26AA">
        <w:t>svårt att beräkna eventuella ekonomiska konsekvenser</w:t>
      </w:r>
      <w:r w:rsidR="006360EC" w:rsidRPr="007A26AA">
        <w:t xml:space="preserve"> i detta sammanhang eftersom tillämpningen kan innebära både kostnader och inkomster för Sverige</w:t>
      </w:r>
      <w:r w:rsidRPr="007A26AA">
        <w:t xml:space="preserve">. </w:t>
      </w:r>
      <w:r w:rsidR="006360EC" w:rsidRPr="007A26AA">
        <w:t>Dessutom finns redan idag åtaganden i  bilaterala konventioner med Israel</w:t>
      </w:r>
      <w:r w:rsidR="007B6043" w:rsidRPr="007A26AA">
        <w:t xml:space="preserve"> och</w:t>
      </w:r>
      <w:r w:rsidR="006360EC" w:rsidRPr="007A26AA">
        <w:t xml:space="preserve"> Marocko och </w:t>
      </w:r>
      <w:r w:rsidR="00EE0D08" w:rsidRPr="007A26AA">
        <w:t xml:space="preserve">de båda </w:t>
      </w:r>
      <w:r w:rsidR="006360EC" w:rsidRPr="007A26AA">
        <w:t xml:space="preserve">länder som tidigare ingick i republiken Jugoslavien. </w:t>
      </w:r>
      <w:r w:rsidRPr="007A26AA">
        <w:t xml:space="preserve">I dag betalar Pensionsmyndigheten inkomstpension till ca 1650 personer som bor i Medelhavsländerna. För dessa </w:t>
      </w:r>
      <w:r w:rsidR="007B6043" w:rsidRPr="007A26AA">
        <w:t xml:space="preserve">personer </w:t>
      </w:r>
      <w:r w:rsidRPr="007A26AA">
        <w:t xml:space="preserve">kan det tillkomma garantipension i form av ålderpension till en person som förvärvsarbetat i Sverige beräknad i förhållande till antalet intjänade år med svenska pensionsrättigheter. </w:t>
      </w:r>
      <w:r w:rsidR="006360EC" w:rsidRPr="007A26AA">
        <w:t xml:space="preserve">I förhållande till Israel kan ev. sjukersättning i form av garantiersättning kunna komma att utges. </w:t>
      </w:r>
      <w:r w:rsidRPr="007A26AA">
        <w:t xml:space="preserve">Emellertid kommer även personer som förvärvsarbetat och intjänat pensionsrättigheter i Medelhavsländerna att kunna få pensioner utbetalde till Sverige. På lite längre sikt kommer Kroatien och Makedonien, som </w:t>
      </w:r>
      <w:r w:rsidR="007B6043" w:rsidRPr="007A26AA">
        <w:t xml:space="preserve">nu är </w:t>
      </w:r>
      <w:r w:rsidRPr="007A26AA">
        <w:t xml:space="preserve">kandidatländer </w:t>
      </w:r>
      <w:r w:rsidR="007B6043" w:rsidRPr="007A26AA">
        <w:t xml:space="preserve">till EU, </w:t>
      </w:r>
      <w:r w:rsidRPr="007A26AA">
        <w:t>att tillämpa EU- reglerna om samordning av de sociala trygghetssystemen</w:t>
      </w:r>
      <w:r w:rsidR="007B6043" w:rsidRPr="007A26AA">
        <w:t>. D</w:t>
      </w:r>
      <w:r w:rsidRPr="007A26AA">
        <w:t xml:space="preserve">å kommer full export att </w:t>
      </w:r>
      <w:r w:rsidR="00EB131A" w:rsidRPr="007A26AA">
        <w:t>råda mellan dessa länder och EU</w:t>
      </w:r>
      <w:r w:rsidR="007B6043" w:rsidRPr="007A26AA">
        <w:t>:</w:t>
      </w:r>
      <w:r w:rsidR="00EB131A" w:rsidRPr="007A26AA">
        <w:t xml:space="preserve">s </w:t>
      </w:r>
      <w:r w:rsidRPr="007A26AA">
        <w:t xml:space="preserve"> medlemsländer. </w:t>
      </w:r>
      <w:r w:rsidR="00B775C1" w:rsidRPr="007A26AA">
        <w:t xml:space="preserve">En grov beräkning av kostnaderna för personer som arbetat i Sverige och bor i Israel och uppbär ersättning från Sverige skulle kunna uppgå till </w:t>
      </w:r>
      <w:r w:rsidR="006360EC" w:rsidRPr="007A26AA">
        <w:t xml:space="preserve">ca </w:t>
      </w:r>
      <w:r w:rsidR="00B775C1" w:rsidRPr="007A26AA">
        <w:t xml:space="preserve">5 miljoner kronor. </w:t>
      </w:r>
      <w:r w:rsidR="00836208" w:rsidRPr="007A26AA">
        <w:t xml:space="preserve">Från denna summa kan avräknas ersättning som görs från Israel till Sverige. En grov uppskattning </w:t>
      </w:r>
      <w:r w:rsidR="00EE0D08" w:rsidRPr="007A26AA">
        <w:t>av kostnaderna för samtliga avtalsländer i nuvarande läge</w:t>
      </w:r>
      <w:r w:rsidR="00EE668E" w:rsidRPr="007A26AA">
        <w:t xml:space="preserve"> </w:t>
      </w:r>
      <w:r w:rsidR="00836208" w:rsidRPr="007A26AA">
        <w:t xml:space="preserve"> skulle kunna vara </w:t>
      </w:r>
      <w:r w:rsidR="00EE0D08" w:rsidRPr="007A26AA">
        <w:t>ca</w:t>
      </w:r>
      <w:r w:rsidR="00836208" w:rsidRPr="007A26AA">
        <w:t xml:space="preserve"> </w:t>
      </w:r>
      <w:r w:rsidR="00EE0D08" w:rsidRPr="007A26AA">
        <w:t>20</w:t>
      </w:r>
      <w:r w:rsidR="00836208" w:rsidRPr="007A26AA">
        <w:t xml:space="preserve"> miljoner kronor.</w:t>
      </w:r>
    </w:p>
    <w:p w:rsidR="00670DC1" w:rsidRPr="007A26AA" w:rsidRDefault="00670DC1" w:rsidP="008D743B">
      <w:pPr>
        <w:pStyle w:val="RKrubrik"/>
        <w:spacing w:line="240" w:lineRule="auto"/>
        <w:rPr>
          <w:iCs/>
        </w:rPr>
      </w:pPr>
      <w:r w:rsidRPr="007A26AA">
        <w:rPr>
          <w:iCs/>
        </w:rPr>
        <w:t>Övrigt</w:t>
      </w:r>
    </w:p>
    <w:p w:rsidR="00670DC1" w:rsidRPr="007A26AA" w:rsidRDefault="00670DC1" w:rsidP="008D743B">
      <w:pPr>
        <w:pStyle w:val="RKnormal"/>
        <w:spacing w:line="240" w:lineRule="auto"/>
      </w:pPr>
    </w:p>
    <w:sectPr w:rsidR="00670DC1" w:rsidRPr="007A26A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17E6" w:rsidRPr="007A26AA" w:rsidRDefault="008617E6">
      <w:r w:rsidRPr="007A26AA">
        <w:separator/>
      </w:r>
    </w:p>
  </w:endnote>
  <w:endnote w:type="continuationSeparator" w:id="0">
    <w:p w:rsidR="008617E6" w:rsidRPr="007A26AA" w:rsidRDefault="008617E6">
      <w:r w:rsidRPr="007A26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17E6" w:rsidRPr="007A26AA" w:rsidRDefault="008617E6">
      <w:r w:rsidRPr="007A26AA">
        <w:separator/>
      </w:r>
    </w:p>
  </w:footnote>
  <w:footnote w:type="continuationSeparator" w:id="0">
    <w:p w:rsidR="008617E6" w:rsidRPr="007A26AA" w:rsidRDefault="008617E6">
      <w:r w:rsidRPr="007A26AA">
        <w:continuationSeparator/>
      </w:r>
    </w:p>
  </w:footnote>
  <w:footnote w:id="1">
    <w:p w:rsidR="004E6EC1" w:rsidRPr="007A26AA" w:rsidRDefault="004E6EC1" w:rsidP="007F538B">
      <w:pPr>
        <w:pStyle w:val="Fotnotstext"/>
      </w:pPr>
      <w:r w:rsidRPr="007A26AA">
        <w:rPr>
          <w:rStyle w:val="Fotnotsreferens"/>
        </w:rPr>
        <w:footnoteRef/>
      </w:r>
      <w:r w:rsidRPr="007A26AA">
        <w:t xml:space="preserve"> Associeringsråden består av medlemmar av Europeiska unionens råd, kommissionen och av regeringen i associeringslandet. De sammanträder en gång per år samt vid behov. Associeringsråden är upprättade enligt bestämmelser i de aktuella avtalen.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EC1" w:rsidRPr="007A26AA" w:rsidRDefault="004E6EC1">
    <w:pPr>
      <w:pStyle w:val="Sidhuvud"/>
      <w:framePr w:wrap="around" w:vAnchor="text" w:hAnchor="margin" w:xAlign="right" w:y="1"/>
      <w:rPr>
        <w:rStyle w:val="Sidnummer"/>
      </w:rPr>
    </w:pPr>
    <w:r w:rsidRPr="007A26AA">
      <w:rPr>
        <w:rStyle w:val="Sidnummer"/>
      </w:rPr>
      <w:fldChar w:fldCharType="begin" w:fldLock="1"/>
    </w:r>
    <w:r w:rsidRPr="007A26AA">
      <w:rPr>
        <w:rStyle w:val="Sidnummer"/>
      </w:rPr>
      <w:instrText xml:space="preserve">PAGE  </w:instrText>
    </w:r>
    <w:r w:rsidRPr="007A26AA">
      <w:rPr>
        <w:rStyle w:val="Sidnummer"/>
      </w:rPr>
      <w:fldChar w:fldCharType="separate"/>
    </w:r>
    <w:r w:rsidR="00132109" w:rsidRPr="007A26AA">
      <w:rPr>
        <w:rStyle w:val="Sidnummer"/>
      </w:rPr>
      <w:t>4</w:t>
    </w:r>
    <w:r w:rsidRPr="007A26A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E6EC1" w:rsidRPr="007A26AA">
      <w:tblPrEx>
        <w:tblCellMar>
          <w:top w:w="0" w:type="dxa"/>
          <w:bottom w:w="0" w:type="dxa"/>
        </w:tblCellMar>
      </w:tblPrEx>
      <w:trPr>
        <w:cantSplit/>
      </w:trPr>
      <w:tc>
        <w:tcPr>
          <w:tcW w:w="3119" w:type="dxa"/>
        </w:tcPr>
        <w:p w:rsidR="004E6EC1" w:rsidRPr="007A26AA" w:rsidRDefault="004E6EC1">
          <w:pPr>
            <w:pStyle w:val="Sidhuvud"/>
            <w:spacing w:line="200" w:lineRule="atLeast"/>
            <w:ind w:right="357"/>
            <w:rPr>
              <w:rFonts w:ascii="TradeGothic" w:hAnsi="TradeGothic"/>
              <w:b/>
              <w:bCs/>
              <w:sz w:val="16"/>
            </w:rPr>
          </w:pPr>
        </w:p>
      </w:tc>
      <w:tc>
        <w:tcPr>
          <w:tcW w:w="4111" w:type="dxa"/>
          <w:tcMar>
            <w:left w:w="567" w:type="dxa"/>
          </w:tcMar>
        </w:tcPr>
        <w:p w:rsidR="004E6EC1" w:rsidRPr="007A26AA" w:rsidRDefault="004E6EC1">
          <w:pPr>
            <w:pStyle w:val="Sidhuvud"/>
            <w:ind w:right="360"/>
          </w:pPr>
        </w:p>
      </w:tc>
      <w:tc>
        <w:tcPr>
          <w:tcW w:w="1525" w:type="dxa"/>
        </w:tcPr>
        <w:p w:rsidR="004E6EC1" w:rsidRPr="007A26AA" w:rsidRDefault="004E6EC1">
          <w:pPr>
            <w:pStyle w:val="Sidhuvud"/>
            <w:ind w:right="360"/>
          </w:pPr>
        </w:p>
      </w:tc>
    </w:tr>
  </w:tbl>
  <w:p w:rsidR="004E6EC1" w:rsidRPr="007A26AA" w:rsidRDefault="004E6EC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EC1" w:rsidRPr="007A26AA" w:rsidRDefault="004E6EC1">
    <w:pPr>
      <w:pStyle w:val="Sidhuvud"/>
      <w:framePr w:wrap="around" w:vAnchor="text" w:hAnchor="margin" w:xAlign="right" w:y="1"/>
      <w:rPr>
        <w:rStyle w:val="Sidnummer"/>
      </w:rPr>
    </w:pPr>
    <w:r w:rsidRPr="007A26AA">
      <w:rPr>
        <w:rStyle w:val="Sidnummer"/>
      </w:rPr>
      <w:fldChar w:fldCharType="begin" w:fldLock="1"/>
    </w:r>
    <w:r w:rsidRPr="007A26AA">
      <w:rPr>
        <w:rStyle w:val="Sidnummer"/>
      </w:rPr>
      <w:instrText xml:space="preserve">PAGE  </w:instrText>
    </w:r>
    <w:r w:rsidRPr="007A26AA">
      <w:rPr>
        <w:rStyle w:val="Sidnummer"/>
      </w:rPr>
      <w:fldChar w:fldCharType="separate"/>
    </w:r>
    <w:r w:rsidR="00132109" w:rsidRPr="007A26AA">
      <w:rPr>
        <w:rStyle w:val="Sidnummer"/>
      </w:rPr>
      <w:t>3</w:t>
    </w:r>
    <w:r w:rsidRPr="007A26A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E6EC1" w:rsidRPr="007A26AA">
      <w:tblPrEx>
        <w:tblCellMar>
          <w:top w:w="0" w:type="dxa"/>
          <w:bottom w:w="0" w:type="dxa"/>
        </w:tblCellMar>
      </w:tblPrEx>
      <w:trPr>
        <w:cantSplit/>
      </w:trPr>
      <w:tc>
        <w:tcPr>
          <w:tcW w:w="3119" w:type="dxa"/>
        </w:tcPr>
        <w:p w:rsidR="004E6EC1" w:rsidRPr="007A26AA" w:rsidRDefault="004E6EC1">
          <w:pPr>
            <w:pStyle w:val="Sidhuvud"/>
            <w:spacing w:line="200" w:lineRule="atLeast"/>
            <w:ind w:right="357"/>
            <w:rPr>
              <w:rFonts w:ascii="TradeGothic" w:hAnsi="TradeGothic"/>
              <w:b/>
              <w:bCs/>
              <w:sz w:val="16"/>
            </w:rPr>
          </w:pPr>
        </w:p>
      </w:tc>
      <w:tc>
        <w:tcPr>
          <w:tcW w:w="4111" w:type="dxa"/>
          <w:tcMar>
            <w:left w:w="567" w:type="dxa"/>
          </w:tcMar>
        </w:tcPr>
        <w:p w:rsidR="004E6EC1" w:rsidRPr="007A26AA" w:rsidRDefault="004E6EC1">
          <w:pPr>
            <w:pStyle w:val="Sidhuvud"/>
            <w:ind w:right="360"/>
          </w:pPr>
        </w:p>
      </w:tc>
      <w:tc>
        <w:tcPr>
          <w:tcW w:w="1525" w:type="dxa"/>
        </w:tcPr>
        <w:p w:rsidR="004E6EC1" w:rsidRPr="007A26AA" w:rsidRDefault="004E6EC1">
          <w:pPr>
            <w:pStyle w:val="Sidhuvud"/>
            <w:ind w:right="360"/>
          </w:pPr>
        </w:p>
      </w:tc>
    </w:tr>
  </w:tbl>
  <w:p w:rsidR="004E6EC1" w:rsidRPr="007A26AA" w:rsidRDefault="004E6EC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EC1" w:rsidRPr="007A26AA" w:rsidRDefault="007A26AA">
    <w:pPr>
      <w:framePr w:w="2948" w:h="1321" w:hRule="exact" w:wrap="notBeside" w:vAnchor="page" w:hAnchor="page" w:x="1362" w:y="653"/>
    </w:pPr>
    <w:r w:rsidRPr="007A26A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E6EC1" w:rsidRPr="007A26AA" w:rsidRDefault="004E6EC1">
    <w:pPr>
      <w:pStyle w:val="RKrubrik"/>
      <w:keepNext w:val="0"/>
      <w:tabs>
        <w:tab w:val="clear" w:pos="1134"/>
        <w:tab w:val="clear" w:pos="2835"/>
      </w:tabs>
      <w:spacing w:before="0" w:after="0" w:line="320" w:lineRule="atLeast"/>
      <w:rPr>
        <w:bCs/>
      </w:rPr>
    </w:pPr>
  </w:p>
  <w:p w:rsidR="004E6EC1" w:rsidRPr="007A26AA" w:rsidRDefault="004E6EC1">
    <w:pPr>
      <w:rPr>
        <w:rFonts w:ascii="TradeGothic" w:hAnsi="TradeGothic"/>
        <w:b/>
        <w:bCs/>
        <w:spacing w:val="12"/>
        <w:sz w:val="22"/>
      </w:rPr>
    </w:pPr>
  </w:p>
  <w:p w:rsidR="004E6EC1" w:rsidRPr="007A26AA" w:rsidRDefault="004E6EC1">
    <w:pPr>
      <w:pStyle w:val="RKrubrik"/>
      <w:keepNext w:val="0"/>
      <w:tabs>
        <w:tab w:val="clear" w:pos="1134"/>
        <w:tab w:val="clear" w:pos="2835"/>
      </w:tabs>
      <w:spacing w:before="0" w:after="0" w:line="320" w:lineRule="atLeast"/>
      <w:rPr>
        <w:bCs/>
      </w:rPr>
    </w:pPr>
  </w:p>
  <w:p w:rsidR="004E6EC1" w:rsidRPr="007A26AA" w:rsidRDefault="004E6EC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48197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BF741E8"/>
    <w:multiLevelType w:val="hybridMultilevel"/>
    <w:tmpl w:val="EFBED730"/>
    <w:lvl w:ilvl="0" w:tplc="6464B142">
      <w:start w:val="1"/>
      <w:numFmt w:val="bullet"/>
      <w:lvlRestart w:val="0"/>
      <w:pStyle w:val="Punktlista"/>
      <w:lvlText w:val=""/>
      <w:lvlJc w:val="left"/>
      <w:pPr>
        <w:tabs>
          <w:tab w:val="num" w:pos="499"/>
        </w:tabs>
        <w:ind w:left="499"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2719070">
    <w:abstractNumId w:val="1"/>
  </w:num>
  <w:num w:numId="2" w16cid:durableId="1039427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ocialdepartementet"/>
    <w:docVar w:name="Regering" w:val="N"/>
  </w:docVars>
  <w:rsids>
    <w:rsidRoot w:val="007243CE"/>
    <w:rsid w:val="00001D4F"/>
    <w:rsid w:val="000147A7"/>
    <w:rsid w:val="00062870"/>
    <w:rsid w:val="000809BB"/>
    <w:rsid w:val="000B408D"/>
    <w:rsid w:val="000D04BD"/>
    <w:rsid w:val="000D7A66"/>
    <w:rsid w:val="000F0A35"/>
    <w:rsid w:val="00132109"/>
    <w:rsid w:val="0013589B"/>
    <w:rsid w:val="0014013C"/>
    <w:rsid w:val="00154C9F"/>
    <w:rsid w:val="001571E2"/>
    <w:rsid w:val="00186336"/>
    <w:rsid w:val="001A0103"/>
    <w:rsid w:val="001B1E8A"/>
    <w:rsid w:val="001C7C39"/>
    <w:rsid w:val="001D06C1"/>
    <w:rsid w:val="001E0BC4"/>
    <w:rsid w:val="001E77A6"/>
    <w:rsid w:val="001F2EA4"/>
    <w:rsid w:val="00206B53"/>
    <w:rsid w:val="002265FC"/>
    <w:rsid w:val="00227E61"/>
    <w:rsid w:val="0029291C"/>
    <w:rsid w:val="002A64F5"/>
    <w:rsid w:val="002D4DF2"/>
    <w:rsid w:val="002E28A8"/>
    <w:rsid w:val="00313201"/>
    <w:rsid w:val="00341AFD"/>
    <w:rsid w:val="00343E8C"/>
    <w:rsid w:val="003517D5"/>
    <w:rsid w:val="00374B2F"/>
    <w:rsid w:val="00397DEE"/>
    <w:rsid w:val="003B6BC4"/>
    <w:rsid w:val="003B790F"/>
    <w:rsid w:val="003C4142"/>
    <w:rsid w:val="003F31E1"/>
    <w:rsid w:val="004001F5"/>
    <w:rsid w:val="00420973"/>
    <w:rsid w:val="004508B6"/>
    <w:rsid w:val="00457E21"/>
    <w:rsid w:val="0046635C"/>
    <w:rsid w:val="004D09E2"/>
    <w:rsid w:val="004E14B2"/>
    <w:rsid w:val="004E6E4D"/>
    <w:rsid w:val="004E6EC1"/>
    <w:rsid w:val="0053371D"/>
    <w:rsid w:val="0053776F"/>
    <w:rsid w:val="00547C4D"/>
    <w:rsid w:val="00564C21"/>
    <w:rsid w:val="00571A05"/>
    <w:rsid w:val="005E6135"/>
    <w:rsid w:val="005F6ABD"/>
    <w:rsid w:val="006006D9"/>
    <w:rsid w:val="00603F9D"/>
    <w:rsid w:val="006360EC"/>
    <w:rsid w:val="0063631F"/>
    <w:rsid w:val="00644707"/>
    <w:rsid w:val="00670DC1"/>
    <w:rsid w:val="0067579C"/>
    <w:rsid w:val="0069573C"/>
    <w:rsid w:val="006A6F56"/>
    <w:rsid w:val="006C635A"/>
    <w:rsid w:val="006D4221"/>
    <w:rsid w:val="00707C81"/>
    <w:rsid w:val="007243CE"/>
    <w:rsid w:val="0079625A"/>
    <w:rsid w:val="007A26AA"/>
    <w:rsid w:val="007B6043"/>
    <w:rsid w:val="007E4CDE"/>
    <w:rsid w:val="007F538B"/>
    <w:rsid w:val="00811E4E"/>
    <w:rsid w:val="00812623"/>
    <w:rsid w:val="00812DB3"/>
    <w:rsid w:val="00816EB4"/>
    <w:rsid w:val="008352D9"/>
    <w:rsid w:val="00836208"/>
    <w:rsid w:val="008617E6"/>
    <w:rsid w:val="00891C3F"/>
    <w:rsid w:val="00896511"/>
    <w:rsid w:val="008B6F9C"/>
    <w:rsid w:val="008C1219"/>
    <w:rsid w:val="008C6C23"/>
    <w:rsid w:val="008D743B"/>
    <w:rsid w:val="008E577C"/>
    <w:rsid w:val="008F5C81"/>
    <w:rsid w:val="00907554"/>
    <w:rsid w:val="00941C8C"/>
    <w:rsid w:val="0094420F"/>
    <w:rsid w:val="009524C8"/>
    <w:rsid w:val="0095765D"/>
    <w:rsid w:val="00992397"/>
    <w:rsid w:val="009A0076"/>
    <w:rsid w:val="009E5758"/>
    <w:rsid w:val="009E6113"/>
    <w:rsid w:val="00A042E8"/>
    <w:rsid w:val="00A12027"/>
    <w:rsid w:val="00A3182A"/>
    <w:rsid w:val="00A32C21"/>
    <w:rsid w:val="00A46E39"/>
    <w:rsid w:val="00A53CF3"/>
    <w:rsid w:val="00A556A9"/>
    <w:rsid w:val="00A710DC"/>
    <w:rsid w:val="00A842B0"/>
    <w:rsid w:val="00AB374C"/>
    <w:rsid w:val="00AD5C36"/>
    <w:rsid w:val="00AE043A"/>
    <w:rsid w:val="00AE110F"/>
    <w:rsid w:val="00AE4AFC"/>
    <w:rsid w:val="00AF7490"/>
    <w:rsid w:val="00B05A6D"/>
    <w:rsid w:val="00B12435"/>
    <w:rsid w:val="00B16CF3"/>
    <w:rsid w:val="00B25106"/>
    <w:rsid w:val="00B30423"/>
    <w:rsid w:val="00B312D4"/>
    <w:rsid w:val="00B60217"/>
    <w:rsid w:val="00B775C1"/>
    <w:rsid w:val="00B7769B"/>
    <w:rsid w:val="00BB33CF"/>
    <w:rsid w:val="00BC15E7"/>
    <w:rsid w:val="00BD1A29"/>
    <w:rsid w:val="00BF29C0"/>
    <w:rsid w:val="00C51D19"/>
    <w:rsid w:val="00C84B2B"/>
    <w:rsid w:val="00C90780"/>
    <w:rsid w:val="00C91E32"/>
    <w:rsid w:val="00CB760C"/>
    <w:rsid w:val="00CC2D8A"/>
    <w:rsid w:val="00CF28B2"/>
    <w:rsid w:val="00D539E7"/>
    <w:rsid w:val="00D5685E"/>
    <w:rsid w:val="00D745E2"/>
    <w:rsid w:val="00D76C7F"/>
    <w:rsid w:val="00DE0D44"/>
    <w:rsid w:val="00DE4376"/>
    <w:rsid w:val="00DF6D59"/>
    <w:rsid w:val="00E00A0E"/>
    <w:rsid w:val="00E25035"/>
    <w:rsid w:val="00E34920"/>
    <w:rsid w:val="00E60B5D"/>
    <w:rsid w:val="00E6480E"/>
    <w:rsid w:val="00E91EA8"/>
    <w:rsid w:val="00EB131A"/>
    <w:rsid w:val="00EC28B5"/>
    <w:rsid w:val="00EE0D08"/>
    <w:rsid w:val="00EE668E"/>
    <w:rsid w:val="00F04A6E"/>
    <w:rsid w:val="00F2370F"/>
    <w:rsid w:val="00F27A63"/>
    <w:rsid w:val="00F3006E"/>
    <w:rsid w:val="00F558FD"/>
    <w:rsid w:val="00F57F25"/>
    <w:rsid w:val="00FA3D87"/>
    <w:rsid w:val="00FA52E8"/>
    <w:rsid w:val="00FA66EE"/>
    <w:rsid w:val="00FB03F7"/>
    <w:rsid w:val="00FD71B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F1B9123-2AEC-444F-835D-7AE2B82F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38B"/>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overflowPunct/>
      <w:autoSpaceDE/>
      <w:autoSpaceDN/>
      <w:adjustRightInd/>
      <w:spacing w:line="320" w:lineRule="exact"/>
      <w:textAlignment w:val="auto"/>
    </w:pPr>
    <w:rPr>
      <w:rFonts w:ascii="Times New Roman" w:hAnsi="Times New Roman"/>
      <w:szCs w:val="24"/>
      <w:lang w:eastAsia="zh-CN"/>
    </w:rPr>
  </w:style>
  <w:style w:type="paragraph" w:styleId="Punktlista">
    <w:name w:val="List Bullet"/>
    <w:basedOn w:val="Normal"/>
    <w:rsid w:val="00896511"/>
    <w:pPr>
      <w:numPr>
        <w:numId w:val="1"/>
      </w:numPr>
    </w:pPr>
  </w:style>
  <w:style w:type="paragraph" w:styleId="Ballongtext">
    <w:name w:val="Balloon Text"/>
    <w:basedOn w:val="Normal"/>
    <w:semiHidden/>
    <w:rsid w:val="00E25035"/>
    <w:rPr>
      <w:rFonts w:ascii="Tahoma" w:hAnsi="Tahoma" w:cs="Tahoma"/>
      <w:sz w:val="16"/>
      <w:szCs w:val="16"/>
    </w:rPr>
  </w:style>
  <w:style w:type="character" w:styleId="Fotnotsreferens">
    <w:name w:val="footnote reference"/>
    <w:basedOn w:val="Standardstycketeckensnitt"/>
    <w:semiHidden/>
    <w:rsid w:val="007F538B"/>
    <w:rPr>
      <w:vertAlign w:val="superscript"/>
    </w:rPr>
  </w:style>
  <w:style w:type="paragraph" w:styleId="Fotnotstext">
    <w:name w:val="footnote text"/>
    <w:basedOn w:val="Normal"/>
    <w:semiHidden/>
    <w:rsid w:val="007F538B"/>
    <w:pPr>
      <w:overflowPunct/>
      <w:autoSpaceDE/>
      <w:autoSpaceDN/>
      <w:adjustRightInd/>
      <w:spacing w:before="122" w:line="170" w:lineRule="exact"/>
      <w:jc w:val="both"/>
      <w:textAlignment w:val="auto"/>
    </w:pPr>
    <w:rPr>
      <w:rFonts w:ascii="Times New Roman" w:hAnsi="Times New Roman"/>
      <w:sz w:val="17"/>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890</Words>
  <Characters>5671</Characters>
  <Application>Microsoft Office Word</Application>
  <DocSecurity>4</DocSecurity>
  <Lines>162</Lines>
  <Paragraphs>52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2010-05-31T07:56:00Z</cp:lastPrinted>
  <dcterms:created xsi:type="dcterms:W3CDTF">2025-12-18T00:04:00Z</dcterms:created>
  <dcterms:modified xsi:type="dcterms:W3CDTF">2025-12-18T00:04:00Z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5;0;0;252</vt:lpwstr>
  </property>
  <property fmtid="{D5CDD505-2E9C-101B-9397-08002B2CF9AE}" pid="3" name="Sprak">
    <vt:lpwstr>Svenska</vt:lpwstr>
  </property>
  <property fmtid="{D5CDD505-2E9C-101B-9397-08002B2CF9AE}" pid="4" name="DokID">
    <vt:i4>60</vt:i4>
  </property>
</Properties>
</file>