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AC83EE9-868B-4D15-B37E-068678F6F067}"/>
</file>

<file path=customXml/itemProps3.xml><?xml version="1.0" encoding="utf-8"?>
<ds:datastoreItem xmlns:ds="http://schemas.openxmlformats.org/officeDocument/2006/customXml" ds:itemID="{237803FF-262A-4BC3-A033-DB41B2E8B7BC}"/>
</file>

<file path=customXml/itemProps4.xml><?xml version="1.0" encoding="utf-8"?>
<ds:datastoreItem xmlns:ds="http://schemas.openxmlformats.org/officeDocument/2006/customXml" ds:itemID="{972A9ADE-4E08-4443-9ABD-64D7FD131F99}"/>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