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86BA7" w:rsidRPr="00886BA7" w:rsidRDefault="00886BA7">
      <w:pPr>
        <w:pStyle w:val="Frslagsrubrik"/>
      </w:pPr>
      <w:r w:rsidRPr="00886BA7">
        <w:t>Förslag till riksdagsbeslut</w:t>
      </w:r>
    </w:p>
    <w:p w:rsidR="00886BA7" w:rsidRPr="00886BA7" w:rsidRDefault="00886BA7">
      <w:pPr>
        <w:pStyle w:val="Hemstlatt"/>
      </w:pPr>
      <w:r w:rsidRPr="00886BA7">
        <w:t>Riksdagen tillkännager för regeringen som sin mening vad som anförs i motionen om en översyn av regeringens möjligheter att ge AP-fonderna riktlinjer när det gäller hur etik- och miljöhänsyn ska tas i fo</w:t>
      </w:r>
      <w:r w:rsidRPr="00886BA7">
        <w:t>n</w:t>
      </w:r>
      <w:r w:rsidRPr="00886BA7">
        <w:t>dernas förvaltning.</w:t>
      </w:r>
    </w:p>
    <w:p w:rsidR="00886BA7" w:rsidRPr="00886BA7" w:rsidRDefault="00886BA7">
      <w:pPr>
        <w:pStyle w:val="Rubrik1"/>
      </w:pPr>
      <w:r w:rsidRPr="00886BA7">
        <w:t>Motivering</w:t>
      </w:r>
    </w:p>
    <w:p w:rsidR="00886BA7" w:rsidRPr="00886BA7" w:rsidRDefault="00886BA7">
      <w:r w:rsidRPr="00886BA7">
        <w:t>AP-fonderna spelar en viktig roll som buffertfonder inom pensionssystemet och förvaltar hundratals miljarder kronor. AP-fonderna skulle i teorin, i kraft av de mycket stora belopp de förfogar över, kunna bli mäktiga aktörer inom det svenska näringslivet. De värden som finns i AP-fonderna är mångfalt större än de värden som fanns i de mycket omstridda och sedan länge avvec</w:t>
      </w:r>
      <w:r w:rsidRPr="00886BA7">
        <w:t>k</w:t>
      </w:r>
      <w:r w:rsidRPr="00886BA7">
        <w:t>lade löntagarfonderna. När det nya pensionssystemet utformades vinnlade sig de fem partier som står bakom systemet om att införa olika spärrar för att tillse att AP-fonderna inte kan användas som ett redskap, med vars hjälp st</w:t>
      </w:r>
      <w:r w:rsidRPr="00886BA7">
        <w:t>a</w:t>
      </w:r>
      <w:r w:rsidRPr="00886BA7">
        <w:t>ten i allmänhet och regeringen i synnerhet kan ingripa i näringslivet. Lite slagordsmässigt skulle man kunna säga att det inte ska gå att införa fondsoci</w:t>
      </w:r>
      <w:r w:rsidRPr="00886BA7">
        <w:t>a</w:t>
      </w:r>
      <w:r w:rsidRPr="00886BA7">
        <w:t>lism med pensionspengarna.</w:t>
      </w:r>
    </w:p>
    <w:p w:rsidR="00886BA7" w:rsidRPr="00886BA7" w:rsidRDefault="00886BA7">
      <w:pPr>
        <w:pStyle w:val="Normaltindrag"/>
      </w:pPr>
      <w:r w:rsidRPr="00886BA7">
        <w:t>En sådan spärr är att det finns gränser för hur stora aktieposter som AP-fonderna – enskilt eller tills</w:t>
      </w:r>
      <w:r w:rsidRPr="00886BA7">
        <w:t>ammans – får inneha i börsnoterade företag. En annan spärr rör regeringens möjligheter att styra AP-fonderna. AP-fonderna är statliga myndigheter under regeringen, men i lag slås fast att de – i motsats till övriga statliga myndigheter – har en från regeringen oberoende ställning. Regeringen kan inte ge fonderna instruktioner eller andra direktiv som är rättsligt bindande för fonderna. Däremot utser regeringen ledamöterna i fo</w:t>
      </w:r>
      <w:r w:rsidRPr="00886BA7">
        <w:t>n</w:t>
      </w:r>
      <w:r w:rsidRPr="00886BA7">
        <w:t>dernas styrelser och regeringen har ett ansvar för att följa upp och utvärdera fo</w:t>
      </w:r>
      <w:r w:rsidRPr="00886BA7">
        <w:t>ndernas arbete.</w:t>
      </w:r>
    </w:p>
    <w:p w:rsidR="00886BA7" w:rsidRPr="00886BA7" w:rsidRDefault="00886BA7">
      <w:pPr>
        <w:pStyle w:val="Normaltindrag"/>
      </w:pPr>
      <w:r w:rsidRPr="00886BA7">
        <w:t>Det slås också fast att AP-fonderna i sin förvaltning inte får ta näringspol</w:t>
      </w:r>
      <w:r w:rsidRPr="00886BA7">
        <w:t>i</w:t>
      </w:r>
      <w:r w:rsidRPr="00886BA7">
        <w:t xml:space="preserve">tiska eller ekonomiskpolitiska hänsyn. Detta får ses som ytterligare ett uttryck </w:t>
      </w:r>
      <w:r w:rsidRPr="00886BA7">
        <w:lastRenderedPageBreak/>
        <w:t>för att fonderna inte ska vara ett verktyg som staten eller regeringen kan a</w:t>
      </w:r>
      <w:r w:rsidRPr="00886BA7">
        <w:t>n</w:t>
      </w:r>
      <w:r w:rsidRPr="00886BA7">
        <w:t>vända, om exempelvis en viss typ av strukturomvandling i näringslivet skulle anses vara politiskt önskvärd eller icke önskvärd. AP-fondernas uppdrag är helt enkelt att sträva efter hög avkastning på pensionspengarna.</w:t>
      </w:r>
    </w:p>
    <w:p w:rsidR="00886BA7" w:rsidRPr="00886BA7" w:rsidRDefault="00886BA7">
      <w:pPr>
        <w:pStyle w:val="Normaltindrag"/>
      </w:pPr>
      <w:r w:rsidRPr="00886BA7">
        <w:t>Det finns dock i prop. 1999/2000:46 ett par skrivningar som dels ålägger fonderna att beakta vissa omständigheter utöver avkastningen, d</w:t>
      </w:r>
      <w:r w:rsidRPr="00886BA7">
        <w:t>els ger rege</w:t>
      </w:r>
      <w:r w:rsidRPr="00886BA7">
        <w:t>r</w:t>
      </w:r>
      <w:r w:rsidRPr="00886BA7">
        <w:t>ingen visst utrymme att framföra åsikter om fondernas förvaltning. AP-fonderna ska ta hänsyn till miljö och etik utan att göra avkall på målet om hög avkastning. Regeringen har möjlighet att förtydliga sin syn på pensionssyst</w:t>
      </w:r>
      <w:r w:rsidRPr="00886BA7">
        <w:t>e</w:t>
      </w:r>
      <w:r w:rsidRPr="00886BA7">
        <w:t>mets åtagandesida och förvaltningsuppdraget i övrigt (propositionen s. 113). Av propositionen framgår även (s. 77) att ansvaret för att mejsla ut fondernas profil när det gäller hur etik- och miljöhänsyn ska tas i fondernas förvaltning åvilar de enskilda fondstyrelserna, m</w:t>
      </w:r>
      <w:r w:rsidRPr="00886BA7">
        <w:t>en att regeringen har möjlighet att prec</w:t>
      </w:r>
      <w:r w:rsidRPr="00886BA7">
        <w:t>i</w:t>
      </w:r>
      <w:r w:rsidRPr="00886BA7">
        <w:t>sera sin syn om det är påkallat.</w:t>
      </w:r>
    </w:p>
    <w:p w:rsidR="00886BA7" w:rsidRPr="00886BA7" w:rsidRDefault="00886BA7">
      <w:pPr>
        <w:pStyle w:val="Normaltindrag"/>
      </w:pPr>
      <w:r w:rsidRPr="00886BA7">
        <w:t>AP-fondernas oberoende ställning slås som sagt fast i lag. Meningsyttrin</w:t>
      </w:r>
      <w:r w:rsidRPr="00886BA7">
        <w:t>g</w:t>
      </w:r>
      <w:r w:rsidRPr="00886BA7">
        <w:t>ar av ovanstående slag från regeringen är inte formellt bindande för fonderna. Samtidigt måste rimligen syftet med sådana meningsyttringar vara att i real</w:t>
      </w:r>
      <w:r w:rsidRPr="00886BA7">
        <w:t>i</w:t>
      </w:r>
      <w:r w:rsidRPr="00886BA7">
        <w:t>teten påverka fondernas agerande. Det vore tämligen meningslöst att ge u</w:t>
      </w:r>
      <w:r w:rsidRPr="00886BA7">
        <w:t>t</w:t>
      </w:r>
      <w:r w:rsidRPr="00886BA7">
        <w:t>tryck för en åsikt, om man utgår ifrån att den kommer att ignoreras.</w:t>
      </w:r>
    </w:p>
    <w:p w:rsidR="00886BA7" w:rsidRPr="00886BA7" w:rsidRDefault="00886BA7">
      <w:pPr>
        <w:pStyle w:val="Normaltindrag"/>
      </w:pPr>
      <w:r w:rsidRPr="00886BA7">
        <w:t>Konstitutionsutskottet granskade våren 2010, efter en anmälan, det faktum att regeringen utfärdat riktlinjer till AP-fonderna vad gäller dels anställning</w:t>
      </w:r>
      <w:r w:rsidRPr="00886BA7">
        <w:t>s</w:t>
      </w:r>
      <w:r w:rsidRPr="00886BA7">
        <w:t>villkor för ledande befattningshavare i AP-fonderna, dels att AP-fonderna i dialog med övriga ägare bör verka för att riktlinjerna tillämpas så långt som möjligt i företag där AP-fonderna är delägare.</w:t>
      </w:r>
    </w:p>
    <w:p w:rsidR="00886BA7" w:rsidRPr="00886BA7" w:rsidRDefault="00886BA7">
      <w:pPr>
        <w:pStyle w:val="Normaltindrag"/>
      </w:pPr>
      <w:r w:rsidRPr="00886BA7">
        <w:t>KU konstaterade att riktlinjer för anställningsvillkor för ledande befat</w:t>
      </w:r>
      <w:r w:rsidRPr="00886BA7">
        <w:t>t</w:t>
      </w:r>
      <w:r w:rsidRPr="00886BA7">
        <w:t>ningshavare har funnits i AP-fonderna, som är statliga myndigheter, i någon form sedan 2001 och att det är godtagbart. Sådana riktlinjer kan ses som ett exempel på hur regeringen förtydligar sin syn på förvaltningsuppdragets u</w:t>
      </w:r>
      <w:r w:rsidRPr="00886BA7">
        <w:t>t</w:t>
      </w:r>
      <w:r w:rsidRPr="00886BA7">
        <w:t>övande, avser statligt anställda och kan godtas. KU sade också: ”AP-fondernas oberoende ställning slås fast i lag. Vid beslut att utfärda riktlinjer och vid utformningen av riktlinjer måste en noggrann avvägning göras, så att AP-fondernas oberoende upprätthålls. Riktlinjer som regeri</w:t>
      </w:r>
      <w:r w:rsidRPr="00886BA7">
        <w:t>ngen utfärdat kan inte anses formellt bindande för fonderna. Det är först genom beslut av styre</w:t>
      </w:r>
      <w:r w:rsidRPr="00886BA7">
        <w:t>l</w:t>
      </w:r>
      <w:r w:rsidRPr="00886BA7">
        <w:t>sen som riktlinjerna kan omsättas i verksamhet.”</w:t>
      </w:r>
    </w:p>
    <w:p w:rsidR="00886BA7" w:rsidRPr="00886BA7" w:rsidRDefault="00886BA7">
      <w:pPr>
        <w:pStyle w:val="Normaltindrag"/>
      </w:pPr>
      <w:r w:rsidRPr="00886BA7">
        <w:t>Man torde kunna tolka KU:s uttalande så att det vid utformningen av rik</w:t>
      </w:r>
      <w:r w:rsidRPr="00886BA7">
        <w:t>t</w:t>
      </w:r>
      <w:r w:rsidRPr="00886BA7">
        <w:t>linjer finns en gräns som, om den överträds, innebär ett intrång i AP-fondernas självständighet. Det måste vara innebörden av formuleringen om ”noggrann avvägning” – rimligen mellan nyttan med riktlinjerna och AP-fondernas självständighet. Däremot säger KU inget om hur man ska veta var den gränsen går.</w:t>
      </w:r>
    </w:p>
    <w:p w:rsidR="00886BA7" w:rsidRPr="00886BA7" w:rsidRDefault="00886BA7">
      <w:pPr>
        <w:pStyle w:val="Normaltindrag"/>
      </w:pPr>
      <w:r w:rsidRPr="00886BA7">
        <w:t>Uttalandet i riktlinjerna, att AP-fonderna i dialog med övriga ägare bör verka för att riktlinjerna angående anställningsvillkor för ledande befattning</w:t>
      </w:r>
      <w:r w:rsidRPr="00886BA7">
        <w:t>s</w:t>
      </w:r>
      <w:r w:rsidRPr="00886BA7">
        <w:t>havare tillämpas så långt som möjligt i företag där AP-fonderna är delägare, kan ses som en precisering av regeringens syn på hur etiska hänsyn ska tas i fondernas förvaltning. Det har tidigare inte funnits någon närmare precisering av regeringens syn på hur etiska och miljömässiga hänsyn ska tas i fondernas förvaltning. I skr. 2008/09:130 avvisar regeringen tanken på en av statsma</w:t>
      </w:r>
      <w:r w:rsidRPr="00886BA7">
        <w:t>k</w:t>
      </w:r>
      <w:r w:rsidRPr="00886BA7">
        <w:t xml:space="preserve">terna fastställd allmän värdegrund för fonderna, av hänsyn till fondernas självständighet (s. 78). De etiska riktlinjerna när </w:t>
      </w:r>
      <w:r w:rsidRPr="00886BA7">
        <w:t>det gäller anställningsvillkor avser ett smalt sakområde och har en hög detaljeringsgrad, vilket har föru</w:t>
      </w:r>
      <w:r w:rsidRPr="00886BA7">
        <w:t>t</w:t>
      </w:r>
      <w:r w:rsidRPr="00886BA7">
        <w:t>sättningar att öka deras reellt styrande effekt. Det är angeläget att regeringen i varje situation noga väger värdet av att utfärda meningsyttringar rörande hur etiska och miljömässiga hänsyn ska tas mot värdet av att fondernas oberoende i formellt och reellt hänseende upprätthålls. Också vid utformningen av m</w:t>
      </w:r>
      <w:r w:rsidRPr="00886BA7">
        <w:t>e</w:t>
      </w:r>
      <w:r w:rsidRPr="00886BA7">
        <w:t>ningsyttringarna måste en noggrann avvägning göras, så att de inte blir mer styrande än vad so</w:t>
      </w:r>
      <w:r w:rsidRPr="00886BA7">
        <w:t>m i det enskilda fallet är rimligt.</w:t>
      </w:r>
    </w:p>
    <w:p w:rsidR="00886BA7" w:rsidRPr="00886BA7" w:rsidRDefault="00886BA7">
      <w:pPr>
        <w:pStyle w:val="Normaltindrag"/>
      </w:pPr>
      <w:r w:rsidRPr="00886BA7">
        <w:t>Mot bakgrund av att uttalandet om att AP-fonderna i dialog med övriga ägare bör verka för att riktlinjerna tillämpas så långt som möjligt i företag där AP-fonderna är delägare innebar det första exemplet på hur regeringen prec</w:t>
      </w:r>
      <w:r w:rsidRPr="00886BA7">
        <w:t>i</w:t>
      </w:r>
      <w:r w:rsidRPr="00886BA7">
        <w:t>serar sin syn på hur etiska hänsyn ska tas i fondernas förvaltning och att det inte finns några uttalanden som anger var den ovan nämnda gränsen går me</w:t>
      </w:r>
      <w:r w:rsidRPr="00886BA7">
        <w:t>l</w:t>
      </w:r>
      <w:r w:rsidRPr="00886BA7">
        <w:t>lan nyttan med riktlinjer och alltför långtgående inskränkningar av fondernas självständighet, förefaller det finnas behov av en översyn av regeringens möjligheter att ge AP-fonderna riktlinjer när det gäller hur etik- och miljöhä</w:t>
      </w:r>
      <w:r w:rsidRPr="00886BA7">
        <w:t>n</w:t>
      </w:r>
      <w:r w:rsidRPr="00886BA7">
        <w:t>syn ska tas i fondernas förvaltning.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86BA7">
        <w:trPr>
          <w:cantSplit/>
        </w:trPr>
        <w:tc>
          <w:tcPr>
            <w:tcW w:w="3046" w:type="dxa"/>
          </w:tcPr>
          <w:p w:rsidR="00886BA7" w:rsidRPr="00886BA7" w:rsidRDefault="00886BA7">
            <w:pPr>
              <w:pStyle w:val="UnderskriftDatum"/>
              <w:spacing w:before="240"/>
            </w:pPr>
            <w:r w:rsidRPr="00886BA7">
              <w:t>Stockholm den 21 oktober 2010</w:t>
            </w:r>
          </w:p>
        </w:tc>
        <w:tc>
          <w:tcPr>
            <w:tcW w:w="3047" w:type="dxa"/>
          </w:tcPr>
          <w:p w:rsidR="00886BA7" w:rsidRPr="00886BA7" w:rsidRDefault="00886BA7">
            <w:pPr>
              <w:pStyle w:val="Underskrifter"/>
              <w:spacing w:before="240"/>
            </w:pPr>
          </w:p>
        </w:tc>
      </w:tr>
      <w:tr w:rsidR="00000000" w:rsidRPr="00886BA7">
        <w:trPr>
          <w:cantSplit/>
        </w:trPr>
        <w:tc>
          <w:tcPr>
            <w:tcW w:w="3046" w:type="dxa"/>
          </w:tcPr>
          <w:p w:rsidR="00886BA7" w:rsidRPr="00886BA7" w:rsidRDefault="00886BA7">
            <w:pPr>
              <w:pStyle w:val="Underskrifter"/>
            </w:pPr>
            <w:r w:rsidRPr="00886BA7">
              <w:t>Andreas Norlén (M)</w:t>
            </w:r>
          </w:p>
        </w:tc>
        <w:tc>
          <w:tcPr>
            <w:tcW w:w="3046" w:type="dxa"/>
          </w:tcPr>
          <w:p w:rsidR="00886BA7" w:rsidRPr="00886BA7" w:rsidRDefault="00886BA7">
            <w:pPr>
              <w:pStyle w:val="Underskrifter"/>
            </w:pPr>
            <w:r w:rsidRPr="00886BA7">
              <w:t>Finn Bengtsson (M)</w:t>
            </w:r>
          </w:p>
        </w:tc>
      </w:tr>
    </w:tbl>
    <w:p w:rsidR="00886BA7" w:rsidRPr="00886BA7" w:rsidRDefault="00886BA7">
      <w:pPr>
        <w:pStyle w:val="Normaltindrag"/>
      </w:pPr>
    </w:p>
    <w:sectPr w:rsidR="00000000" w:rsidRPr="00886B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86BA7" w:rsidRPr="00886BA7" w:rsidRDefault="00886BA7">
      <w:r w:rsidRPr="00886BA7">
        <w:separator/>
      </w:r>
    </w:p>
  </w:endnote>
  <w:endnote w:type="continuationSeparator" w:id="0">
    <w:p w:rsidR="00886BA7" w:rsidRPr="00886BA7" w:rsidRDefault="00886BA7">
      <w:r w:rsidRPr="00886BA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6BA7" w:rsidRPr="00886BA7" w:rsidRDefault="00886BA7">
    <w:pPr>
      <w:pStyle w:val="Sidfot"/>
    </w:pPr>
    <w:r w:rsidRPr="00886BA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4036839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6BA7" w:rsidRDefault="00886BA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86BA7" w:rsidRDefault="00886BA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6BA7" w:rsidRPr="00886BA7" w:rsidRDefault="00886BA7">
    <w:pPr>
      <w:pStyle w:val="Sidfot"/>
    </w:pPr>
    <w:r w:rsidRPr="00886BA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501689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6BA7" w:rsidRDefault="00886BA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86BA7" w:rsidRDefault="00886BA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6BA7" w:rsidRPr="00886BA7" w:rsidRDefault="00886BA7">
    <w:pPr>
      <w:pStyle w:val="Sidfot"/>
    </w:pPr>
    <w:r w:rsidRPr="00886BA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0412558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6BA7" w:rsidRDefault="00886BA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86BA7" w:rsidRDefault="00886BA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86BA7" w:rsidRPr="00886BA7" w:rsidRDefault="00886BA7">
      <w:r w:rsidRPr="00886BA7">
        <w:separator/>
      </w:r>
    </w:p>
  </w:footnote>
  <w:footnote w:type="continuationSeparator" w:id="0">
    <w:p w:rsidR="00886BA7" w:rsidRPr="00886BA7" w:rsidRDefault="00886BA7">
      <w:r w:rsidRPr="00886BA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6BA7" w:rsidRPr="00886BA7" w:rsidRDefault="00886BA7">
    <w:pPr>
      <w:pStyle w:val="Sidhuvud"/>
    </w:pPr>
    <w:r w:rsidRPr="00886BA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1460755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6BA7" w:rsidRDefault="00886BA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Fi256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86BA7" w:rsidRDefault="00886BA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Fi256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6BA7" w:rsidRPr="00886BA7" w:rsidRDefault="00886BA7">
    <w:pPr>
      <w:pStyle w:val="Sidhuvud"/>
    </w:pPr>
    <w:r w:rsidRPr="00886BA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7225736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6BA7" w:rsidRDefault="00886BA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Fi256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86BA7" w:rsidRDefault="00886BA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Fi256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6BA7" w:rsidRPr="00886BA7" w:rsidRDefault="00886BA7">
    <w:pPr>
      <w:pStyle w:val="FSHNormal"/>
      <w:tabs>
        <w:tab w:val="right" w:pos="5840"/>
      </w:tabs>
    </w:pPr>
    <w:r w:rsidRPr="00886BA7">
      <w:br/>
    </w:r>
    <w:r w:rsidRPr="00886BA7">
      <w:fldChar w:fldCharType="begin" w:fldLock="1"/>
    </w:r>
    <w:r w:rsidRPr="00886BA7">
      <w:instrText xml:space="preserve"> DOCPROPERTY</w:instrText>
    </w:r>
    <w:r w:rsidRPr="00886BA7">
      <w:rPr>
        <w:sz w:val="18"/>
      </w:rPr>
      <w:instrText xml:space="preserve"> "YearUser" *\charformat </w:instrText>
    </w:r>
    <w:r w:rsidRPr="00886BA7">
      <w:fldChar w:fldCharType="separate"/>
    </w:r>
    <w:r w:rsidRPr="00886BA7">
      <w:t>2010/11</w:t>
    </w:r>
    <w:r w:rsidRPr="00886BA7">
      <w:fldChar w:fldCharType="end"/>
    </w:r>
    <w:r w:rsidRPr="00886BA7">
      <w:t xml:space="preserve"> </w:t>
    </w:r>
    <w:r w:rsidRPr="00886BA7">
      <w:tab/>
      <w:t xml:space="preserve">mnr: </w:t>
    </w:r>
    <w:r w:rsidRPr="00886BA7">
      <w:fldChar w:fldCharType="begin" w:fldLock="1"/>
    </w:r>
    <w:r w:rsidRPr="00886BA7">
      <w:instrText xml:space="preserve"> DOCPROPERTY</w:instrText>
    </w:r>
    <w:r w:rsidRPr="00886BA7">
      <w:rPr>
        <w:sz w:val="18"/>
      </w:rPr>
      <w:instrText xml:space="preserve"> "Motionsnummer" *\charformat </w:instrText>
    </w:r>
    <w:r w:rsidRPr="00886BA7">
      <w:fldChar w:fldCharType="separate"/>
    </w:r>
    <w:r w:rsidRPr="00886BA7">
      <w:t>Fi256</w:t>
    </w:r>
    <w:r w:rsidRPr="00886BA7">
      <w:fldChar w:fldCharType="end"/>
    </w:r>
    <w:r w:rsidRPr="00886BA7">
      <w:br/>
    </w:r>
    <w:r w:rsidRPr="00886BA7">
      <w:fldChar w:fldCharType="begin" w:fldLock="1"/>
    </w:r>
    <w:r w:rsidRPr="00886BA7">
      <w:instrText xml:space="preserve"> DOCPROPERTY</w:instrText>
    </w:r>
    <w:r w:rsidRPr="00886BA7">
      <w:rPr>
        <w:sz w:val="18"/>
      </w:rPr>
      <w:instrText xml:space="preserve"> "Samling" *\charformat </w:instrText>
    </w:r>
    <w:r w:rsidRPr="00886BA7">
      <w:fldChar w:fldCharType="end"/>
    </w:r>
    <w:r w:rsidRPr="00886BA7">
      <w:tab/>
      <w:t xml:space="preserve">pnr: </w:t>
    </w:r>
    <w:r w:rsidRPr="00886BA7">
      <w:fldChar w:fldCharType="begin" w:fldLock="1"/>
    </w:r>
    <w:r w:rsidRPr="00886BA7">
      <w:instrText xml:space="preserve"> DOCPROPERTY</w:instrText>
    </w:r>
    <w:r w:rsidRPr="00886BA7">
      <w:rPr>
        <w:sz w:val="18"/>
      </w:rPr>
      <w:instrText xml:space="preserve"> "Partinummer" *\charformat </w:instrText>
    </w:r>
    <w:r w:rsidRPr="00886BA7">
      <w:fldChar w:fldCharType="separate"/>
    </w:r>
    <w:r w:rsidRPr="00886BA7">
      <w:t>M1709</w:t>
    </w:r>
    <w:r w:rsidRPr="00886BA7">
      <w:fldChar w:fldCharType="end"/>
    </w:r>
  </w:p>
  <w:p w:rsidR="00886BA7" w:rsidRPr="00886BA7" w:rsidRDefault="00886BA7">
    <w:pPr>
      <w:pStyle w:val="FSHRub1"/>
    </w:pPr>
    <w:r w:rsidRPr="00886BA7">
      <w:t>Motion till riksdagen</w:t>
    </w:r>
    <w:r w:rsidRPr="00886BA7">
      <w:br/>
    </w:r>
    <w:r w:rsidRPr="00886BA7">
      <w:fldChar w:fldCharType="begin" w:fldLock="1"/>
    </w:r>
    <w:r w:rsidRPr="00886BA7">
      <w:instrText xml:space="preserve"> DOCPROPERTY "YearUser" *\charformat </w:instrText>
    </w:r>
    <w:r w:rsidRPr="00886BA7">
      <w:fldChar w:fldCharType="separate"/>
    </w:r>
    <w:r w:rsidRPr="00886BA7">
      <w:t>2010/11</w:t>
    </w:r>
    <w:r w:rsidRPr="00886BA7">
      <w:fldChar w:fldCharType="end"/>
    </w:r>
    <w:r w:rsidRPr="00886BA7">
      <w:t>:</w:t>
    </w:r>
    <w:r w:rsidRPr="00886BA7">
      <w:fldChar w:fldCharType="begin" w:fldLock="1"/>
    </w:r>
    <w:r w:rsidRPr="00886BA7">
      <w:instrText xml:space="preserve"> DOCPROPERTY "Motionsnummer" *\charformat </w:instrText>
    </w:r>
    <w:r w:rsidRPr="00886BA7">
      <w:fldChar w:fldCharType="separate"/>
    </w:r>
    <w:r w:rsidRPr="00886BA7">
      <w:t>Fi256</w:t>
    </w:r>
    <w:r w:rsidRPr="00886BA7">
      <w:fldChar w:fldCharType="end"/>
    </w:r>
  </w:p>
  <w:p w:rsidR="00886BA7" w:rsidRPr="00886BA7" w:rsidRDefault="00886BA7">
    <w:pPr>
      <w:pStyle w:val="FSHNormalS5"/>
    </w:pPr>
    <w:r w:rsidRPr="00886BA7">
      <w:fldChar w:fldCharType="begin" w:fldLock="1"/>
    </w:r>
    <w:r w:rsidRPr="00886BA7">
      <w:instrText xml:space="preserve"> DOCPROPERTY "MotionarText" *\charformat </w:instrText>
    </w:r>
    <w:r w:rsidRPr="00886BA7">
      <w:fldChar w:fldCharType="separate"/>
    </w:r>
    <w:r w:rsidRPr="00886BA7">
      <w:t>av Andreas Norlén och Finn Bengtsson (M)</w:t>
    </w:r>
    <w:r w:rsidRPr="00886BA7">
      <w:fldChar w:fldCharType="end"/>
    </w:r>
    <w:r w:rsidRPr="00886BA7">
      <w:br/>
    </w:r>
    <w:r w:rsidRPr="00886BA7">
      <w:fldChar w:fldCharType="begin" w:fldLock="1"/>
    </w:r>
    <w:r w:rsidRPr="00886BA7">
      <w:instrText xml:space="preserve"> DOCPROPERTY "SvarFrasKort" *\charformat </w:instrText>
    </w:r>
    <w:r w:rsidRPr="00886BA7">
      <w:fldChar w:fldCharType="end"/>
    </w:r>
  </w:p>
  <w:p w:rsidR="00886BA7" w:rsidRPr="00886BA7" w:rsidRDefault="00886BA7">
    <w:pPr>
      <w:pStyle w:val="FSHTitel"/>
    </w:pPr>
    <w:r w:rsidRPr="00886BA7">
      <w:fldChar w:fldCharType="begin" w:fldLock="1"/>
    </w:r>
    <w:r w:rsidRPr="00886BA7">
      <w:instrText xml:space="preserve"> DOCPROPERTY</w:instrText>
    </w:r>
    <w:r w:rsidRPr="00886BA7">
      <w:rPr>
        <w:sz w:val="18"/>
      </w:rPr>
      <w:instrText xml:space="preserve"> "RubrikSvar" *\charformat </w:instrText>
    </w:r>
    <w:r w:rsidRPr="00886BA7">
      <w:fldChar w:fldCharType="separate"/>
    </w:r>
    <w:r w:rsidRPr="00886BA7">
      <w:t>Riktlinjer till AP-fonderna</w:t>
    </w:r>
    <w:r w:rsidRPr="00886BA7">
      <w:fldChar w:fldCharType="end"/>
    </w:r>
  </w:p>
  <w:p w:rsidR="00886BA7" w:rsidRPr="00886BA7" w:rsidRDefault="00886BA7">
    <w:pPr>
      <w:pStyle w:val="Normal00"/>
    </w:pPr>
  </w:p>
  <w:p w:rsidR="00886BA7" w:rsidRPr="00886BA7" w:rsidRDefault="00886BA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048460191">
    <w:abstractNumId w:val="3"/>
  </w:num>
  <w:num w:numId="2" w16cid:durableId="1905873917">
    <w:abstractNumId w:val="2"/>
  </w:num>
  <w:num w:numId="3" w16cid:durableId="1793594586">
    <w:abstractNumId w:val="1"/>
  </w:num>
  <w:num w:numId="4" w16cid:durableId="883905174">
    <w:abstractNumId w:val="0"/>
  </w:num>
  <w:num w:numId="5" w16cid:durableId="248151061">
    <w:abstractNumId w:val="7"/>
  </w:num>
  <w:num w:numId="6" w16cid:durableId="2055689129">
    <w:abstractNumId w:val="6"/>
  </w:num>
  <w:num w:numId="7" w16cid:durableId="1097285338">
    <w:abstractNumId w:val="5"/>
  </w:num>
  <w:num w:numId="8" w16cid:durableId="55515676">
    <w:abstractNumId w:val="4"/>
  </w:num>
  <w:num w:numId="9" w16cid:durableId="1351418214">
    <w:abstractNumId w:val="8"/>
  </w:num>
  <w:num w:numId="10" w16cid:durableId="1605378675">
    <w:abstractNumId w:val="9"/>
  </w:num>
  <w:num w:numId="11" w16cid:durableId="1482042757">
    <w:abstractNumId w:val="10"/>
  </w:num>
  <w:num w:numId="12" w16cid:durableId="89467540">
    <w:abstractNumId w:val="13"/>
  </w:num>
  <w:num w:numId="13" w16cid:durableId="441843811">
    <w:abstractNumId w:val="15"/>
  </w:num>
  <w:num w:numId="14" w16cid:durableId="76439688">
    <w:abstractNumId w:val="16"/>
  </w:num>
  <w:num w:numId="15" w16cid:durableId="361977781">
    <w:abstractNumId w:val="11"/>
  </w:num>
  <w:num w:numId="16" w16cid:durableId="38018016">
    <w:abstractNumId w:val="18"/>
  </w:num>
  <w:num w:numId="17" w16cid:durableId="704410081">
    <w:abstractNumId w:val="17"/>
  </w:num>
  <w:num w:numId="18" w16cid:durableId="172186104">
    <w:abstractNumId w:val="14"/>
  </w:num>
  <w:num w:numId="19" w16cid:durableId="14233345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12"/>
    <w:docVar w:name="PersonGUIDs" w:val="{0C0EA59F-6F6F-4D5D-BE37-EDB2147FB809},{F1C0FD78-9D14-42EA-B1B2-0CE5B9AA8DA9}"/>
  </w:docVars>
  <w:rsids>
    <w:rsidRoot w:val="00B27479"/>
    <w:rsid w:val="00886BA7"/>
    <w:rsid w:val="00B2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9D8CB088-340A-43C7-B504-EA2EDE778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973</Words>
  <Characters>5638</Characters>
  <Application>Microsoft Office Word</Application>
  <DocSecurity>4</DocSecurity>
  <Lines>97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m1709</vt:lpstr>
    </vt:vector>
  </TitlesOfParts>
  <Company>Riksdagen</Company>
  <LinksUpToDate>false</LinksUpToDate>
  <CharactersWithSpaces>6593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m1709</dc:title>
  <dc:subject>m1709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2010-12-12T14:54:00Z</cp:lastPrinted>
  <dcterms:created xsi:type="dcterms:W3CDTF">2025-12-18T00:42:00Z</dcterms:created>
  <dcterms:modified xsi:type="dcterms:W3CDTF">2025-12-18T00:42:00Z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mot2000_530_2010-12-12</vt:lpwstr>
  </property>
  <property fmtid="{D5CDD505-2E9C-101B-9397-08002B2CF9AE}" pid="3" name="version">
    <vt:lpwstr>mot2000_524_2010-10-21</vt:lpwstr>
  </property>
  <property fmtid="{D5CDD505-2E9C-101B-9397-08002B2CF9AE}" pid="4" name="dokumenttyp">
    <vt:lpwstr>motion</vt:lpwstr>
  </property>
  <property fmtid="{D5CDD505-2E9C-101B-9397-08002B2CF9AE}" pid="5" name="Sekr">
    <vt:lpwstr>EC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Riktlinjer till AP-fonderna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Riktlinjer till AP-fonderna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M1709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Andreas Norlén och Finn Bengtsson (M)</vt:lpwstr>
  </property>
  <property fmtid="{D5CDD505-2E9C-101B-9397-08002B2CF9AE}" pid="26" name="MotionarLista">
    <vt:lpwstr>Norlén, Andreas (M)\Bengtsson, Finn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Andreas Norlén (M), Finn Bengtsson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Fi256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21 oktober 2010</vt:lpwstr>
  </property>
  <property fmtid="{D5CDD505-2E9C-101B-9397-08002B2CF9AE}" pid="44" name="NotesUID">
    <vt:lpwstr>edna.cedervall@riksdagen.se</vt:lpwstr>
  </property>
  <property fmtid="{D5CDD505-2E9C-101B-9397-08002B2CF9AE}" pid="45" name="ReservUID">
    <vt:lpwstr>ea0215aa</vt:lpwstr>
  </property>
  <property fmtid="{D5CDD505-2E9C-101B-9397-08002B2CF9AE}" pid="46" name="MotionID">
    <vt:lpwstr>20102011000000000109000017090069</vt:lpwstr>
  </property>
  <property fmtid="{D5CDD505-2E9C-101B-9397-08002B2CF9AE}" pid="47" name="datum">
    <vt:lpwstr>101021</vt:lpwstr>
  </property>
  <property fmtid="{D5CDD505-2E9C-101B-9397-08002B2CF9AE}" pid="48" name="avsändar-e-post">
    <vt:lpwstr>edna.cedervall@riksdagen.se</vt:lpwstr>
  </property>
  <property fmtid="{D5CDD505-2E9C-101B-9397-08002B2CF9AE}" pid="49" name="id">
    <vt:lpwstr>20102011000000000109000017090069</vt:lpwstr>
  </property>
  <property fmtid="{D5CDD505-2E9C-101B-9397-08002B2CF9AE}" pid="50" name="nummer">
    <vt:lpwstr>256</vt:lpwstr>
  </property>
  <property fmtid="{D5CDD505-2E9C-101B-9397-08002B2CF9AE}" pid="51" name="utskottsbeteckning">
    <vt:lpwstr>Fi</vt:lpwstr>
  </property>
  <property fmtid="{D5CDD505-2E9C-101B-9397-08002B2CF9AE}" pid="52" name="GlobalUID">
    <vt:lpwstr>{4941D87A-E6A4-4BD0-A2B8-FA668F9C6B6A}</vt:lpwstr>
  </property>
  <property fmtid="{D5CDD505-2E9C-101B-9397-08002B2CF9AE}" pid="53" name="Överföringar">
    <vt:i4>0</vt:i4>
  </property>
  <property fmtid="{D5CDD505-2E9C-101B-9397-08002B2CF9AE}" pid="54" name="Checksum">
    <vt:lpwstr>*1017754624467*</vt:lpwstr>
  </property>
  <property fmtid="{D5CDD505-2E9C-101B-9397-08002B2CF9AE}" pid="55" name="skuggnummer">
    <vt:lpwstr>2275</vt:lpwstr>
  </property>
  <property fmtid="{D5CDD505-2E9C-101B-9397-08002B2CF9AE}" pid="56" name="urixVersion">
    <vt:lpwstr>4.3.2.0</vt:lpwstr>
  </property>
  <property fmtid="{D5CDD505-2E9C-101B-9397-08002B2CF9AE}" pid="57" name="urixOrigin">
    <vt:lpwstr>101212 15:54:36.944</vt:lpwstr>
  </property>
  <property fmtid="{D5CDD505-2E9C-101B-9397-08002B2CF9AE}" pid="58" name="urixGuid">
    <vt:lpwstr>{965D26CE-8F3E-4BF8-95BB-F65D0BE46AB9}</vt:lpwstr>
  </property>
</Properties>
</file>