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70DC1" w:rsidRPr="0038632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386322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70DC1" w:rsidRPr="00386322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</w:tr>
      <w:tr w:rsidR="00670DC1" w:rsidRPr="003863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16EB4" w:rsidRPr="00386322" w:rsidRDefault="00816EB4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sz w:val="22"/>
              </w:rPr>
            </w:pPr>
            <w:r w:rsidRPr="00386322">
              <w:rPr>
                <w:rFonts w:ascii="TradeGothic" w:hAnsi="TradeGothic"/>
                <w:sz w:val="22"/>
              </w:rPr>
              <w:t xml:space="preserve">Utkast till </w:t>
            </w:r>
          </w:p>
          <w:p w:rsidR="00670DC1" w:rsidRPr="00386322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b/>
                <w:sz w:val="22"/>
              </w:rPr>
            </w:pPr>
            <w:r w:rsidRPr="0038632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70DC1" w:rsidRPr="0038632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70DC1" w:rsidRPr="00386322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1213" w:type="dxa"/>
          </w:tcPr>
          <w:p w:rsidR="00670DC1" w:rsidRPr="00386322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38632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386322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  <w:r w:rsidRPr="00386322">
              <w:t>200</w:t>
            </w:r>
            <w:r w:rsidR="00FA66EE" w:rsidRPr="00386322">
              <w:t>8-</w:t>
            </w:r>
            <w:r w:rsidR="008352D9" w:rsidRPr="00386322">
              <w:t>12-01</w:t>
            </w:r>
          </w:p>
        </w:tc>
        <w:tc>
          <w:tcPr>
            <w:tcW w:w="2347" w:type="dxa"/>
            <w:gridSpan w:val="2"/>
          </w:tcPr>
          <w:p w:rsidR="00670DC1" w:rsidRPr="00386322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38632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386322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2347" w:type="dxa"/>
            <w:gridSpan w:val="2"/>
          </w:tcPr>
          <w:p w:rsidR="00670DC1" w:rsidRPr="00386322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70DC1" w:rsidRPr="003863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38632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/>
                <w:i w:val="0"/>
                <w:sz w:val="22"/>
              </w:rPr>
            </w:pPr>
            <w:r w:rsidRPr="00386322">
              <w:rPr>
                <w:b/>
                <w:i w:val="0"/>
                <w:sz w:val="22"/>
              </w:rPr>
              <w:t>Socialdepartementet</w:t>
            </w:r>
          </w:p>
        </w:tc>
      </w:tr>
      <w:tr w:rsidR="00670DC1" w:rsidRPr="003863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38632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3863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38632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386322">
              <w:rPr>
                <w:bCs/>
                <w:iCs/>
              </w:rPr>
              <w:t>Socialförsäkringsenheten</w:t>
            </w:r>
          </w:p>
          <w:p w:rsidR="00816EB4" w:rsidRPr="00386322" w:rsidRDefault="00816EB4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386322">
              <w:rPr>
                <w:bCs/>
                <w:iCs/>
              </w:rPr>
              <w:t>Lena Malmberg</w:t>
            </w:r>
          </w:p>
        </w:tc>
      </w:tr>
      <w:tr w:rsidR="00670DC1" w:rsidRPr="003863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38632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3863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38632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3863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38632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3863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38632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3863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38632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3863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38632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</w:tbl>
    <w:p w:rsidR="00670DC1" w:rsidRPr="00386322" w:rsidRDefault="00670DC1" w:rsidP="008D743B">
      <w:pPr>
        <w:framePr w:w="4400" w:h="2523" w:wrap="notBeside" w:vAnchor="page" w:hAnchor="page" w:x="6453" w:y="2445"/>
        <w:spacing w:line="240" w:lineRule="auto"/>
        <w:ind w:left="142"/>
        <w:rPr>
          <w:b/>
        </w:rPr>
      </w:pPr>
    </w:p>
    <w:p w:rsidR="00670DC1" w:rsidRPr="00386322" w:rsidRDefault="00670DC1" w:rsidP="008D743B">
      <w:pPr>
        <w:pStyle w:val="RKrubrik"/>
        <w:pBdr>
          <w:bottom w:val="single" w:sz="6" w:space="1" w:color="auto"/>
        </w:pBdr>
        <w:spacing w:line="240" w:lineRule="auto"/>
      </w:pPr>
      <w:bookmarkStart w:id="0" w:name="bRubrik"/>
      <w:bookmarkEnd w:id="0"/>
      <w:r w:rsidRPr="00386322">
        <w:t>EPSCO rådets möte den</w:t>
      </w:r>
      <w:r w:rsidR="00FA66EE" w:rsidRPr="00386322">
        <w:t xml:space="preserve"> </w:t>
      </w:r>
      <w:r w:rsidR="008352D9" w:rsidRPr="00386322">
        <w:t>17 december</w:t>
      </w:r>
      <w:r w:rsidR="00313201" w:rsidRPr="00386322">
        <w:t xml:space="preserve"> – dagordningspunkt </w:t>
      </w:r>
      <w:r w:rsidR="008352D9" w:rsidRPr="00386322">
        <w:t>1</w:t>
      </w:r>
      <w:r w:rsidR="00323496" w:rsidRPr="00386322">
        <w:t>3</w:t>
      </w:r>
      <w:r w:rsidR="007243CE" w:rsidRPr="00386322">
        <w:t>.</w:t>
      </w:r>
    </w:p>
    <w:p w:rsidR="00670DC1" w:rsidRPr="00386322" w:rsidRDefault="00670DC1" w:rsidP="008D743B">
      <w:pPr>
        <w:pStyle w:val="RKnormal"/>
        <w:spacing w:line="240" w:lineRule="auto"/>
      </w:pPr>
    </w:p>
    <w:p w:rsidR="00E6480E" w:rsidRPr="00386322" w:rsidRDefault="00E6480E" w:rsidP="008D743B">
      <w:pPr>
        <w:pStyle w:val="RKnormal"/>
        <w:spacing w:line="240" w:lineRule="auto"/>
      </w:pPr>
      <w:r w:rsidRPr="00386322">
        <w:t xml:space="preserve">Förslag till Europaparlamentets och rådets </w:t>
      </w:r>
      <w:r w:rsidR="008E530A" w:rsidRPr="00386322">
        <w:t>förordning om</w:t>
      </w:r>
      <w:r w:rsidR="00062870" w:rsidRPr="00386322">
        <w:t xml:space="preserve"> </w:t>
      </w:r>
      <w:r w:rsidR="00323496" w:rsidRPr="00386322">
        <w:t xml:space="preserve">ändringar </w:t>
      </w:r>
      <w:r w:rsidR="008E530A" w:rsidRPr="00386322">
        <w:t>i förordning</w:t>
      </w:r>
      <w:r w:rsidR="00062870" w:rsidRPr="00386322">
        <w:t xml:space="preserve"> </w:t>
      </w:r>
      <w:r w:rsidRPr="00386322">
        <w:t>(EG) nr 883/2004 om samordning av de sociala trygghetssystemen.</w:t>
      </w:r>
    </w:p>
    <w:p w:rsidR="00E6480E" w:rsidRPr="00386322" w:rsidRDefault="00E6480E" w:rsidP="008D743B">
      <w:pPr>
        <w:pStyle w:val="RKnormal"/>
        <w:spacing w:line="240" w:lineRule="auto"/>
      </w:pPr>
    </w:p>
    <w:p w:rsidR="00E6480E" w:rsidRPr="00386322" w:rsidRDefault="00E6480E" w:rsidP="008D743B">
      <w:pPr>
        <w:pStyle w:val="RKnormal"/>
        <w:spacing w:line="240" w:lineRule="auto"/>
      </w:pPr>
      <w:r w:rsidRPr="00386322">
        <w:t>Dokument</w:t>
      </w:r>
      <w:r w:rsidR="00707C81" w:rsidRPr="00386322">
        <w:t xml:space="preserve">: </w:t>
      </w:r>
      <w:r w:rsidR="008352D9" w:rsidRPr="00386322">
        <w:t>1451</w:t>
      </w:r>
      <w:r w:rsidR="00323496" w:rsidRPr="00386322">
        <w:t>8</w:t>
      </w:r>
      <w:r w:rsidR="008352D9" w:rsidRPr="00386322">
        <w:t>/08 ADD 1 SOC 62</w:t>
      </w:r>
      <w:r w:rsidR="00323496" w:rsidRPr="00386322">
        <w:t>1</w:t>
      </w:r>
      <w:r w:rsidR="008352D9" w:rsidRPr="00386322">
        <w:t xml:space="preserve"> CODEC 136</w:t>
      </w:r>
      <w:r w:rsidR="00323496" w:rsidRPr="00386322">
        <w:t>3</w:t>
      </w:r>
    </w:p>
    <w:p w:rsidR="00E6480E" w:rsidRPr="00386322" w:rsidRDefault="00E6480E" w:rsidP="008D743B">
      <w:pPr>
        <w:pStyle w:val="RKnormal"/>
        <w:spacing w:line="240" w:lineRule="auto"/>
      </w:pPr>
    </w:p>
    <w:p w:rsidR="00644707" w:rsidRPr="00386322" w:rsidRDefault="00E6480E" w:rsidP="008D743B">
      <w:pPr>
        <w:pStyle w:val="RKnormal"/>
        <w:spacing w:line="240" w:lineRule="auto"/>
      </w:pPr>
      <w:r w:rsidRPr="00386322">
        <w:t>Tidigare dokument:</w:t>
      </w:r>
      <w:r w:rsidRPr="00386322">
        <w:rPr>
          <w:color w:val="000000"/>
        </w:rPr>
        <w:t xml:space="preserve"> </w:t>
      </w:r>
      <w:r w:rsidR="00344884" w:rsidRPr="00386322">
        <w:rPr>
          <w:color w:val="000000"/>
        </w:rPr>
        <w:t xml:space="preserve">COM (2007) 376 final, </w:t>
      </w:r>
      <w:r w:rsidR="00F578DA" w:rsidRPr="00386322">
        <w:rPr>
          <w:color w:val="000000"/>
        </w:rPr>
        <w:t>15090/08 SOC 655 CODEC 1468</w:t>
      </w:r>
    </w:p>
    <w:p w:rsidR="00B312D4" w:rsidRPr="00386322" w:rsidRDefault="00670DC1" w:rsidP="008D743B">
      <w:pPr>
        <w:pStyle w:val="RKrubrik"/>
        <w:spacing w:line="240" w:lineRule="auto"/>
        <w:rPr>
          <w:i/>
        </w:rPr>
      </w:pPr>
      <w:r w:rsidRPr="00386322">
        <w:rPr>
          <w:i/>
        </w:rPr>
        <w:t>Bakgrund</w:t>
      </w:r>
    </w:p>
    <w:p w:rsidR="00816EB4" w:rsidRPr="00386322" w:rsidRDefault="00816EB4" w:rsidP="00816EB4">
      <w:pPr>
        <w:pStyle w:val="RKnormal"/>
        <w:spacing w:line="240" w:lineRule="auto"/>
      </w:pPr>
      <w:r w:rsidRPr="00386322">
        <w:t xml:space="preserve">Europaparlamentet och rådet antog den 29 april 2004 en ny förordning 883/2004 om samordning av de sociala trygghetssystemen. </w:t>
      </w:r>
      <w:r w:rsidR="00323496" w:rsidRPr="00386322">
        <w:t xml:space="preserve">Förordningen innehåller vissa bilagor som det inte var möjligt att </w:t>
      </w:r>
      <w:r w:rsidR="00985EDB" w:rsidRPr="00386322">
        <w:t xml:space="preserve">fastställa vid den tidpunkt då förordningen antogs och som skulle kompletteras innan förordningen trädde i kraft. Bilagorna som berörs är bilaga II om tillämpliga bilaterala konventioner, bilaga X om särskilda icke avgiftsfinansierade kontantförmåner och bilaga XI särskilda regler för tillämpningen av enskilda medlemsstaters lagstiftning. Dessutom har bilagorna kompletterats </w:t>
      </w:r>
      <w:r w:rsidR="000A1983" w:rsidRPr="00386322">
        <w:t xml:space="preserve">med anledning av de medlemsstater som anslöt sig till EU 2004 och 2007 </w:t>
      </w:r>
      <w:r w:rsidR="00985EDB" w:rsidRPr="00386322">
        <w:t>.</w:t>
      </w:r>
      <w:r w:rsidR="00344884" w:rsidRPr="00386322">
        <w:t xml:space="preserve"> Vissa ändringar föreslås </w:t>
      </w:r>
      <w:r w:rsidR="009833DD" w:rsidRPr="00386322">
        <w:t>dels beroende på ändringar som varit påkallade vid genomgång och förhandlingar av en ny tillämpningsförordning till förordningen 883/2004 och dels behov av nya kompletterande regler bl.a. för</w:t>
      </w:r>
      <w:r w:rsidR="00344884" w:rsidRPr="00386322">
        <w:t xml:space="preserve"> beräkning och samordning av pensi</w:t>
      </w:r>
      <w:r w:rsidR="009833DD" w:rsidRPr="00386322">
        <w:t>onsförmåner, övergångsregler mm.</w:t>
      </w:r>
    </w:p>
    <w:p w:rsidR="00670DC1" w:rsidRPr="00386322" w:rsidRDefault="00670DC1" w:rsidP="008D743B">
      <w:pPr>
        <w:pStyle w:val="RKrubrik"/>
        <w:spacing w:line="240" w:lineRule="auto"/>
        <w:rPr>
          <w:i/>
        </w:rPr>
      </w:pPr>
      <w:r w:rsidRPr="00386322">
        <w:rPr>
          <w:i/>
        </w:rPr>
        <w:t>Rättslig grund och beslutsförfarande</w:t>
      </w:r>
    </w:p>
    <w:p w:rsidR="00670DC1" w:rsidRPr="00386322" w:rsidRDefault="00670DC1" w:rsidP="00313201">
      <w:pPr>
        <w:pStyle w:val="RKnormal"/>
        <w:spacing w:line="240" w:lineRule="auto"/>
      </w:pPr>
      <w:r w:rsidRPr="00386322">
        <w:t xml:space="preserve">Artikel 42 och 308 i EF. </w:t>
      </w:r>
      <w:r w:rsidR="000A1983" w:rsidRPr="00386322">
        <w:t>Rådet beslutar med e</w:t>
      </w:r>
      <w:r w:rsidRPr="00386322">
        <w:t xml:space="preserve">nhällighet och </w:t>
      </w:r>
      <w:r w:rsidR="000A1983" w:rsidRPr="00386322">
        <w:t xml:space="preserve">Europaparlamentet är </w:t>
      </w:r>
      <w:r w:rsidRPr="00386322">
        <w:t>medbeslutande</w:t>
      </w:r>
      <w:r w:rsidR="000A1983" w:rsidRPr="00386322">
        <w:t>.</w:t>
      </w:r>
    </w:p>
    <w:p w:rsidR="00670DC1" w:rsidRPr="00386322" w:rsidRDefault="00670DC1" w:rsidP="008D743B">
      <w:pPr>
        <w:pStyle w:val="RKrubrik"/>
        <w:spacing w:line="240" w:lineRule="auto"/>
        <w:rPr>
          <w:i/>
          <w:iCs/>
        </w:rPr>
      </w:pPr>
      <w:r w:rsidRPr="00386322">
        <w:rPr>
          <w:i/>
          <w:iCs/>
        </w:rPr>
        <w:lastRenderedPageBreak/>
        <w:t>Svensk ståndpunkt</w:t>
      </w:r>
    </w:p>
    <w:p w:rsidR="00670DC1" w:rsidRPr="00386322" w:rsidRDefault="000A1983" w:rsidP="008D743B">
      <w:pPr>
        <w:pStyle w:val="RKnormal"/>
        <w:spacing w:line="240" w:lineRule="auto"/>
      </w:pPr>
      <w:r w:rsidRPr="00386322">
        <w:t xml:space="preserve">Regeringen föreslår att Sverige </w:t>
      </w:r>
      <w:r w:rsidR="00670DC1" w:rsidRPr="00386322">
        <w:t xml:space="preserve"> stöder förslaget.</w:t>
      </w:r>
    </w:p>
    <w:p w:rsidR="00670DC1" w:rsidRPr="00386322" w:rsidRDefault="00670DC1" w:rsidP="008D743B">
      <w:pPr>
        <w:pStyle w:val="RKrubrik"/>
        <w:spacing w:line="240" w:lineRule="auto"/>
        <w:rPr>
          <w:i/>
        </w:rPr>
      </w:pPr>
      <w:r w:rsidRPr="00386322">
        <w:rPr>
          <w:i/>
        </w:rPr>
        <w:t>Europaparlamentets inställning</w:t>
      </w:r>
    </w:p>
    <w:p w:rsidR="0063631F" w:rsidRPr="00386322" w:rsidRDefault="0063631F" w:rsidP="0063631F">
      <w:pPr>
        <w:pStyle w:val="RKnormal"/>
      </w:pPr>
      <w:r w:rsidRPr="00386322">
        <w:t xml:space="preserve">Europaparlamentet har lämnat synpunkter på </w:t>
      </w:r>
      <w:r w:rsidR="00985EDB" w:rsidRPr="00386322">
        <w:t xml:space="preserve">ändringsförslagen </w:t>
      </w:r>
      <w:r w:rsidRPr="00386322">
        <w:t xml:space="preserve">i en första läsning. Synpunkterna har </w:t>
      </w:r>
      <w:r w:rsidR="00FD71BC" w:rsidRPr="00386322">
        <w:t>tillvaratagits i de flesta fall, dock återstår några frågor att lösa ut</w:t>
      </w:r>
      <w:r w:rsidR="00344884" w:rsidRPr="00386322">
        <w:t xml:space="preserve"> där </w:t>
      </w:r>
      <w:r w:rsidR="000A1983" w:rsidRPr="00386322">
        <w:t xml:space="preserve">rådet föreslår </w:t>
      </w:r>
      <w:r w:rsidR="00344884" w:rsidRPr="00386322">
        <w:t>kompromiss</w:t>
      </w:r>
      <w:r w:rsidR="000A1983" w:rsidRPr="00386322">
        <w:t>er.</w:t>
      </w:r>
      <w:r w:rsidR="00344884" w:rsidRPr="00386322">
        <w:t xml:space="preserve"> föreslås</w:t>
      </w:r>
      <w:r w:rsidR="00FD71BC" w:rsidRPr="00386322">
        <w:t>.</w:t>
      </w:r>
    </w:p>
    <w:p w:rsidR="00670DC1" w:rsidRPr="00386322" w:rsidRDefault="00670DC1" w:rsidP="008D743B">
      <w:pPr>
        <w:pStyle w:val="RKrubrik"/>
        <w:spacing w:line="240" w:lineRule="auto"/>
        <w:rPr>
          <w:i/>
          <w:iCs/>
        </w:rPr>
      </w:pPr>
      <w:r w:rsidRPr="00386322">
        <w:rPr>
          <w:i/>
          <w:iCs/>
        </w:rPr>
        <w:t>Förslaget</w:t>
      </w:r>
    </w:p>
    <w:p w:rsidR="0062570B" w:rsidRPr="00386322" w:rsidRDefault="00D53AF6" w:rsidP="008E530A">
      <w:pPr>
        <w:pStyle w:val="RKnormal"/>
      </w:pPr>
      <w:r w:rsidRPr="00386322">
        <w:t xml:space="preserve">Rådet har accepterat 69 av Europaparlamentets 77 förslag till ändringar i kommissionens förslag. </w:t>
      </w:r>
      <w:r w:rsidR="00F82F8F" w:rsidRPr="00386322">
        <w:t>N</w:t>
      </w:r>
      <w:r w:rsidRPr="00386322">
        <w:t xml:space="preserve">ågra </w:t>
      </w:r>
      <w:r w:rsidR="000A1983" w:rsidRPr="00386322">
        <w:t xml:space="preserve">av </w:t>
      </w:r>
      <w:r w:rsidRPr="00386322">
        <w:t>förslag</w:t>
      </w:r>
      <w:r w:rsidR="000A1983" w:rsidRPr="00386322">
        <w:t xml:space="preserve">en </w:t>
      </w:r>
      <w:r w:rsidRPr="00386322">
        <w:t xml:space="preserve"> </w:t>
      </w:r>
      <w:r w:rsidR="00F82F8F" w:rsidRPr="00386322">
        <w:t xml:space="preserve">har </w:t>
      </w:r>
      <w:r w:rsidR="000A1983" w:rsidRPr="00386322">
        <w:t xml:space="preserve">emellertid </w:t>
      </w:r>
      <w:r w:rsidR="00F82F8F" w:rsidRPr="00386322">
        <w:t xml:space="preserve"> </w:t>
      </w:r>
      <w:r w:rsidRPr="00386322">
        <w:t xml:space="preserve">inte kunnat antas. </w:t>
      </w:r>
    </w:p>
    <w:p w:rsidR="0062570B" w:rsidRPr="00386322" w:rsidRDefault="0062570B" w:rsidP="008E530A">
      <w:pPr>
        <w:pStyle w:val="RKnormal"/>
      </w:pPr>
    </w:p>
    <w:p w:rsidR="0062570B" w:rsidRPr="00386322" w:rsidRDefault="000A1983" w:rsidP="008E530A">
      <w:pPr>
        <w:pStyle w:val="RKnormal"/>
      </w:pPr>
      <w:r w:rsidRPr="00386322">
        <w:t xml:space="preserve">Bland de ändringar som rådet inte har kunnat anta </w:t>
      </w:r>
      <w:r w:rsidR="00F82F8F" w:rsidRPr="00386322">
        <w:t xml:space="preserve"> bör </w:t>
      </w:r>
      <w:r w:rsidR="00E47F5F" w:rsidRPr="00386322">
        <w:t>nämnas</w:t>
      </w:r>
      <w:r w:rsidRPr="00386322">
        <w:t xml:space="preserve"> </w:t>
      </w:r>
      <w:r w:rsidR="00F82F8F" w:rsidRPr="00386322">
        <w:t>f</w:t>
      </w:r>
      <w:r w:rsidR="00D53AF6" w:rsidRPr="00386322">
        <w:t>örslaget att ge gränsarbetares familjemedlemmar samma rätt till sjukvård</w:t>
      </w:r>
      <w:r w:rsidR="009C0A2F" w:rsidRPr="00386322">
        <w:t xml:space="preserve"> i arbetslandet</w:t>
      </w:r>
      <w:r w:rsidR="00D53AF6" w:rsidRPr="00386322">
        <w:t xml:space="preserve"> som arbetstagaren</w:t>
      </w:r>
      <w:r w:rsidR="00F82F8F" w:rsidRPr="00386322">
        <w:t xml:space="preserve"> nämnas</w:t>
      </w:r>
      <w:r w:rsidR="00D53AF6" w:rsidRPr="00386322">
        <w:t>. I artikel 18</w:t>
      </w:r>
      <w:r w:rsidR="00F82F8F" w:rsidRPr="00386322">
        <w:t xml:space="preserve"> </w:t>
      </w:r>
      <w:r w:rsidR="00D53AF6" w:rsidRPr="00386322">
        <w:t xml:space="preserve">(2) i förordningen 883/2004 anges att familjemedlemmar till en gränsarbetare ska ha rätt till sjukvårdsförmåner i arbetslandet om detta inte är antecknat i bilaga III till förordningen. I denna bilaga antecknas de medlemsstater som inskränker denna rätt till sjukvård </w:t>
      </w:r>
      <w:r w:rsidR="00F82F8F" w:rsidRPr="00386322">
        <w:t xml:space="preserve">till att endast omfatta </w:t>
      </w:r>
      <w:r w:rsidR="009C0A2F" w:rsidRPr="00386322">
        <w:t xml:space="preserve">nödvändig </w:t>
      </w:r>
      <w:r w:rsidR="00F82F8F" w:rsidRPr="00386322">
        <w:t xml:space="preserve">sjukvård </w:t>
      </w:r>
      <w:r w:rsidR="00D53AF6" w:rsidRPr="00386322">
        <w:t>under tillfällig vistelse. Europaparlamentet föreslår att ett nytt stycke 10 a</w:t>
      </w:r>
      <w:r w:rsidR="00F578DA" w:rsidRPr="00386322">
        <w:t>,</w:t>
      </w:r>
      <w:r w:rsidR="00D53AF6" w:rsidRPr="00386322">
        <w:t xml:space="preserve"> ska läggas till i artikel 87</w:t>
      </w:r>
      <w:r w:rsidR="00F578DA" w:rsidRPr="00386322">
        <w:t>. T</w:t>
      </w:r>
      <w:r w:rsidR="00D53AF6" w:rsidRPr="00386322">
        <w:t xml:space="preserve">illägget ska innebära att anteckningarna i bilagan III upphör att gälla </w:t>
      </w:r>
      <w:r w:rsidR="00F578DA" w:rsidRPr="00386322">
        <w:t>fem</w:t>
      </w:r>
      <w:r w:rsidR="00DF25FB" w:rsidRPr="00386322">
        <w:t xml:space="preserve"> år efter det att förordningen trätt i kraft. </w:t>
      </w:r>
      <w:r w:rsidR="00C12B8D" w:rsidRPr="00386322">
        <w:t xml:space="preserve">De medlemsstater som </w:t>
      </w:r>
      <w:r w:rsidRPr="00386322">
        <w:t xml:space="preserve">har </w:t>
      </w:r>
      <w:r w:rsidR="0062570B" w:rsidRPr="00386322">
        <w:t xml:space="preserve">kvar </w:t>
      </w:r>
      <w:r w:rsidR="00C12B8D" w:rsidRPr="00386322">
        <w:t>anteckn</w:t>
      </w:r>
      <w:r w:rsidRPr="00386322">
        <w:t xml:space="preserve">ingar </w:t>
      </w:r>
      <w:r w:rsidR="00C12B8D" w:rsidRPr="00386322">
        <w:t xml:space="preserve"> i bilagan </w:t>
      </w:r>
      <w:r w:rsidR="0062570B" w:rsidRPr="00386322">
        <w:t xml:space="preserve">då </w:t>
      </w:r>
      <w:r w:rsidR="00C12B8D" w:rsidRPr="00386322">
        <w:t xml:space="preserve">ska </w:t>
      </w:r>
      <w:r w:rsidRPr="00386322">
        <w:t xml:space="preserve">oavsett detta </w:t>
      </w:r>
      <w:r w:rsidR="00C12B8D" w:rsidRPr="00386322">
        <w:t xml:space="preserve">ge familjemedlemmar till gränsarbetare möjlighet att få vård på lika villkor som gränsarbetaren. </w:t>
      </w:r>
    </w:p>
    <w:p w:rsidR="0062570B" w:rsidRPr="00386322" w:rsidRDefault="0062570B" w:rsidP="008E530A">
      <w:pPr>
        <w:pStyle w:val="RKnormal"/>
      </w:pPr>
    </w:p>
    <w:p w:rsidR="00F578DA" w:rsidRPr="00386322" w:rsidRDefault="003B5543" w:rsidP="008E530A">
      <w:pPr>
        <w:pStyle w:val="RKnormal"/>
      </w:pPr>
      <w:r w:rsidRPr="00386322">
        <w:t xml:space="preserve">Fem medlemsstater kan inte </w:t>
      </w:r>
      <w:r w:rsidR="00F578DA" w:rsidRPr="00386322">
        <w:t>acceptera förslaget</w:t>
      </w:r>
      <w:r w:rsidRPr="00386322">
        <w:t xml:space="preserve"> utan </w:t>
      </w:r>
      <w:r w:rsidR="00F578DA" w:rsidRPr="00386322">
        <w:t xml:space="preserve">vill istället </w:t>
      </w:r>
      <w:r w:rsidRPr="00386322">
        <w:t xml:space="preserve">utvärdera erfarenheterna av </w:t>
      </w:r>
      <w:r w:rsidR="00F578DA" w:rsidRPr="00386322">
        <w:t xml:space="preserve">de nya reglerna i artikel 18 och dess tillämpning innan man tar ställning till om familjemedlemmar till en gränsarbetare ska ha rätt till vård </w:t>
      </w:r>
      <w:r w:rsidR="009C0A2F" w:rsidRPr="00386322">
        <w:t xml:space="preserve">på samma villkor </w:t>
      </w:r>
      <w:r w:rsidR="00F578DA" w:rsidRPr="00386322">
        <w:t>som arbetstagaren</w:t>
      </w:r>
      <w:r w:rsidR="009C0A2F" w:rsidRPr="00386322">
        <w:t xml:space="preserve"> i arbetslandet</w:t>
      </w:r>
      <w:r w:rsidRPr="00386322">
        <w:t>. Grunden till detta är att förordningen 883/2004 och bilaga III ändrades efter förslag från Europaparlamentet</w:t>
      </w:r>
      <w:r w:rsidR="009C0A2F" w:rsidRPr="00386322">
        <w:t xml:space="preserve">. Ändringen innebar att de </w:t>
      </w:r>
      <w:r w:rsidRPr="00386322">
        <w:t>medlemsstater som inte gav den utökade möjligheten till vård i arbetslandet för familjemedlemmar</w:t>
      </w:r>
      <w:r w:rsidR="009C0A2F" w:rsidRPr="00386322">
        <w:t xml:space="preserve"> ska antecknas i bilaga III</w:t>
      </w:r>
      <w:r w:rsidR="00F578DA" w:rsidRPr="00386322">
        <w:t>.</w:t>
      </w:r>
      <w:r w:rsidR="005A5593" w:rsidRPr="00386322">
        <w:t xml:space="preserve"> </w:t>
      </w:r>
      <w:r w:rsidR="00C12B8D" w:rsidRPr="00386322">
        <w:t xml:space="preserve">I det ursprungliga förslaget skulle </w:t>
      </w:r>
      <w:r w:rsidR="00F578DA" w:rsidRPr="00386322">
        <w:t xml:space="preserve">istället </w:t>
      </w:r>
      <w:r w:rsidR="00C12B8D" w:rsidRPr="00386322">
        <w:t>medlemsstater som gav lika möjligheter till familjemedlemmarna till en gränsarbetare antecknas i bilaga III</w:t>
      </w:r>
      <w:r w:rsidR="009C0A2F" w:rsidRPr="00386322">
        <w:t xml:space="preserve"> vilket innebar att utgångspunkten vara att rätten till vård i arbetslandet var begränsad till nödvändig vård.</w:t>
      </w:r>
    </w:p>
    <w:p w:rsidR="00F578DA" w:rsidRPr="00386322" w:rsidRDefault="00F578DA" w:rsidP="008E530A">
      <w:pPr>
        <w:pStyle w:val="RKnormal"/>
      </w:pPr>
    </w:p>
    <w:p w:rsidR="00D53AF6" w:rsidRPr="00386322" w:rsidRDefault="005A5593" w:rsidP="008E530A">
      <w:pPr>
        <w:pStyle w:val="RKnormal"/>
      </w:pPr>
      <w:r w:rsidRPr="00386322">
        <w:t>Eftersom både Finland och Danmark önskar bibehålla sin</w:t>
      </w:r>
      <w:r w:rsidR="009E19B0" w:rsidRPr="00386322">
        <w:t>a</w:t>
      </w:r>
      <w:r w:rsidRPr="00386322">
        <w:t xml:space="preserve"> anteckning</w:t>
      </w:r>
      <w:r w:rsidR="009E19B0" w:rsidRPr="00386322">
        <w:t>ar</w:t>
      </w:r>
      <w:r w:rsidRPr="00386322">
        <w:t xml:space="preserve"> har Sverige</w:t>
      </w:r>
      <w:r w:rsidR="009E19B0" w:rsidRPr="00386322">
        <w:t xml:space="preserve">, som initialt kunde acceptera </w:t>
      </w:r>
      <w:r w:rsidR="009833DD" w:rsidRPr="00386322">
        <w:t>parlamentets förslag</w:t>
      </w:r>
      <w:r w:rsidRPr="00386322">
        <w:t xml:space="preserve"> anslut</w:t>
      </w:r>
      <w:r w:rsidR="009E19B0" w:rsidRPr="00386322">
        <w:t>i</w:t>
      </w:r>
      <w:r w:rsidRPr="00386322">
        <w:t xml:space="preserve">t sig till de medlemsstater </w:t>
      </w:r>
      <w:r w:rsidR="00C1296E" w:rsidRPr="00386322">
        <w:t xml:space="preserve">som antecknat sig i bilaga III </w:t>
      </w:r>
      <w:r w:rsidRPr="00386322">
        <w:t xml:space="preserve">då det annars för svensk del </w:t>
      </w:r>
      <w:r w:rsidR="009833DD" w:rsidRPr="00386322">
        <w:t>skulle</w:t>
      </w:r>
      <w:r w:rsidRPr="00386322">
        <w:t xml:space="preserve"> uppstå obalanser i förhållande till sjukvårdskostnaderna för dessa grupper. Emellertid föreslår nu rådet en kompromiss</w:t>
      </w:r>
      <w:r w:rsidR="009833DD" w:rsidRPr="00386322">
        <w:t xml:space="preserve">lösning </w:t>
      </w:r>
      <w:r w:rsidRPr="00386322">
        <w:t xml:space="preserve"> som innebär att bilaga III ska utvärderas fem år efter ikraftträdandet av förordningen 883/2004</w:t>
      </w:r>
      <w:r w:rsidR="000A1983" w:rsidRPr="00386322">
        <w:t xml:space="preserve">. Kompromissen innebär också </w:t>
      </w:r>
      <w:r w:rsidRPr="00386322">
        <w:t xml:space="preserve"> att vissa medlemsstater </w:t>
      </w:r>
      <w:r w:rsidR="00F578DA" w:rsidRPr="00386322">
        <w:t>acceptera</w:t>
      </w:r>
      <w:r w:rsidR="009833DD" w:rsidRPr="00386322">
        <w:t>r</w:t>
      </w:r>
      <w:r w:rsidR="00F578DA" w:rsidRPr="00386322">
        <w:t xml:space="preserve"> förslaget om likabehandling av gränsgångares </w:t>
      </w:r>
      <w:r w:rsidRPr="00386322">
        <w:t xml:space="preserve">familjemedlemmarna </w:t>
      </w:r>
      <w:r w:rsidR="000A1983" w:rsidRPr="00386322">
        <w:t xml:space="preserve">vid ikraftträdandet av förordningen </w:t>
      </w:r>
      <w:r w:rsidR="00F578DA" w:rsidRPr="00386322">
        <w:t xml:space="preserve">och </w:t>
      </w:r>
      <w:r w:rsidR="009833DD" w:rsidRPr="00386322">
        <w:t xml:space="preserve">att </w:t>
      </w:r>
      <w:r w:rsidR="000A1983" w:rsidRPr="00386322">
        <w:t xml:space="preserve">vissa </w:t>
      </w:r>
      <w:r w:rsidR="00F578DA" w:rsidRPr="00386322">
        <w:t>andra medlemsstater  acceptera</w:t>
      </w:r>
      <w:r w:rsidR="009833DD" w:rsidRPr="00386322">
        <w:t>r</w:t>
      </w:r>
      <w:r w:rsidR="00F578DA" w:rsidRPr="00386322">
        <w:t xml:space="preserve"> förslaget </w:t>
      </w:r>
      <w:r w:rsidRPr="00386322">
        <w:t xml:space="preserve">fyra år efter ikraftträdandet </w:t>
      </w:r>
      <w:r w:rsidR="000A1983" w:rsidRPr="00386322">
        <w:t xml:space="preserve">av förordningen och att de övriga medlemsstaterna står kvar åtminstone till dess </w:t>
      </w:r>
      <w:r w:rsidR="00377303" w:rsidRPr="00386322">
        <w:t xml:space="preserve">att </w:t>
      </w:r>
      <w:r w:rsidR="000A1983" w:rsidRPr="00386322">
        <w:t>en utvärdering efter har gjorts efter fem år.</w:t>
      </w:r>
      <w:r w:rsidR="00D53AF6" w:rsidRPr="00386322">
        <w:t xml:space="preserve"> </w:t>
      </w:r>
    </w:p>
    <w:p w:rsidR="00F578DA" w:rsidRPr="00386322" w:rsidRDefault="00F578DA" w:rsidP="008E530A">
      <w:pPr>
        <w:pStyle w:val="RKnormal"/>
      </w:pPr>
    </w:p>
    <w:p w:rsidR="008E530A" w:rsidRPr="00386322" w:rsidRDefault="00BE66A0" w:rsidP="008E530A">
      <w:pPr>
        <w:pStyle w:val="RKnormal"/>
      </w:pPr>
      <w:r w:rsidRPr="00386322">
        <w:t>Övriga förändringar berör pensionsberäkning</w:t>
      </w:r>
      <w:r w:rsidR="009E19B0" w:rsidRPr="00386322">
        <w:t xml:space="preserve"> för samordning av pensionsrättigheter intjänade i två eller flera medlemsstater</w:t>
      </w:r>
      <w:r w:rsidR="00341134" w:rsidRPr="00386322">
        <w:t xml:space="preserve">, </w:t>
      </w:r>
      <w:r w:rsidRPr="00386322">
        <w:t>artiklarna 51,</w:t>
      </w:r>
      <w:r w:rsidR="00377303" w:rsidRPr="00386322">
        <w:t xml:space="preserve"> </w:t>
      </w:r>
      <w:r w:rsidRPr="00386322">
        <w:t>52,</w:t>
      </w:r>
      <w:r w:rsidR="00377303" w:rsidRPr="00386322">
        <w:t xml:space="preserve"> </w:t>
      </w:r>
      <w:r w:rsidRPr="00386322">
        <w:t xml:space="preserve">56 och 57 har kompletterats med regler </w:t>
      </w:r>
      <w:r w:rsidR="00341134" w:rsidRPr="00386322">
        <w:t xml:space="preserve">för att anpassa samordningsreglerna till pensionssystem där intjänandetiden inte är relevant för beräkningen av ersättningens storlek, som t.ex. den svenska inkomstpensionen. I dessa </w:t>
      </w:r>
      <w:r w:rsidR="009E19B0" w:rsidRPr="00386322">
        <w:t xml:space="preserve">fall </w:t>
      </w:r>
      <w:r w:rsidR="00341134" w:rsidRPr="00386322">
        <w:t>behöver beräkningen pro-rata ( beräkning i förhållande till intjänandetid) inte göras.</w:t>
      </w:r>
    </w:p>
    <w:p w:rsidR="00341134" w:rsidRPr="00386322" w:rsidRDefault="00341134" w:rsidP="008E530A">
      <w:pPr>
        <w:pStyle w:val="RKnormal"/>
      </w:pPr>
    </w:p>
    <w:p w:rsidR="00341134" w:rsidRPr="00386322" w:rsidRDefault="00341134" w:rsidP="008E530A">
      <w:pPr>
        <w:pStyle w:val="RKnormal"/>
      </w:pPr>
      <w:r w:rsidRPr="00386322">
        <w:t xml:space="preserve">Övergångreglerna vad avser tillhörigheten till en medlemsstats försäkring enligt </w:t>
      </w:r>
      <w:r w:rsidR="00C1296E" w:rsidRPr="00386322">
        <w:t xml:space="preserve">lagvalsbestämmelserna </w:t>
      </w:r>
      <w:r w:rsidRPr="00386322">
        <w:t>i förordningen EEG nr 1408/71 har begränsats till 10 år.</w:t>
      </w:r>
      <w:r w:rsidR="007701C2" w:rsidRPr="00386322">
        <w:t xml:space="preserve"> </w:t>
      </w:r>
    </w:p>
    <w:p w:rsidR="004E6E4D" w:rsidRPr="00386322" w:rsidRDefault="004E6E4D" w:rsidP="008C6C23">
      <w:pPr>
        <w:pStyle w:val="Punktlista"/>
        <w:numPr>
          <w:ilvl w:val="0"/>
          <w:numId w:val="0"/>
        </w:numPr>
        <w:spacing w:line="240" w:lineRule="auto"/>
      </w:pPr>
    </w:p>
    <w:p w:rsidR="00670DC1" w:rsidRPr="00386322" w:rsidRDefault="00670DC1" w:rsidP="008C6C23">
      <w:pPr>
        <w:pStyle w:val="Punktlista"/>
        <w:numPr>
          <w:ilvl w:val="0"/>
          <w:numId w:val="0"/>
        </w:numPr>
        <w:spacing w:line="240" w:lineRule="auto"/>
        <w:rPr>
          <w:b/>
          <w:i/>
          <w:iCs/>
        </w:rPr>
      </w:pPr>
      <w:r w:rsidRPr="00386322">
        <w:rPr>
          <w:b/>
          <w:i/>
          <w:iCs/>
        </w:rPr>
        <w:t>Gällande svenska regler och förslagets effekter på dessa</w:t>
      </w:r>
      <w:r w:rsidR="009E5758" w:rsidRPr="00386322">
        <w:rPr>
          <w:b/>
          <w:i/>
          <w:iCs/>
        </w:rPr>
        <w:t>.</w:t>
      </w:r>
    </w:p>
    <w:p w:rsidR="008E530A" w:rsidRPr="00386322" w:rsidRDefault="008E530A" w:rsidP="008C6C23">
      <w:pPr>
        <w:pStyle w:val="Punktlista"/>
        <w:numPr>
          <w:ilvl w:val="0"/>
          <w:numId w:val="0"/>
        </w:numPr>
        <w:spacing w:line="240" w:lineRule="auto"/>
        <w:rPr>
          <w:b/>
          <w:i/>
          <w:iCs/>
        </w:rPr>
      </w:pPr>
    </w:p>
    <w:p w:rsidR="00985EDB" w:rsidRPr="00386322" w:rsidRDefault="00B05A6D" w:rsidP="00985ED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  <w:r w:rsidRPr="00386322">
        <w:t>Inga direkta ändringar i sakförhållanden</w:t>
      </w:r>
      <w:r w:rsidR="00E51B28" w:rsidRPr="00386322">
        <w:t xml:space="preserve">. </w:t>
      </w:r>
    </w:p>
    <w:p w:rsidR="00985EDB" w:rsidRPr="00386322" w:rsidRDefault="00985EDB" w:rsidP="00985ED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  <w:r w:rsidRPr="00386322">
        <w:rPr>
          <w:szCs w:val="24"/>
        </w:rPr>
        <w:t xml:space="preserve"> </w:t>
      </w:r>
    </w:p>
    <w:p w:rsidR="00670DC1" w:rsidRPr="00386322" w:rsidRDefault="00670DC1" w:rsidP="008D743B">
      <w:pPr>
        <w:pStyle w:val="RKrubrik"/>
        <w:spacing w:line="240" w:lineRule="auto"/>
        <w:rPr>
          <w:i/>
        </w:rPr>
      </w:pPr>
      <w:r w:rsidRPr="00386322">
        <w:rPr>
          <w:i/>
        </w:rPr>
        <w:t>Ekonomiska konsekvenser</w:t>
      </w:r>
    </w:p>
    <w:p w:rsidR="00670DC1" w:rsidRPr="00386322" w:rsidRDefault="00670DC1" w:rsidP="008D743B">
      <w:pPr>
        <w:pStyle w:val="RKnormal"/>
        <w:spacing w:line="240" w:lineRule="auto"/>
      </w:pPr>
      <w:r w:rsidRPr="00386322">
        <w:t>Inga kända</w:t>
      </w:r>
    </w:p>
    <w:p w:rsidR="00670DC1" w:rsidRPr="00386322" w:rsidRDefault="00670DC1" w:rsidP="008D743B">
      <w:pPr>
        <w:pStyle w:val="RKrubrik"/>
        <w:spacing w:line="240" w:lineRule="auto"/>
        <w:rPr>
          <w:i/>
        </w:rPr>
      </w:pPr>
      <w:r w:rsidRPr="00386322">
        <w:rPr>
          <w:i/>
        </w:rPr>
        <w:t>Övrigt</w:t>
      </w:r>
    </w:p>
    <w:p w:rsidR="00670DC1" w:rsidRPr="00386322" w:rsidRDefault="00670DC1" w:rsidP="008D743B">
      <w:pPr>
        <w:pStyle w:val="RKnormal"/>
        <w:spacing w:line="240" w:lineRule="auto"/>
      </w:pPr>
    </w:p>
    <w:p w:rsidR="00670DC1" w:rsidRPr="00386322" w:rsidRDefault="00670DC1" w:rsidP="008D743B">
      <w:pPr>
        <w:pStyle w:val="RKnormal"/>
        <w:spacing w:line="240" w:lineRule="auto"/>
        <w:rPr>
          <w:i/>
          <w:iCs/>
        </w:rPr>
      </w:pPr>
    </w:p>
    <w:p w:rsidR="00670DC1" w:rsidRPr="00386322" w:rsidRDefault="00670DC1" w:rsidP="008D743B">
      <w:pPr>
        <w:pStyle w:val="RKnormal"/>
        <w:spacing w:line="240" w:lineRule="auto"/>
        <w:ind w:left="-1134"/>
      </w:pPr>
    </w:p>
    <w:p w:rsidR="00670DC1" w:rsidRPr="00386322" w:rsidRDefault="00670DC1" w:rsidP="008D743B">
      <w:pPr>
        <w:pStyle w:val="RKrubrik"/>
        <w:spacing w:before="0" w:after="0" w:line="240" w:lineRule="auto"/>
      </w:pPr>
    </w:p>
    <w:p w:rsidR="00670DC1" w:rsidRPr="00386322" w:rsidRDefault="00670DC1" w:rsidP="008D743B">
      <w:pPr>
        <w:pStyle w:val="RKnormal"/>
        <w:spacing w:line="240" w:lineRule="auto"/>
      </w:pPr>
    </w:p>
    <w:p w:rsidR="00670DC1" w:rsidRPr="00386322" w:rsidRDefault="00670DC1" w:rsidP="008D743B">
      <w:pPr>
        <w:pStyle w:val="RKnormal"/>
        <w:spacing w:line="240" w:lineRule="auto"/>
      </w:pPr>
    </w:p>
    <w:sectPr w:rsidR="00670DC1" w:rsidRPr="0038632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372E" w:rsidRPr="00386322" w:rsidRDefault="003C372E">
      <w:r w:rsidRPr="00386322">
        <w:separator/>
      </w:r>
    </w:p>
  </w:endnote>
  <w:endnote w:type="continuationSeparator" w:id="0">
    <w:p w:rsidR="003C372E" w:rsidRPr="00386322" w:rsidRDefault="003C372E">
      <w:r w:rsidRPr="003863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372E" w:rsidRPr="00386322" w:rsidRDefault="003C372E">
      <w:r w:rsidRPr="00386322">
        <w:separator/>
      </w:r>
    </w:p>
  </w:footnote>
  <w:footnote w:type="continuationSeparator" w:id="0">
    <w:p w:rsidR="003C372E" w:rsidRPr="00386322" w:rsidRDefault="003C372E">
      <w:r w:rsidRPr="003863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F5F" w:rsidRPr="00386322" w:rsidRDefault="00E47F5F">
    <w:pPr>
      <w:pStyle w:val="Sidhuvud"/>
      <w:framePr w:wrap="around" w:vAnchor="text" w:hAnchor="margin" w:xAlign="right" w:y="1"/>
      <w:rPr>
        <w:rStyle w:val="Sidnummer"/>
      </w:rPr>
    </w:pPr>
    <w:r w:rsidRPr="00386322">
      <w:rPr>
        <w:rStyle w:val="Sidnummer"/>
      </w:rPr>
      <w:fldChar w:fldCharType="begin" w:fldLock="1"/>
    </w:r>
    <w:r w:rsidRPr="00386322">
      <w:rPr>
        <w:rStyle w:val="Sidnummer"/>
      </w:rPr>
      <w:instrText xml:space="preserve">PAGE  </w:instrText>
    </w:r>
    <w:r w:rsidRPr="00386322">
      <w:rPr>
        <w:rStyle w:val="Sidnummer"/>
      </w:rPr>
      <w:fldChar w:fldCharType="separate"/>
    </w:r>
    <w:r w:rsidR="00886EDF" w:rsidRPr="00386322">
      <w:rPr>
        <w:rStyle w:val="Sidnummer"/>
      </w:rPr>
      <w:t>2</w:t>
    </w:r>
    <w:r w:rsidRPr="0038632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47F5F" w:rsidRPr="0038632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47F5F" w:rsidRPr="00386322" w:rsidRDefault="00E47F5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47F5F" w:rsidRPr="00386322" w:rsidRDefault="00E47F5F">
          <w:pPr>
            <w:pStyle w:val="Sidhuvud"/>
            <w:ind w:right="360"/>
          </w:pPr>
        </w:p>
      </w:tc>
      <w:tc>
        <w:tcPr>
          <w:tcW w:w="1525" w:type="dxa"/>
        </w:tcPr>
        <w:p w:rsidR="00E47F5F" w:rsidRPr="00386322" w:rsidRDefault="00E47F5F">
          <w:pPr>
            <w:pStyle w:val="Sidhuvud"/>
            <w:ind w:right="360"/>
          </w:pPr>
        </w:p>
      </w:tc>
    </w:tr>
  </w:tbl>
  <w:p w:rsidR="00E47F5F" w:rsidRPr="00386322" w:rsidRDefault="00E47F5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F5F" w:rsidRPr="00386322" w:rsidRDefault="00E47F5F">
    <w:pPr>
      <w:pStyle w:val="Sidhuvud"/>
      <w:framePr w:wrap="around" w:vAnchor="text" w:hAnchor="margin" w:xAlign="right" w:y="1"/>
      <w:rPr>
        <w:rStyle w:val="Sidnummer"/>
      </w:rPr>
    </w:pPr>
    <w:r w:rsidRPr="00386322">
      <w:rPr>
        <w:rStyle w:val="Sidnummer"/>
      </w:rPr>
      <w:fldChar w:fldCharType="begin" w:fldLock="1"/>
    </w:r>
    <w:r w:rsidRPr="00386322">
      <w:rPr>
        <w:rStyle w:val="Sidnummer"/>
      </w:rPr>
      <w:instrText xml:space="preserve">PAGE  </w:instrText>
    </w:r>
    <w:r w:rsidRPr="00386322">
      <w:rPr>
        <w:rStyle w:val="Sidnummer"/>
      </w:rPr>
      <w:fldChar w:fldCharType="separate"/>
    </w:r>
    <w:r w:rsidR="00886EDF" w:rsidRPr="00386322">
      <w:rPr>
        <w:rStyle w:val="Sidnummer"/>
      </w:rPr>
      <w:t>3</w:t>
    </w:r>
    <w:r w:rsidRPr="0038632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47F5F" w:rsidRPr="0038632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47F5F" w:rsidRPr="00386322" w:rsidRDefault="00E47F5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47F5F" w:rsidRPr="00386322" w:rsidRDefault="00E47F5F">
          <w:pPr>
            <w:pStyle w:val="Sidhuvud"/>
            <w:ind w:right="360"/>
          </w:pPr>
        </w:p>
      </w:tc>
      <w:tc>
        <w:tcPr>
          <w:tcW w:w="1525" w:type="dxa"/>
        </w:tcPr>
        <w:p w:rsidR="00E47F5F" w:rsidRPr="00386322" w:rsidRDefault="00E47F5F">
          <w:pPr>
            <w:pStyle w:val="Sidhuvud"/>
            <w:ind w:right="360"/>
          </w:pPr>
        </w:p>
      </w:tc>
    </w:tr>
  </w:tbl>
  <w:p w:rsidR="00E47F5F" w:rsidRPr="00386322" w:rsidRDefault="00E47F5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F5F" w:rsidRPr="00386322" w:rsidRDefault="00386322">
    <w:pPr>
      <w:framePr w:w="2948" w:h="1321" w:hRule="exact" w:wrap="notBeside" w:vAnchor="page" w:hAnchor="page" w:x="1362" w:y="653"/>
    </w:pPr>
    <w:r w:rsidRPr="0038632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7F5F" w:rsidRPr="00386322" w:rsidRDefault="00E47F5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47F5F" w:rsidRPr="00386322" w:rsidRDefault="00E47F5F">
    <w:pPr>
      <w:rPr>
        <w:rFonts w:ascii="TradeGothic" w:hAnsi="TradeGothic"/>
        <w:b/>
        <w:bCs/>
        <w:spacing w:val="12"/>
        <w:sz w:val="22"/>
      </w:rPr>
    </w:pPr>
  </w:p>
  <w:p w:rsidR="00E47F5F" w:rsidRPr="00386322" w:rsidRDefault="00E47F5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47F5F" w:rsidRPr="00386322" w:rsidRDefault="00E47F5F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481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F741E8"/>
    <w:multiLevelType w:val="hybridMultilevel"/>
    <w:tmpl w:val="EFBED730"/>
    <w:lvl w:ilvl="0" w:tplc="6464B142">
      <w:start w:val="1"/>
      <w:numFmt w:val="bullet"/>
      <w:lvlRestart w:val="0"/>
      <w:pStyle w:val="Punktlista"/>
      <w:lvlText w:val=""/>
      <w:lvlJc w:val="left"/>
      <w:pPr>
        <w:tabs>
          <w:tab w:val="num" w:pos="499"/>
        </w:tabs>
        <w:ind w:left="499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2221797">
    <w:abstractNumId w:val="1"/>
  </w:num>
  <w:num w:numId="2" w16cid:durableId="103816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Socialdepartementet"/>
    <w:docVar w:name="Regering" w:val="N"/>
  </w:docVars>
  <w:rsids>
    <w:rsidRoot w:val="007243CE"/>
    <w:rsid w:val="00001D4F"/>
    <w:rsid w:val="0003765B"/>
    <w:rsid w:val="00062870"/>
    <w:rsid w:val="000A1983"/>
    <w:rsid w:val="000F0A35"/>
    <w:rsid w:val="0013589B"/>
    <w:rsid w:val="00154C9F"/>
    <w:rsid w:val="001571E2"/>
    <w:rsid w:val="001814B1"/>
    <w:rsid w:val="001B1E8A"/>
    <w:rsid w:val="001B4E82"/>
    <w:rsid w:val="001D06C1"/>
    <w:rsid w:val="001D280A"/>
    <w:rsid w:val="001E77A6"/>
    <w:rsid w:val="001F2EA4"/>
    <w:rsid w:val="00206B53"/>
    <w:rsid w:val="002265FC"/>
    <w:rsid w:val="00227E61"/>
    <w:rsid w:val="0029291C"/>
    <w:rsid w:val="002A64F5"/>
    <w:rsid w:val="00313201"/>
    <w:rsid w:val="00323496"/>
    <w:rsid w:val="00341134"/>
    <w:rsid w:val="00344884"/>
    <w:rsid w:val="00374B2F"/>
    <w:rsid w:val="00377303"/>
    <w:rsid w:val="0038038C"/>
    <w:rsid w:val="00386322"/>
    <w:rsid w:val="00397DEE"/>
    <w:rsid w:val="003B5543"/>
    <w:rsid w:val="003B790F"/>
    <w:rsid w:val="003C372E"/>
    <w:rsid w:val="003C4142"/>
    <w:rsid w:val="004001F5"/>
    <w:rsid w:val="00420973"/>
    <w:rsid w:val="00457E21"/>
    <w:rsid w:val="0046635C"/>
    <w:rsid w:val="004E6E4D"/>
    <w:rsid w:val="0053371D"/>
    <w:rsid w:val="0053776F"/>
    <w:rsid w:val="00547C4D"/>
    <w:rsid w:val="00564F1D"/>
    <w:rsid w:val="0056742D"/>
    <w:rsid w:val="005A5593"/>
    <w:rsid w:val="005E6135"/>
    <w:rsid w:val="005F6ABD"/>
    <w:rsid w:val="006006D9"/>
    <w:rsid w:val="0062570B"/>
    <w:rsid w:val="0063631F"/>
    <w:rsid w:val="00644707"/>
    <w:rsid w:val="00670DC1"/>
    <w:rsid w:val="00674BDA"/>
    <w:rsid w:val="0069573C"/>
    <w:rsid w:val="006D4221"/>
    <w:rsid w:val="00707C81"/>
    <w:rsid w:val="007243CE"/>
    <w:rsid w:val="007701C2"/>
    <w:rsid w:val="007E4CDE"/>
    <w:rsid w:val="00811E4E"/>
    <w:rsid w:val="00812DB3"/>
    <w:rsid w:val="00816EB4"/>
    <w:rsid w:val="008352D9"/>
    <w:rsid w:val="00886EDF"/>
    <w:rsid w:val="00896511"/>
    <w:rsid w:val="008A0B1C"/>
    <w:rsid w:val="008B6F9C"/>
    <w:rsid w:val="008C6C23"/>
    <w:rsid w:val="008D743B"/>
    <w:rsid w:val="008E530A"/>
    <w:rsid w:val="008E577C"/>
    <w:rsid w:val="0094420F"/>
    <w:rsid w:val="0095765D"/>
    <w:rsid w:val="009833DD"/>
    <w:rsid w:val="00985EDB"/>
    <w:rsid w:val="009A0076"/>
    <w:rsid w:val="009C0A2F"/>
    <w:rsid w:val="009E19B0"/>
    <w:rsid w:val="009E5758"/>
    <w:rsid w:val="00A12027"/>
    <w:rsid w:val="00A3182A"/>
    <w:rsid w:val="00A32C21"/>
    <w:rsid w:val="00A53CF3"/>
    <w:rsid w:val="00AB374C"/>
    <w:rsid w:val="00B05A6D"/>
    <w:rsid w:val="00B25106"/>
    <w:rsid w:val="00B30423"/>
    <w:rsid w:val="00B312D4"/>
    <w:rsid w:val="00B60217"/>
    <w:rsid w:val="00BC15E7"/>
    <w:rsid w:val="00BC1A5A"/>
    <w:rsid w:val="00BD1A29"/>
    <w:rsid w:val="00BE66A0"/>
    <w:rsid w:val="00C1296E"/>
    <w:rsid w:val="00C12B8D"/>
    <w:rsid w:val="00C84B2B"/>
    <w:rsid w:val="00D53AF6"/>
    <w:rsid w:val="00D5685E"/>
    <w:rsid w:val="00D83E2E"/>
    <w:rsid w:val="00DE0D44"/>
    <w:rsid w:val="00DE4376"/>
    <w:rsid w:val="00DE63BA"/>
    <w:rsid w:val="00DF25FB"/>
    <w:rsid w:val="00DF6D59"/>
    <w:rsid w:val="00E47F5F"/>
    <w:rsid w:val="00E51B28"/>
    <w:rsid w:val="00E60B5D"/>
    <w:rsid w:val="00E6480E"/>
    <w:rsid w:val="00E91EA8"/>
    <w:rsid w:val="00EC28B5"/>
    <w:rsid w:val="00F27A63"/>
    <w:rsid w:val="00F578DA"/>
    <w:rsid w:val="00F6277C"/>
    <w:rsid w:val="00F82F8F"/>
    <w:rsid w:val="00F96636"/>
    <w:rsid w:val="00FA3D87"/>
    <w:rsid w:val="00FA66EE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EABA615-B2FF-45FA-94CE-F4822EBE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  <w:style w:type="paragraph" w:styleId="Punktlista">
    <w:name w:val="List Bullet"/>
    <w:basedOn w:val="Normal"/>
    <w:rsid w:val="00896511"/>
    <w:pPr>
      <w:numPr>
        <w:numId w:val="1"/>
      </w:numPr>
    </w:pPr>
  </w:style>
  <w:style w:type="paragraph" w:styleId="Ballongtext">
    <w:name w:val="Balloon Text"/>
    <w:basedOn w:val="Normal"/>
    <w:semiHidden/>
    <w:rsid w:val="009C0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731</Words>
  <Characters>4591</Characters>
  <Application>Microsoft Office Word</Application>
  <DocSecurity>4</DocSecurity>
  <Lines>127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2025-12-17T19:37:00Z</dcterms:created>
  <dcterms:modified xsi:type="dcterms:W3CDTF">2025-12-17T19:37:00Z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