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C77" w:rsidRPr="008B79FF" w:rsidRDefault="002B23E9">
      <w:pPr>
        <w:pStyle w:val="RubrikInnehllsf"/>
        <w:rPr>
          <w:szCs w:val="24"/>
        </w:rPr>
      </w:pPr>
      <w:bookmarkStart w:id="0" w:name="_Toc115856272"/>
      <w:bookmarkStart w:id="1" w:name="_Toc116096963"/>
      <w:bookmarkStart w:id="2" w:name="_Toc116096987"/>
      <w:bookmarkStart w:id="3" w:name="_Toc115242962"/>
      <w:bookmarkStart w:id="4" w:name="_Toc115246749"/>
      <w:r w:rsidRPr="008B79FF">
        <w:rPr>
          <w:szCs w:val="24"/>
        </w:rPr>
        <w:t>Innehållsförteckning</w:t>
      </w:r>
    </w:p>
    <w:bookmarkStart w:id="5" w:name="_Toc82761295"/>
    <w:bookmarkStart w:id="6" w:name="_Toc82761311"/>
    <w:bookmarkStart w:id="7" w:name="_Toc82761775"/>
    <w:bookmarkStart w:id="8" w:name="_Toc82761776"/>
    <w:bookmarkStart w:id="9" w:name="_Toc84214182"/>
    <w:bookmarkStart w:id="10" w:name="_Toc115856273"/>
    <w:bookmarkStart w:id="11" w:name="_Toc116096964"/>
    <w:bookmarkEnd w:id="0"/>
    <w:bookmarkEnd w:id="1"/>
    <w:bookmarkEnd w:id="2"/>
    <w:bookmarkEnd w:id="3"/>
    <w:bookmarkEnd w:id="4"/>
    <w:bookmarkEnd w:id="5"/>
    <w:bookmarkEnd w:id="6"/>
    <w:bookmarkEnd w:id="7"/>
    <w:bookmarkEnd w:id="8"/>
    <w:bookmarkEnd w:id="9"/>
    <w:p w:rsidR="00A80C77" w:rsidRPr="008B79FF" w:rsidRDefault="00A80C77" w:rsidP="008A478B">
      <w:pPr>
        <w:pStyle w:val="Innehll1"/>
        <w:tabs>
          <w:tab w:val="left" w:pos="380"/>
        </w:tabs>
      </w:pPr>
      <w:r w:rsidRPr="008B79FF">
        <w:fldChar w:fldCharType="begin" w:fldLock="1"/>
      </w:r>
      <w:r w:rsidR="002B23E9" w:rsidRPr="008B79FF">
        <w:instrText xml:space="preserve"> TOC \o "1-3" \t "HEMSTL_RUBRIK" </w:instrText>
      </w:r>
      <w:r w:rsidRPr="008B79FF">
        <w:fldChar w:fldCharType="separate"/>
      </w:r>
      <w:r w:rsidR="002B23E9" w:rsidRPr="008B79FF">
        <w:t>1</w:t>
      </w:r>
      <w:r w:rsidR="002B23E9" w:rsidRPr="008B79FF">
        <w:tab/>
        <w:t>Innehållsförteckning</w:t>
      </w:r>
      <w:r w:rsidR="002B23E9" w:rsidRPr="008B79FF">
        <w:tab/>
      </w:r>
      <w:r w:rsidRPr="008B79FF">
        <w:fldChar w:fldCharType="begin" w:fldLock="1"/>
      </w:r>
      <w:r w:rsidR="002B23E9" w:rsidRPr="008B79FF">
        <w:instrText xml:space="preserve"> PAGEREF _Toc116096987 \h </w:instrText>
      </w:r>
      <w:r w:rsidRPr="008B79FF">
        <w:fldChar w:fldCharType="separate"/>
      </w:r>
      <w:r w:rsidR="00A87898" w:rsidRPr="008B79FF">
        <w:t>1</w:t>
      </w:r>
      <w:r w:rsidRPr="008B79FF">
        <w:fldChar w:fldCharType="end"/>
      </w:r>
    </w:p>
    <w:p w:rsidR="00A80C77" w:rsidRPr="008B79FF" w:rsidRDefault="002B23E9" w:rsidP="008A478B">
      <w:pPr>
        <w:pStyle w:val="Innehll1"/>
        <w:tabs>
          <w:tab w:val="left" w:pos="380"/>
        </w:tabs>
        <w:rPr>
          <w:szCs w:val="24"/>
        </w:rPr>
      </w:pPr>
      <w:r w:rsidRPr="008B79FF">
        <w:t>2</w:t>
      </w:r>
      <w:r w:rsidRPr="008B79FF">
        <w:rPr>
          <w:szCs w:val="24"/>
        </w:rPr>
        <w:tab/>
      </w:r>
      <w:r w:rsidRPr="008B79FF">
        <w:t>Förslag till riksdagsbeslut</w:t>
      </w:r>
      <w:r w:rsidRPr="008B79FF">
        <w:tab/>
      </w:r>
      <w:r w:rsidR="00A80C77" w:rsidRPr="008B79FF">
        <w:fldChar w:fldCharType="begin" w:fldLock="1"/>
      </w:r>
      <w:r w:rsidRPr="008B79FF">
        <w:instrText xml:space="preserve"> PAGEREF _Toc116096988 \h </w:instrText>
      </w:r>
      <w:r w:rsidR="00A80C77" w:rsidRPr="008B79FF">
        <w:fldChar w:fldCharType="separate"/>
      </w:r>
      <w:r w:rsidR="00A87898" w:rsidRPr="008B79FF">
        <w:t>2</w:t>
      </w:r>
      <w:r w:rsidR="00A80C77" w:rsidRPr="008B79FF">
        <w:fldChar w:fldCharType="end"/>
      </w:r>
    </w:p>
    <w:p w:rsidR="00A80C77" w:rsidRPr="008B79FF" w:rsidRDefault="002B23E9" w:rsidP="008A478B">
      <w:pPr>
        <w:pStyle w:val="Innehll1"/>
        <w:tabs>
          <w:tab w:val="left" w:pos="380"/>
        </w:tabs>
        <w:rPr>
          <w:szCs w:val="24"/>
        </w:rPr>
      </w:pPr>
      <w:r w:rsidRPr="008B79FF">
        <w:t>3</w:t>
      </w:r>
      <w:r w:rsidRPr="008B79FF">
        <w:rPr>
          <w:szCs w:val="24"/>
        </w:rPr>
        <w:tab/>
      </w:r>
      <w:r w:rsidRPr="008B79FF">
        <w:t>Tryckfrihetens ideal</w:t>
      </w:r>
      <w:r w:rsidRPr="008B79FF">
        <w:tab/>
      </w:r>
      <w:r w:rsidR="00A80C77" w:rsidRPr="008B79FF">
        <w:fldChar w:fldCharType="begin" w:fldLock="1"/>
      </w:r>
      <w:r w:rsidRPr="008B79FF">
        <w:instrText xml:space="preserve"> PAGEREF _Toc116096989 \h </w:instrText>
      </w:r>
      <w:r w:rsidR="00A80C77" w:rsidRPr="008B79FF">
        <w:fldChar w:fldCharType="separate"/>
      </w:r>
      <w:r w:rsidR="00A87898" w:rsidRPr="008B79FF">
        <w:t>3</w:t>
      </w:r>
      <w:r w:rsidR="00A80C77" w:rsidRPr="008B79FF">
        <w:fldChar w:fldCharType="end"/>
      </w:r>
    </w:p>
    <w:p w:rsidR="00A80C77" w:rsidRPr="008B79FF" w:rsidRDefault="002B23E9" w:rsidP="008A478B">
      <w:pPr>
        <w:pStyle w:val="Innehll1"/>
        <w:tabs>
          <w:tab w:val="left" w:pos="380"/>
        </w:tabs>
        <w:rPr>
          <w:szCs w:val="24"/>
        </w:rPr>
      </w:pPr>
      <w:r w:rsidRPr="008B79FF">
        <w:t>4</w:t>
      </w:r>
      <w:r w:rsidRPr="008B79FF">
        <w:rPr>
          <w:szCs w:val="24"/>
        </w:rPr>
        <w:tab/>
      </w:r>
      <w:r w:rsidRPr="008B79FF">
        <w:t>Public service</w:t>
      </w:r>
      <w:r w:rsidRPr="008B79FF">
        <w:tab/>
      </w:r>
      <w:r w:rsidR="00A80C77" w:rsidRPr="008B79FF">
        <w:fldChar w:fldCharType="begin" w:fldLock="1"/>
      </w:r>
      <w:r w:rsidRPr="008B79FF">
        <w:instrText xml:space="preserve"> PAGEREF _Toc116096990 \h </w:instrText>
      </w:r>
      <w:r w:rsidR="00A80C77" w:rsidRPr="008B79FF">
        <w:fldChar w:fldCharType="separate"/>
      </w:r>
      <w:r w:rsidR="00A87898" w:rsidRPr="008B79FF">
        <w:t>4</w:t>
      </w:r>
      <w:r w:rsidR="00A80C77" w:rsidRPr="008B79FF">
        <w:fldChar w:fldCharType="end"/>
      </w:r>
    </w:p>
    <w:p w:rsidR="00A80C77" w:rsidRPr="008B79FF" w:rsidRDefault="002B23E9" w:rsidP="008A478B">
      <w:pPr>
        <w:pStyle w:val="Innehll1"/>
        <w:tabs>
          <w:tab w:val="left" w:pos="380"/>
        </w:tabs>
        <w:rPr>
          <w:szCs w:val="24"/>
        </w:rPr>
      </w:pPr>
      <w:r w:rsidRPr="008B79FF">
        <w:t>5</w:t>
      </w:r>
      <w:r w:rsidRPr="008B79FF">
        <w:rPr>
          <w:szCs w:val="24"/>
        </w:rPr>
        <w:tab/>
      </w:r>
      <w:r w:rsidRPr="008B79FF">
        <w:t>Digital TV</w:t>
      </w:r>
      <w:r w:rsidRPr="008B79FF">
        <w:tab/>
      </w:r>
      <w:r w:rsidR="00A80C77" w:rsidRPr="008B79FF">
        <w:fldChar w:fldCharType="begin" w:fldLock="1"/>
      </w:r>
      <w:r w:rsidRPr="008B79FF">
        <w:instrText xml:space="preserve"> PAGEREF _Toc116096991 \h </w:instrText>
      </w:r>
      <w:r w:rsidR="00A80C77" w:rsidRPr="008B79FF">
        <w:fldChar w:fldCharType="separate"/>
      </w:r>
      <w:r w:rsidR="00A87898" w:rsidRPr="008B79FF">
        <w:t>5</w:t>
      </w:r>
      <w:r w:rsidR="00A80C77" w:rsidRPr="008B79FF">
        <w:fldChar w:fldCharType="end"/>
      </w:r>
    </w:p>
    <w:p w:rsidR="00A80C77" w:rsidRPr="008B79FF" w:rsidRDefault="002B23E9" w:rsidP="008A478B">
      <w:pPr>
        <w:pStyle w:val="Innehll1"/>
        <w:tabs>
          <w:tab w:val="left" w:pos="380"/>
        </w:tabs>
        <w:rPr>
          <w:szCs w:val="24"/>
        </w:rPr>
      </w:pPr>
      <w:r w:rsidRPr="008B79FF">
        <w:t>6</w:t>
      </w:r>
      <w:r w:rsidRPr="008B79FF">
        <w:rPr>
          <w:szCs w:val="24"/>
        </w:rPr>
        <w:tab/>
      </w:r>
      <w:r w:rsidRPr="008B79FF">
        <w:t>Fristående TV</w:t>
      </w:r>
      <w:r w:rsidRPr="008B79FF">
        <w:tab/>
      </w:r>
      <w:r w:rsidR="00A80C77" w:rsidRPr="008B79FF">
        <w:fldChar w:fldCharType="begin" w:fldLock="1"/>
      </w:r>
      <w:r w:rsidRPr="008B79FF">
        <w:instrText xml:space="preserve"> PAGEREF _Toc116096992 \h </w:instrText>
      </w:r>
      <w:r w:rsidR="00A80C77" w:rsidRPr="008B79FF">
        <w:fldChar w:fldCharType="separate"/>
      </w:r>
      <w:r w:rsidR="00A87898" w:rsidRPr="008B79FF">
        <w:t>6</w:t>
      </w:r>
      <w:r w:rsidR="00A80C77" w:rsidRPr="008B79FF">
        <w:fldChar w:fldCharType="end"/>
      </w:r>
    </w:p>
    <w:p w:rsidR="00A80C77" w:rsidRPr="008B79FF" w:rsidRDefault="002B23E9" w:rsidP="008A478B">
      <w:pPr>
        <w:pStyle w:val="Innehll1"/>
        <w:tabs>
          <w:tab w:val="left" w:pos="380"/>
        </w:tabs>
        <w:rPr>
          <w:szCs w:val="24"/>
        </w:rPr>
      </w:pPr>
      <w:r w:rsidRPr="008B79FF">
        <w:t>7</w:t>
      </w:r>
      <w:r w:rsidRPr="008B79FF">
        <w:rPr>
          <w:szCs w:val="24"/>
        </w:rPr>
        <w:tab/>
      </w:r>
      <w:r w:rsidRPr="008B79FF">
        <w:t>Fristående radio</w:t>
      </w:r>
      <w:r w:rsidRPr="008B79FF">
        <w:tab/>
      </w:r>
      <w:r w:rsidR="00A80C77" w:rsidRPr="008B79FF">
        <w:fldChar w:fldCharType="begin" w:fldLock="1"/>
      </w:r>
      <w:r w:rsidRPr="008B79FF">
        <w:instrText xml:space="preserve"> PAGEREF _Toc116096993 \h </w:instrText>
      </w:r>
      <w:r w:rsidR="00A80C77" w:rsidRPr="008B79FF">
        <w:fldChar w:fldCharType="separate"/>
      </w:r>
      <w:r w:rsidR="00A87898" w:rsidRPr="008B79FF">
        <w:t>7</w:t>
      </w:r>
      <w:r w:rsidR="00A80C77" w:rsidRPr="008B79FF">
        <w:fldChar w:fldCharType="end"/>
      </w:r>
    </w:p>
    <w:p w:rsidR="00A80C77" w:rsidRPr="008B79FF" w:rsidRDefault="002B23E9" w:rsidP="008A478B">
      <w:pPr>
        <w:pStyle w:val="Innehll1"/>
        <w:tabs>
          <w:tab w:val="left" w:pos="380"/>
        </w:tabs>
        <w:rPr>
          <w:szCs w:val="24"/>
        </w:rPr>
      </w:pPr>
      <w:r w:rsidRPr="008B79FF">
        <w:t>8</w:t>
      </w:r>
      <w:r w:rsidRPr="008B79FF">
        <w:rPr>
          <w:szCs w:val="24"/>
        </w:rPr>
        <w:tab/>
      </w:r>
      <w:r w:rsidRPr="008B79FF">
        <w:t>Digitala radion</w:t>
      </w:r>
      <w:r w:rsidRPr="008B79FF">
        <w:tab/>
      </w:r>
      <w:r w:rsidR="00A80C77" w:rsidRPr="008B79FF">
        <w:fldChar w:fldCharType="begin" w:fldLock="1"/>
      </w:r>
      <w:r w:rsidRPr="008B79FF">
        <w:instrText xml:space="preserve"> PAGEREF _Toc116096994 \h </w:instrText>
      </w:r>
      <w:r w:rsidR="00A80C77" w:rsidRPr="008B79FF">
        <w:fldChar w:fldCharType="separate"/>
      </w:r>
      <w:r w:rsidR="00A87898" w:rsidRPr="008B79FF">
        <w:t>8</w:t>
      </w:r>
      <w:r w:rsidR="00A80C77" w:rsidRPr="008B79FF">
        <w:fldChar w:fldCharType="end"/>
      </w:r>
    </w:p>
    <w:p w:rsidR="00A80C77" w:rsidRPr="008B79FF" w:rsidRDefault="002B23E9" w:rsidP="008A478B">
      <w:pPr>
        <w:pStyle w:val="Innehll1"/>
        <w:tabs>
          <w:tab w:val="left" w:pos="380"/>
        </w:tabs>
        <w:rPr>
          <w:szCs w:val="24"/>
        </w:rPr>
      </w:pPr>
      <w:r w:rsidRPr="008B79FF">
        <w:t>9</w:t>
      </w:r>
      <w:r w:rsidRPr="008B79FF">
        <w:rPr>
          <w:szCs w:val="24"/>
        </w:rPr>
        <w:tab/>
      </w:r>
      <w:r w:rsidRPr="008B79FF">
        <w:t>Tidningar och tidskrifter</w:t>
      </w:r>
      <w:r w:rsidRPr="008B79FF">
        <w:tab/>
      </w:r>
      <w:r w:rsidR="00A80C77" w:rsidRPr="008B79FF">
        <w:fldChar w:fldCharType="begin" w:fldLock="1"/>
      </w:r>
      <w:r w:rsidRPr="008B79FF">
        <w:instrText xml:space="preserve"> PAGEREF _Toc116096995 \h </w:instrText>
      </w:r>
      <w:r w:rsidR="00A80C77" w:rsidRPr="008B79FF">
        <w:fldChar w:fldCharType="separate"/>
      </w:r>
      <w:r w:rsidR="00A87898" w:rsidRPr="008B79FF">
        <w:t>8</w:t>
      </w:r>
      <w:r w:rsidR="00A80C77" w:rsidRPr="008B79FF">
        <w:fldChar w:fldCharType="end"/>
      </w:r>
    </w:p>
    <w:p w:rsidR="00A80C77" w:rsidRPr="008B79FF" w:rsidRDefault="002B23E9" w:rsidP="008A478B">
      <w:pPr>
        <w:pStyle w:val="Innehll1"/>
        <w:tabs>
          <w:tab w:val="left" w:pos="380"/>
        </w:tabs>
        <w:rPr>
          <w:szCs w:val="24"/>
        </w:rPr>
      </w:pPr>
      <w:r w:rsidRPr="008B79FF">
        <w:t>10</w:t>
      </w:r>
      <w:r w:rsidRPr="008B79FF">
        <w:rPr>
          <w:szCs w:val="24"/>
        </w:rPr>
        <w:tab/>
      </w:r>
      <w:r w:rsidRPr="008B79FF">
        <w:t>Nya medier bidrar till ökad frihet</w:t>
      </w:r>
      <w:r w:rsidRPr="008B79FF">
        <w:tab/>
      </w:r>
      <w:r w:rsidR="00A80C77" w:rsidRPr="008B79FF">
        <w:fldChar w:fldCharType="begin" w:fldLock="1"/>
      </w:r>
      <w:r w:rsidRPr="008B79FF">
        <w:instrText xml:space="preserve"> PAGEREF _Toc116096996 \h </w:instrText>
      </w:r>
      <w:r w:rsidR="00A80C77" w:rsidRPr="008B79FF">
        <w:fldChar w:fldCharType="separate"/>
      </w:r>
      <w:r w:rsidR="00A87898" w:rsidRPr="008B79FF">
        <w:t>9</w:t>
      </w:r>
      <w:r w:rsidR="00A80C77" w:rsidRPr="008B79FF">
        <w:fldChar w:fldCharType="end"/>
      </w:r>
    </w:p>
    <w:p w:rsidR="00A80C77" w:rsidRPr="008B79FF" w:rsidRDefault="00A80C77" w:rsidP="008A478B">
      <w:pPr>
        <w:pStyle w:val="Hemstlrubrik"/>
        <w:pageBreakBefore/>
        <w:spacing w:before="0"/>
        <w:rPr>
          <w:szCs w:val="24"/>
        </w:rPr>
      </w:pPr>
      <w:r w:rsidRPr="008B79FF">
        <w:rPr>
          <w:szCs w:val="24"/>
        </w:rPr>
        <w:lastRenderedPageBreak/>
        <w:fldChar w:fldCharType="end"/>
      </w:r>
      <w:bookmarkStart w:id="12" w:name="_Toc116096988"/>
      <w:r w:rsidR="002B23E9" w:rsidRPr="008B79FF">
        <w:rPr>
          <w:szCs w:val="24"/>
        </w:rPr>
        <w:t>Förslag till riksdagsbeslut</w:t>
      </w:r>
      <w:bookmarkEnd w:id="10"/>
      <w:bookmarkEnd w:id="11"/>
      <w:bookmarkEnd w:id="12"/>
    </w:p>
    <w:p w:rsidR="00A80C77" w:rsidRPr="008B79FF" w:rsidRDefault="002B23E9">
      <w:pPr>
        <w:pStyle w:val="Hemstlatt"/>
      </w:pPr>
      <w:r w:rsidRPr="008B79FF">
        <w:t>Riksdagen tillkännager för regeringen som sin mening vad i motionen anförs om formerna för fördelning av sändningstillstånd.</w:t>
      </w:r>
    </w:p>
    <w:p w:rsidR="00A80C77" w:rsidRPr="008B79FF" w:rsidRDefault="002B23E9">
      <w:pPr>
        <w:pStyle w:val="Hemstlatt"/>
      </w:pPr>
      <w:r w:rsidRPr="008B79FF">
        <w:t>Riksdagen tillkännager för regeringen som sin mening vad i motionen anförs om public services framtida roll.</w:t>
      </w:r>
      <w:r w:rsidRPr="008B79FF">
        <w:rPr>
          <w:vertAlign w:val="superscript"/>
        </w:rPr>
        <w:t>1</w:t>
      </w:r>
    </w:p>
    <w:p w:rsidR="00A80C77" w:rsidRPr="008B79FF" w:rsidRDefault="002B23E9">
      <w:pPr>
        <w:pStyle w:val="Hemstlatt"/>
      </w:pPr>
      <w:r w:rsidRPr="008B79FF">
        <w:t>Riksdagen beslutar att mottagaravgiften avskaffas i enlighet med vad som anförs i moti</w:t>
      </w:r>
      <w:r w:rsidRPr="008B79FF">
        <w:t>o</w:t>
      </w:r>
      <w:r w:rsidRPr="008B79FF">
        <w:t>nen.</w:t>
      </w:r>
      <w:r w:rsidRPr="008B79FF">
        <w:rPr>
          <w:vertAlign w:val="superscript"/>
        </w:rPr>
        <w:t>1</w:t>
      </w:r>
    </w:p>
    <w:p w:rsidR="00A80C77" w:rsidRPr="008B79FF" w:rsidRDefault="002B23E9">
      <w:pPr>
        <w:pStyle w:val="Hemstlatt"/>
      </w:pPr>
      <w:r w:rsidRPr="008B79FF">
        <w:t>Riksdagen beslutar att det skall finnas två självständiga nyhetsredakti</w:t>
      </w:r>
      <w:r w:rsidRPr="008B79FF">
        <w:t>o</w:t>
      </w:r>
      <w:r w:rsidRPr="008B79FF">
        <w:t>ner inom SVT så länge SVT förfogar över dagens kanaler i enlighet med vad som anförs i motionen.</w:t>
      </w:r>
      <w:r w:rsidRPr="008B79FF">
        <w:rPr>
          <w:vertAlign w:val="superscript"/>
        </w:rPr>
        <w:t>1</w:t>
      </w:r>
    </w:p>
    <w:p w:rsidR="00A80C77" w:rsidRPr="008B79FF" w:rsidRDefault="002B23E9">
      <w:pPr>
        <w:pStyle w:val="Hemstlatt"/>
      </w:pPr>
      <w:r w:rsidRPr="008B79FF">
        <w:t>Riksdagen tillkännager för regeringen som sin mening vad i motionen anförs om öve</w:t>
      </w:r>
      <w:r w:rsidRPr="008B79FF">
        <w:t>r</w:t>
      </w:r>
      <w:r w:rsidRPr="008B79FF">
        <w:t>gången från analog till digital tv.</w:t>
      </w:r>
    </w:p>
    <w:p w:rsidR="00A80C77" w:rsidRPr="008B79FF" w:rsidRDefault="002B23E9">
      <w:pPr>
        <w:pStyle w:val="Hemstlatt"/>
      </w:pPr>
      <w:r w:rsidRPr="008B79FF">
        <w:t>Riksdagen tillkännager för regeringen som sin mening vad i motionen anförs om tidpun</w:t>
      </w:r>
      <w:r w:rsidRPr="008B79FF">
        <w:t>k</w:t>
      </w:r>
      <w:r w:rsidRPr="008B79FF">
        <w:t>ten för släckning av det analoga marknätet.</w:t>
      </w:r>
    </w:p>
    <w:p w:rsidR="00A80C77" w:rsidRPr="008B79FF" w:rsidRDefault="002B23E9">
      <w:pPr>
        <w:pStyle w:val="Hemstlatt"/>
      </w:pPr>
      <w:r w:rsidRPr="008B79FF">
        <w:t>Riksdagen tillkännager för regeringen som sin mening vad i motionen anförs om avska</w:t>
      </w:r>
      <w:r w:rsidRPr="008B79FF">
        <w:t>f</w:t>
      </w:r>
      <w:r w:rsidRPr="008B79FF">
        <w:t>fande av EU:s tv-direktiv.</w:t>
      </w:r>
    </w:p>
    <w:p w:rsidR="00A80C77" w:rsidRPr="008B79FF" w:rsidRDefault="002B23E9">
      <w:pPr>
        <w:pStyle w:val="Hemstlatt"/>
      </w:pPr>
      <w:r w:rsidRPr="008B79FF">
        <w:t>Riksdagen beslutar att koncessionsavgiften för TV 4 avvecklas i enlighet med vad som anförs i motionen.</w:t>
      </w:r>
    </w:p>
    <w:p w:rsidR="00A80C77" w:rsidRPr="008B79FF" w:rsidRDefault="002B23E9">
      <w:pPr>
        <w:pStyle w:val="Hemstlatt"/>
      </w:pPr>
      <w:r w:rsidRPr="008B79FF">
        <w:t>Riksdagen beslutar att förändra must carry-skyldigheten i enlighet med vad som anförs i motionen.</w:t>
      </w:r>
    </w:p>
    <w:p w:rsidR="00A80C77" w:rsidRPr="008B79FF" w:rsidRDefault="002B23E9">
      <w:pPr>
        <w:pStyle w:val="Hemstlatt"/>
      </w:pPr>
      <w:r w:rsidRPr="008B79FF">
        <w:t>Riksdagen tillkännager för regeringen som sin mening vad i motionen anförs om regionala koncessioner.</w:t>
      </w:r>
    </w:p>
    <w:p w:rsidR="00A80C77" w:rsidRPr="008B79FF" w:rsidRDefault="002B23E9">
      <w:pPr>
        <w:pStyle w:val="Hemstlatt"/>
      </w:pPr>
      <w:r w:rsidRPr="008B79FF">
        <w:t>Riksdagen tillkännager för regeringen som sin mening vad i motionen anförs om konce</w:t>
      </w:r>
      <w:r w:rsidRPr="008B79FF">
        <w:t>s</w:t>
      </w:r>
      <w:r w:rsidRPr="008B79FF">
        <w:t>sioner för fria nationella radiokanaler samt möjligheten till lokala radiostationers nationella samverkan.</w:t>
      </w:r>
    </w:p>
    <w:p w:rsidR="00A80C77" w:rsidRPr="008B79FF" w:rsidRDefault="002B23E9">
      <w:pPr>
        <w:pStyle w:val="Hemstlatt"/>
      </w:pPr>
      <w:r w:rsidRPr="008B79FF">
        <w:t>Riksdagen tillkännager för regeringen som sin mening vad i motionen anförs om att även andra sändningstekniker än DAB bör ges likvärdiga ex</w:t>
      </w:r>
      <w:r w:rsidRPr="008B79FF">
        <w:t>i</w:t>
      </w:r>
      <w:r w:rsidRPr="008B79FF">
        <w:t>stensförutsättningar.</w:t>
      </w:r>
    </w:p>
    <w:p w:rsidR="00A80C77" w:rsidRPr="008B79FF" w:rsidRDefault="002B23E9">
      <w:pPr>
        <w:pStyle w:val="Hemstlatt"/>
      </w:pPr>
      <w:r w:rsidRPr="008B79FF">
        <w:t>Riksdagen tillkännager för regeringen som sin mening vad i motionen anförs om förde</w:t>
      </w:r>
      <w:r w:rsidRPr="008B79FF">
        <w:t>l</w:t>
      </w:r>
      <w:r w:rsidRPr="008B79FF">
        <w:t>ningen av koncessioner för digitalradion.</w:t>
      </w:r>
    </w:p>
    <w:p w:rsidR="00A80C77" w:rsidRPr="008B79FF" w:rsidRDefault="002B23E9">
      <w:pPr>
        <w:pStyle w:val="Hemstlatt"/>
      </w:pPr>
      <w:r w:rsidRPr="008B79FF">
        <w:t>Riksdagen beslutar att avskaffa presstödet i enlighet med vad som anförs i motionen.</w:t>
      </w:r>
    </w:p>
    <w:p w:rsidR="00A80C77" w:rsidRPr="008B79FF" w:rsidRDefault="00A80C77"/>
    <w:p w:rsidR="00A80C77" w:rsidRPr="008B79FF" w:rsidRDefault="00A80C77">
      <w:pPr>
        <w:pStyle w:val="Normaltindrag"/>
      </w:pPr>
    </w:p>
    <w:p w:rsidR="00A80C77" w:rsidRPr="008B79FF" w:rsidRDefault="00A80C77">
      <w:pPr>
        <w:pStyle w:val="Normaltindrag"/>
      </w:pPr>
    </w:p>
    <w:p w:rsidR="00A80C77" w:rsidRPr="008B79FF" w:rsidRDefault="00A80C77">
      <w:pPr>
        <w:pStyle w:val="Normaltindrag"/>
      </w:pPr>
    </w:p>
    <w:p w:rsidR="00A80C77" w:rsidRPr="008B79FF" w:rsidRDefault="00A80C77">
      <w:pPr>
        <w:pStyle w:val="Normaltindrag"/>
      </w:pPr>
    </w:p>
    <w:p w:rsidR="00A80C77" w:rsidRPr="008B79FF" w:rsidRDefault="00A80C77">
      <w:pPr>
        <w:pStyle w:val="Normaltindrag"/>
      </w:pPr>
    </w:p>
    <w:p w:rsidR="00A80C77" w:rsidRPr="008B79FF" w:rsidRDefault="00A80C77">
      <w:pPr>
        <w:pStyle w:val="Normaltindrag"/>
      </w:pPr>
    </w:p>
    <w:p w:rsidR="00A80C77" w:rsidRPr="008B79FF" w:rsidRDefault="00A80C77">
      <w:pPr>
        <w:pStyle w:val="Normaltindrag"/>
      </w:pPr>
    </w:p>
    <w:p w:rsidR="00A80C77" w:rsidRPr="008B79FF" w:rsidRDefault="002B23E9">
      <w:r w:rsidRPr="008B79FF">
        <w:rPr>
          <w:vertAlign w:val="superscript"/>
        </w:rPr>
        <w:t>1</w:t>
      </w:r>
      <w:r w:rsidRPr="008B79FF">
        <w:t xml:space="preserve"> </w:t>
      </w:r>
      <w:r w:rsidRPr="008B79FF">
        <w:rPr>
          <w:sz w:val="16"/>
          <w:szCs w:val="16"/>
        </w:rPr>
        <w:t>Yrkandena 2–4 hänvisade till KrU</w:t>
      </w:r>
      <w:r w:rsidRPr="008B79FF">
        <w:t>.</w:t>
      </w:r>
    </w:p>
    <w:p w:rsidR="00A80C77" w:rsidRPr="008B79FF" w:rsidRDefault="002B23E9" w:rsidP="008A478B">
      <w:pPr>
        <w:pStyle w:val="Rubrik1"/>
        <w:pageBreakBefore/>
        <w:spacing w:before="0"/>
        <w:rPr>
          <w:szCs w:val="19"/>
        </w:rPr>
      </w:pPr>
      <w:bookmarkStart w:id="13" w:name="_Toc51481491"/>
      <w:bookmarkStart w:id="14" w:name="_Toc53211970"/>
      <w:bookmarkStart w:id="15" w:name="_Toc53211998"/>
      <w:bookmarkStart w:id="16" w:name="_Toc53216487"/>
      <w:bookmarkStart w:id="17" w:name="_Toc82761779"/>
      <w:bookmarkStart w:id="18" w:name="_Toc84214185"/>
      <w:bookmarkStart w:id="19" w:name="_Toc115242964"/>
      <w:bookmarkStart w:id="20" w:name="_Toc115246751"/>
      <w:bookmarkStart w:id="21" w:name="_Toc115856274"/>
      <w:bookmarkStart w:id="22" w:name="_Toc116096965"/>
      <w:bookmarkStart w:id="23" w:name="_Toc116096989"/>
      <w:bookmarkEnd w:id="13"/>
      <w:bookmarkEnd w:id="14"/>
      <w:bookmarkEnd w:id="15"/>
      <w:bookmarkEnd w:id="16"/>
      <w:bookmarkEnd w:id="17"/>
      <w:bookmarkEnd w:id="18"/>
      <w:r w:rsidRPr="008B79FF">
        <w:t>Tryckfrihetens ideal</w:t>
      </w:r>
      <w:bookmarkEnd w:id="19"/>
      <w:bookmarkEnd w:id="20"/>
      <w:bookmarkEnd w:id="21"/>
      <w:bookmarkEnd w:id="22"/>
      <w:bookmarkEnd w:id="23"/>
    </w:p>
    <w:p w:rsidR="00A80C77" w:rsidRPr="008B79FF" w:rsidRDefault="002B23E9">
      <w:r w:rsidRPr="008B79FF">
        <w:t>Tryck- och yttrandefriheten är hörnstenar i det demokratiska samhället. I Sverige garanteras dessa principer i grundlagen genom bestämmelser i rege</w:t>
      </w:r>
      <w:r w:rsidRPr="008B79FF">
        <w:t>r</w:t>
      </w:r>
      <w:r w:rsidRPr="008B79FF">
        <w:t>ingsformen (RF), i tryckfrihetsförordningen (TF) samt i yttrandefrihetsgrun</w:t>
      </w:r>
      <w:r w:rsidRPr="008B79FF">
        <w:t>d</w:t>
      </w:r>
      <w:r w:rsidRPr="008B79FF">
        <w:t>lagen (YGL). I 1 kap. 1 § andra stycket TF stadgas t.ex. att det skall, för en allmän tryckfrihet och till säkerställande av ett fritt meningsutbyte och en allsidig upplysning, stå varje medborgare fritt att, med iakttagande av de bestämmelser som i TF är meddelade till skydd för enskild rätt och allmän säkerhet, i tryckt skrift meddela sina tankar och åsikter i vart ämne som helst.</w:t>
      </w:r>
    </w:p>
    <w:p w:rsidR="00A80C77" w:rsidRPr="008B79FF" w:rsidRDefault="002B23E9">
      <w:pPr>
        <w:pStyle w:val="Normaltindrag"/>
      </w:pPr>
      <w:r w:rsidRPr="008B79FF">
        <w:t>I 1 kap. 2 § första stycket TF respektive 1 kap. 3 § första stycket YGL finns dessutom vissa regler om frihet från censur och i 3 kap. 4 § YGL finns vissa bestämmelser om redaktionell självständighet.</w:t>
      </w:r>
    </w:p>
    <w:p w:rsidR="00A80C77" w:rsidRPr="008B79FF" w:rsidRDefault="002B23E9">
      <w:pPr>
        <w:pStyle w:val="Normaltindrag"/>
      </w:pPr>
      <w:r w:rsidRPr="008B79FF">
        <w:t>Informationsfriheten är central för det demokratiska samhället. Regering</w:t>
      </w:r>
      <w:r w:rsidRPr="008B79FF">
        <w:t>s</w:t>
      </w:r>
      <w:r w:rsidRPr="008B79FF">
        <w:t>formen och tryckfrihetsförordningen garanterar varje medborgare inform</w:t>
      </w:r>
      <w:r w:rsidRPr="008B79FF">
        <w:t>a</w:t>
      </w:r>
      <w:r w:rsidRPr="008B79FF">
        <w:t>tionsfrihet i form av frihet att inhämta och mottaga upplysningar samt att i övrigt ta del av andras yttranden.</w:t>
      </w:r>
    </w:p>
    <w:p w:rsidR="00A80C77" w:rsidRPr="008B79FF" w:rsidRDefault="002B23E9">
      <w:pPr>
        <w:pStyle w:val="Normaltindrag"/>
      </w:pPr>
      <w:r w:rsidRPr="008B79FF">
        <w:t>I ett demokratiskt samhälle måste staten också slå vakt om etableringsfr</w:t>
      </w:r>
      <w:r w:rsidRPr="008B79FF">
        <w:t>i</w:t>
      </w:r>
      <w:r w:rsidRPr="008B79FF">
        <w:t>heten för medier. Detta är grunden för den fria pressen och skall också i pri</w:t>
      </w:r>
      <w:r w:rsidRPr="008B79FF">
        <w:t>n</w:t>
      </w:r>
      <w:r w:rsidRPr="008B79FF">
        <w:t>cip gälla medierna över huvud taget. Detta kan åstadkommas genom en la</w:t>
      </w:r>
      <w:r w:rsidRPr="008B79FF">
        <w:t>g</w:t>
      </w:r>
      <w:r w:rsidRPr="008B79FF">
        <w:t>stiftning som förhindrar restriktioner mot fri etableringsrätt vilka inte är b</w:t>
      </w:r>
      <w:r w:rsidRPr="008B79FF">
        <w:t>e</w:t>
      </w:r>
      <w:r w:rsidRPr="008B79FF">
        <w:t>tingade av tekniska begränsningar. Därigenom kan en mångfald på publikens och avsändarnas villkor uppnås.</w:t>
      </w:r>
    </w:p>
    <w:p w:rsidR="00A80C77" w:rsidRPr="008B79FF" w:rsidRDefault="002B23E9">
      <w:pPr>
        <w:pStyle w:val="Normaltindrag"/>
      </w:pPr>
      <w:r w:rsidRPr="008B79FF">
        <w:t>Vår utgångspunkt är att medierna skall stå fria och oberoende gentemot staten. Det är vi</w:t>
      </w:r>
      <w:r w:rsidRPr="008B79FF">
        <w:t>k</w:t>
      </w:r>
      <w:r w:rsidRPr="008B79FF">
        <w:t>tigt att klargöra att statens roll som aktör i mediesamhället måste präglas av återhållsamhet och begränsning för att inte stå i konflikt med mediernas frihet. Vi anser däremot att det finns motiv för att se public service i en bredare bemärkelse så som vi exempelvis ser på förekomsten av nationa</w:t>
      </w:r>
      <w:r w:rsidRPr="008B79FF">
        <w:t>l</w:t>
      </w:r>
      <w:r w:rsidRPr="008B79FF">
        <w:t>scener inom kulturen.</w:t>
      </w:r>
    </w:p>
    <w:p w:rsidR="00A80C77" w:rsidRPr="008B79FF" w:rsidRDefault="002B23E9">
      <w:pPr>
        <w:pStyle w:val="Normaltindrag"/>
      </w:pPr>
      <w:r w:rsidRPr="008B79FF">
        <w:t>Under vissa förutsättningar kan det dock även i ett fritt och demokratiskt samhälle vara nödvändigt att ha en lagstiftning som inskränker etableringsfr</w:t>
      </w:r>
      <w:r w:rsidRPr="008B79FF">
        <w:t>i</w:t>
      </w:r>
      <w:r w:rsidRPr="008B79FF">
        <w:t>heten. Lagstiftning som i</w:t>
      </w:r>
      <w:r w:rsidRPr="008B79FF">
        <w:t>n</w:t>
      </w:r>
      <w:r w:rsidRPr="008B79FF">
        <w:t>nebär begränsning av yttrandefriheten i form av tillstånd och villkor för att sända program är endast tillåten, enligt YGL, om det finns ett behov av att ordna användnin</w:t>
      </w:r>
      <w:r w:rsidRPr="008B79FF">
        <w:t>g</w:t>
      </w:r>
      <w:r w:rsidRPr="008B79FF">
        <w:t>en av frekvenserna för tv och radio för att utrymmet är begränsat.</w:t>
      </w:r>
      <w:r w:rsidRPr="008B79FF">
        <w:rPr>
          <w:b/>
          <w:bCs/>
          <w:color w:val="000000"/>
          <w:sz w:val="20"/>
        </w:rPr>
        <w:t xml:space="preserve"> </w:t>
      </w:r>
      <w:r w:rsidRPr="008B79FF">
        <w:rPr>
          <w:color w:val="000000"/>
        </w:rPr>
        <w:t>Tillkomsten av ny teknik och nya metoder vidgar dock utrymmet väsentligt på tillgängliga bandfrekvenser</w:t>
      </w:r>
      <w:r w:rsidRPr="008B79FF">
        <w:rPr>
          <w:b/>
          <w:bCs/>
          <w:color w:val="000000"/>
          <w:sz w:val="20"/>
        </w:rPr>
        <w:t>.</w:t>
      </w:r>
    </w:p>
    <w:p w:rsidR="00A80C77" w:rsidRPr="008B79FF" w:rsidRDefault="002B23E9">
      <w:pPr>
        <w:pStyle w:val="Normaltindrag"/>
      </w:pPr>
      <w:r w:rsidRPr="008B79FF">
        <w:t>I de fall då sändningstillstånd är tillåtet bör dessa fördelas på ett sätt som minimerar statens möjlighet att styra och reglera programinnehållet. Ett au</w:t>
      </w:r>
      <w:r w:rsidRPr="008B79FF">
        <w:t>k</w:t>
      </w:r>
      <w:r w:rsidRPr="008B79FF">
        <w:t>tionsförfarande utestänger ingen från möjlighet att delta och gynnar de som har ett utbud som kan förväntas nå en bred p</w:t>
      </w:r>
      <w:r w:rsidRPr="008B79FF">
        <w:t>u</w:t>
      </w:r>
      <w:r w:rsidRPr="008B79FF">
        <w:t>blik. Sändningstillstånden bör vara långa med goda möjligheter till förlängning för att sä</w:t>
      </w:r>
      <w:r w:rsidRPr="008B79FF">
        <w:t>k</w:t>
      </w:r>
      <w:r w:rsidRPr="008B79FF">
        <w:t>ra självständighet och oberoende samt för att medge långsiktiga investeringar i såväl teknik som programinnehåll.</w:t>
      </w:r>
    </w:p>
    <w:p w:rsidR="00A80C77" w:rsidRPr="008B79FF" w:rsidRDefault="002B23E9">
      <w:pPr>
        <w:pStyle w:val="Normaltindrag"/>
      </w:pPr>
      <w:bookmarkStart w:id="24" w:name="_Toc51481489"/>
      <w:bookmarkStart w:id="25" w:name="_Toc53211968"/>
      <w:bookmarkStart w:id="26" w:name="_Toc53211996"/>
      <w:bookmarkStart w:id="27" w:name="_Toc53216485"/>
      <w:bookmarkStart w:id="28" w:name="_Toc82761777"/>
      <w:bookmarkStart w:id="29" w:name="_Toc84214183"/>
      <w:bookmarkEnd w:id="24"/>
      <w:bookmarkEnd w:id="25"/>
      <w:bookmarkEnd w:id="26"/>
      <w:bookmarkEnd w:id="27"/>
      <w:bookmarkEnd w:id="28"/>
      <w:bookmarkEnd w:id="29"/>
      <w:r w:rsidRPr="008B79FF">
        <w:t>I ett fritt och demokratiskt samhälle skall det råda frihet att ge ut och di</w:t>
      </w:r>
      <w:r w:rsidRPr="008B79FF">
        <w:t>s</w:t>
      </w:r>
      <w:r w:rsidRPr="008B79FF">
        <w:t>trib</w:t>
      </w:r>
      <w:r w:rsidRPr="008B79FF">
        <w:t>u</w:t>
      </w:r>
      <w:r w:rsidRPr="008B79FF">
        <w:t>era medieprodukter samt att fritt pröva deras ekonomiska bärkraft. Inom ramen för de tekniska begränsningarna för medier skall det vara läsarna, lys</w:t>
      </w:r>
      <w:r w:rsidRPr="008B79FF">
        <w:t>s</w:t>
      </w:r>
      <w:r w:rsidRPr="008B79FF">
        <w:t>narna, tittarna och användarna som, genom sina fria val, avgör vilka medier som får egen bärkraft. Politisk styrning och den offentliga maktens uppfat</w:t>
      </w:r>
      <w:r w:rsidRPr="008B79FF">
        <w:t>t</w:t>
      </w:r>
      <w:r w:rsidRPr="008B79FF">
        <w:t>ningar får inte avgöra förutsättningarna för mediernas utveckling och väx</w:t>
      </w:r>
      <w:r w:rsidRPr="008B79FF">
        <w:t>t</w:t>
      </w:r>
      <w:r w:rsidRPr="008B79FF">
        <w:t>kraft.</w:t>
      </w:r>
    </w:p>
    <w:p w:rsidR="00A80C77" w:rsidRPr="008B79FF" w:rsidRDefault="002B23E9">
      <w:pPr>
        <w:pStyle w:val="Rubrik1"/>
        <w:rPr>
          <w:szCs w:val="19"/>
        </w:rPr>
      </w:pPr>
      <w:bookmarkStart w:id="30" w:name="_Toc53211972"/>
      <w:bookmarkStart w:id="31" w:name="_Toc53212000"/>
      <w:bookmarkStart w:id="32" w:name="_Toc53216489"/>
      <w:bookmarkStart w:id="33" w:name="_Toc82761781"/>
      <w:bookmarkStart w:id="34" w:name="_Toc84214187"/>
      <w:bookmarkStart w:id="35" w:name="_Toc115242966"/>
      <w:bookmarkStart w:id="36" w:name="_Toc115246753"/>
      <w:bookmarkStart w:id="37" w:name="_Toc115856275"/>
      <w:bookmarkStart w:id="38" w:name="_Toc116096966"/>
      <w:bookmarkStart w:id="39" w:name="_Toc116096990"/>
      <w:bookmarkEnd w:id="30"/>
      <w:bookmarkEnd w:id="31"/>
      <w:bookmarkEnd w:id="32"/>
      <w:bookmarkEnd w:id="33"/>
      <w:bookmarkEnd w:id="34"/>
      <w:r w:rsidRPr="008B79FF">
        <w:t>Public service</w:t>
      </w:r>
      <w:bookmarkEnd w:id="35"/>
      <w:bookmarkEnd w:id="36"/>
      <w:bookmarkEnd w:id="37"/>
      <w:bookmarkEnd w:id="38"/>
      <w:bookmarkEnd w:id="39"/>
    </w:p>
    <w:p w:rsidR="00A80C77" w:rsidRPr="008B79FF" w:rsidRDefault="002B23E9">
      <w:r w:rsidRPr="008B79FF">
        <w:t>Public service-uppdragets kärna är att underlätta demokratins arbete g</w:t>
      </w:r>
      <w:r w:rsidRPr="008B79FF">
        <w:t>e</w:t>
      </w:r>
      <w:r w:rsidRPr="008B79FF">
        <w:t>nom att bidra till goda förutsättningar för en allsidig information och samhällsd</w:t>
      </w:r>
      <w:r w:rsidRPr="008B79FF">
        <w:t>e</w:t>
      </w:r>
      <w:r w:rsidRPr="008B79FF">
        <w:t>batt.</w:t>
      </w:r>
    </w:p>
    <w:p w:rsidR="00A80C77" w:rsidRPr="008B79FF" w:rsidRDefault="002B23E9">
      <w:pPr>
        <w:pStyle w:val="Normaltindrag"/>
      </w:pPr>
      <w:r w:rsidRPr="008B79FF">
        <w:t>Offentlig finansiering skall användas för program och verksamheter som kompletterar och bidrar till att utveckla programutbudet i dess helhet, både innehållsmässigt och kvalitet</w:t>
      </w:r>
      <w:r w:rsidRPr="008B79FF">
        <w:t>s</w:t>
      </w:r>
      <w:r w:rsidRPr="008B79FF">
        <w:t>mässigt.</w:t>
      </w:r>
    </w:p>
    <w:p w:rsidR="00A80C77" w:rsidRPr="008B79FF" w:rsidRDefault="002B23E9">
      <w:pPr>
        <w:pStyle w:val="Normaltindrag"/>
      </w:pPr>
      <w:r w:rsidRPr="008B79FF">
        <w:t>Public service-programmen skall komma alla till del. Offentligt finansier</w:t>
      </w:r>
      <w:r w:rsidRPr="008B79FF">
        <w:t>a</w:t>
      </w:r>
      <w:r w:rsidRPr="008B79FF">
        <w:t>de program må</w:t>
      </w:r>
      <w:r w:rsidRPr="008B79FF">
        <w:t>s</w:t>
      </w:r>
      <w:r w:rsidRPr="008B79FF">
        <w:t>te präglas av god kvalitet. Nyhets- och samhällsprogrammen skall dessutom präglas av saklighet och opartiskhet. Den redaktionella själ</w:t>
      </w:r>
      <w:r w:rsidRPr="008B79FF">
        <w:t>v</w:t>
      </w:r>
      <w:r w:rsidRPr="008B79FF">
        <w:t>ständigheten och mångfalden är grun</w:t>
      </w:r>
      <w:r w:rsidRPr="008B79FF">
        <w:t>d</w:t>
      </w:r>
      <w:r w:rsidRPr="008B79FF">
        <w:t xml:space="preserve">läggande. Kärnuppdraget bör även omfatta en spegling av hela landet och dess kulturliv. </w:t>
      </w:r>
    </w:p>
    <w:p w:rsidR="00A80C77" w:rsidRPr="008B79FF" w:rsidRDefault="002B23E9">
      <w:pPr>
        <w:pStyle w:val="Normaltindrag"/>
      </w:pPr>
      <w:r w:rsidRPr="008B79FF">
        <w:t>Med en modern definition av public service upphör motiven för en särskild mottagar-avgift. Avgiftsfinansieringen bör därför avskaffas och public serv</w:t>
      </w:r>
      <w:r w:rsidRPr="008B79FF">
        <w:t>i</w:t>
      </w:r>
      <w:r w:rsidRPr="008B79FF">
        <w:t>ce-verksamheten fina</w:t>
      </w:r>
      <w:r w:rsidRPr="008B79FF">
        <w:t>n</w:t>
      </w:r>
      <w:r w:rsidRPr="008B79FF">
        <w:t>sieras gemensamt av skattemedel på samma sätt som annan verksamhet av stor vikt för allmänheten. Av hänsyn till frifinansierade program- och sändningsbolag bör därför även SVT:s rätt till sponsring av vissa programkategorier upphöra.</w:t>
      </w:r>
    </w:p>
    <w:p w:rsidR="00A80C77" w:rsidRPr="008B79FF" w:rsidRDefault="002B23E9">
      <w:pPr>
        <w:pStyle w:val="Normaltindrag"/>
      </w:pPr>
      <w:r w:rsidRPr="008B79FF">
        <w:t>Inom ramen för den överordnade uppgiften att se till att det finns ett rege</w:t>
      </w:r>
      <w:r w:rsidRPr="008B79FF">
        <w:t>l</w:t>
      </w:r>
      <w:r w:rsidRPr="008B79FF">
        <w:t>verk som möjli</w:t>
      </w:r>
      <w:r w:rsidRPr="008B79FF">
        <w:t>g</w:t>
      </w:r>
      <w:r w:rsidRPr="008B79FF">
        <w:t>gör för medier att verka fritt anser vi, som tidigare redovisats, att staten bör ha ett ansvar för att garantera publiken förekomsten av och tillgången till vissa public-service-definierade kvalitetsprogram som annars inte skulle ges. Detta ansvar ställer andra krav i den moderna mediemiljön med en mångfald av kanaler jämfört med när radio och television var statliga monopol skyddade från andra sändande bolags programutbud.</w:t>
      </w:r>
    </w:p>
    <w:p w:rsidR="00A80C77" w:rsidRPr="008B79FF" w:rsidRDefault="002B23E9">
      <w:pPr>
        <w:pStyle w:val="Normaltindrag"/>
      </w:pPr>
      <w:r w:rsidRPr="008B79FF">
        <w:t>En radio och TV i allmänhetens tjänst bör mot denna bakgrund koncentr</w:t>
      </w:r>
      <w:r w:rsidRPr="008B79FF">
        <w:t>e</w:t>
      </w:r>
      <w:r w:rsidRPr="008B79FF">
        <w:t>ra sig på att erbjuda ett programutbud inriktat på hög kvalitet inom sina pr</w:t>
      </w:r>
      <w:r w:rsidRPr="008B79FF">
        <w:t>o</w:t>
      </w:r>
      <w:r w:rsidRPr="008B79FF">
        <w:t>gramområden som snarare kompletterar vad andra aktörer e</w:t>
      </w:r>
      <w:r w:rsidRPr="008B79FF">
        <w:t>r</w:t>
      </w:r>
      <w:r w:rsidRPr="008B79FF">
        <w:t>bjuder för att på det viset uppnå största möjliga sammantagna mångfald och utbud för publ</w:t>
      </w:r>
      <w:r w:rsidRPr="008B79FF">
        <w:t>i</w:t>
      </w:r>
      <w:r w:rsidRPr="008B79FF">
        <w:t xml:space="preserve">ken. </w:t>
      </w:r>
    </w:p>
    <w:p w:rsidR="00A80C77" w:rsidRPr="008B79FF" w:rsidRDefault="002B23E9">
      <w:pPr>
        <w:pStyle w:val="Normaltindrag"/>
      </w:pPr>
      <w:r w:rsidRPr="008B79FF">
        <w:t>Public service-utbudet skall bidra till att vitalisera svenskt kulturliv och ge fler aktörer en möjlighet att nå en publik. Public service kan omfatta dramat</w:t>
      </w:r>
      <w:r w:rsidRPr="008B79FF">
        <w:t>i</w:t>
      </w:r>
      <w:r w:rsidRPr="008B79FF">
        <w:t>seringar ur det svenska kulturarvet, att spegla det moderna kulturlivet, pr</w:t>
      </w:r>
      <w:r w:rsidRPr="008B79FF">
        <w:t>o</w:t>
      </w:r>
      <w:r w:rsidRPr="008B79FF">
        <w:t xml:space="preserve">gram för minoriteter, barnprogram, nyhets- och samhällsrapportering som annars inte skulle komma till stånd samt andra kvalitativa program gentemot olika målgrupper. Hit kan också höra att i ökad utsträckning transmittera föreställningar från våra nationalscener. Värnandet om det svenska språket skall vara en av huvuduppgifterna. </w:t>
      </w:r>
    </w:p>
    <w:p w:rsidR="00A80C77" w:rsidRPr="008B79FF" w:rsidRDefault="002B23E9">
      <w:pPr>
        <w:pStyle w:val="Normaltindrag"/>
        <w:rPr>
          <w:szCs w:val="24"/>
        </w:rPr>
      </w:pPr>
      <w:r w:rsidRPr="008B79FF">
        <w:t xml:space="preserve">Det ligger i sakens natur att det skattefinansierade public service-uppdraget kontinuerligt måste prövas i ljuset av vad andra aktörer på mediemarknaden erbjuder. </w:t>
      </w:r>
    </w:p>
    <w:p w:rsidR="00A80C77" w:rsidRPr="008B79FF" w:rsidRDefault="002B23E9">
      <w:pPr>
        <w:pStyle w:val="Normaltindrag"/>
        <w:rPr>
          <w:color w:val="000000"/>
          <w:szCs w:val="24"/>
        </w:rPr>
      </w:pPr>
      <w:r w:rsidRPr="008B79FF">
        <w:rPr>
          <w:color w:val="000000"/>
          <w:szCs w:val="24"/>
        </w:rPr>
        <w:t xml:space="preserve">Den enorma ökning av programutbudet som </w:t>
      </w:r>
      <w:r w:rsidRPr="008B79FF">
        <w:rPr>
          <w:bCs/>
          <w:color w:val="000000"/>
          <w:szCs w:val="24"/>
        </w:rPr>
        <w:t>möjliggjorts genom nytil</w:t>
      </w:r>
      <w:r w:rsidRPr="008B79FF">
        <w:rPr>
          <w:bCs/>
          <w:color w:val="000000"/>
          <w:szCs w:val="24"/>
        </w:rPr>
        <w:t>l</w:t>
      </w:r>
      <w:r w:rsidRPr="008B79FF">
        <w:rPr>
          <w:bCs/>
          <w:color w:val="000000"/>
          <w:szCs w:val="24"/>
        </w:rPr>
        <w:t xml:space="preserve">kommande aktörer </w:t>
      </w:r>
      <w:r w:rsidRPr="008B79FF">
        <w:rPr>
          <w:color w:val="000000"/>
          <w:szCs w:val="24"/>
        </w:rPr>
        <w:t xml:space="preserve">sedan </w:t>
      </w:r>
      <w:r w:rsidRPr="008B79FF">
        <w:rPr>
          <w:bCs/>
          <w:color w:val="000000"/>
          <w:szCs w:val="24"/>
        </w:rPr>
        <w:t>SR-</w:t>
      </w:r>
      <w:r w:rsidRPr="008B79FF">
        <w:rPr>
          <w:color w:val="000000"/>
          <w:szCs w:val="24"/>
        </w:rPr>
        <w:t xml:space="preserve">monopolets dagar innebär en förändring av de krav som public service måste leva upp till. Public service är </w:t>
      </w:r>
      <w:r w:rsidRPr="008B79FF">
        <w:rPr>
          <w:bCs/>
          <w:color w:val="000000"/>
          <w:szCs w:val="24"/>
        </w:rPr>
        <w:t xml:space="preserve">numera </w:t>
      </w:r>
      <w:r w:rsidRPr="008B79FF">
        <w:rPr>
          <w:color w:val="000000"/>
          <w:szCs w:val="24"/>
        </w:rPr>
        <w:t xml:space="preserve">inte bara ett alternativ till tryckta skrifter, utan </w:t>
      </w:r>
      <w:r w:rsidRPr="008B79FF">
        <w:rPr>
          <w:bCs/>
          <w:color w:val="000000"/>
          <w:szCs w:val="24"/>
        </w:rPr>
        <w:t xml:space="preserve">kanske framför allt </w:t>
      </w:r>
      <w:r w:rsidRPr="008B79FF">
        <w:rPr>
          <w:color w:val="000000"/>
          <w:szCs w:val="24"/>
        </w:rPr>
        <w:t xml:space="preserve">till det utbud av program som kommer från </w:t>
      </w:r>
      <w:r w:rsidRPr="008B79FF">
        <w:rPr>
          <w:bCs/>
          <w:color w:val="000000"/>
          <w:szCs w:val="24"/>
        </w:rPr>
        <w:t xml:space="preserve">andra </w:t>
      </w:r>
      <w:r w:rsidRPr="008B79FF">
        <w:rPr>
          <w:color w:val="000000"/>
          <w:szCs w:val="24"/>
        </w:rPr>
        <w:t>fristående TV-kanaler och radioföretag.</w:t>
      </w:r>
    </w:p>
    <w:p w:rsidR="00A80C77" w:rsidRPr="008B79FF" w:rsidRDefault="002B23E9">
      <w:pPr>
        <w:pStyle w:val="Normaltindrag"/>
      </w:pPr>
      <w:r w:rsidRPr="008B79FF">
        <w:rPr>
          <w:color w:val="000000"/>
          <w:szCs w:val="24"/>
        </w:rPr>
        <w:t xml:space="preserve">Eftersom public service skall finansieras med allmänna medel måste dess verksamhet präglas av </w:t>
      </w:r>
      <w:r w:rsidRPr="008B79FF">
        <w:rPr>
          <w:bCs/>
          <w:color w:val="000000"/>
          <w:szCs w:val="24"/>
        </w:rPr>
        <w:t xml:space="preserve">hög </w:t>
      </w:r>
      <w:r w:rsidRPr="008B79FF">
        <w:rPr>
          <w:color w:val="000000"/>
          <w:szCs w:val="24"/>
        </w:rPr>
        <w:t xml:space="preserve">kvalitet och kostnadseffektivitet. </w:t>
      </w:r>
      <w:r w:rsidRPr="008B79FF">
        <w:t>Utbildningsrad</w:t>
      </w:r>
      <w:r w:rsidRPr="008B79FF">
        <w:t>i</w:t>
      </w:r>
      <w:r w:rsidRPr="008B79FF">
        <w:t>on uppvisar låg kostnadseffektvitet. En översyn av utbildningsradion är därför nödvändig. Vidare måste teknik och produktionsresurser i högre grad utnyt</w:t>
      </w:r>
      <w:r w:rsidRPr="008B79FF">
        <w:t>t</w:t>
      </w:r>
      <w:r w:rsidRPr="008B79FF">
        <w:t>jas gemensamt med SR och SVT. En stor del av utbildningsproduktionen bör även kunna köpas från andra producenter av utbildning än från SVT.</w:t>
      </w:r>
    </w:p>
    <w:p w:rsidR="00A80C77" w:rsidRPr="008B79FF" w:rsidRDefault="002B23E9">
      <w:pPr>
        <w:pStyle w:val="Normaltindrag"/>
        <w:rPr>
          <w:color w:val="000000"/>
          <w:szCs w:val="24"/>
        </w:rPr>
      </w:pPr>
      <w:r w:rsidRPr="008B79FF">
        <w:rPr>
          <w:color w:val="000000"/>
          <w:szCs w:val="24"/>
        </w:rPr>
        <w:t xml:space="preserve">Eftersom public service skall präglas av redaktionell </w:t>
      </w:r>
      <w:r w:rsidRPr="008B79FF">
        <w:rPr>
          <w:bCs/>
          <w:color w:val="000000"/>
          <w:szCs w:val="24"/>
        </w:rPr>
        <w:t xml:space="preserve">kvalitet och </w:t>
      </w:r>
      <w:r w:rsidRPr="008B79FF">
        <w:rPr>
          <w:color w:val="000000"/>
          <w:szCs w:val="24"/>
        </w:rPr>
        <w:t xml:space="preserve">mångfald bör det </w:t>
      </w:r>
      <w:r w:rsidRPr="008B79FF">
        <w:rPr>
          <w:bCs/>
          <w:color w:val="000000"/>
          <w:szCs w:val="24"/>
        </w:rPr>
        <w:t xml:space="preserve">inom företaget </w:t>
      </w:r>
      <w:r w:rsidRPr="008B79FF">
        <w:rPr>
          <w:color w:val="000000"/>
          <w:szCs w:val="24"/>
        </w:rPr>
        <w:t xml:space="preserve">finnas två självständiga nyhetsredaktioner så länge SVT förfogar över dagens två kanaler. </w:t>
      </w:r>
    </w:p>
    <w:p w:rsidR="00A80C77" w:rsidRPr="008B79FF" w:rsidRDefault="002B23E9">
      <w:pPr>
        <w:pStyle w:val="Rubrik1"/>
        <w:rPr>
          <w:szCs w:val="19"/>
        </w:rPr>
      </w:pPr>
      <w:bookmarkStart w:id="40" w:name="_Toc53211975"/>
      <w:bookmarkStart w:id="41" w:name="_Toc53212003"/>
      <w:bookmarkStart w:id="42" w:name="_Toc53216492"/>
      <w:bookmarkStart w:id="43" w:name="_Toc82761784"/>
      <w:bookmarkStart w:id="44" w:name="_Toc84214190"/>
      <w:bookmarkStart w:id="45" w:name="_Toc115242967"/>
      <w:bookmarkStart w:id="46" w:name="_Toc115246754"/>
      <w:bookmarkStart w:id="47" w:name="_Toc115856276"/>
      <w:bookmarkStart w:id="48" w:name="_Toc116096967"/>
      <w:bookmarkStart w:id="49" w:name="_Toc116096991"/>
      <w:bookmarkEnd w:id="40"/>
      <w:bookmarkEnd w:id="41"/>
      <w:bookmarkEnd w:id="42"/>
      <w:bookmarkEnd w:id="43"/>
      <w:bookmarkEnd w:id="44"/>
      <w:r w:rsidRPr="008B79FF">
        <w:t xml:space="preserve">Digital </w:t>
      </w:r>
      <w:bookmarkEnd w:id="45"/>
      <w:bookmarkEnd w:id="46"/>
      <w:bookmarkEnd w:id="47"/>
      <w:bookmarkEnd w:id="48"/>
      <w:bookmarkEnd w:id="49"/>
      <w:r w:rsidRPr="008B79FF">
        <w:t>tv</w:t>
      </w:r>
    </w:p>
    <w:p w:rsidR="00A80C77" w:rsidRPr="008B79FF" w:rsidRDefault="002B23E9">
      <w:pPr>
        <w:rPr>
          <w:color w:val="000000"/>
        </w:rPr>
      </w:pPr>
      <w:r w:rsidRPr="008B79FF">
        <w:t>Den tekniska utvecklingen har nått långt när det gäller distribution av tv. En övergång från analog till digital teknik har inletts. De flesta bedömare är överens om att den framtida distributionen av tv kommer att ske digitalt. Den nya tekniken innebär nya möjligheter till mångfald och interaktivitet, framför allt till följd av ett ökat frekvensutrymme. Digital tv kan antingen sändas i marknät, via satellit, kabel eller bredband. Frekvensutrymmet vari</w:t>
      </w:r>
      <w:r w:rsidRPr="008B79FF">
        <w:t>e</w:t>
      </w:r>
      <w:r w:rsidRPr="008B79FF">
        <w:t>rar dock väsentligt till följd av distributionssätt. I det förestående teknikskiftet har rege</w:t>
      </w:r>
      <w:r w:rsidRPr="008B79FF">
        <w:t>r</w:t>
      </w:r>
      <w:r w:rsidRPr="008B79FF">
        <w:t xml:space="preserve">ingen bestämt en övergång till marksänd digital tv. Det är den digitala distributionsform som har mest begränsande förutsättningar för </w:t>
      </w:r>
      <w:r w:rsidRPr="008B79FF">
        <w:rPr>
          <w:color w:val="000000"/>
        </w:rPr>
        <w:t xml:space="preserve">ömsesidig kommunikation och som är dyrast. Publiken får betala ett högt pris för att den politiska makten via ett nationellt marknät </w:t>
      </w:r>
      <w:r w:rsidRPr="008B79FF">
        <w:rPr>
          <w:rFonts w:cs="Helv"/>
          <w:color w:val="000000"/>
        </w:rPr>
        <w:t>lättare skall kunna reglera villk</w:t>
      </w:r>
      <w:r w:rsidRPr="008B79FF">
        <w:rPr>
          <w:rFonts w:cs="Helv"/>
          <w:color w:val="000000"/>
        </w:rPr>
        <w:t>o</w:t>
      </w:r>
      <w:r w:rsidRPr="008B79FF">
        <w:rPr>
          <w:rFonts w:cs="Helv"/>
          <w:color w:val="000000"/>
        </w:rPr>
        <w:t>ren för dess upplåtande.</w:t>
      </w:r>
      <w:r w:rsidRPr="008B79FF">
        <w:rPr>
          <w:color w:val="000000"/>
        </w:rPr>
        <w:t xml:space="preserve"> </w:t>
      </w:r>
    </w:p>
    <w:p w:rsidR="00A80C77" w:rsidRPr="008B79FF" w:rsidRDefault="002B23E9">
      <w:pPr>
        <w:pStyle w:val="Normaltindrag"/>
      </w:pPr>
      <w:r w:rsidRPr="008B79FF">
        <w:rPr>
          <w:color w:val="000000"/>
        </w:rPr>
        <w:t>Regeringens</w:t>
      </w:r>
      <w:r w:rsidRPr="008B79FF">
        <w:t xml:space="preserve"> ensidiga satsning på marknätet för digital tv är behäftad med flera andra brister. Förutom höga kostnader innebär relativt få tittare, kraftiga förseningar och orealistiska planer att de miljarder kronor projektet hittills har kostat är bortkastade. Resultatet visar också att det plan- och kommandotä</w:t>
      </w:r>
      <w:r w:rsidRPr="008B79FF">
        <w:t>n</w:t>
      </w:r>
      <w:r w:rsidRPr="008B79FF">
        <w:t>kande som präglat projektet och Kulturdepartementets planering passar säl</w:t>
      </w:r>
      <w:r w:rsidRPr="008B79FF">
        <w:t>l</w:t>
      </w:r>
      <w:r w:rsidRPr="008B79FF">
        <w:t>synt illa för en modern tids nya medier. Regeringens låsning vid marknätet tvingar många konsumenter till en distributionsform med mest begränsad kapacitet såväl för frekvensutrymme som för interaktivitet.</w:t>
      </w:r>
    </w:p>
    <w:p w:rsidR="00A80C77" w:rsidRPr="008B79FF" w:rsidRDefault="002B23E9">
      <w:pPr>
        <w:pStyle w:val="Normaltindrag"/>
        <w:rPr>
          <w:color w:val="000000"/>
        </w:rPr>
      </w:pPr>
      <w:r w:rsidRPr="008B79FF">
        <w:rPr>
          <w:color w:val="000000"/>
        </w:rPr>
        <w:t>För att kunna fortsätta se tv när de analoga sändningarna upphör måste ti</w:t>
      </w:r>
      <w:r w:rsidRPr="008B79FF">
        <w:rPr>
          <w:color w:val="000000"/>
        </w:rPr>
        <w:t>t</w:t>
      </w:r>
      <w:r w:rsidRPr="008B79FF">
        <w:rPr>
          <w:color w:val="000000"/>
        </w:rPr>
        <w:t xml:space="preserve">tarna skaffa ny teknisk utrustning, antingen en ny tv-apparat med inbyggd mottagare för digital tv eller en särskild digital-tv-box. </w:t>
      </w:r>
    </w:p>
    <w:p w:rsidR="00A80C77" w:rsidRPr="008B79FF" w:rsidRDefault="002B23E9">
      <w:pPr>
        <w:pStyle w:val="Normaltindrag"/>
        <w:rPr>
          <w:color w:val="000000"/>
        </w:rPr>
      </w:pPr>
      <w:r w:rsidRPr="008B79FF">
        <w:rPr>
          <w:color w:val="000000"/>
        </w:rPr>
        <w:t xml:space="preserve">Den ännu delvis omogna tekniken kräver för närvarande en box för varje tv-apparat och video- eller dvd-spelare. Det blir med andra ord en betydande investering för de svenska hushållen. För många hushåll kan den nödvändiga investeringen innebära tusentals kronor för att fortsättningsvis kunna använda de olika tv-apparater som kanske redan finns i hushållet. </w:t>
      </w:r>
    </w:p>
    <w:p w:rsidR="00A80C77" w:rsidRPr="008B79FF" w:rsidRDefault="002B23E9">
      <w:pPr>
        <w:pStyle w:val="Normaltindrag"/>
        <w:rPr>
          <w:color w:val="000000"/>
        </w:rPr>
      </w:pPr>
      <w:r w:rsidRPr="008B79FF">
        <w:rPr>
          <w:color w:val="000000"/>
        </w:rPr>
        <w:t>Regeringens satsning på det digitala marknätet blir också i övrigt en myc</w:t>
      </w:r>
      <w:r w:rsidRPr="008B79FF">
        <w:rPr>
          <w:color w:val="000000"/>
        </w:rPr>
        <w:t>k</w:t>
      </w:r>
      <w:r w:rsidRPr="008B79FF">
        <w:rPr>
          <w:color w:val="000000"/>
        </w:rPr>
        <w:t>et dyr affär för de svenska tv-tittarna och skattebetalarna. Det stora misslyc</w:t>
      </w:r>
      <w:r w:rsidRPr="008B79FF">
        <w:rPr>
          <w:color w:val="000000"/>
        </w:rPr>
        <w:t>k</w:t>
      </w:r>
      <w:r w:rsidRPr="008B79FF">
        <w:rPr>
          <w:color w:val="000000"/>
        </w:rPr>
        <w:t>andet med det statligt ägda Teracoms monopolliknande digital-tv-satsning är en följd av att staten genom lagstiftning försökt forcera fram ett markbundet teknikskifte som även skulle gynna det delvis statsägda bolaget Boxers nära nog ensamförsäljning av de s.k. digitalboxarna. Staten skall inte ägna sig åt att reglera sådant. Det bör överlåtas till konsumenterna att i egen takt fritt få välja den teknik och de av marknadens produkter som är mest fördelaktiga.</w:t>
      </w:r>
    </w:p>
    <w:p w:rsidR="00A80C77" w:rsidRPr="008B79FF" w:rsidRDefault="002B23E9">
      <w:pPr>
        <w:pStyle w:val="Normaltindrag"/>
        <w:rPr>
          <w:color w:val="000000"/>
        </w:rPr>
      </w:pPr>
      <w:r w:rsidRPr="008B79FF">
        <w:rPr>
          <w:color w:val="000000"/>
        </w:rPr>
        <w:t>Omkring 30 procent av de svenska hushållen har i dag tillgång till digital tv i någon form. Av dessa är det emellertid fortfarande en minoritet som med vanlig markantenn har tillgång till det digitala marknätet. Att i detta läge forcera fram nedsläckningen av den analoga teknik som majoriteten av hu</w:t>
      </w:r>
      <w:r w:rsidRPr="008B79FF">
        <w:rPr>
          <w:color w:val="000000"/>
        </w:rPr>
        <w:t>s</w:t>
      </w:r>
      <w:r w:rsidRPr="008B79FF">
        <w:rPr>
          <w:color w:val="000000"/>
        </w:rPr>
        <w:t>hållen använder och är nöjda med anser vi inte vara rimligt. Det drabbar bland annat de hushåll som inte har råd eller av andra skäl inte anser tiden mogen för byte av mottagare och/eller kringutrustning. Public service-programmen får sämre räckvidd och stora grupper som betalar för programverksamheten kan inte ta del av den.</w:t>
      </w:r>
    </w:p>
    <w:p w:rsidR="00A80C77" w:rsidRPr="008B79FF" w:rsidRDefault="002B23E9">
      <w:pPr>
        <w:pStyle w:val="Normaltindrag"/>
        <w:rPr>
          <w:color w:val="000000"/>
        </w:rPr>
      </w:pPr>
      <w:r w:rsidRPr="008B79FF">
        <w:rPr>
          <w:color w:val="000000"/>
        </w:rPr>
        <w:t>Riksdagens majoritet har beslutat att etappvis helt släcka ner det analoga nätet till den 1 februari 2008. Nedsläckningen har redan inletts. Det är uppe</w:t>
      </w:r>
      <w:r w:rsidRPr="008B79FF">
        <w:rPr>
          <w:color w:val="000000"/>
        </w:rPr>
        <w:t>n</w:t>
      </w:r>
      <w:r w:rsidRPr="008B79FF">
        <w:rPr>
          <w:color w:val="000000"/>
        </w:rPr>
        <w:t>bart att syftet inte främst är omsorg om publiken, utan ett försök att vinna tillbaka det gamla monopolets begränsningar inom ramen för den markbun</w:t>
      </w:r>
      <w:r w:rsidRPr="008B79FF">
        <w:rPr>
          <w:color w:val="000000"/>
        </w:rPr>
        <w:t>d</w:t>
      </w:r>
      <w:r w:rsidRPr="008B79FF">
        <w:rPr>
          <w:color w:val="000000"/>
        </w:rPr>
        <w:t>na digitala tekniken. Vi motsätter oss en förtida släckning av de analoga sändningarna. När en släckning i tiden skall ske måste främst vara resultatet av flertalet konsumenters fria val.</w:t>
      </w:r>
    </w:p>
    <w:p w:rsidR="00A80C77" w:rsidRPr="008B79FF" w:rsidRDefault="002B23E9">
      <w:pPr>
        <w:pStyle w:val="Rubrik1"/>
        <w:rPr>
          <w:szCs w:val="19"/>
        </w:rPr>
      </w:pPr>
      <w:bookmarkStart w:id="50" w:name="_Toc53211973"/>
      <w:bookmarkStart w:id="51" w:name="_Toc53212001"/>
      <w:bookmarkStart w:id="52" w:name="_Toc53216490"/>
      <w:bookmarkStart w:id="53" w:name="_Toc82761782"/>
      <w:bookmarkStart w:id="54" w:name="_Toc84214188"/>
      <w:bookmarkStart w:id="55" w:name="_Toc115242968"/>
      <w:bookmarkStart w:id="56" w:name="_Toc115246755"/>
      <w:bookmarkStart w:id="57" w:name="_Toc115856277"/>
      <w:bookmarkStart w:id="58" w:name="_Toc116096968"/>
      <w:bookmarkStart w:id="59" w:name="_Toc116096992"/>
      <w:bookmarkEnd w:id="50"/>
      <w:bookmarkEnd w:id="51"/>
      <w:bookmarkEnd w:id="52"/>
      <w:bookmarkEnd w:id="53"/>
      <w:bookmarkEnd w:id="54"/>
      <w:r w:rsidRPr="008B79FF">
        <w:t xml:space="preserve">Fristående </w:t>
      </w:r>
      <w:bookmarkEnd w:id="55"/>
      <w:bookmarkEnd w:id="56"/>
      <w:bookmarkEnd w:id="57"/>
      <w:bookmarkEnd w:id="58"/>
      <w:bookmarkEnd w:id="59"/>
      <w:r w:rsidRPr="008B79FF">
        <w:t>tv</w:t>
      </w:r>
    </w:p>
    <w:p w:rsidR="00A80C77" w:rsidRPr="008B79FF" w:rsidRDefault="002B23E9">
      <w:r w:rsidRPr="008B79FF">
        <w:t>Det bör stå TV-bolagen fritt att förfoga över programinnehållet. Vi anser att det inte är rimligt att EU genom det s.k. tv-direktivet uppställer krav på en viss sammansättning av programmen, exempelvis en viss andel europeiska program. EU:s uppgift är att möjliggöra och främja en fri rörlighet för tjän</w:t>
      </w:r>
      <w:r w:rsidRPr="008B79FF">
        <w:t>s</w:t>
      </w:r>
      <w:r w:rsidRPr="008B79FF">
        <w:t>ter, inte att reglera vilka länder som tv-programmen får komma ifrån. Vi vill att EU:s tv-direktiv avskaffas.</w:t>
      </w:r>
    </w:p>
    <w:p w:rsidR="00A80C77" w:rsidRPr="008B79FF" w:rsidRDefault="002B23E9">
      <w:pPr>
        <w:pStyle w:val="Normaltindrag"/>
        <w:rPr>
          <w:color w:val="000000"/>
        </w:rPr>
      </w:pPr>
      <w:r w:rsidRPr="008B79FF">
        <w:rPr>
          <w:color w:val="000000"/>
        </w:rPr>
        <w:t>Öppenhet för ny teknik och enskilda aktörers etableringsfrihet bör minska värdet av det privilegium som TV 4 tilldelats vad gäller reklamfinansierade marksändningar. På motsvarande sätt bör de särskilda krav som ställs på TV 4 i form av koncessionsavgift och krav på programinnehåll avvecklas. Staten bör inte uppställa detaljerade krav på fria och oberoende mediers programu</w:t>
      </w:r>
      <w:r w:rsidRPr="008B79FF">
        <w:rPr>
          <w:color w:val="000000"/>
        </w:rPr>
        <w:t>t</w:t>
      </w:r>
      <w:r w:rsidRPr="008B79FF">
        <w:rPr>
          <w:color w:val="000000"/>
        </w:rPr>
        <w:t>bud eller innehåll.</w:t>
      </w:r>
    </w:p>
    <w:p w:rsidR="00A80C77" w:rsidRPr="008B79FF" w:rsidRDefault="002B23E9">
      <w:pPr>
        <w:pStyle w:val="Normaltindrag"/>
        <w:rPr>
          <w:color w:val="000000"/>
        </w:rPr>
      </w:pPr>
      <w:r w:rsidRPr="008B79FF">
        <w:rPr>
          <w:color w:val="000000"/>
        </w:rPr>
        <w:t>Enligt den s.k. must carry-regeln är kabel-tv-företagen skyldiga att utan avgift distribuera ett antal program som sänds med tillstånd av regeringen. Det finns, enligt vår mening, inte någon anledning att ålägga kabelägare att kostnadsfritt distribuera kommersiellt finansierade program.</w:t>
      </w:r>
    </w:p>
    <w:p w:rsidR="00A80C77" w:rsidRPr="008B79FF" w:rsidRDefault="002B23E9">
      <w:pPr>
        <w:pStyle w:val="Normaltindrag"/>
        <w:rPr>
          <w:color w:val="000000"/>
        </w:rPr>
      </w:pPr>
      <w:r w:rsidRPr="008B79FF">
        <w:rPr>
          <w:color w:val="000000"/>
        </w:rPr>
        <w:t>Det kan vidare ifrågasättas om dagens omfattande must carry-skyldighet är förenlig med bestämmelserna i 3 kap. 1 § andra stycket YGL som stadgar att det i lag får meddelas föreskrifter för nätinnehavare att ge utrymme för vissa program i den utsträckning det behövs med hänsyn till allmänhetens intresse av tillgång till allsidig information. Kravet på allmänhetens tillgång till alls</w:t>
      </w:r>
      <w:r w:rsidRPr="008B79FF">
        <w:rPr>
          <w:color w:val="000000"/>
        </w:rPr>
        <w:t>i</w:t>
      </w:r>
      <w:r w:rsidRPr="008B79FF">
        <w:rPr>
          <w:color w:val="000000"/>
        </w:rPr>
        <w:t>dig information får dock rimligen anses vara tillgodosett genom att must carry-skyldigheten begränsas till public service-kanalerna SVT 1 och  2. Det är deras uttryckliga uppdrag som public service-kanaler att tillhandahålla allsidig information. Det är dock inte befogat att utsträcka must carry-skyldigheten till andra kanaler.</w:t>
      </w:r>
    </w:p>
    <w:p w:rsidR="00A80C77" w:rsidRPr="008B79FF" w:rsidRDefault="002B23E9">
      <w:pPr>
        <w:pStyle w:val="Normaltindrag"/>
        <w:rPr>
          <w:color w:val="000000"/>
        </w:rPr>
      </w:pPr>
      <w:r w:rsidRPr="008B79FF">
        <w:rPr>
          <w:color w:val="000000"/>
        </w:rPr>
        <w:t>Staten bör genom regionala koncessioner ge olika tv-stationer möjlighet att, redan i det analoga nätet, börja sända med olika delar av landet som sän</w:t>
      </w:r>
      <w:r w:rsidRPr="008B79FF">
        <w:rPr>
          <w:color w:val="000000"/>
        </w:rPr>
        <w:t>d</w:t>
      </w:r>
      <w:r w:rsidRPr="008B79FF">
        <w:rPr>
          <w:color w:val="000000"/>
        </w:rPr>
        <w:t>ningsområden. Tv-bolag som växer fram ur en sådan process skall också kunna genomföra nationella sändningar genom nätverkssamarbete. Varken ett nytt sändningstillstånd för TV 4 eller för något annat fristående programbolag skall innehålla särskilda av staten reglerade program- och reklamvillkor.</w:t>
      </w:r>
    </w:p>
    <w:p w:rsidR="00A80C77" w:rsidRPr="008B79FF" w:rsidRDefault="002B23E9">
      <w:pPr>
        <w:pStyle w:val="Normaltindrag"/>
        <w:rPr>
          <w:color w:val="000000"/>
        </w:rPr>
      </w:pPr>
      <w:r w:rsidRPr="008B79FF">
        <w:rPr>
          <w:color w:val="000000"/>
        </w:rPr>
        <w:t xml:space="preserve">Tv-kanaler som väljer att med digitala sändningar distribuera från Sverige bör heller inte av ovanstående skäl behöva leva upp till några särskilda krav på programinnehåll och reklamtid utöver vad som framgår av annan berörd lagstiftning. </w:t>
      </w:r>
    </w:p>
    <w:p w:rsidR="00A80C77" w:rsidRPr="008B79FF" w:rsidRDefault="002B23E9">
      <w:pPr>
        <w:pStyle w:val="Rubrik1"/>
        <w:rPr>
          <w:szCs w:val="19"/>
        </w:rPr>
      </w:pPr>
      <w:bookmarkStart w:id="60" w:name="_Toc53211974"/>
      <w:bookmarkStart w:id="61" w:name="_Toc53212002"/>
      <w:bookmarkStart w:id="62" w:name="_Toc53216491"/>
      <w:bookmarkStart w:id="63" w:name="_Toc82761783"/>
      <w:bookmarkStart w:id="64" w:name="_Toc84214189"/>
      <w:bookmarkStart w:id="65" w:name="_Toc115242969"/>
      <w:bookmarkStart w:id="66" w:name="_Toc115246756"/>
      <w:bookmarkStart w:id="67" w:name="_Toc115856278"/>
      <w:bookmarkStart w:id="68" w:name="_Toc116096969"/>
      <w:bookmarkStart w:id="69" w:name="_Toc116096993"/>
      <w:bookmarkEnd w:id="60"/>
      <w:bookmarkEnd w:id="61"/>
      <w:bookmarkEnd w:id="62"/>
      <w:bookmarkEnd w:id="63"/>
      <w:bookmarkEnd w:id="64"/>
      <w:r w:rsidRPr="008B79FF">
        <w:rPr>
          <w:szCs w:val="24"/>
        </w:rPr>
        <w:t>Fristående radio</w:t>
      </w:r>
      <w:bookmarkEnd w:id="65"/>
      <w:bookmarkEnd w:id="66"/>
      <w:bookmarkEnd w:id="67"/>
      <w:bookmarkEnd w:id="68"/>
      <w:bookmarkEnd w:id="69"/>
    </w:p>
    <w:p w:rsidR="00A80C77" w:rsidRPr="008B79FF" w:rsidRDefault="002B23E9">
      <w:r w:rsidRPr="008B79FF">
        <w:t>Förbudet mot nationella kommersiella radiokanaler begränsar programu</w:t>
      </w:r>
      <w:r w:rsidRPr="008B79FF">
        <w:t>t</w:t>
      </w:r>
      <w:r w:rsidRPr="008B79FF">
        <w:t>budet för lyssnarna. Underlaget för att satsa på kvalitet och kvalificerade progra</w:t>
      </w:r>
      <w:r w:rsidRPr="008B79FF">
        <w:t>m</w:t>
      </w:r>
      <w:r w:rsidRPr="008B79FF">
        <w:t>koncept urholkas genom att varje radiostation begränsas till ett litet sän</w:t>
      </w:r>
      <w:r w:rsidRPr="008B79FF">
        <w:t>d</w:t>
      </w:r>
      <w:r w:rsidRPr="008B79FF">
        <w:t>ningsområde. Privata lokalradiostationer får därigenom ett för litet publiku</w:t>
      </w:r>
      <w:r w:rsidRPr="008B79FF">
        <w:t>n</w:t>
      </w:r>
      <w:r w:rsidRPr="008B79FF">
        <w:t>derlag och otillräcklig ekonomi för att kunna utveckla programutbudet.</w:t>
      </w:r>
    </w:p>
    <w:p w:rsidR="00A80C77" w:rsidRPr="008B79FF" w:rsidRDefault="002B23E9">
      <w:pPr>
        <w:pStyle w:val="Normaltindrag"/>
        <w:rPr>
          <w:color w:val="000000"/>
        </w:rPr>
      </w:pPr>
      <w:r w:rsidRPr="008B79FF">
        <w:rPr>
          <w:color w:val="000000"/>
        </w:rPr>
        <w:t xml:space="preserve">Detta hämmar mångfalden och undandrar därigenom lyssnarna tillgång till en kvalitativt god rikstäckande radio, samtidigt som de befintliga, statliga, rikstäckande radiokanalerna inte behöver utsättas för  konkurrens från andra rikstäckande radiosändningar. </w:t>
      </w:r>
    </w:p>
    <w:p w:rsidR="00A80C77" w:rsidRPr="008B79FF" w:rsidRDefault="002B23E9">
      <w:pPr>
        <w:pStyle w:val="Normaltindrag"/>
        <w:rPr>
          <w:color w:val="000000"/>
        </w:rPr>
      </w:pPr>
      <w:r w:rsidRPr="008B79FF">
        <w:rPr>
          <w:color w:val="000000"/>
        </w:rPr>
        <w:t>Vi anser mot denna bakgrund att koncessioner för fria nationella radiok</w:t>
      </w:r>
      <w:r w:rsidRPr="008B79FF">
        <w:rPr>
          <w:color w:val="000000"/>
        </w:rPr>
        <w:t>a</w:t>
      </w:r>
      <w:r w:rsidRPr="008B79FF">
        <w:rPr>
          <w:color w:val="000000"/>
        </w:rPr>
        <w:t>naler skall erbjudas. Privata lokala radiostationer skall också ges möjlighet att genom nätverk samverka nationellt om olika delar av programutbudet. Hä</w:t>
      </w:r>
      <w:r w:rsidRPr="008B79FF">
        <w:rPr>
          <w:color w:val="000000"/>
        </w:rPr>
        <w:t>r</w:t>
      </w:r>
      <w:r w:rsidRPr="008B79FF">
        <w:rPr>
          <w:color w:val="000000"/>
        </w:rPr>
        <w:t>igenom skapas möjlighet till flera kvalitetskanaler som riktar sig till olika publikkategorier och som kan erhålla tillräckligt stor publik för att kunna finansiera ett fördjupat programutbud.</w:t>
      </w:r>
    </w:p>
    <w:p w:rsidR="00A80C77" w:rsidRPr="008B79FF" w:rsidRDefault="002B23E9">
      <w:pPr>
        <w:pStyle w:val="Rubrik1"/>
        <w:rPr>
          <w:szCs w:val="19"/>
        </w:rPr>
      </w:pPr>
      <w:bookmarkStart w:id="70" w:name="_Toc53211977"/>
      <w:bookmarkStart w:id="71" w:name="_Toc53212005"/>
      <w:bookmarkStart w:id="72" w:name="_Toc53216494"/>
      <w:bookmarkStart w:id="73" w:name="_Toc82761788"/>
      <w:bookmarkStart w:id="74" w:name="_Toc84214194"/>
      <w:bookmarkStart w:id="75" w:name="_Toc115242970"/>
      <w:bookmarkStart w:id="76" w:name="_Toc115246757"/>
      <w:bookmarkStart w:id="77" w:name="_Toc115856279"/>
      <w:bookmarkStart w:id="78" w:name="_Toc116096970"/>
      <w:bookmarkStart w:id="79" w:name="_Toc116096994"/>
      <w:bookmarkEnd w:id="70"/>
      <w:bookmarkEnd w:id="71"/>
      <w:bookmarkEnd w:id="72"/>
      <w:bookmarkEnd w:id="73"/>
      <w:bookmarkEnd w:id="74"/>
      <w:r w:rsidRPr="008B79FF">
        <w:rPr>
          <w:szCs w:val="24"/>
        </w:rPr>
        <w:t>Digitala radion</w:t>
      </w:r>
      <w:bookmarkEnd w:id="75"/>
      <w:bookmarkEnd w:id="76"/>
      <w:bookmarkEnd w:id="77"/>
      <w:bookmarkEnd w:id="78"/>
      <w:bookmarkEnd w:id="79"/>
    </w:p>
    <w:p w:rsidR="00A80C77" w:rsidRPr="008B79FF" w:rsidRDefault="002B23E9">
      <w:r w:rsidRPr="008B79FF">
        <w:t>I nuläget finns inget kommersiellt intresse i digital radio eftersom den sta</w:t>
      </w:r>
      <w:r w:rsidRPr="008B79FF">
        <w:t>t</w:t>
      </w:r>
      <w:r w:rsidRPr="008B79FF">
        <w:t>liga styrningen är alltför stark. Digitalradioutredningen (SOU 2004:16) har nyl</w:t>
      </w:r>
      <w:r w:rsidRPr="008B79FF">
        <w:t>i</w:t>
      </w:r>
      <w:r w:rsidRPr="008B79FF">
        <w:t>gen föreslagit att sändningsverksamheten bör fortsätta och att bättre förutsät</w:t>
      </w:r>
      <w:r w:rsidRPr="008B79FF">
        <w:t>t</w:t>
      </w:r>
      <w:r w:rsidRPr="008B79FF">
        <w:t>ningar bör skapas för att radiobranschen själv skall kunna ta steget i rik</w:t>
      </w:r>
      <w:r w:rsidRPr="008B79FF">
        <w:t>t</w:t>
      </w:r>
      <w:r w:rsidRPr="008B79FF">
        <w:t>ning mot en utbyggd sändningsverksamhet. Om den digitala radion frigörs, ko</w:t>
      </w:r>
      <w:r w:rsidRPr="008B79FF">
        <w:t>m</w:t>
      </w:r>
      <w:r w:rsidRPr="008B79FF">
        <w:t>mer även den fortsatta utvecklingen att främjas.</w:t>
      </w:r>
    </w:p>
    <w:p w:rsidR="00A80C77" w:rsidRPr="008B79FF" w:rsidRDefault="002B23E9">
      <w:pPr>
        <w:pStyle w:val="Normaltindrag"/>
        <w:rPr>
          <w:color w:val="000000"/>
        </w:rPr>
      </w:pPr>
      <w:r w:rsidRPr="008B79FF">
        <w:rPr>
          <w:color w:val="000000"/>
        </w:rPr>
        <w:t>DAB (Digital Audio Broadcasting) har sagts vara den nödvändiga tekniska utvecklingen inom radio och är den digitala sändningsstandard som valts för marknätet för att kunna ersätta dagens analoga sändningar. Sändningarna når cirka 85 procent av landet men kan bara tas emot av ett par tusen mottagare, vilket leder till skyhöga kostnader per mottagare. Från början sades att DAB skulle leda till lägre sändningskostnader, men verkligheten har snarare blivit den motsatta.</w:t>
      </w:r>
    </w:p>
    <w:p w:rsidR="00A80C77" w:rsidRPr="008B79FF" w:rsidRDefault="002B23E9">
      <w:pPr>
        <w:pStyle w:val="Normaltindrag"/>
        <w:rPr>
          <w:color w:val="000000"/>
        </w:rPr>
      </w:pPr>
      <w:r w:rsidRPr="008B79FF">
        <w:rPr>
          <w:color w:val="000000"/>
        </w:rPr>
        <w:t>Orsakerna till misslyckandet med DAB är flera. Mottagarna är dyra, den billigaste kostar i dag fortfarande cirka 2 000 kronor. DAB har hittills inte heller skapat något mervärde för lyssnarna, och eftersom de privata lokalr</w:t>
      </w:r>
      <w:r w:rsidRPr="008B79FF">
        <w:rPr>
          <w:color w:val="000000"/>
        </w:rPr>
        <w:t>a</w:t>
      </w:r>
      <w:r w:rsidRPr="008B79FF">
        <w:rPr>
          <w:color w:val="000000"/>
        </w:rPr>
        <w:t>diostationerna inte finns med är utbudet begränsat. Priset på mottagare kan regeringen inte göra mycket åt, men utbudet styrs av politiska regler. De vi</w:t>
      </w:r>
      <w:r w:rsidRPr="008B79FF">
        <w:rPr>
          <w:color w:val="000000"/>
        </w:rPr>
        <w:t>k</w:t>
      </w:r>
      <w:r w:rsidRPr="008B79FF">
        <w:rPr>
          <w:color w:val="000000"/>
        </w:rPr>
        <w:t>tigaste gäller vilka villkor som ställs upp för den privata radions deltagande. Långa tillståndsperioder och möjligheter att förändra programutbud och ägande över tiden är av avgörande betydelse. Långsiktighet och förutsägba</w:t>
      </w:r>
      <w:r w:rsidRPr="008B79FF">
        <w:rPr>
          <w:color w:val="000000"/>
        </w:rPr>
        <w:t>r</w:t>
      </w:r>
      <w:r w:rsidRPr="008B79FF">
        <w:rPr>
          <w:color w:val="000000"/>
        </w:rPr>
        <w:t>het måste vara grundläggande i utarbetandet av en ny ordning för digital r</w:t>
      </w:r>
      <w:r w:rsidRPr="008B79FF">
        <w:rPr>
          <w:color w:val="000000"/>
        </w:rPr>
        <w:t>a</w:t>
      </w:r>
      <w:r w:rsidRPr="008B79FF">
        <w:rPr>
          <w:color w:val="000000"/>
        </w:rPr>
        <w:t>dio.</w:t>
      </w:r>
    </w:p>
    <w:p w:rsidR="00A80C77" w:rsidRPr="008B79FF" w:rsidRDefault="002B23E9">
      <w:pPr>
        <w:pStyle w:val="Normaltindrag"/>
        <w:rPr>
          <w:color w:val="000000"/>
        </w:rPr>
      </w:pPr>
      <w:r w:rsidRPr="008B79FF">
        <w:rPr>
          <w:color w:val="000000"/>
        </w:rPr>
        <w:t>Dessutom har nya, bättre och billigare sändningstekniker, t.ex. ERM (Dig</w:t>
      </w:r>
      <w:r w:rsidRPr="008B79FF">
        <w:rPr>
          <w:color w:val="000000"/>
        </w:rPr>
        <w:t>i</w:t>
      </w:r>
      <w:r w:rsidRPr="008B79FF">
        <w:rPr>
          <w:color w:val="000000"/>
        </w:rPr>
        <w:t>tal Radio Mondiale) hunnit utvecklas som därför bör ges likvärdiga existen</w:t>
      </w:r>
      <w:r w:rsidRPr="008B79FF">
        <w:rPr>
          <w:color w:val="000000"/>
        </w:rPr>
        <w:t>s</w:t>
      </w:r>
      <w:r w:rsidRPr="008B79FF">
        <w:rPr>
          <w:color w:val="000000"/>
        </w:rPr>
        <w:t>förutsättningar.</w:t>
      </w:r>
    </w:p>
    <w:p w:rsidR="00A80C77" w:rsidRPr="008B79FF" w:rsidRDefault="002B23E9">
      <w:pPr>
        <w:pStyle w:val="Normaltindrag"/>
        <w:rPr>
          <w:color w:val="000000"/>
        </w:rPr>
      </w:pPr>
      <w:r w:rsidRPr="008B79FF">
        <w:t>Koncessioner skall fördelas på motsvarande sätt som den privata lokalr</w:t>
      </w:r>
      <w:r w:rsidRPr="008B79FF">
        <w:t>a</w:t>
      </w:r>
      <w:r w:rsidRPr="008B79FF">
        <w:t>dions ursprungliga regelverk, nämligen genom ett auktionsförfarande. Utöver de hänsyn som av tekniska skäl talar för att närliggande frekvensområden bör utnyttjas för samma typ av användningsområde (TV-signaler, mobiltelefoni etc.) skall staten inte lägga sig i hur frekvensbanden utnyttjas. Statlig r</w:t>
      </w:r>
      <w:r w:rsidRPr="008B79FF">
        <w:t>e</w:t>
      </w:r>
      <w:r w:rsidRPr="008B79FF">
        <w:t xml:space="preserve">glering på grund av trängsel i etern för radiostationer blir mindre aktuell i takt med att den tekniska utvecklingen möjliggör ett effektivare utnyttjande av olika tillgängliga frekvensband. </w:t>
      </w:r>
    </w:p>
    <w:p w:rsidR="00A80C77" w:rsidRPr="008B79FF" w:rsidRDefault="002B23E9">
      <w:pPr>
        <w:pStyle w:val="Rubrik1"/>
        <w:rPr>
          <w:szCs w:val="19"/>
        </w:rPr>
      </w:pPr>
      <w:bookmarkStart w:id="80" w:name="_Toc51481493"/>
      <w:bookmarkStart w:id="81" w:name="_Toc53211979"/>
      <w:bookmarkStart w:id="82" w:name="_Toc53212007"/>
      <w:bookmarkStart w:id="83" w:name="_Toc53216496"/>
      <w:bookmarkStart w:id="84" w:name="_Toc82761789"/>
      <w:bookmarkStart w:id="85" w:name="_Toc84214195"/>
      <w:bookmarkStart w:id="86" w:name="_Toc115242971"/>
      <w:bookmarkStart w:id="87" w:name="_Toc115246758"/>
      <w:bookmarkStart w:id="88" w:name="_Toc115856280"/>
      <w:bookmarkStart w:id="89" w:name="_Toc116096971"/>
      <w:bookmarkStart w:id="90" w:name="_Toc116096995"/>
      <w:bookmarkEnd w:id="80"/>
      <w:bookmarkEnd w:id="81"/>
      <w:bookmarkEnd w:id="82"/>
      <w:bookmarkEnd w:id="83"/>
      <w:bookmarkEnd w:id="84"/>
      <w:bookmarkEnd w:id="85"/>
      <w:r w:rsidRPr="008B79FF">
        <w:t>Tidningar och tidskrifter</w:t>
      </w:r>
      <w:bookmarkEnd w:id="86"/>
      <w:bookmarkEnd w:id="87"/>
      <w:bookmarkEnd w:id="88"/>
      <w:bookmarkEnd w:id="89"/>
      <w:bookmarkEnd w:id="90"/>
    </w:p>
    <w:p w:rsidR="00A80C77" w:rsidRPr="008B79FF" w:rsidRDefault="002B23E9">
      <w:r w:rsidRPr="008B79FF">
        <w:t>Det skrivna ordet har en stark ställning trots radions och televisionens utvec</w:t>
      </w:r>
      <w:r w:rsidRPr="008B79FF">
        <w:t>k</w:t>
      </w:r>
      <w:r w:rsidRPr="008B79FF">
        <w:t>ling. Ko</w:t>
      </w:r>
      <w:r w:rsidRPr="008B79FF">
        <w:t>n</w:t>
      </w:r>
      <w:r w:rsidRPr="008B79FF">
        <w:t>sumtionen av kommersiella tidningar ökar, och det stora utbudet av såväl facktidningar som gratistidningar utan statliga subventioner tas väl emot av läsarna.</w:t>
      </w:r>
    </w:p>
    <w:p w:rsidR="00A80C77" w:rsidRPr="008B79FF" w:rsidRDefault="002B23E9">
      <w:pPr>
        <w:pStyle w:val="Normaltindrag"/>
      </w:pPr>
      <w:r w:rsidRPr="008B79FF">
        <w:t>Medierna går emellertid inte längre att snävt dela in i olika fack. Tidningar finns visserligen på papper, men växer sig samtidigt allt starkare på Internet. Detta skapar en konku</w:t>
      </w:r>
      <w:r w:rsidRPr="008B79FF">
        <w:t>r</w:t>
      </w:r>
      <w:r w:rsidRPr="008B79FF">
        <w:t>rens över mediegränserna som inte funnits tidigare. Ny teknik ger bättre ekonomiska mö</w:t>
      </w:r>
      <w:r w:rsidRPr="008B79FF">
        <w:t>j</w:t>
      </w:r>
      <w:r w:rsidRPr="008B79FF">
        <w:t>ligheter också för den som vill producera tidningar.</w:t>
      </w:r>
    </w:p>
    <w:p w:rsidR="00A80C77" w:rsidRPr="008B79FF" w:rsidRDefault="002B23E9">
      <w:pPr>
        <w:pStyle w:val="Normaltindrag"/>
      </w:pPr>
      <w:r w:rsidRPr="008B79FF">
        <w:t>Det är intressant att se att många av de tidningar som inte kommer i fråga för statliga stöd eller subventioner, nämligen fack- och specialtidningar, kl</w:t>
      </w:r>
      <w:r w:rsidRPr="008B79FF">
        <w:t>a</w:t>
      </w:r>
      <w:r w:rsidRPr="008B79FF">
        <w:t>rar sig väl och till och med ökar. Presstödets syfte har historiskt sett angivits vara att bidra till mångfalden på dagsti</w:t>
      </w:r>
      <w:r w:rsidRPr="008B79FF">
        <w:t>d</w:t>
      </w:r>
      <w:r w:rsidRPr="008B79FF">
        <w:t>ningsmarknaden för att främja en allsidig nyhetsförmedling och opinionsbildning.</w:t>
      </w:r>
    </w:p>
    <w:p w:rsidR="00A80C77" w:rsidRPr="008B79FF" w:rsidRDefault="002B23E9">
      <w:pPr>
        <w:pStyle w:val="Normaltindrag"/>
      </w:pPr>
      <w:r w:rsidRPr="008B79FF">
        <w:t>Erfarenheterna har snarast varit att presstödet i stor omfattning har använts som ett förtäckt partistöd, vilket i praktiken kommit att konservera otidsenliga tidningsstrukturer och olönsamma tidningsprojekt snarare än att öppna för ett nytt utbud och en utveckling av det tryckta ordet. Detta är delvis ett skäl till att särskilt dagstidningsmarknaden drabbats av stagnation och brist på förn</w:t>
      </w:r>
      <w:r w:rsidRPr="008B79FF">
        <w:t>y</w:t>
      </w:r>
      <w:r w:rsidRPr="008B79FF">
        <w:t>else.</w:t>
      </w:r>
    </w:p>
    <w:p w:rsidR="00A80C77" w:rsidRPr="008B79FF" w:rsidRDefault="002B23E9">
      <w:pPr>
        <w:pStyle w:val="Normaltindrag"/>
      </w:pPr>
      <w:r w:rsidRPr="008B79FF">
        <w:t>Presstödet innebär att konkurrensvillkoren gentemot icke presstödstidnin</w:t>
      </w:r>
      <w:r w:rsidRPr="008B79FF">
        <w:t>g</w:t>
      </w:r>
      <w:r w:rsidRPr="008B79FF">
        <w:t>ar snedvrids, vilket kan innebära att också tidningar som uppskattas av läsarna får ekonomiska svårigheter. Det är ett orimligt förhållande. Mot denna ba</w:t>
      </w:r>
      <w:r w:rsidRPr="008B79FF">
        <w:t>k</w:t>
      </w:r>
      <w:r w:rsidRPr="008B79FF">
        <w:t>grund föreslår vi att presst</w:t>
      </w:r>
      <w:r w:rsidRPr="008B79FF">
        <w:t>ö</w:t>
      </w:r>
      <w:r w:rsidRPr="008B79FF">
        <w:t>det successivt avvecklas. För att ur tidningarnas synvinkel underlätta avvecklingen föreslår vi att rekla</w:t>
      </w:r>
      <w:r w:rsidRPr="008B79FF">
        <w:t>m</w:t>
      </w:r>
      <w:r w:rsidRPr="008B79FF">
        <w:t>skatten avskaffas och att en neutral tidningsmoms införs.</w:t>
      </w:r>
    </w:p>
    <w:p w:rsidR="00A80C77" w:rsidRPr="008B79FF" w:rsidRDefault="002B23E9">
      <w:pPr>
        <w:pStyle w:val="Rubrik1"/>
        <w:rPr>
          <w:szCs w:val="19"/>
        </w:rPr>
      </w:pPr>
      <w:bookmarkStart w:id="91" w:name="_Toc51481490"/>
      <w:bookmarkStart w:id="92" w:name="_Toc53211969"/>
      <w:bookmarkStart w:id="93" w:name="_Toc53211997"/>
      <w:bookmarkStart w:id="94" w:name="_Toc53216486"/>
      <w:bookmarkStart w:id="95" w:name="_Toc82761778"/>
      <w:bookmarkStart w:id="96" w:name="_Toc84214184"/>
      <w:bookmarkStart w:id="97" w:name="_Toc115242972"/>
      <w:bookmarkStart w:id="98" w:name="_Toc115246759"/>
      <w:bookmarkStart w:id="99" w:name="_Toc115856281"/>
      <w:bookmarkStart w:id="100" w:name="_Toc116096972"/>
      <w:bookmarkStart w:id="101" w:name="_Toc116096996"/>
      <w:bookmarkEnd w:id="91"/>
      <w:bookmarkEnd w:id="92"/>
      <w:bookmarkEnd w:id="93"/>
      <w:bookmarkEnd w:id="94"/>
      <w:bookmarkEnd w:id="95"/>
      <w:bookmarkEnd w:id="96"/>
      <w:r w:rsidRPr="008B79FF">
        <w:t>Nya medier bidrar till ökad frihet</w:t>
      </w:r>
      <w:bookmarkEnd w:id="97"/>
      <w:bookmarkEnd w:id="98"/>
      <w:bookmarkEnd w:id="99"/>
      <w:bookmarkEnd w:id="100"/>
      <w:bookmarkEnd w:id="101"/>
    </w:p>
    <w:p w:rsidR="00A80C77" w:rsidRPr="008B79FF" w:rsidRDefault="002B23E9">
      <w:r w:rsidRPr="008B79FF">
        <w:t>Den tekniska utvecklingen har inneburit – och kommer att innebära – stora förändringar i mediesamhället. Övergången från analog till digital teknik leder till stora omställningar i fråga om produktion, distribution och lagring. I takt med att bredbandsnät byggs ut kommer alltfler att kunna se tv via bre</w:t>
      </w:r>
      <w:r w:rsidRPr="008B79FF">
        <w:t>d</w:t>
      </w:r>
      <w:r w:rsidRPr="008B79FF">
        <w:t>band. Med Internettekniken blir hundratals, kanske tusentals, kanaler tillgän</w:t>
      </w:r>
      <w:r w:rsidRPr="008B79FF">
        <w:t>g</w:t>
      </w:r>
      <w:r w:rsidRPr="008B79FF">
        <w:t>liga för dem som har bra uppkopplingsmöjligheter.</w:t>
      </w:r>
    </w:p>
    <w:p w:rsidR="00A80C77" w:rsidRPr="008B79FF" w:rsidRDefault="002B23E9">
      <w:pPr>
        <w:pStyle w:val="Normaltindrag"/>
      </w:pPr>
      <w:r w:rsidRPr="008B79FF">
        <w:t>Övergången till digital teknik innebär att tv- och datatjänster kan växa ihop. Det blir mö</w:t>
      </w:r>
      <w:r w:rsidRPr="008B79FF">
        <w:t>j</w:t>
      </w:r>
      <w:r w:rsidRPr="008B79FF">
        <w:t>ligt att med behållning se tv på datorn respektive utnyttja tv-apparaten som pc. Med Internettekniken främjas uppbyggnaden av tillgängl</w:t>
      </w:r>
      <w:r w:rsidRPr="008B79FF">
        <w:t>i</w:t>
      </w:r>
      <w:r w:rsidRPr="008B79FF">
        <w:t>ga programarkiv hos kanalerna. Det innebär att människor själva kan välja vilka program och tjänster de vill hämta hem från de olika kanalerna, när de vill titta på dem och om de vill se dem på datorskärmen eller i tv-rutan.</w:t>
      </w:r>
    </w:p>
    <w:p w:rsidR="00A80C77" w:rsidRPr="008B79FF" w:rsidRDefault="002B23E9">
      <w:pPr>
        <w:pStyle w:val="Normaltindrag"/>
      </w:pPr>
      <w:r w:rsidRPr="008B79FF">
        <w:t>I stället för att välja mellan kanaler och tablåer kommer publiken i ännu högre grad än i dag att välja mellan program inom olika kategorier. Kanalers generella program- och kvalitetsprofiler kommer att betyda mindre medan de enskilda programmens profil och kvalitet kommer att betyda alltmer.</w:t>
      </w:r>
    </w:p>
    <w:p w:rsidR="00A80C77" w:rsidRPr="008B79FF" w:rsidRDefault="002B23E9">
      <w:pPr>
        <w:pStyle w:val="Normaltindrag"/>
      </w:pPr>
      <w:r w:rsidRPr="008B79FF">
        <w:t>Med ny teknik och nya distributionsformer förändrar också affärslogiken. Tidigare handlade det mest om vad som var tekniskt möjligt. Nu handlar det mer om vad publiken eller delar av publiken vill ha och är beredd att betala för. Politikens roll skall därför vara att i största möjliga utsträckning värna den möjlighet till mångfald och valfrihet som följer med den nya tekniken.</w:t>
      </w:r>
    </w:p>
    <w:p w:rsidR="00A80C77" w:rsidRPr="008B79FF" w:rsidRDefault="002B23E9">
      <w:pPr>
        <w:pStyle w:val="Normaltindrag"/>
      </w:pPr>
      <w:r w:rsidRPr="008B79FF">
        <w:t>Utbyggnaden av det digitala marknätet är ett tydligt exempel på hur polit</w:t>
      </w:r>
      <w:r w:rsidRPr="008B79FF">
        <w:t>i</w:t>
      </w:r>
      <w:r w:rsidRPr="008B79FF">
        <w:t>ken i stället för att värna den möjlighet till mångfald som följer av den tekni</w:t>
      </w:r>
      <w:r w:rsidRPr="008B79FF">
        <w:t>s</w:t>
      </w:r>
      <w:r w:rsidRPr="008B79FF">
        <w:t>ka utvecklingen försöker motverka och kontrollera publikens valmöjligheter.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0C77" w:rsidRPr="008B79FF">
        <w:trPr>
          <w:cantSplit/>
        </w:trPr>
        <w:tc>
          <w:tcPr>
            <w:tcW w:w="3046" w:type="dxa"/>
          </w:tcPr>
          <w:p w:rsidR="00A80C77" w:rsidRPr="008B79FF" w:rsidRDefault="002B23E9">
            <w:pPr>
              <w:pStyle w:val="UnderskriftDatum"/>
              <w:spacing w:before="240"/>
            </w:pPr>
            <w:r w:rsidRPr="008B79FF">
              <w:t>Stockholm den 3 oktober 2005</w:t>
            </w:r>
          </w:p>
        </w:tc>
        <w:tc>
          <w:tcPr>
            <w:tcW w:w="3047" w:type="dxa"/>
          </w:tcPr>
          <w:p w:rsidR="00A80C77" w:rsidRPr="008B79FF" w:rsidRDefault="00A80C77">
            <w:pPr>
              <w:pStyle w:val="Underskrifter"/>
              <w:spacing w:before="240"/>
            </w:pPr>
          </w:p>
        </w:tc>
      </w:tr>
      <w:tr w:rsidR="00A80C77" w:rsidRPr="008B79FF">
        <w:trPr>
          <w:cantSplit/>
        </w:trPr>
        <w:tc>
          <w:tcPr>
            <w:tcW w:w="3046" w:type="dxa"/>
          </w:tcPr>
          <w:p w:rsidR="00A80C77" w:rsidRPr="008B79FF" w:rsidRDefault="002B23E9">
            <w:pPr>
              <w:pStyle w:val="Underskrifter"/>
            </w:pPr>
            <w:r w:rsidRPr="008B79FF">
              <w:t>Göran Lennmarker (m)</w:t>
            </w:r>
          </w:p>
        </w:tc>
        <w:tc>
          <w:tcPr>
            <w:tcW w:w="3047" w:type="dxa"/>
          </w:tcPr>
          <w:p w:rsidR="00A80C77" w:rsidRPr="008B79FF" w:rsidRDefault="00A80C77">
            <w:pPr>
              <w:pStyle w:val="Underskrifter"/>
            </w:pPr>
          </w:p>
        </w:tc>
      </w:tr>
      <w:tr w:rsidR="00A80C77" w:rsidRPr="008B79FF">
        <w:trPr>
          <w:cantSplit/>
        </w:trPr>
        <w:tc>
          <w:tcPr>
            <w:tcW w:w="3046" w:type="dxa"/>
          </w:tcPr>
          <w:p w:rsidR="00A80C77" w:rsidRPr="008B79FF" w:rsidRDefault="002B23E9">
            <w:pPr>
              <w:pStyle w:val="Underskrifter"/>
            </w:pPr>
            <w:r w:rsidRPr="008B79FF">
              <w:t>Henrik S Järrel (m)</w:t>
            </w:r>
          </w:p>
        </w:tc>
        <w:tc>
          <w:tcPr>
            <w:tcW w:w="3047" w:type="dxa"/>
          </w:tcPr>
          <w:p w:rsidR="00A80C77" w:rsidRPr="008B79FF" w:rsidRDefault="002B23E9">
            <w:pPr>
              <w:pStyle w:val="Underskrifter"/>
            </w:pPr>
            <w:r w:rsidRPr="008B79FF">
              <w:t>Nils Fredrik Aurelius (m)</w:t>
            </w:r>
          </w:p>
        </w:tc>
      </w:tr>
      <w:tr w:rsidR="00A80C77" w:rsidRPr="008B79FF">
        <w:trPr>
          <w:cantSplit/>
        </w:trPr>
        <w:tc>
          <w:tcPr>
            <w:tcW w:w="3046" w:type="dxa"/>
          </w:tcPr>
          <w:p w:rsidR="00A80C77" w:rsidRPr="008B79FF" w:rsidRDefault="002B23E9">
            <w:pPr>
              <w:pStyle w:val="Underskrifter"/>
            </w:pPr>
            <w:r w:rsidRPr="008B79FF">
              <w:t>Carl-Erik Skårman (m)</w:t>
            </w:r>
          </w:p>
        </w:tc>
        <w:tc>
          <w:tcPr>
            <w:tcW w:w="3047" w:type="dxa"/>
          </w:tcPr>
          <w:p w:rsidR="00A80C77" w:rsidRPr="008B79FF" w:rsidRDefault="002B23E9">
            <w:pPr>
              <w:pStyle w:val="Underskrifter"/>
            </w:pPr>
            <w:r w:rsidRPr="008B79FF">
              <w:t>Cecilia Magnusson (m)</w:t>
            </w:r>
          </w:p>
        </w:tc>
      </w:tr>
      <w:tr w:rsidR="00A80C77" w:rsidRPr="008B79FF">
        <w:trPr>
          <w:cantSplit/>
        </w:trPr>
        <w:tc>
          <w:tcPr>
            <w:tcW w:w="3046" w:type="dxa"/>
          </w:tcPr>
          <w:p w:rsidR="00A80C77" w:rsidRPr="008B79FF" w:rsidRDefault="002B23E9">
            <w:pPr>
              <w:pStyle w:val="Underskrifter"/>
            </w:pPr>
            <w:r w:rsidRPr="008B79FF">
              <w:t>Henrik von Sydow (m)</w:t>
            </w:r>
          </w:p>
        </w:tc>
        <w:tc>
          <w:tcPr>
            <w:tcW w:w="3047" w:type="dxa"/>
          </w:tcPr>
          <w:p w:rsidR="00A80C77" w:rsidRPr="008B79FF" w:rsidRDefault="00A80C77">
            <w:pPr>
              <w:pStyle w:val="Underskrifter"/>
            </w:pPr>
          </w:p>
        </w:tc>
      </w:tr>
    </w:tbl>
    <w:p w:rsidR="00A80C77" w:rsidRPr="008B79FF" w:rsidRDefault="00A80C77">
      <w:pPr>
        <w:pStyle w:val="Normaltindrag"/>
      </w:pPr>
    </w:p>
    <w:sectPr w:rsidR="00A80C77" w:rsidRPr="008B79FF" w:rsidSect="00A80C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BFB" w:rsidRPr="008B79FF" w:rsidRDefault="007D3BFB">
      <w:r w:rsidRPr="008B79FF">
        <w:separator/>
      </w:r>
    </w:p>
  </w:endnote>
  <w:endnote w:type="continuationSeparator" w:id="0">
    <w:p w:rsidR="007D3BFB" w:rsidRPr="008B79FF" w:rsidRDefault="007D3BFB">
      <w:r w:rsidRPr="008B7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8B" w:rsidRPr="008B79FF" w:rsidRDefault="008B79FF">
    <w:pPr>
      <w:pStyle w:val="Sidfot"/>
    </w:pPr>
    <w:r w:rsidRPr="008B79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2073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8B" w:rsidRDefault="008A478B">
                          <w:pPr>
                            <w:pStyle w:val="NormalS5sidnrV"/>
                          </w:pPr>
                          <w:r>
                            <w:fldChar w:fldCharType="begin"/>
                          </w:r>
                          <w:r>
                            <w:instrText xml:space="preserve"> PAGE *\charformat</w:instrText>
                          </w:r>
                          <w:r>
                            <w:fldChar w:fldCharType="separate"/>
                          </w:r>
                          <w:r w:rsidR="00A8789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78B" w:rsidRDefault="008A478B">
                    <w:pPr>
                      <w:pStyle w:val="NormalS5sidnrV"/>
                    </w:pPr>
                    <w:r>
                      <w:fldChar w:fldCharType="begin"/>
                    </w:r>
                    <w:r>
                      <w:instrText xml:space="preserve"> PAGE *\charformat</w:instrText>
                    </w:r>
                    <w:r>
                      <w:fldChar w:fldCharType="separate"/>
                    </w:r>
                    <w:r w:rsidR="00A8789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8B" w:rsidRPr="008B79FF" w:rsidRDefault="008B79FF">
    <w:pPr>
      <w:pStyle w:val="Sidfot"/>
    </w:pPr>
    <w:r w:rsidRPr="008B79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643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8B" w:rsidRDefault="008A478B">
                          <w:pPr>
                            <w:pStyle w:val="NormalS5sidnrH"/>
                            <w:ind w:right="0"/>
                          </w:pPr>
                          <w:r>
                            <w:fldChar w:fldCharType="begin"/>
                          </w:r>
                          <w:r>
                            <w:instrText xml:space="preserve"> PAGE *\charformat</w:instrText>
                          </w:r>
                          <w:r>
                            <w:fldChar w:fldCharType="separate"/>
                          </w:r>
                          <w:r w:rsidR="00A87898">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78B" w:rsidRDefault="008A478B">
                    <w:pPr>
                      <w:pStyle w:val="NormalS5sidnrH"/>
                      <w:ind w:right="0"/>
                    </w:pPr>
                    <w:r>
                      <w:fldChar w:fldCharType="begin"/>
                    </w:r>
                    <w:r>
                      <w:instrText xml:space="preserve"> PAGE *\charformat</w:instrText>
                    </w:r>
                    <w:r>
                      <w:fldChar w:fldCharType="separate"/>
                    </w:r>
                    <w:r w:rsidR="00A87898">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8B" w:rsidRPr="008B79FF" w:rsidRDefault="008B79FF">
    <w:pPr>
      <w:pStyle w:val="Sidfot"/>
    </w:pPr>
    <w:r w:rsidRPr="008B79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851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8B" w:rsidRDefault="008A478B">
                          <w:pPr>
                            <w:pStyle w:val="NormalS5sidnrH"/>
                            <w:ind w:right="0"/>
                          </w:pPr>
                          <w:r>
                            <w:fldChar w:fldCharType="begin"/>
                          </w:r>
                          <w:r>
                            <w:instrText xml:space="preserve"> PAGE *\charformat</w:instrText>
                          </w:r>
                          <w:r>
                            <w:fldChar w:fldCharType="separate"/>
                          </w:r>
                          <w:r w:rsidR="00A878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78B" w:rsidRDefault="008A478B">
                    <w:pPr>
                      <w:pStyle w:val="NormalS5sidnrH"/>
                      <w:ind w:right="0"/>
                    </w:pPr>
                    <w:r>
                      <w:fldChar w:fldCharType="begin"/>
                    </w:r>
                    <w:r>
                      <w:instrText xml:space="preserve"> PAGE *\charformat</w:instrText>
                    </w:r>
                    <w:r>
                      <w:fldChar w:fldCharType="separate"/>
                    </w:r>
                    <w:r w:rsidR="00A8789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BFB" w:rsidRPr="008B79FF" w:rsidRDefault="007D3BFB">
      <w:r w:rsidRPr="008B79FF">
        <w:separator/>
      </w:r>
    </w:p>
  </w:footnote>
  <w:footnote w:type="continuationSeparator" w:id="0">
    <w:p w:rsidR="007D3BFB" w:rsidRPr="008B79FF" w:rsidRDefault="007D3BFB">
      <w:r w:rsidRPr="008B79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8B" w:rsidRPr="008B79FF" w:rsidRDefault="008B79FF">
    <w:pPr>
      <w:pStyle w:val="Sidhuvud"/>
    </w:pPr>
    <w:r w:rsidRPr="008B79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239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8B" w:rsidRDefault="008A478B">
                          <w:pPr>
                            <w:pStyle w:val="KantRubrikS5V"/>
                          </w:pPr>
                          <w:r>
                            <w:fldChar w:fldCharType="begin"/>
                          </w:r>
                          <w:r>
                            <w:instrText xml:space="preserve"> DOCPROPERTY "YearUser" *\charformat </w:instrText>
                          </w:r>
                          <w:r>
                            <w:fldChar w:fldCharType="separate"/>
                          </w:r>
                          <w:r w:rsidR="00A87898">
                            <w:t>2005/06</w:t>
                          </w:r>
                          <w:r>
                            <w:fldChar w:fldCharType="end"/>
                          </w:r>
                          <w:r>
                            <w:t>:</w:t>
                          </w:r>
                          <w:r>
                            <w:fldChar w:fldCharType="begin"/>
                          </w:r>
                          <w:r>
                            <w:instrText xml:space="preserve"> DOCPROPERTY "Motionsnummer" *\charformat </w:instrText>
                          </w:r>
                          <w:r>
                            <w:fldChar w:fldCharType="separate"/>
                          </w:r>
                          <w:r w:rsidR="00A87898">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78B" w:rsidRDefault="008A478B">
                    <w:pPr>
                      <w:pStyle w:val="KantRubrikS5V"/>
                    </w:pPr>
                    <w:r>
                      <w:fldChar w:fldCharType="begin"/>
                    </w:r>
                    <w:r>
                      <w:instrText xml:space="preserve"> DOCPROPERTY "YearUser" *\charformat </w:instrText>
                    </w:r>
                    <w:r>
                      <w:fldChar w:fldCharType="separate"/>
                    </w:r>
                    <w:r w:rsidR="00A87898">
                      <w:t>2005/06</w:t>
                    </w:r>
                    <w:r>
                      <w:fldChar w:fldCharType="end"/>
                    </w:r>
                    <w:r>
                      <w:t>:</w:t>
                    </w:r>
                    <w:r>
                      <w:fldChar w:fldCharType="begin"/>
                    </w:r>
                    <w:r>
                      <w:instrText xml:space="preserve"> DOCPROPERTY "Motionsnummer" *\charformat </w:instrText>
                    </w:r>
                    <w:r>
                      <w:fldChar w:fldCharType="separate"/>
                    </w:r>
                    <w:r w:rsidR="00A87898">
                      <w:t>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8B" w:rsidRPr="008B79FF" w:rsidRDefault="008B79FF">
    <w:pPr>
      <w:pStyle w:val="Sidhuvud"/>
    </w:pPr>
    <w:r w:rsidRPr="008B79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275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8B" w:rsidRDefault="008A478B">
                          <w:pPr>
                            <w:pStyle w:val="KantRubrikS5H"/>
                            <w:ind w:right="0"/>
                          </w:pPr>
                          <w:r>
                            <w:fldChar w:fldCharType="begin"/>
                          </w:r>
                          <w:r>
                            <w:instrText xml:space="preserve"> DOCPROPERTY "YearUser" *\charformat </w:instrText>
                          </w:r>
                          <w:r>
                            <w:fldChar w:fldCharType="separate"/>
                          </w:r>
                          <w:r w:rsidR="00A87898">
                            <w:t>2005/06</w:t>
                          </w:r>
                          <w:r>
                            <w:fldChar w:fldCharType="end"/>
                          </w:r>
                          <w:r>
                            <w:t>:</w:t>
                          </w:r>
                          <w:r>
                            <w:fldChar w:fldCharType="begin"/>
                          </w:r>
                          <w:r>
                            <w:instrText xml:space="preserve"> DOCPROPERTY "Motionsnummer" *\charformat </w:instrText>
                          </w:r>
                          <w:r>
                            <w:fldChar w:fldCharType="separate"/>
                          </w:r>
                          <w:r w:rsidR="00A87898">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78B" w:rsidRDefault="008A478B">
                    <w:pPr>
                      <w:pStyle w:val="KantRubrikS5H"/>
                      <w:ind w:right="0"/>
                    </w:pPr>
                    <w:r>
                      <w:fldChar w:fldCharType="begin"/>
                    </w:r>
                    <w:r>
                      <w:instrText xml:space="preserve"> DOCPROPERTY "YearUser" *\charformat </w:instrText>
                    </w:r>
                    <w:r>
                      <w:fldChar w:fldCharType="separate"/>
                    </w:r>
                    <w:r w:rsidR="00A87898">
                      <w:t>2005/06</w:t>
                    </w:r>
                    <w:r>
                      <w:fldChar w:fldCharType="end"/>
                    </w:r>
                    <w:r>
                      <w:t>:</w:t>
                    </w:r>
                    <w:r>
                      <w:fldChar w:fldCharType="begin"/>
                    </w:r>
                    <w:r>
                      <w:instrText xml:space="preserve"> DOCPROPERTY "Motionsnummer" *\charformat </w:instrText>
                    </w:r>
                    <w:r>
                      <w:fldChar w:fldCharType="separate"/>
                    </w:r>
                    <w:r w:rsidR="00A87898">
                      <w:t>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78B" w:rsidRPr="008B79FF" w:rsidRDefault="008A478B">
    <w:pPr>
      <w:pStyle w:val="FSHNormal"/>
      <w:tabs>
        <w:tab w:val="right" w:pos="5840"/>
      </w:tabs>
    </w:pPr>
    <w:r w:rsidRPr="008B79FF">
      <w:br/>
    </w:r>
    <w:r w:rsidRPr="008B79FF">
      <w:fldChar w:fldCharType="begin" w:fldLock="1"/>
    </w:r>
    <w:r w:rsidRPr="008B79FF">
      <w:instrText xml:space="preserve"> DOCPROPERTY</w:instrText>
    </w:r>
    <w:r w:rsidRPr="008B79FF">
      <w:rPr>
        <w:sz w:val="18"/>
      </w:rPr>
      <w:instrText xml:space="preserve"> "YearUser" *\charformat </w:instrText>
    </w:r>
    <w:r w:rsidRPr="008B79FF">
      <w:fldChar w:fldCharType="separate"/>
    </w:r>
    <w:r w:rsidR="00A87898" w:rsidRPr="008B79FF">
      <w:t>2005/06</w:t>
    </w:r>
    <w:r w:rsidRPr="008B79FF">
      <w:fldChar w:fldCharType="end"/>
    </w:r>
    <w:r w:rsidRPr="008B79FF">
      <w:t xml:space="preserve"> </w:t>
    </w:r>
    <w:r w:rsidRPr="008B79FF">
      <w:tab/>
      <w:t xml:space="preserve">mnr: </w:t>
    </w:r>
    <w:r w:rsidRPr="008B79FF">
      <w:fldChar w:fldCharType="begin" w:fldLock="1"/>
    </w:r>
    <w:r w:rsidRPr="008B79FF">
      <w:instrText xml:space="preserve"> DOCPROPERTY</w:instrText>
    </w:r>
    <w:r w:rsidRPr="008B79FF">
      <w:rPr>
        <w:sz w:val="18"/>
      </w:rPr>
      <w:instrText xml:space="preserve"> "Motionsnummer" *\charformat </w:instrText>
    </w:r>
    <w:r w:rsidRPr="008B79FF">
      <w:fldChar w:fldCharType="separate"/>
    </w:r>
    <w:r w:rsidR="00A87898" w:rsidRPr="008B79FF">
      <w:t>K340</w:t>
    </w:r>
    <w:r w:rsidRPr="008B79FF">
      <w:fldChar w:fldCharType="end"/>
    </w:r>
    <w:r w:rsidRPr="008B79FF">
      <w:br/>
    </w:r>
    <w:r w:rsidRPr="008B79FF">
      <w:fldChar w:fldCharType="begin" w:fldLock="1"/>
    </w:r>
    <w:r w:rsidRPr="008B79FF">
      <w:instrText xml:space="preserve"> DOCPROPERTY</w:instrText>
    </w:r>
    <w:r w:rsidRPr="008B79FF">
      <w:rPr>
        <w:sz w:val="18"/>
      </w:rPr>
      <w:instrText xml:space="preserve"> "Samling" *\charformat </w:instrText>
    </w:r>
    <w:r w:rsidRPr="008B79FF">
      <w:fldChar w:fldCharType="end"/>
    </w:r>
    <w:r w:rsidRPr="008B79FF">
      <w:tab/>
      <w:t xml:space="preserve">pnr: </w:t>
    </w:r>
    <w:r w:rsidRPr="008B79FF">
      <w:fldChar w:fldCharType="begin" w:fldLock="1"/>
    </w:r>
    <w:r w:rsidRPr="008B79FF">
      <w:instrText xml:space="preserve"> DOCPROPERTY</w:instrText>
    </w:r>
    <w:r w:rsidRPr="008B79FF">
      <w:rPr>
        <w:sz w:val="18"/>
      </w:rPr>
      <w:instrText xml:space="preserve"> "Partinummer" *\charformat </w:instrText>
    </w:r>
    <w:r w:rsidRPr="008B79FF">
      <w:fldChar w:fldCharType="separate"/>
    </w:r>
    <w:r w:rsidR="00A87898" w:rsidRPr="008B79FF">
      <w:t>m117</w:t>
    </w:r>
    <w:r w:rsidRPr="008B79FF">
      <w:fldChar w:fldCharType="end"/>
    </w:r>
  </w:p>
  <w:p w:rsidR="008A478B" w:rsidRPr="008B79FF" w:rsidRDefault="008A478B">
    <w:pPr>
      <w:pStyle w:val="FSHRub1"/>
    </w:pPr>
    <w:r w:rsidRPr="008B79FF">
      <w:t>Motion till riksdagen</w:t>
    </w:r>
    <w:r w:rsidRPr="008B79FF">
      <w:br/>
    </w:r>
    <w:r w:rsidRPr="008B79FF">
      <w:fldChar w:fldCharType="begin" w:fldLock="1"/>
    </w:r>
    <w:r w:rsidRPr="008B79FF">
      <w:instrText xml:space="preserve"> DOCPROPERTY "YearUser" *\charformat </w:instrText>
    </w:r>
    <w:r w:rsidRPr="008B79FF">
      <w:fldChar w:fldCharType="separate"/>
    </w:r>
    <w:r w:rsidR="00A87898" w:rsidRPr="008B79FF">
      <w:t>2005/06</w:t>
    </w:r>
    <w:r w:rsidRPr="008B79FF">
      <w:fldChar w:fldCharType="end"/>
    </w:r>
    <w:r w:rsidRPr="008B79FF">
      <w:t>:</w:t>
    </w:r>
    <w:r w:rsidRPr="008B79FF">
      <w:fldChar w:fldCharType="begin" w:fldLock="1"/>
    </w:r>
    <w:r w:rsidRPr="008B79FF">
      <w:instrText xml:space="preserve"> DOCPROPERTY "Motionsnummer" *\charformat </w:instrText>
    </w:r>
    <w:r w:rsidRPr="008B79FF">
      <w:fldChar w:fldCharType="separate"/>
    </w:r>
    <w:r w:rsidR="00A87898" w:rsidRPr="008B79FF">
      <w:t>K340</w:t>
    </w:r>
    <w:r w:rsidRPr="008B79FF">
      <w:fldChar w:fldCharType="end"/>
    </w:r>
  </w:p>
  <w:p w:rsidR="008A478B" w:rsidRPr="008B79FF" w:rsidRDefault="008A478B">
    <w:pPr>
      <w:pStyle w:val="FSHNormalS5"/>
    </w:pPr>
    <w:r w:rsidRPr="008B79FF">
      <w:fldChar w:fldCharType="begin" w:fldLock="1"/>
    </w:r>
    <w:r w:rsidRPr="008B79FF">
      <w:instrText xml:space="preserve"> DOCPROPERTY "MotionarText" *\charformat </w:instrText>
    </w:r>
    <w:r w:rsidRPr="008B79FF">
      <w:fldChar w:fldCharType="separate"/>
    </w:r>
    <w:r w:rsidR="00A87898" w:rsidRPr="008B79FF">
      <w:t>av Göran Lennmarker m.fl. (m)</w:t>
    </w:r>
    <w:r w:rsidRPr="008B79FF">
      <w:fldChar w:fldCharType="end"/>
    </w:r>
    <w:r w:rsidRPr="008B79FF">
      <w:br/>
    </w:r>
    <w:r w:rsidRPr="008B79FF">
      <w:fldChar w:fldCharType="begin" w:fldLock="1"/>
    </w:r>
    <w:r w:rsidRPr="008B79FF">
      <w:instrText xml:space="preserve"> DOCPROPERTY "SvarFrasKort" *\charformat </w:instrText>
    </w:r>
    <w:r w:rsidRPr="008B79FF">
      <w:fldChar w:fldCharType="end"/>
    </w:r>
  </w:p>
  <w:p w:rsidR="008A478B" w:rsidRPr="008B79FF" w:rsidRDefault="008A478B">
    <w:pPr>
      <w:pStyle w:val="FSHTitel"/>
    </w:pPr>
    <w:r w:rsidRPr="008B79FF">
      <w:fldChar w:fldCharType="begin" w:fldLock="1"/>
    </w:r>
    <w:r w:rsidRPr="008B79FF">
      <w:instrText xml:space="preserve"> DOCPROPERTY</w:instrText>
    </w:r>
    <w:r w:rsidRPr="008B79FF">
      <w:rPr>
        <w:sz w:val="18"/>
      </w:rPr>
      <w:instrText xml:space="preserve"> "RubrikSvar" *\charformat </w:instrText>
    </w:r>
    <w:r w:rsidRPr="008B79FF">
      <w:fldChar w:fldCharType="separate"/>
    </w:r>
    <w:r w:rsidR="00A87898" w:rsidRPr="008B79FF">
      <w:t>Medier</w:t>
    </w:r>
    <w:r w:rsidRPr="008B79FF">
      <w:fldChar w:fldCharType="end"/>
    </w:r>
  </w:p>
  <w:p w:rsidR="008A478B" w:rsidRPr="008B79FF" w:rsidRDefault="008A478B">
    <w:pPr>
      <w:pStyle w:val="Normal00"/>
      <w:rPr>
        <w:i/>
      </w:rPr>
    </w:pPr>
    <w:r w:rsidRPr="008B79F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084CDA"/>
    <w:multiLevelType w:val="multilevel"/>
    <w:tmpl w:val="F0C693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D53CE526"/>
    <w:lvl w:ilvl="0" w:tplc="925A30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0078316">
    <w:abstractNumId w:val="14"/>
  </w:num>
  <w:num w:numId="2" w16cid:durableId="1446198283">
    <w:abstractNumId w:val="10"/>
  </w:num>
  <w:num w:numId="3" w16cid:durableId="795952473">
    <w:abstractNumId w:val="11"/>
  </w:num>
  <w:num w:numId="4" w16cid:durableId="627711440">
    <w:abstractNumId w:val="12"/>
  </w:num>
  <w:num w:numId="5" w16cid:durableId="1986157956">
    <w:abstractNumId w:val="8"/>
  </w:num>
  <w:num w:numId="6" w16cid:durableId="1208642611">
    <w:abstractNumId w:val="3"/>
  </w:num>
  <w:num w:numId="7" w16cid:durableId="1069110707">
    <w:abstractNumId w:val="2"/>
  </w:num>
  <w:num w:numId="8" w16cid:durableId="147937327">
    <w:abstractNumId w:val="1"/>
  </w:num>
  <w:num w:numId="9" w16cid:durableId="1088893628">
    <w:abstractNumId w:val="0"/>
  </w:num>
  <w:num w:numId="10" w16cid:durableId="141971651">
    <w:abstractNumId w:val="9"/>
  </w:num>
  <w:num w:numId="11" w16cid:durableId="420223398">
    <w:abstractNumId w:val="7"/>
  </w:num>
  <w:num w:numId="12" w16cid:durableId="646403478">
    <w:abstractNumId w:val="6"/>
  </w:num>
  <w:num w:numId="13" w16cid:durableId="492380411">
    <w:abstractNumId w:val="5"/>
  </w:num>
  <w:num w:numId="14" w16cid:durableId="2100520827">
    <w:abstractNumId w:val="4"/>
  </w:num>
  <w:num w:numId="15" w16cid:durableId="817502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A80C77"/>
    <w:rsid w:val="002B23E9"/>
    <w:rsid w:val="005C750B"/>
    <w:rsid w:val="00676E73"/>
    <w:rsid w:val="007D3BFB"/>
    <w:rsid w:val="008A478B"/>
    <w:rsid w:val="008B79FF"/>
    <w:rsid w:val="00A80C77"/>
    <w:rsid w:val="00A87898"/>
    <w:rsid w:val="00DB05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181A89-337D-4A95-832D-A0FAF38E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80C77"/>
    <w:pPr>
      <w:spacing w:before="125" w:line="250" w:lineRule="atLeast"/>
      <w:jc w:val="both"/>
    </w:pPr>
    <w:rPr>
      <w:sz w:val="19"/>
      <w:lang w:val="sv-SE" w:eastAsia="sv-SE"/>
    </w:rPr>
  </w:style>
  <w:style w:type="paragraph" w:styleId="Rubrik1">
    <w:name w:val="heading 1"/>
    <w:basedOn w:val="Normal"/>
    <w:next w:val="Normal"/>
    <w:qFormat/>
    <w:rsid w:val="00A80C7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80C77"/>
    <w:pPr>
      <w:spacing w:before="500" w:line="250" w:lineRule="exact"/>
      <w:outlineLvl w:val="1"/>
    </w:pPr>
    <w:rPr>
      <w:sz w:val="27"/>
    </w:rPr>
  </w:style>
  <w:style w:type="paragraph" w:styleId="Rubrik3">
    <w:name w:val="heading 3"/>
    <w:aliases w:val="Mellanrubrik"/>
    <w:basedOn w:val="Rubrik2"/>
    <w:next w:val="Normal"/>
    <w:qFormat/>
    <w:rsid w:val="00A80C77"/>
    <w:pPr>
      <w:spacing w:before="250" w:after="0"/>
      <w:outlineLvl w:val="2"/>
    </w:pPr>
    <w:rPr>
      <w:b/>
      <w:sz w:val="21"/>
    </w:rPr>
  </w:style>
  <w:style w:type="paragraph" w:styleId="Rubrik4">
    <w:name w:val="heading 4"/>
    <w:aliases w:val="KursivRubrik"/>
    <w:basedOn w:val="Rubrik3"/>
    <w:next w:val="Normal"/>
    <w:qFormat/>
    <w:rsid w:val="00A80C77"/>
    <w:pPr>
      <w:outlineLvl w:val="3"/>
    </w:pPr>
    <w:rPr>
      <w:b w:val="0"/>
      <w:i/>
    </w:rPr>
  </w:style>
  <w:style w:type="paragraph" w:styleId="Rubrik5">
    <w:name w:val="heading 5"/>
    <w:aliases w:val="PackadFetRubrik,PackadKursivRubrik"/>
    <w:basedOn w:val="Rubrik4"/>
    <w:next w:val="Normal"/>
    <w:qFormat/>
    <w:rsid w:val="00A80C77"/>
    <w:pPr>
      <w:tabs>
        <w:tab w:val="clear" w:pos="1021"/>
      </w:tabs>
      <w:spacing w:before="125"/>
      <w:outlineLvl w:val="4"/>
    </w:pPr>
    <w:rPr>
      <w:i w:val="0"/>
      <w:sz w:val="19"/>
    </w:rPr>
  </w:style>
  <w:style w:type="paragraph" w:styleId="Rubrik6">
    <w:name w:val="heading 6"/>
    <w:basedOn w:val="Rubrik5"/>
    <w:next w:val="Normal"/>
    <w:qFormat/>
    <w:rsid w:val="00A80C77"/>
    <w:pPr>
      <w:spacing w:before="50" w:line="200" w:lineRule="exact"/>
      <w:outlineLvl w:val="5"/>
    </w:pPr>
    <w:rPr>
      <w:caps/>
      <w:sz w:val="14"/>
    </w:rPr>
  </w:style>
  <w:style w:type="paragraph" w:styleId="Rubrik7">
    <w:name w:val="heading 7"/>
    <w:basedOn w:val="Rubrik6"/>
    <w:next w:val="Normal"/>
    <w:qFormat/>
    <w:rsid w:val="00A80C77"/>
    <w:pPr>
      <w:spacing w:before="0"/>
      <w:outlineLvl w:val="6"/>
    </w:pPr>
  </w:style>
  <w:style w:type="paragraph" w:styleId="Rubrik8">
    <w:name w:val="heading 8"/>
    <w:basedOn w:val="Rubrik7"/>
    <w:next w:val="Normal"/>
    <w:qFormat/>
    <w:rsid w:val="00A80C77"/>
    <w:pPr>
      <w:outlineLvl w:val="7"/>
    </w:pPr>
  </w:style>
  <w:style w:type="paragraph" w:styleId="Rubrik9">
    <w:name w:val="heading 9"/>
    <w:basedOn w:val="Rubrik8"/>
    <w:next w:val="Normal"/>
    <w:qFormat/>
    <w:rsid w:val="00A80C7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A80C77"/>
    <w:pPr>
      <w:spacing w:line="200" w:lineRule="exact"/>
      <w:ind w:left="340"/>
    </w:pPr>
  </w:style>
  <w:style w:type="paragraph" w:customStyle="1" w:styleId="Citatindrag">
    <w:name w:val="Citat_indrag"/>
    <w:aliases w:val="Packad"/>
    <w:basedOn w:val="Citat"/>
    <w:rsid w:val="00A80C77"/>
    <w:pPr>
      <w:spacing w:before="0"/>
      <w:ind w:firstLine="227"/>
    </w:pPr>
  </w:style>
  <w:style w:type="paragraph" w:customStyle="1" w:styleId="FSHNormal">
    <w:name w:val="FSH_Normal"/>
    <w:semiHidden/>
    <w:rsid w:val="00A80C7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80C77"/>
    <w:pPr>
      <w:spacing w:line="240" w:lineRule="auto"/>
    </w:pPr>
  </w:style>
  <w:style w:type="paragraph" w:customStyle="1" w:styleId="FSHNormalS5">
    <w:name w:val="FSH_NormalS5"/>
    <w:basedOn w:val="FSHNormal"/>
    <w:next w:val="FSHNormal"/>
    <w:semiHidden/>
    <w:rsid w:val="00A80C77"/>
    <w:pPr>
      <w:keepNext/>
      <w:keepLines/>
      <w:widowControl/>
      <w:spacing w:before="230" w:after="520" w:line="250" w:lineRule="exact"/>
    </w:pPr>
    <w:rPr>
      <w:b/>
      <w:sz w:val="27"/>
    </w:rPr>
  </w:style>
  <w:style w:type="paragraph" w:customStyle="1" w:styleId="FSHNormL">
    <w:name w:val="FSH_NormLÖ"/>
    <w:basedOn w:val="FSHNormal"/>
    <w:next w:val="FSHNormal"/>
    <w:semiHidden/>
    <w:rsid w:val="00A80C77"/>
    <w:pPr>
      <w:pBdr>
        <w:top w:val="single" w:sz="12" w:space="1" w:color="auto"/>
      </w:pBdr>
    </w:pPr>
  </w:style>
  <w:style w:type="paragraph" w:customStyle="1" w:styleId="FSHRub1">
    <w:name w:val="FSH_Rub1"/>
    <w:aliases w:val="Rubrik1_S5,Huvudrubrik"/>
    <w:basedOn w:val="FSHNormal"/>
    <w:next w:val="FSHNormal"/>
    <w:semiHidden/>
    <w:rsid w:val="00A80C7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80C77"/>
    <w:pPr>
      <w:spacing w:before="240" w:after="80" w:line="360" w:lineRule="exact"/>
    </w:pPr>
    <w:rPr>
      <w:sz w:val="36"/>
    </w:rPr>
  </w:style>
  <w:style w:type="paragraph" w:customStyle="1" w:styleId="FSHTitel">
    <w:name w:val="FSH_Titel"/>
    <w:aliases w:val="Dokumentrubrik"/>
    <w:basedOn w:val="FSHRub1"/>
    <w:next w:val="FSHNormal"/>
    <w:semiHidden/>
    <w:rsid w:val="00A80C77"/>
    <w:pPr>
      <w:pBdr>
        <w:bottom w:val="single" w:sz="4" w:space="3" w:color="auto"/>
      </w:pBdr>
      <w:spacing w:before="0" w:after="80" w:line="400" w:lineRule="exact"/>
    </w:pPr>
    <w:rPr>
      <w:sz w:val="40"/>
    </w:rPr>
  </w:style>
  <w:style w:type="paragraph" w:customStyle="1" w:styleId="Hemstlrubrik">
    <w:name w:val="Hemstl_rubrik"/>
    <w:basedOn w:val="Rubrik1"/>
    <w:next w:val="Normal"/>
    <w:rsid w:val="00A80C77"/>
    <w:pPr>
      <w:spacing w:after="250"/>
    </w:pPr>
  </w:style>
  <w:style w:type="paragraph" w:customStyle="1" w:styleId="Hemstlatt">
    <w:name w:val="Hemstl_att"/>
    <w:aliases w:val="HemstPunkt,HemstPunktFlera,HemställansPunkt,Förslagstext"/>
    <w:basedOn w:val="Normal"/>
    <w:next w:val="Normal"/>
    <w:rsid w:val="00A80C77"/>
    <w:pPr>
      <w:keepLines/>
      <w:numPr>
        <w:numId w:val="1"/>
      </w:numPr>
      <w:spacing w:before="0"/>
    </w:pPr>
  </w:style>
  <w:style w:type="paragraph" w:customStyle="1" w:styleId="KantRubrikS5H">
    <w:name w:val="KantRubrikS5H"/>
    <w:semiHidden/>
    <w:rsid w:val="00A80C7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80C77"/>
    <w:pPr>
      <w:spacing w:line="200" w:lineRule="exact"/>
    </w:pPr>
  </w:style>
  <w:style w:type="paragraph" w:customStyle="1" w:styleId="KantRubrikS5V">
    <w:name w:val="KantRubrikS5V"/>
    <w:basedOn w:val="KantRubrikS5H"/>
    <w:semiHidden/>
    <w:rsid w:val="00A80C77"/>
    <w:pPr>
      <w:tabs>
        <w:tab w:val="right" w:pos="1814"/>
        <w:tab w:val="left" w:pos="1899"/>
      </w:tabs>
      <w:ind w:right="0"/>
      <w:jc w:val="left"/>
    </w:pPr>
  </w:style>
  <w:style w:type="paragraph" w:customStyle="1" w:styleId="KantRubrikS5Vrad2">
    <w:name w:val="KantRubrikS5Vrad2"/>
    <w:basedOn w:val="KantRubrikS5V"/>
    <w:semiHidden/>
    <w:rsid w:val="00A80C77"/>
    <w:pPr>
      <w:tabs>
        <w:tab w:val="clear" w:pos="1814"/>
        <w:tab w:val="clear" w:pos="1899"/>
        <w:tab w:val="right" w:pos="1418"/>
        <w:tab w:val="left" w:pos="1503"/>
      </w:tabs>
    </w:pPr>
  </w:style>
  <w:style w:type="paragraph" w:customStyle="1" w:styleId="Lagtext">
    <w:name w:val="Lagtext"/>
    <w:basedOn w:val="Normal"/>
    <w:next w:val="Normal"/>
    <w:rsid w:val="00A80C77"/>
    <w:pPr>
      <w:suppressAutoHyphens/>
      <w:spacing w:before="0" w:line="220" w:lineRule="exact"/>
    </w:pPr>
    <w:rPr>
      <w:i/>
    </w:rPr>
  </w:style>
  <w:style w:type="paragraph" w:customStyle="1" w:styleId="Lagtextindrag">
    <w:name w:val="Lagtext_indrag"/>
    <w:basedOn w:val="Lagtext"/>
    <w:rsid w:val="00A80C77"/>
    <w:pPr>
      <w:ind w:firstLine="170"/>
    </w:pPr>
  </w:style>
  <w:style w:type="paragraph" w:customStyle="1" w:styleId="Lagtextrubrik">
    <w:name w:val="Lagtext_rubrik"/>
    <w:basedOn w:val="Normal"/>
    <w:next w:val="Normal"/>
    <w:rsid w:val="00A80C77"/>
    <w:pPr>
      <w:suppressAutoHyphens/>
      <w:spacing w:line="220" w:lineRule="exact"/>
    </w:pPr>
    <w:rPr>
      <w:i/>
      <w:sz w:val="21"/>
    </w:rPr>
  </w:style>
  <w:style w:type="paragraph" w:styleId="Normaltindrag">
    <w:name w:val="Normal Indent"/>
    <w:aliases w:val="Normal_indrag,Normal Indrag"/>
    <w:basedOn w:val="Normal"/>
    <w:rsid w:val="00A80C77"/>
    <w:pPr>
      <w:spacing w:before="0"/>
      <w:ind w:firstLine="227"/>
    </w:pPr>
  </w:style>
  <w:style w:type="paragraph" w:customStyle="1" w:styleId="NormalA4fot">
    <w:name w:val="Normal_A4fot"/>
    <w:basedOn w:val="Normal"/>
    <w:semiHidden/>
    <w:rsid w:val="00A80C77"/>
    <w:pPr>
      <w:spacing w:before="240" w:line="240" w:lineRule="auto"/>
      <w:jc w:val="center"/>
    </w:pPr>
  </w:style>
  <w:style w:type="paragraph" w:customStyle="1" w:styleId="NormalA4sidnr">
    <w:name w:val="Normal_A4sidnr"/>
    <w:basedOn w:val="Normal"/>
    <w:semiHidden/>
    <w:rsid w:val="00A80C77"/>
    <w:pPr>
      <w:spacing w:after="240"/>
      <w:jc w:val="center"/>
    </w:pPr>
  </w:style>
  <w:style w:type="paragraph" w:customStyle="1" w:styleId="NormalS5sidnrH">
    <w:name w:val="Normal_S5sidnrH"/>
    <w:basedOn w:val="Normal"/>
    <w:semiHidden/>
    <w:rsid w:val="00A80C77"/>
    <w:pPr>
      <w:spacing w:before="0" w:line="240" w:lineRule="auto"/>
      <w:ind w:right="57"/>
      <w:jc w:val="right"/>
    </w:pPr>
  </w:style>
  <w:style w:type="paragraph" w:customStyle="1" w:styleId="NormalS5sidnrV">
    <w:name w:val="Normal_S5sidnrV"/>
    <w:basedOn w:val="NormalS5sidnrH"/>
    <w:semiHidden/>
    <w:rsid w:val="00A80C77"/>
    <w:pPr>
      <w:tabs>
        <w:tab w:val="right" w:pos="1814"/>
        <w:tab w:val="left" w:pos="1899"/>
      </w:tabs>
      <w:ind w:right="0"/>
      <w:jc w:val="left"/>
    </w:pPr>
  </w:style>
  <w:style w:type="paragraph" w:customStyle="1" w:styleId="Normal00">
    <w:name w:val="Normal00"/>
    <w:basedOn w:val="Normal"/>
    <w:semiHidden/>
    <w:rsid w:val="00A80C77"/>
    <w:pPr>
      <w:spacing w:before="0" w:line="240" w:lineRule="auto"/>
      <w:jc w:val="left"/>
    </w:pPr>
  </w:style>
  <w:style w:type="paragraph" w:customStyle="1" w:styleId="PunktlistaBomb">
    <w:name w:val="Punktlista_Bomb"/>
    <w:aliases w:val="Bomb"/>
    <w:basedOn w:val="Normal"/>
    <w:rsid w:val="00A80C77"/>
    <w:pPr>
      <w:numPr>
        <w:numId w:val="2"/>
      </w:numPr>
    </w:pPr>
  </w:style>
  <w:style w:type="paragraph" w:customStyle="1" w:styleId="PunktlistaNummer">
    <w:name w:val="Punktlista_Nummer"/>
    <w:aliases w:val="Nummerlista"/>
    <w:basedOn w:val="Normal"/>
    <w:rsid w:val="00A80C77"/>
    <w:pPr>
      <w:numPr>
        <w:numId w:val="3"/>
      </w:numPr>
    </w:pPr>
  </w:style>
  <w:style w:type="paragraph" w:customStyle="1" w:styleId="PunktlistaTankstreck">
    <w:name w:val="Punktlista_Tankstreck"/>
    <w:aliases w:val="Tankstreck"/>
    <w:basedOn w:val="Normal"/>
    <w:rsid w:val="00A80C77"/>
    <w:pPr>
      <w:numPr>
        <w:numId w:val="4"/>
      </w:numPr>
    </w:pPr>
  </w:style>
  <w:style w:type="paragraph" w:customStyle="1" w:styleId="RubrikSammanf">
    <w:name w:val="RubrikSammanf"/>
    <w:basedOn w:val="Rubrik1"/>
    <w:next w:val="Normal"/>
    <w:rsid w:val="00A80C77"/>
  </w:style>
  <w:style w:type="paragraph" w:customStyle="1" w:styleId="RubrikInnehllsf">
    <w:name w:val="RubrikInnehållsf"/>
    <w:basedOn w:val="RubrikSammanf"/>
    <w:next w:val="Normal"/>
    <w:rsid w:val="00A80C77"/>
  </w:style>
  <w:style w:type="paragraph" w:customStyle="1" w:styleId="Tabellochbildrubrik">
    <w:name w:val="Tabell och bildrubrik"/>
    <w:basedOn w:val="Normal"/>
    <w:next w:val="Normal"/>
    <w:rsid w:val="00A80C77"/>
    <w:pPr>
      <w:suppressAutoHyphens/>
      <w:spacing w:before="300" w:line="200" w:lineRule="exact"/>
      <w:jc w:val="left"/>
    </w:pPr>
    <w:rPr>
      <w:caps/>
      <w:sz w:val="14"/>
    </w:rPr>
  </w:style>
  <w:style w:type="paragraph" w:customStyle="1" w:styleId="Underskrifter">
    <w:name w:val="Underskrifter"/>
    <w:basedOn w:val="Normal"/>
    <w:rsid w:val="00A80C77"/>
    <w:pPr>
      <w:keepNext/>
      <w:keepLines/>
      <w:suppressAutoHyphens/>
      <w:spacing w:before="0" w:after="40" w:line="250" w:lineRule="exact"/>
    </w:pPr>
    <w:rPr>
      <w:i/>
    </w:rPr>
  </w:style>
  <w:style w:type="paragraph" w:customStyle="1" w:styleId="UnderskriftDatum">
    <w:name w:val="UnderskriftDatum"/>
    <w:basedOn w:val="Underskrifter"/>
    <w:next w:val="Underskrifter"/>
    <w:rsid w:val="00A80C77"/>
    <w:pPr>
      <w:spacing w:before="250" w:after="125"/>
    </w:pPr>
    <w:rPr>
      <w:i w:val="0"/>
    </w:rPr>
  </w:style>
  <w:style w:type="paragraph" w:styleId="Sidhuvud">
    <w:name w:val="header"/>
    <w:basedOn w:val="Normal"/>
    <w:semiHidden/>
    <w:rsid w:val="00A80C77"/>
    <w:pPr>
      <w:tabs>
        <w:tab w:val="center" w:pos="4536"/>
        <w:tab w:val="right" w:pos="9072"/>
      </w:tabs>
    </w:pPr>
  </w:style>
  <w:style w:type="paragraph" w:styleId="Sidfot">
    <w:name w:val="footer"/>
    <w:basedOn w:val="Normal"/>
    <w:semiHidden/>
    <w:rsid w:val="00A80C77"/>
    <w:pPr>
      <w:tabs>
        <w:tab w:val="center" w:pos="4536"/>
        <w:tab w:val="right" w:pos="9072"/>
      </w:tabs>
    </w:pPr>
  </w:style>
  <w:style w:type="paragraph" w:styleId="Innehll1">
    <w:name w:val="toc 1"/>
    <w:basedOn w:val="Normal"/>
    <w:next w:val="Innehll2"/>
    <w:semiHidden/>
    <w:rsid w:val="00A80C77"/>
    <w:pPr>
      <w:tabs>
        <w:tab w:val="right" w:leader="dot" w:pos="5953"/>
      </w:tabs>
      <w:suppressAutoHyphens/>
      <w:spacing w:before="0"/>
      <w:ind w:right="567"/>
      <w:jc w:val="left"/>
    </w:pPr>
  </w:style>
  <w:style w:type="paragraph" w:styleId="Innehll2">
    <w:name w:val="toc 2"/>
    <w:basedOn w:val="Innehll1"/>
    <w:next w:val="Innehll3"/>
    <w:semiHidden/>
    <w:rsid w:val="00A80C77"/>
    <w:pPr>
      <w:ind w:left="284"/>
    </w:pPr>
  </w:style>
  <w:style w:type="paragraph" w:styleId="Innehll3">
    <w:name w:val="toc 3"/>
    <w:basedOn w:val="Innehll2"/>
    <w:next w:val="Innehll4"/>
    <w:semiHidden/>
    <w:rsid w:val="00A80C77"/>
    <w:pPr>
      <w:ind w:left="567"/>
    </w:pPr>
  </w:style>
  <w:style w:type="paragraph" w:styleId="Innehll4">
    <w:name w:val="toc 4"/>
    <w:basedOn w:val="Normal"/>
    <w:next w:val="Normal"/>
    <w:autoRedefine/>
    <w:semiHidden/>
    <w:rsid w:val="00A80C77"/>
    <w:pPr>
      <w:ind w:left="720"/>
    </w:pPr>
  </w:style>
  <w:style w:type="paragraph" w:styleId="Avslutandetext">
    <w:name w:val="Closing"/>
    <w:basedOn w:val="Normal"/>
    <w:semiHidden/>
    <w:rsid w:val="00A80C77"/>
    <w:pPr>
      <w:ind w:left="4252"/>
    </w:pPr>
  </w:style>
  <w:style w:type="paragraph" w:styleId="Avsndaradress-brev">
    <w:name w:val="envelope return"/>
    <w:basedOn w:val="Normal"/>
    <w:semiHidden/>
    <w:rsid w:val="00A80C77"/>
    <w:rPr>
      <w:rFonts w:ascii="Arial" w:hAnsi="Arial" w:cs="Arial"/>
      <w:sz w:val="20"/>
    </w:rPr>
  </w:style>
  <w:style w:type="character" w:styleId="Betoning">
    <w:name w:val="Emphasis"/>
    <w:basedOn w:val="Standardstycketeckensnitt"/>
    <w:qFormat/>
    <w:rsid w:val="00A80C77"/>
    <w:rPr>
      <w:i/>
      <w:iCs/>
    </w:rPr>
  </w:style>
  <w:style w:type="paragraph" w:styleId="Brdtext">
    <w:name w:val="Body Text"/>
    <w:basedOn w:val="Normal"/>
    <w:semiHidden/>
    <w:rsid w:val="00A80C77"/>
    <w:pPr>
      <w:spacing w:after="120"/>
    </w:pPr>
  </w:style>
  <w:style w:type="paragraph" w:styleId="Brdtext2">
    <w:name w:val="Body Text 2"/>
    <w:basedOn w:val="Normal"/>
    <w:semiHidden/>
    <w:rsid w:val="00A80C77"/>
    <w:pPr>
      <w:spacing w:after="120" w:line="480" w:lineRule="auto"/>
    </w:pPr>
  </w:style>
  <w:style w:type="paragraph" w:styleId="Brdtext3">
    <w:name w:val="Body Text 3"/>
    <w:basedOn w:val="Normal"/>
    <w:semiHidden/>
    <w:rsid w:val="00A80C77"/>
    <w:pPr>
      <w:spacing w:after="120"/>
    </w:pPr>
    <w:rPr>
      <w:sz w:val="16"/>
      <w:szCs w:val="16"/>
    </w:rPr>
  </w:style>
  <w:style w:type="paragraph" w:styleId="Brdtextmedfrstaindrag">
    <w:name w:val="Body Text First Indent"/>
    <w:basedOn w:val="Brdtext"/>
    <w:semiHidden/>
    <w:rsid w:val="00A80C77"/>
    <w:pPr>
      <w:ind w:firstLine="210"/>
    </w:pPr>
  </w:style>
  <w:style w:type="paragraph" w:styleId="Brdtextmedindrag">
    <w:name w:val="Body Text Indent"/>
    <w:basedOn w:val="Normal"/>
    <w:semiHidden/>
    <w:rsid w:val="00A80C77"/>
    <w:pPr>
      <w:spacing w:after="120"/>
      <w:ind w:left="283"/>
    </w:pPr>
  </w:style>
  <w:style w:type="paragraph" w:styleId="Brdtextmedfrstaindrag2">
    <w:name w:val="Body Text First Indent 2"/>
    <w:basedOn w:val="Brdtextmedindrag"/>
    <w:semiHidden/>
    <w:rsid w:val="00A80C77"/>
    <w:pPr>
      <w:ind w:firstLine="210"/>
    </w:pPr>
  </w:style>
  <w:style w:type="paragraph" w:styleId="Brdtextmedindrag2">
    <w:name w:val="Body Text Indent 2"/>
    <w:basedOn w:val="Normal"/>
    <w:semiHidden/>
    <w:rsid w:val="00A80C77"/>
    <w:pPr>
      <w:spacing w:after="120" w:line="480" w:lineRule="auto"/>
      <w:ind w:left="283"/>
    </w:pPr>
  </w:style>
  <w:style w:type="paragraph" w:styleId="Brdtextmedindrag3">
    <w:name w:val="Body Text Indent 3"/>
    <w:basedOn w:val="Normal"/>
    <w:semiHidden/>
    <w:rsid w:val="00A80C77"/>
    <w:pPr>
      <w:spacing w:after="120"/>
      <w:ind w:left="283"/>
    </w:pPr>
    <w:rPr>
      <w:sz w:val="16"/>
      <w:szCs w:val="16"/>
    </w:rPr>
  </w:style>
  <w:style w:type="paragraph" w:styleId="Datum">
    <w:name w:val="Date"/>
    <w:basedOn w:val="Normal"/>
    <w:next w:val="Normal"/>
    <w:semiHidden/>
    <w:rsid w:val="00A80C77"/>
  </w:style>
  <w:style w:type="table" w:styleId="Diskrettabell1">
    <w:name w:val="Table Subtle 1"/>
    <w:basedOn w:val="Normaltabell"/>
    <w:semiHidden/>
    <w:rsid w:val="00A80C7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80C7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80C7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80C7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80C7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80C7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80C77"/>
  </w:style>
  <w:style w:type="table" w:styleId="Frgadtabell1">
    <w:name w:val="Table Colorful 1"/>
    <w:basedOn w:val="Normaltabell"/>
    <w:semiHidden/>
    <w:rsid w:val="00A80C7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80C7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80C7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80C77"/>
    <w:rPr>
      <w:i/>
      <w:iCs/>
    </w:rPr>
  </w:style>
  <w:style w:type="character" w:styleId="HTML-akronym">
    <w:name w:val="HTML Acronym"/>
    <w:basedOn w:val="Standardstycketeckensnitt"/>
    <w:semiHidden/>
    <w:rsid w:val="00A80C77"/>
  </w:style>
  <w:style w:type="character" w:styleId="HTML-citat">
    <w:name w:val="HTML Cite"/>
    <w:basedOn w:val="Standardstycketeckensnitt"/>
    <w:semiHidden/>
    <w:rsid w:val="00A80C77"/>
    <w:rPr>
      <w:i/>
      <w:iCs/>
    </w:rPr>
  </w:style>
  <w:style w:type="character" w:styleId="HTML-definition">
    <w:name w:val="HTML Definition"/>
    <w:basedOn w:val="Standardstycketeckensnitt"/>
    <w:semiHidden/>
    <w:rsid w:val="00A80C77"/>
    <w:rPr>
      <w:i/>
      <w:iCs/>
    </w:rPr>
  </w:style>
  <w:style w:type="character" w:styleId="HTML-exempel">
    <w:name w:val="HTML Sample"/>
    <w:basedOn w:val="Standardstycketeckensnitt"/>
    <w:semiHidden/>
    <w:rsid w:val="00A80C77"/>
    <w:rPr>
      <w:rFonts w:ascii="Courier New" w:hAnsi="Courier New" w:cs="Courier New"/>
    </w:rPr>
  </w:style>
  <w:style w:type="paragraph" w:styleId="HTML-frformaterad">
    <w:name w:val="HTML Preformatted"/>
    <w:basedOn w:val="Normal"/>
    <w:semiHidden/>
    <w:rsid w:val="00A80C77"/>
    <w:rPr>
      <w:rFonts w:ascii="Courier New" w:hAnsi="Courier New" w:cs="Courier New"/>
      <w:sz w:val="20"/>
    </w:rPr>
  </w:style>
  <w:style w:type="character" w:styleId="HTML-kod">
    <w:name w:val="HTML Code"/>
    <w:basedOn w:val="Standardstycketeckensnitt"/>
    <w:semiHidden/>
    <w:rsid w:val="00A80C77"/>
    <w:rPr>
      <w:rFonts w:ascii="Courier New" w:hAnsi="Courier New" w:cs="Courier New"/>
      <w:sz w:val="20"/>
      <w:szCs w:val="20"/>
    </w:rPr>
  </w:style>
  <w:style w:type="character" w:styleId="HTML-skrivmaskin">
    <w:name w:val="HTML Typewriter"/>
    <w:basedOn w:val="Standardstycketeckensnitt"/>
    <w:semiHidden/>
    <w:rsid w:val="00A80C77"/>
    <w:rPr>
      <w:rFonts w:ascii="Courier New" w:hAnsi="Courier New" w:cs="Courier New"/>
      <w:sz w:val="20"/>
      <w:szCs w:val="20"/>
    </w:rPr>
  </w:style>
  <w:style w:type="character" w:styleId="HTML-tangentbord">
    <w:name w:val="HTML Keyboard"/>
    <w:basedOn w:val="Standardstycketeckensnitt"/>
    <w:semiHidden/>
    <w:rsid w:val="00A80C77"/>
    <w:rPr>
      <w:rFonts w:ascii="Courier New" w:hAnsi="Courier New" w:cs="Courier New"/>
      <w:sz w:val="20"/>
      <w:szCs w:val="20"/>
    </w:rPr>
  </w:style>
  <w:style w:type="character" w:styleId="HTML-variabel">
    <w:name w:val="HTML Variable"/>
    <w:basedOn w:val="Standardstycketeckensnitt"/>
    <w:semiHidden/>
    <w:rsid w:val="00A80C77"/>
    <w:rPr>
      <w:i/>
      <w:iCs/>
    </w:rPr>
  </w:style>
  <w:style w:type="character" w:styleId="Hyperlnk">
    <w:name w:val="Hyperlink"/>
    <w:basedOn w:val="Standardstycketeckensnitt"/>
    <w:semiHidden/>
    <w:rsid w:val="00A80C77"/>
    <w:rPr>
      <w:color w:val="0000FF"/>
      <w:u w:val="single"/>
    </w:rPr>
  </w:style>
  <w:style w:type="paragraph" w:styleId="Indragetstycke">
    <w:name w:val="Block Text"/>
    <w:basedOn w:val="Normal"/>
    <w:semiHidden/>
    <w:rsid w:val="00A80C77"/>
    <w:pPr>
      <w:spacing w:after="120"/>
      <w:ind w:left="1440" w:right="1440"/>
    </w:pPr>
  </w:style>
  <w:style w:type="paragraph" w:styleId="Inledning">
    <w:name w:val="Salutation"/>
    <w:basedOn w:val="Normal"/>
    <w:next w:val="Normal"/>
    <w:semiHidden/>
    <w:rsid w:val="00A80C77"/>
  </w:style>
  <w:style w:type="paragraph" w:styleId="Innehll5">
    <w:name w:val="toc 5"/>
    <w:basedOn w:val="Normal"/>
    <w:next w:val="Normal"/>
    <w:autoRedefine/>
    <w:semiHidden/>
    <w:rsid w:val="00A80C77"/>
    <w:pPr>
      <w:ind w:left="960"/>
    </w:pPr>
  </w:style>
  <w:style w:type="paragraph" w:styleId="Lista">
    <w:name w:val="List"/>
    <w:basedOn w:val="Normal"/>
    <w:semiHidden/>
    <w:rsid w:val="00A80C77"/>
    <w:pPr>
      <w:ind w:left="283" w:hanging="283"/>
    </w:pPr>
  </w:style>
  <w:style w:type="paragraph" w:styleId="Lista2">
    <w:name w:val="List 2"/>
    <w:basedOn w:val="Normal"/>
    <w:semiHidden/>
    <w:rsid w:val="00A80C77"/>
    <w:pPr>
      <w:ind w:left="566" w:hanging="283"/>
    </w:pPr>
  </w:style>
  <w:style w:type="paragraph" w:styleId="Lista3">
    <w:name w:val="List 3"/>
    <w:basedOn w:val="Normal"/>
    <w:semiHidden/>
    <w:rsid w:val="00A80C77"/>
    <w:pPr>
      <w:ind w:left="849" w:hanging="283"/>
    </w:pPr>
  </w:style>
  <w:style w:type="paragraph" w:styleId="Lista4">
    <w:name w:val="List 4"/>
    <w:basedOn w:val="Normal"/>
    <w:semiHidden/>
    <w:rsid w:val="00A80C77"/>
    <w:pPr>
      <w:ind w:left="1132" w:hanging="283"/>
    </w:pPr>
  </w:style>
  <w:style w:type="paragraph" w:styleId="Lista5">
    <w:name w:val="List 5"/>
    <w:basedOn w:val="Normal"/>
    <w:semiHidden/>
    <w:rsid w:val="00A80C77"/>
    <w:pPr>
      <w:ind w:left="1415" w:hanging="283"/>
    </w:pPr>
  </w:style>
  <w:style w:type="paragraph" w:styleId="Listafortstt">
    <w:name w:val="List Continue"/>
    <w:basedOn w:val="Normal"/>
    <w:semiHidden/>
    <w:rsid w:val="00A80C77"/>
    <w:pPr>
      <w:spacing w:after="120"/>
      <w:ind w:left="283"/>
    </w:pPr>
  </w:style>
  <w:style w:type="paragraph" w:styleId="Listafortstt2">
    <w:name w:val="List Continue 2"/>
    <w:basedOn w:val="Normal"/>
    <w:semiHidden/>
    <w:rsid w:val="00A80C77"/>
    <w:pPr>
      <w:spacing w:after="120"/>
      <w:ind w:left="566"/>
    </w:pPr>
  </w:style>
  <w:style w:type="paragraph" w:styleId="Listafortstt3">
    <w:name w:val="List Continue 3"/>
    <w:basedOn w:val="Normal"/>
    <w:semiHidden/>
    <w:rsid w:val="00A80C77"/>
    <w:pPr>
      <w:spacing w:after="120"/>
      <w:ind w:left="849"/>
    </w:pPr>
  </w:style>
  <w:style w:type="paragraph" w:styleId="Listafortstt4">
    <w:name w:val="List Continue 4"/>
    <w:basedOn w:val="Normal"/>
    <w:semiHidden/>
    <w:rsid w:val="00A80C77"/>
    <w:pPr>
      <w:spacing w:after="120"/>
      <w:ind w:left="1132"/>
    </w:pPr>
  </w:style>
  <w:style w:type="paragraph" w:styleId="Listafortstt5">
    <w:name w:val="List Continue 5"/>
    <w:basedOn w:val="Normal"/>
    <w:semiHidden/>
    <w:rsid w:val="00A80C77"/>
    <w:pPr>
      <w:spacing w:after="120"/>
      <w:ind w:left="1415"/>
    </w:pPr>
  </w:style>
  <w:style w:type="paragraph" w:styleId="Meddelanderubrik">
    <w:name w:val="Message Header"/>
    <w:basedOn w:val="Normal"/>
    <w:semiHidden/>
    <w:rsid w:val="00A80C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80C7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A80C77"/>
    <w:rPr>
      <w:szCs w:val="24"/>
    </w:rPr>
  </w:style>
  <w:style w:type="paragraph" w:styleId="Numreradlista">
    <w:name w:val="List Number"/>
    <w:basedOn w:val="Normal"/>
    <w:semiHidden/>
    <w:rsid w:val="00A80C77"/>
    <w:pPr>
      <w:numPr>
        <w:numId w:val="5"/>
      </w:numPr>
    </w:pPr>
  </w:style>
  <w:style w:type="paragraph" w:styleId="Numreradlista2">
    <w:name w:val="List Number 2"/>
    <w:basedOn w:val="Normal"/>
    <w:semiHidden/>
    <w:rsid w:val="00A80C77"/>
    <w:pPr>
      <w:numPr>
        <w:numId w:val="6"/>
      </w:numPr>
    </w:pPr>
  </w:style>
  <w:style w:type="paragraph" w:styleId="Numreradlista3">
    <w:name w:val="List Number 3"/>
    <w:basedOn w:val="Normal"/>
    <w:semiHidden/>
    <w:rsid w:val="00A80C77"/>
    <w:pPr>
      <w:numPr>
        <w:numId w:val="7"/>
      </w:numPr>
    </w:pPr>
  </w:style>
  <w:style w:type="paragraph" w:styleId="Numreradlista4">
    <w:name w:val="List Number 4"/>
    <w:basedOn w:val="Normal"/>
    <w:semiHidden/>
    <w:rsid w:val="00A80C77"/>
    <w:pPr>
      <w:numPr>
        <w:numId w:val="8"/>
      </w:numPr>
    </w:pPr>
  </w:style>
  <w:style w:type="paragraph" w:styleId="Numreradlista5">
    <w:name w:val="List Number 5"/>
    <w:basedOn w:val="Normal"/>
    <w:semiHidden/>
    <w:rsid w:val="00A80C77"/>
    <w:pPr>
      <w:numPr>
        <w:numId w:val="9"/>
      </w:numPr>
    </w:pPr>
  </w:style>
  <w:style w:type="table" w:styleId="Professionelltabell">
    <w:name w:val="Table Professional"/>
    <w:basedOn w:val="Normaltabell"/>
    <w:semiHidden/>
    <w:rsid w:val="00A80C7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A80C77"/>
    <w:pPr>
      <w:numPr>
        <w:numId w:val="10"/>
      </w:numPr>
    </w:pPr>
  </w:style>
  <w:style w:type="paragraph" w:styleId="Punktlista2">
    <w:name w:val="List Bullet 2"/>
    <w:basedOn w:val="Normal"/>
    <w:semiHidden/>
    <w:rsid w:val="00A80C77"/>
    <w:pPr>
      <w:numPr>
        <w:numId w:val="11"/>
      </w:numPr>
    </w:pPr>
  </w:style>
  <w:style w:type="paragraph" w:styleId="Punktlista3">
    <w:name w:val="List Bullet 3"/>
    <w:basedOn w:val="Normal"/>
    <w:semiHidden/>
    <w:rsid w:val="00A80C77"/>
    <w:pPr>
      <w:numPr>
        <w:numId w:val="12"/>
      </w:numPr>
    </w:pPr>
  </w:style>
  <w:style w:type="paragraph" w:styleId="Punktlista4">
    <w:name w:val="List Bullet 4"/>
    <w:basedOn w:val="Normal"/>
    <w:semiHidden/>
    <w:rsid w:val="00A80C77"/>
    <w:pPr>
      <w:numPr>
        <w:numId w:val="13"/>
      </w:numPr>
    </w:pPr>
  </w:style>
  <w:style w:type="paragraph" w:styleId="Punktlista5">
    <w:name w:val="List Bullet 5"/>
    <w:basedOn w:val="Normal"/>
    <w:semiHidden/>
    <w:rsid w:val="00A80C77"/>
    <w:pPr>
      <w:numPr>
        <w:numId w:val="14"/>
      </w:numPr>
    </w:pPr>
  </w:style>
  <w:style w:type="character" w:styleId="Radnummer">
    <w:name w:val="line number"/>
    <w:basedOn w:val="Standardstycketeckensnitt"/>
    <w:semiHidden/>
    <w:rsid w:val="00A80C77"/>
  </w:style>
  <w:style w:type="character" w:styleId="Sidnummer">
    <w:name w:val="page number"/>
    <w:basedOn w:val="Standardstycketeckensnitt"/>
    <w:semiHidden/>
    <w:rsid w:val="00A80C77"/>
  </w:style>
  <w:style w:type="paragraph" w:styleId="Signatur">
    <w:name w:val="Signature"/>
    <w:basedOn w:val="Normal"/>
    <w:semiHidden/>
    <w:rsid w:val="00A80C77"/>
    <w:pPr>
      <w:ind w:left="4252"/>
    </w:pPr>
  </w:style>
  <w:style w:type="table" w:styleId="Standardtabell1">
    <w:name w:val="Table Classic 1"/>
    <w:basedOn w:val="Normaltabell"/>
    <w:semiHidden/>
    <w:rsid w:val="00A80C7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80C7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80C7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80C7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80C77"/>
    <w:rPr>
      <w:b/>
      <w:bCs/>
    </w:rPr>
  </w:style>
  <w:style w:type="table" w:styleId="Tabellmed3D-effekter1">
    <w:name w:val="Table 3D effects 1"/>
    <w:basedOn w:val="Normaltabell"/>
    <w:semiHidden/>
    <w:rsid w:val="00A80C7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80C7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80C7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80C7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80C7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80C7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80C7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80C7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80C7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80C7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80C7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80C7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80C7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80C7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80C7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80C7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80C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80C7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80C7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80C7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80C7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80C7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80C7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80C7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80C7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80C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80C77"/>
    <w:pPr>
      <w:spacing w:after="60"/>
      <w:jc w:val="center"/>
      <w:outlineLvl w:val="1"/>
    </w:pPr>
    <w:rPr>
      <w:rFonts w:ascii="Arial" w:hAnsi="Arial" w:cs="Arial"/>
      <w:szCs w:val="24"/>
    </w:rPr>
  </w:style>
  <w:style w:type="table" w:styleId="Webbtabell1">
    <w:name w:val="Table Web 1"/>
    <w:basedOn w:val="Normaltabell"/>
    <w:semiHidden/>
    <w:rsid w:val="00A80C7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80C7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80C7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80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3299</Words>
  <Characters>19598</Characters>
  <Application>Microsoft Office Word</Application>
  <DocSecurity>4</DocSecurity>
  <Lines>369</Lines>
  <Paragraphs>108</Paragraphs>
  <ScaleCrop>false</ScaleCrop>
  <HeadingPairs>
    <vt:vector size="2" baseType="variant">
      <vt:variant>
        <vt:lpstr>Rubrik</vt:lpstr>
      </vt:variant>
      <vt:variant>
        <vt:i4>1</vt:i4>
      </vt:variant>
    </vt:vector>
  </HeadingPairs>
  <TitlesOfParts>
    <vt:vector size="1" baseType="lpstr">
      <vt:lpstr>K340</vt:lpstr>
    </vt:vector>
  </TitlesOfParts>
  <Company>Riksdagen</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K340</dc:title>
  <dc:subject>K340</dc:subject>
  <dc:creator>Riksdagen</dc:creator>
  <cp:keywords>Riksdagen</cp:keywords>
  <dc:description/>
  <cp:lastModifiedBy>Lars Brink</cp:lastModifiedBy>
  <cp:revision>2</cp:revision>
  <cp:lastPrinted>2006-01-13T13:28:00Z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Göran Lennmarker m.fl. (m)</vt:lpwstr>
  </property>
  <property fmtid="{D5CDD505-2E9C-101B-9397-08002B2CF9AE}" pid="26" name="MotionarLista">
    <vt:lpwstr>Lennmarker, Göran (m)\Järrel, Henrik S (m)\Aurelius, Nils Fredrik (m)\Skårman, Carl-Erik (m)\Magnusson, Cecilia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Lennmarker (m), Henrik S Järrel (m), Nils Fredrik Aurelius (m), Carl-Erik Skårman (m), Cecilia Magnusson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20052006000000000109000001170075</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20052006000000000109000001170075</vt:lpwstr>
  </property>
  <property fmtid="{D5CDD505-2E9C-101B-9397-08002B2CF9AE}" pid="50" name="nummer">
    <vt:lpwstr>340</vt:lpwstr>
  </property>
  <property fmtid="{D5CDD505-2E9C-101B-9397-08002B2CF9AE}" pid="51" name="utskottsbeteckning">
    <vt:lpwstr>K</vt:lpwstr>
  </property>
</Properties>
</file>