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14E94">
        <w:tblPrEx>
          <w:tblCellMar>
            <w:top w:w="0" w:type="dxa"/>
            <w:bottom w:w="0" w:type="dxa"/>
          </w:tblCellMar>
        </w:tblPrEx>
        <w:trPr>
          <w:cantSplit/>
          <w:trHeight w:hRule="exact" w:val="1260"/>
        </w:trPr>
        <w:tc>
          <w:tcPr>
            <w:tcW w:w="6024" w:type="dxa"/>
            <w:gridSpan w:val="2"/>
            <w:vMerge w:val="restart"/>
          </w:tcPr>
          <w:p w:rsidR="008C339E" w:rsidRPr="00E14E94" w:rsidRDefault="008C339E">
            <w:pPr>
              <w:pStyle w:val="HuvudRubrik"/>
            </w:pPr>
            <w:bookmarkStart w:id="0" w:name="BetänkandeRubrik"/>
            <w:bookmarkEnd w:id="0"/>
            <w:r w:rsidRPr="00E14E94">
              <w:t>Finansutskottets betänkande</w:t>
            </w:r>
            <w:r w:rsidR="00E14E94" w:rsidRPr="00E14E9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69530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C339E" w:rsidRDefault="008C339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96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C339E" w:rsidRDefault="008C339E">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961" r:id="rId9"/>
                              </w:object>
                            </w:r>
                          </w:p>
                        </w:txbxContent>
                      </v:textbox>
                      <w10:wrap anchorx="page" anchory="page"/>
                    </v:shape>
                  </w:pict>
                </mc:Fallback>
              </mc:AlternateContent>
            </w:r>
          </w:p>
          <w:p w:rsidR="008C339E" w:rsidRPr="00E14E94" w:rsidRDefault="008C339E">
            <w:pPr>
              <w:pStyle w:val="HuvudRubrikRad2"/>
            </w:pPr>
            <w:bookmarkStart w:id="17" w:name="BetänkandeNr"/>
            <w:bookmarkEnd w:id="17"/>
            <w:r w:rsidRPr="00E14E94">
              <w:t>1999/2000:FiU26</w:t>
            </w:r>
          </w:p>
          <w:p w:rsidR="008C339E" w:rsidRPr="00E14E94" w:rsidRDefault="008C339E">
            <w:pPr>
              <w:pStyle w:val="BetnkandeRubrik"/>
              <w:spacing w:before="123"/>
            </w:pPr>
            <w:bookmarkStart w:id="18" w:name="Huvudrubrik"/>
            <w:bookmarkEnd w:id="18"/>
            <w:r w:rsidRPr="00E14E94">
              <w:t>Moderniserade kapitaltäckningsregler m.m.       (prop. 1999/2000:94)</w:t>
            </w:r>
          </w:p>
        </w:tc>
        <w:tc>
          <w:tcPr>
            <w:tcW w:w="1559" w:type="dxa"/>
            <w:tcBorders>
              <w:bottom w:val="nil"/>
            </w:tcBorders>
          </w:tcPr>
          <w:p w:rsidR="008C339E" w:rsidRPr="00E14E94" w:rsidRDefault="008C339E">
            <w:pPr>
              <w:spacing w:before="0" w:line="230" w:lineRule="auto"/>
              <w:rPr>
                <w:sz w:val="24"/>
              </w:rPr>
            </w:pPr>
          </w:p>
        </w:tc>
      </w:tr>
      <w:tr w:rsidR="00000000" w:rsidRPr="00E14E94">
        <w:tblPrEx>
          <w:tblCellMar>
            <w:top w:w="0" w:type="dxa"/>
            <w:bottom w:w="0" w:type="dxa"/>
          </w:tblCellMar>
        </w:tblPrEx>
        <w:trPr>
          <w:cantSplit/>
          <w:trHeight w:hRule="exact" w:val="240"/>
        </w:trPr>
        <w:tc>
          <w:tcPr>
            <w:tcW w:w="6024" w:type="dxa"/>
            <w:gridSpan w:val="2"/>
            <w:vMerge/>
            <w:tcBorders>
              <w:top w:val="nil"/>
              <w:bottom w:val="nil"/>
            </w:tcBorders>
          </w:tcPr>
          <w:p w:rsidR="008C339E" w:rsidRPr="00E14E94" w:rsidRDefault="008C339E">
            <w:pPr>
              <w:spacing w:before="40" w:after="900" w:line="280" w:lineRule="exact"/>
              <w:jc w:val="left"/>
              <w:rPr>
                <w:sz w:val="28"/>
              </w:rPr>
            </w:pPr>
          </w:p>
        </w:tc>
        <w:tc>
          <w:tcPr>
            <w:tcW w:w="1559" w:type="dxa"/>
          </w:tcPr>
          <w:p w:rsidR="008C339E" w:rsidRPr="00E14E94" w:rsidRDefault="008C339E">
            <w:pPr>
              <w:pStyle w:val="rtal"/>
            </w:pPr>
            <w:r w:rsidRPr="00E14E94">
              <w:t>1999/2000</w:t>
            </w:r>
          </w:p>
        </w:tc>
      </w:tr>
      <w:tr w:rsidR="00000000" w:rsidRPr="00E14E94">
        <w:tblPrEx>
          <w:tblCellMar>
            <w:top w:w="0" w:type="dxa"/>
            <w:bottom w:w="0" w:type="dxa"/>
          </w:tblCellMar>
        </w:tblPrEx>
        <w:trPr>
          <w:cantSplit/>
          <w:trHeight w:val="560"/>
        </w:trPr>
        <w:tc>
          <w:tcPr>
            <w:tcW w:w="6024" w:type="dxa"/>
            <w:gridSpan w:val="2"/>
            <w:vMerge/>
            <w:tcBorders>
              <w:top w:val="nil"/>
              <w:bottom w:val="single" w:sz="6" w:space="0" w:color="auto"/>
            </w:tcBorders>
          </w:tcPr>
          <w:p w:rsidR="008C339E" w:rsidRPr="00E14E94" w:rsidRDefault="008C339E">
            <w:pPr>
              <w:spacing w:before="40" w:after="900" w:line="280" w:lineRule="exact"/>
              <w:jc w:val="left"/>
              <w:rPr>
                <w:sz w:val="28"/>
              </w:rPr>
            </w:pPr>
          </w:p>
        </w:tc>
        <w:tc>
          <w:tcPr>
            <w:tcW w:w="1559" w:type="dxa"/>
            <w:tcBorders>
              <w:bottom w:val="single" w:sz="6" w:space="0" w:color="auto"/>
            </w:tcBorders>
          </w:tcPr>
          <w:p w:rsidR="008C339E" w:rsidRPr="00E14E94" w:rsidRDefault="008C339E">
            <w:pPr>
              <w:pStyle w:val="rtal"/>
            </w:pPr>
            <w:r w:rsidRPr="00E14E94">
              <w:t>FiU26</w:t>
            </w:r>
          </w:p>
        </w:tc>
      </w:tr>
      <w:tr w:rsidR="00000000" w:rsidRPr="00E14E94">
        <w:tblPrEx>
          <w:tblCellMar>
            <w:top w:w="0" w:type="dxa"/>
            <w:bottom w:w="0" w:type="dxa"/>
          </w:tblCellMar>
        </w:tblPrEx>
        <w:trPr>
          <w:cantSplit/>
          <w:trHeight w:hRule="exact" w:val="660"/>
        </w:trPr>
        <w:tc>
          <w:tcPr>
            <w:tcW w:w="3012" w:type="dxa"/>
          </w:tcPr>
          <w:p w:rsidR="008C339E" w:rsidRPr="00E14E94" w:rsidRDefault="008C339E">
            <w:pPr>
              <w:pStyle w:val="StatusSida1"/>
            </w:pPr>
          </w:p>
        </w:tc>
        <w:tc>
          <w:tcPr>
            <w:tcW w:w="3012" w:type="dxa"/>
          </w:tcPr>
          <w:p w:rsidR="008C339E" w:rsidRPr="00E14E94" w:rsidRDefault="008C339E">
            <w:pPr>
              <w:pStyle w:val="UtskriftsdatumSida1"/>
              <w:rPr>
                <w:b/>
                <w:sz w:val="28"/>
              </w:rPr>
            </w:pPr>
          </w:p>
        </w:tc>
        <w:tc>
          <w:tcPr>
            <w:tcW w:w="1559" w:type="dxa"/>
          </w:tcPr>
          <w:p w:rsidR="008C339E" w:rsidRPr="00E14E94" w:rsidRDefault="008C339E"/>
        </w:tc>
      </w:tr>
    </w:tbl>
    <w:p w:rsidR="008C339E" w:rsidRPr="00E14E94" w:rsidRDefault="008C339E">
      <w:pPr>
        <w:pStyle w:val="Rubrik1"/>
        <w:spacing w:before="0"/>
      </w:pPr>
      <w:bookmarkStart w:id="19" w:name="_Toc482413731"/>
      <w:r w:rsidRPr="00E14E94">
        <w:t>Sammanfattning</w:t>
      </w:r>
      <w:bookmarkEnd w:id="19"/>
    </w:p>
    <w:p w:rsidR="008C339E" w:rsidRPr="00E14E94" w:rsidRDefault="008C339E">
      <w:bookmarkStart w:id="20" w:name="Textstart"/>
      <w:bookmarkEnd w:id="20"/>
      <w:r w:rsidRPr="00E14E94">
        <w:t>Utskottet behandlar i detta betänkande de i proposition 1999/2000:94 fra</w:t>
      </w:r>
      <w:r w:rsidRPr="00E14E94">
        <w:t>m</w:t>
      </w:r>
      <w:r w:rsidRPr="00E14E94">
        <w:t>lagda förslagen till ändringar i sekretesslagen (1980:100) och lagen (1994:2004) om kapitaltäckning och stora exponeringar för kreditinstitut och värdepappersbolag (kapitaltäckningslagen). Utskottet behandlar också en motion som väckts med anledning av propositionen.</w:t>
      </w:r>
    </w:p>
    <w:p w:rsidR="008C339E" w:rsidRPr="00E14E94" w:rsidRDefault="008C339E">
      <w:pPr>
        <w:pStyle w:val="Normaltindrag"/>
        <w:rPr>
          <w:i/>
        </w:rPr>
      </w:pPr>
      <w:r w:rsidRPr="00E14E94">
        <w:t>I propositionen behandlas vissa frågor om kreditinstituts och värdepa</w:t>
      </w:r>
      <w:r w:rsidRPr="00E14E94">
        <w:t>p</w:t>
      </w:r>
      <w:r w:rsidRPr="00E14E94">
        <w:t>persbolags kapitalkrav för risker i verksamheten enligt kapitaltäckningsl</w:t>
      </w:r>
      <w:r w:rsidRPr="00E14E94">
        <w:t>a</w:t>
      </w:r>
      <w:r w:rsidRPr="00E14E94">
        <w:t>gen. I propositionen lämnar regeringen förslag om införlivandet av tre nya EG-direktiv på kapitaltäckningsområdet. Direktivens bestämmelser föreslås i stor utsträckning genomföras genom bemyndiganden från regeringen till Finansinspektionen.</w:t>
      </w:r>
    </w:p>
    <w:p w:rsidR="008C339E" w:rsidRPr="00E14E94" w:rsidRDefault="008C339E">
      <w:pPr>
        <w:pStyle w:val="Normaltindrag"/>
      </w:pPr>
      <w:r w:rsidRPr="00E14E94">
        <w:rPr>
          <w:color w:val="000000"/>
        </w:rPr>
        <w:t>Utskottet tillstyrker regeringens förslag. Motionen avstyrks. Till betänka</w:t>
      </w:r>
      <w:r w:rsidRPr="00E14E94">
        <w:rPr>
          <w:color w:val="000000"/>
        </w:rPr>
        <w:t>n</w:t>
      </w:r>
      <w:r w:rsidRPr="00E14E94">
        <w:rPr>
          <w:color w:val="000000"/>
        </w:rPr>
        <w:t>det har fogats en reservation och ett särskilt yttrande.</w:t>
      </w:r>
    </w:p>
    <w:p w:rsidR="008C339E" w:rsidRPr="00E14E94" w:rsidRDefault="008C339E">
      <w:pPr>
        <w:pStyle w:val="Rubrik1"/>
      </w:pPr>
      <w:bookmarkStart w:id="21" w:name="_Toc482413732"/>
      <w:r w:rsidRPr="00E14E94">
        <w:t>Propositionen</w:t>
      </w:r>
      <w:bookmarkEnd w:id="21"/>
    </w:p>
    <w:p w:rsidR="008C339E" w:rsidRPr="00E14E94" w:rsidRDefault="008C339E">
      <w:r w:rsidRPr="00E14E94">
        <w:t>I proposition 1999/2000:94 föreslås att riksdagen antar regeringens förslag till</w:t>
      </w:r>
    </w:p>
    <w:p w:rsidR="008C339E" w:rsidRPr="00E14E94" w:rsidRDefault="008C339E">
      <w:pPr>
        <w:pStyle w:val="Normaltindrag"/>
      </w:pPr>
      <w:r w:rsidRPr="00E14E94">
        <w:t>1. lag om ändring i sekretesslagen (1980:100),</w:t>
      </w:r>
    </w:p>
    <w:p w:rsidR="008C339E" w:rsidRPr="00E14E94" w:rsidRDefault="008C339E">
      <w:pPr>
        <w:pStyle w:val="Normaltindrag"/>
      </w:pPr>
      <w:r w:rsidRPr="00E14E94">
        <w:t>2. lag om ändring i lagen (1994:2004) om kapitaltäckning och stora exp</w:t>
      </w:r>
      <w:r w:rsidRPr="00E14E94">
        <w:t>o</w:t>
      </w:r>
      <w:r w:rsidRPr="00E14E94">
        <w:t>neringar för kreditinstitut och värdepappersbolag.</w:t>
      </w:r>
    </w:p>
    <w:p w:rsidR="008C339E" w:rsidRPr="00E14E94" w:rsidRDefault="008C339E">
      <w:r w:rsidRPr="00E14E94">
        <w:t xml:space="preserve">Propositionens lagförslag återfinns i </w:t>
      </w:r>
      <w:r w:rsidRPr="00E14E94">
        <w:rPr>
          <w:i/>
        </w:rPr>
        <w:t>bilaga</w:t>
      </w:r>
      <w:r w:rsidRPr="00E14E94">
        <w:t xml:space="preserve"> till betänkandet.</w:t>
      </w:r>
    </w:p>
    <w:p w:rsidR="008C339E" w:rsidRPr="00E14E94" w:rsidRDefault="008C339E">
      <w:pPr>
        <w:pStyle w:val="Rubrik1"/>
      </w:pPr>
      <w:bookmarkStart w:id="22" w:name="_Toc482413733"/>
      <w:r w:rsidRPr="00E14E94">
        <w:t>Motionen</w:t>
      </w:r>
      <w:bookmarkEnd w:id="22"/>
    </w:p>
    <w:p w:rsidR="008C339E" w:rsidRPr="00E14E94" w:rsidRDefault="008C339E">
      <w:r w:rsidRPr="00E14E94">
        <w:t>1999/2000:Fi11 av Gunnar Hökmark m.fl. (m) vari yrkas att riksdagen b</w:t>
      </w:r>
      <w:r w:rsidRPr="00E14E94">
        <w:t>e</w:t>
      </w:r>
      <w:r w:rsidRPr="00E14E94">
        <w:t xml:space="preserve">slutar om sådan ändring att riskvikten för placeringar och fordringar för vilka annan AP-fond än Sjunde AP-fonden svarar skall sänkas från 20 % till 0 %. </w:t>
      </w:r>
    </w:p>
    <w:p w:rsidR="008C339E" w:rsidRPr="00E14E94" w:rsidRDefault="008C339E">
      <w:pPr>
        <w:pStyle w:val="Rubrik1"/>
        <w:sectPr w:rsidR="00000000" w:rsidRPr="00E14E94">
          <w:headerReference w:type="default" r:id="rId10"/>
          <w:footerReference w:type="default" r:id="rId11"/>
          <w:pgSz w:w="11906" w:h="16838" w:code="9"/>
          <w:pgMar w:top="567" w:right="4876" w:bottom="4508" w:left="1134" w:header="227" w:footer="227" w:gutter="0"/>
          <w:cols w:space="720"/>
        </w:sectPr>
      </w:pPr>
    </w:p>
    <w:p w:rsidR="008C339E" w:rsidRPr="00E14E94" w:rsidRDefault="008C339E">
      <w:pPr>
        <w:pStyle w:val="Rubrik1"/>
        <w:spacing w:before="0"/>
      </w:pPr>
      <w:bookmarkStart w:id="23" w:name="_Toc482413734"/>
      <w:r w:rsidRPr="00E14E94">
        <w:lastRenderedPageBreak/>
        <w:t>Utskottet</w:t>
      </w:r>
      <w:bookmarkEnd w:id="23"/>
    </w:p>
    <w:p w:rsidR="008C339E" w:rsidRPr="00E14E94" w:rsidRDefault="008C339E">
      <w:pPr>
        <w:pStyle w:val="Rubrik2"/>
        <w:spacing w:before="123"/>
      </w:pPr>
      <w:bookmarkStart w:id="24" w:name="_Toc482413735"/>
      <w:r w:rsidRPr="00E14E94">
        <w:t>Bakgrund</w:t>
      </w:r>
      <w:bookmarkEnd w:id="24"/>
    </w:p>
    <w:p w:rsidR="008C339E" w:rsidRPr="00E14E94" w:rsidRDefault="008C339E">
      <w:r w:rsidRPr="00E14E94">
        <w:t>Den s.k. Baselkommittén (The Committee on Banking Supervision) har utarbetat rekommendationer om kapitaltäckning. EG har också i flera dire</w:t>
      </w:r>
      <w:r w:rsidRPr="00E14E94">
        <w:t>k</w:t>
      </w:r>
      <w:r w:rsidRPr="00E14E94">
        <w:t>tiv närmare reglerat kraven på kapitaltäckning i institut. Genom lagen (1994:2004) om kapitaltäckning och stora exponeringar för kreditinstitut och värdepappersbolag (kapitaltäckningslagen) har bestämmelserna om kapita</w:t>
      </w:r>
      <w:r w:rsidRPr="00E14E94">
        <w:t>l</w:t>
      </w:r>
      <w:r w:rsidRPr="00E14E94">
        <w:t>täckning anpassats till EG-rätten och Baselöverenskommelsen. Lagen har karaktär av ramlagstiftning och innehåller centrala och övergripande b</w:t>
      </w:r>
      <w:r w:rsidRPr="00E14E94">
        <w:t>e</w:t>
      </w:r>
      <w:r w:rsidRPr="00E14E94">
        <w:t>stämmelser om kapitaltäckning, stora exponeringar och tillsyn av finansiella företagsgrupper. Bestämmelserna kompletteras av föreskrifter från Finansi</w:t>
      </w:r>
      <w:r w:rsidRPr="00E14E94">
        <w:t>n</w:t>
      </w:r>
      <w:r w:rsidRPr="00E14E94">
        <w:t xml:space="preserve">spektionen.  </w:t>
      </w:r>
    </w:p>
    <w:p w:rsidR="008C339E" w:rsidRPr="00E14E94" w:rsidRDefault="008C339E">
      <w:pPr>
        <w:pStyle w:val="Rubrik2"/>
      </w:pPr>
      <w:bookmarkStart w:id="25" w:name="_Toc482413736"/>
      <w:r w:rsidRPr="00E14E94">
        <w:t>Genomförandet av direktiven</w:t>
      </w:r>
      <w:bookmarkEnd w:id="25"/>
    </w:p>
    <w:p w:rsidR="008C339E" w:rsidRPr="00E14E94" w:rsidRDefault="008C339E">
      <w:pPr>
        <w:pStyle w:val="Rubrik3"/>
        <w:spacing w:before="123"/>
      </w:pPr>
      <w:bookmarkStart w:id="26" w:name="_Toc482413737"/>
      <w:r w:rsidRPr="00E14E94">
        <w:t>Propositionen</w:t>
      </w:r>
      <w:bookmarkEnd w:id="26"/>
    </w:p>
    <w:p w:rsidR="008C339E" w:rsidRPr="00E14E94" w:rsidRDefault="008C339E">
      <w:r w:rsidRPr="00E14E94">
        <w:t>I propositionen lämnas bl.a. förslag rörande införlivandet av tre nya EG-direktiv på kapitaltäckningsområdet. Direktiven kännetecknas av detaljrik</w:t>
      </w:r>
      <w:r w:rsidRPr="00E14E94">
        <w:t>e</w:t>
      </w:r>
      <w:r w:rsidRPr="00E14E94">
        <w:t>dom och teknisk komplexitet. Regeringen gör bedömningen att kapitaltäc</w:t>
      </w:r>
      <w:r w:rsidRPr="00E14E94">
        <w:t>k</w:t>
      </w:r>
      <w:r w:rsidRPr="00E14E94">
        <w:t>ningsreglerna är alltför detaljerade och behöver ändras alltför ofta för att det skall vara ändamålsenligt att de i sin helhet tas in i lag. Direktivens bestä</w:t>
      </w:r>
      <w:r w:rsidRPr="00E14E94">
        <w:t>m</w:t>
      </w:r>
      <w:r w:rsidRPr="00E14E94">
        <w:t xml:space="preserve">melser föreslås därför i stor utsträckning genomföras genom bemyndiganden från regeringen till Finansinspektionen. Det föreslagna genomförandet av direktiven förutsätter att det i kapitaltäckningslagen införs bemyndiganden som ger regeringen möjlighet att delegera föreskriftsrätt </w:t>
      </w:r>
      <w:r w:rsidRPr="00E14E94">
        <w:t>till Finansinspekti</w:t>
      </w:r>
      <w:r w:rsidRPr="00E14E94">
        <w:t>o</w:t>
      </w:r>
      <w:r w:rsidRPr="00E14E94">
        <w:t>nen. I propositionen anförs att föreskrifter om kapitaltäckning utgör ett medel för det allmänna att främja stabiliteten i finansiella företag och den finans</w:t>
      </w:r>
      <w:r w:rsidRPr="00E14E94">
        <w:t>i</w:t>
      </w:r>
      <w:r w:rsidRPr="00E14E94">
        <w:t>ella sektorn och att föreskrifterna därför anses vara offentligrättsliga enligt 8 kap. 3 § regeringsformen (samma bedömning gjordes vid införandet av kapitaltäckningslagen, jfr prop. 1994/95:50 s. 285). Eftersom föreskrifter om kapitaltäckning avser näringsverksamhet kan riksdagen enligt 8 kap. 7 § regeringsformen genom föreskrifter</w:t>
      </w:r>
      <w:r w:rsidRPr="00E14E94">
        <w:t xml:space="preserve"> i lag överlåta åt regeringen att genom förordningar meddela föreskrifter i ämnet. Enligt 8 kap. 11 § regeringsfo</w:t>
      </w:r>
      <w:r w:rsidRPr="00E14E94">
        <w:t>r</w:t>
      </w:r>
      <w:r w:rsidRPr="00E14E94">
        <w:t>men kan riksdagen, om den bemyndigar regeringen att meddela föreskrifter i ett visst ämne, därvid medge att regeringen överlåter åt förvaltningsmyndi</w:t>
      </w:r>
      <w:r w:rsidRPr="00E14E94">
        <w:t>g</w:t>
      </w:r>
      <w:r w:rsidRPr="00E14E94">
        <w:t>het att meddela bestämmelser, s.k. subdelegation. Mot denna bakgrund för</w:t>
      </w:r>
      <w:r w:rsidRPr="00E14E94">
        <w:t>e</w:t>
      </w:r>
      <w:r w:rsidRPr="00E14E94">
        <w:t>slår regeringen att det i kapitaltäckningslagen införs bemyndiganden som ger regeringen möjlighet att delegera föreskriftsrätt till Finansinspektionen. Det bör tydligt anges i</w:t>
      </w:r>
      <w:r w:rsidRPr="00E14E94">
        <w:t xml:space="preserve"> vilken omfattning regeringen kan överlåta sin rätt att meddela föreskrifter till Finansinspektionen. De bestämmelser som tas in i kapitaltäckningslagen bör utformas som ramregler.</w:t>
      </w:r>
    </w:p>
    <w:p w:rsidR="008C339E" w:rsidRPr="00E14E94" w:rsidRDefault="008C339E">
      <w:pPr>
        <w:pStyle w:val="Rubrik3"/>
      </w:pPr>
      <w:bookmarkStart w:id="27" w:name="_Toc482413738"/>
      <w:r w:rsidRPr="00E14E94">
        <w:t>Finansutskottets ställningstagande</w:t>
      </w:r>
      <w:bookmarkEnd w:id="27"/>
    </w:p>
    <w:p w:rsidR="008C339E" w:rsidRPr="00E14E94" w:rsidRDefault="008C339E">
      <w:r w:rsidRPr="00E14E94">
        <w:t>Utskottet delar regeringens bedömningar och tillstyrker regeringens förslag.</w:t>
      </w:r>
    </w:p>
    <w:p w:rsidR="008C339E" w:rsidRPr="00E14E94" w:rsidRDefault="008C339E">
      <w:pPr>
        <w:pStyle w:val="Rubrik2"/>
      </w:pPr>
      <w:bookmarkStart w:id="28" w:name="_Toc482413739"/>
      <w:r w:rsidRPr="00E14E94">
        <w:t>Fordringar på AP-fonderna</w:t>
      </w:r>
      <w:bookmarkEnd w:id="28"/>
    </w:p>
    <w:p w:rsidR="008C339E" w:rsidRPr="00E14E94" w:rsidRDefault="008C339E">
      <w:pPr>
        <w:pStyle w:val="Rubrik3"/>
        <w:spacing w:before="123"/>
      </w:pPr>
      <w:bookmarkStart w:id="29" w:name="_Toc482413740"/>
      <w:r w:rsidRPr="00E14E94">
        <w:t>Propositionen</w:t>
      </w:r>
      <w:bookmarkEnd w:id="29"/>
    </w:p>
    <w:p w:rsidR="008C339E" w:rsidRPr="00E14E94" w:rsidRDefault="008C339E">
      <w:r w:rsidRPr="00E14E94">
        <w:t>Enligt kapitaltäckningslagen skall i dag fordringar på staten åsättas riskvikten 0 % medan fordringar på AP-fonden skall åsättas riskvikten 20 %. I den av riksdagen nyligen antagna lagen om allmänna pensionsfonder anges att AP-fonderna är statliga myndigheter (prop. 1999/2000:46, bet. FiU19, rskr. 181). Regeringen anser därför att det från risksynpunkt inte är motiverat att tillä</w:t>
      </w:r>
      <w:r w:rsidRPr="00E14E94">
        <w:t>m</w:t>
      </w:r>
      <w:r w:rsidRPr="00E14E94">
        <w:t>pa annan riskvikt än 0 % för AP-fonderna. I den promemoria som ligger till grund för lagstiftningsärendet föreslogs dock att riskvikten 20 % även for</w:t>
      </w:r>
      <w:r w:rsidRPr="00E14E94">
        <w:t>t</w:t>
      </w:r>
      <w:r w:rsidRPr="00E14E94">
        <w:t>sättningsvis skulle gälla för fordringar som Sjunde AP-fonden (nuvarande sjunde fondstyrelsen) svarar för. Detta motiverades i promemorian med att en sänkning av riskvikten till 0 % skulle kunna ge Sjunde AP-fonden en konkurrensfördel gentemot konkurrerande värdepappersinst</w:t>
      </w:r>
      <w:r w:rsidRPr="00E14E94">
        <w:t>i</w:t>
      </w:r>
      <w:r w:rsidRPr="00E14E94">
        <w:t>tut.</w:t>
      </w:r>
    </w:p>
    <w:p w:rsidR="008C339E" w:rsidRPr="00E14E94" w:rsidRDefault="008C339E">
      <w:pPr>
        <w:pStyle w:val="Normaltindrag"/>
      </w:pPr>
      <w:r w:rsidRPr="00E14E94">
        <w:t>I propositionen anför regeringen att vid bestämmandet av riskvikter och kapitalkr</w:t>
      </w:r>
      <w:r w:rsidRPr="00E14E94">
        <w:t>av måste utgångspunkten vara den risk som en viss typ av placering faktiskt innebär. Eftersom AP-fonderna är en del av staten är det inte motiv</w:t>
      </w:r>
      <w:r w:rsidRPr="00E14E94">
        <w:t>e</w:t>
      </w:r>
      <w:r w:rsidRPr="00E14E94">
        <w:t>rat att sätta riskvikten 20 % för fordringar på Sjunde AP-fonden. Därtill kommer att man kan förutse att Sjunde AP-fondens upplåning på marknaden torde bli mycket begränsad. Regeringen föreslår således att riskvikten för placeringar och fordringar för vilka en AP-fond svarar sänks från 20 % till 0 %.</w:t>
      </w:r>
    </w:p>
    <w:p w:rsidR="008C339E" w:rsidRPr="00E14E94" w:rsidRDefault="008C339E">
      <w:pPr>
        <w:pStyle w:val="Rubrik3"/>
      </w:pPr>
      <w:bookmarkStart w:id="30" w:name="_Toc482413741"/>
      <w:r w:rsidRPr="00E14E94">
        <w:t>Motionen</w:t>
      </w:r>
      <w:bookmarkEnd w:id="30"/>
    </w:p>
    <w:p w:rsidR="008C339E" w:rsidRPr="00E14E94" w:rsidRDefault="008C339E">
      <w:r w:rsidRPr="00E14E94">
        <w:t xml:space="preserve">I </w:t>
      </w:r>
      <w:r w:rsidRPr="00E14E94">
        <w:rPr>
          <w:i/>
        </w:rPr>
        <w:t>motion Fi11</w:t>
      </w:r>
      <w:r w:rsidRPr="00E14E94">
        <w:t xml:space="preserve"> av Gunnar Hökmark m.fl. (m) anförs att enligt riktlinjerna i pensionsreformen skall den statliga kapitalförvaltningen, dvs. Sjunde AP-fonden, verka på lika villkor och i full konkurrens med privata kapitalfö</w:t>
      </w:r>
      <w:r w:rsidRPr="00E14E94">
        <w:t>r</w:t>
      </w:r>
      <w:r w:rsidRPr="00E14E94">
        <w:t>valtare. Om riskvikten för fordringar på Sjunde AP-fonden sänks till 0 % kommer Sjunde AP-fonden att få en konkurrensfördel gentemot övriga pr</w:t>
      </w:r>
      <w:r w:rsidRPr="00E14E94">
        <w:t>i</w:t>
      </w:r>
      <w:r w:rsidRPr="00E14E94">
        <w:t>vata institut. Sjunde AP-fonden kommer förmodligen att kunna erhålla kr</w:t>
      </w:r>
      <w:r w:rsidRPr="00E14E94">
        <w:t>e</w:t>
      </w:r>
      <w:r w:rsidRPr="00E14E94">
        <w:t>diter till en lägre ränta än en privat förvaltare vars krediter för kreditgiv</w:t>
      </w:r>
      <w:r w:rsidRPr="00E14E94">
        <w:t>aren är förknippade med kapitaltäckningskrav. Regeringens förslag står således i strid med riktlinjerna för pensionsreformen. Motionärerna anser därför att riskvikten för fordringar på Sjunde AP-fonden även i fortsättningen bör vara 20 %.</w:t>
      </w:r>
    </w:p>
    <w:p w:rsidR="008C339E" w:rsidRPr="00E14E94" w:rsidRDefault="008C339E">
      <w:pPr>
        <w:pStyle w:val="Rubrik3"/>
      </w:pPr>
      <w:bookmarkStart w:id="31" w:name="_Toc482413742"/>
      <w:r w:rsidRPr="00E14E94">
        <w:t>Finansutskottets ställningstagande</w:t>
      </w:r>
      <w:bookmarkEnd w:id="31"/>
    </w:p>
    <w:p w:rsidR="008C339E" w:rsidRPr="00E14E94" w:rsidRDefault="008C339E">
      <w:r w:rsidRPr="00E14E94">
        <w:t>I propositionen föreslås bl.a. att riskvikten för placeringar och fordringar för vilka en AP-fond svarar sänks från 20 % till 0 %. Utskottet anser, i motsats till motionärerna, att utgångspunkten vid bestämmandet av riskvikter och kapitalkrav måste vara den risk som en viss typ av placering faktiskt innebär. Som framgått ovan är AP-fonderna en del av staten. Fordringar på staten åsätts riskvikten 0 %. Eftersom AP-fonderna är en del av staten anser u</w:t>
      </w:r>
      <w:r w:rsidRPr="00E14E94">
        <w:t>t</w:t>
      </w:r>
      <w:r w:rsidRPr="00E14E94">
        <w:t>skottet att de, i likhet med andra delar av staten, bör åsättas riskvikten 0 %. Att sätta riskvikten 20 % för fordringar på Sjunde AP-fonden skulle endast medföra ökade kostnader för kreditgivarna. Utskottet anser således att for</w:t>
      </w:r>
      <w:r w:rsidRPr="00E14E94">
        <w:t>d</w:t>
      </w:r>
      <w:r w:rsidRPr="00E14E94">
        <w:t>ringar på Sjunde AP-fonden bör åsättas riskvikten 0 %. Med anledning av vad som anförs i motionen vill utskottet understryka att Sjunde AP-fondens uppgift är att förvalta de medel inom premiepensionssystemet som förs till Premiesparfonden och Premievalsfonden. Sjunde AP-fonden ska</w:t>
      </w:r>
      <w:r w:rsidRPr="00E14E94">
        <w:t>ll således förvalta premiepensionsmedel och fondens upplåning på marknaden torde därför bli mycket begränsad. Med det anförda tillstyrker utskottet regerin</w:t>
      </w:r>
      <w:r w:rsidRPr="00E14E94">
        <w:t>g</w:t>
      </w:r>
      <w:r w:rsidRPr="00E14E94">
        <w:t>ens förslag. Motion Fi11 (m) avstyrks.</w:t>
      </w:r>
    </w:p>
    <w:p w:rsidR="008C339E" w:rsidRPr="00E14E94" w:rsidRDefault="008C339E">
      <w:pPr>
        <w:pStyle w:val="Rubrik2"/>
      </w:pPr>
      <w:bookmarkStart w:id="32" w:name="_Toc482413743"/>
      <w:r w:rsidRPr="00E14E94">
        <w:t>Regeringens förslag i övrigt</w:t>
      </w:r>
      <w:bookmarkEnd w:id="32"/>
    </w:p>
    <w:p w:rsidR="008C339E" w:rsidRPr="00E14E94" w:rsidRDefault="008C339E">
      <w:pPr>
        <w:pStyle w:val="Rubrik3"/>
        <w:spacing w:before="123"/>
      </w:pPr>
      <w:bookmarkStart w:id="33" w:name="_Toc482413744"/>
      <w:r w:rsidRPr="00E14E94">
        <w:t>Propositionen</w:t>
      </w:r>
      <w:bookmarkEnd w:id="33"/>
    </w:p>
    <w:p w:rsidR="008C339E" w:rsidRPr="00E14E94" w:rsidRDefault="008C339E">
      <w:r w:rsidRPr="00E14E94">
        <w:t>När det gäller kapitalkravet för kreditrisk föreslår regeringen vissa komple</w:t>
      </w:r>
      <w:r w:rsidRPr="00E14E94">
        <w:t>t</w:t>
      </w:r>
      <w:r w:rsidRPr="00E14E94">
        <w:t>teringar av kapitaltäckningslagens riskviktningssystem. Det föreslås att reg</w:t>
      </w:r>
      <w:r w:rsidRPr="00E14E94">
        <w:t>e</w:t>
      </w:r>
      <w:r w:rsidRPr="00E14E94">
        <w:t>ringen eller, efter regeringens bemyndigande, Finansinspektionen skall ku</w:t>
      </w:r>
      <w:r w:rsidRPr="00E14E94">
        <w:t>n</w:t>
      </w:r>
      <w:r w:rsidRPr="00E14E94">
        <w:t>na föreskriva en lägre riskvikt än 100 % om det är motiverat från risksy</w:t>
      </w:r>
      <w:r w:rsidRPr="00E14E94">
        <w:t>n</w:t>
      </w:r>
      <w:r w:rsidRPr="00E14E94">
        <w:t>punkt. Det innebär bl.a. att värdepapper vars värde är beroende av b</w:t>
      </w:r>
      <w:r w:rsidRPr="00E14E94">
        <w:t>o</w:t>
      </w:r>
      <w:r w:rsidRPr="00E14E94">
        <w:t>stadskrediter kan åsättas samma riskvikt, 50 %, som krediter till bostäder.</w:t>
      </w:r>
    </w:p>
    <w:p w:rsidR="008C339E" w:rsidRPr="00E14E94" w:rsidRDefault="008C339E">
      <w:pPr>
        <w:pStyle w:val="Normaltindrag"/>
      </w:pPr>
      <w:r w:rsidRPr="00E14E94">
        <w:t>Nuvarande kapitalkrav för marknadsrisker föreslås skärpt så att det även omfattar råvarutillgångar och positioner i råvaruderivat. Guld och po</w:t>
      </w:r>
      <w:r w:rsidRPr="00E14E94">
        <w:t xml:space="preserve">sitioner i guldderivat skall därvid behandlas enligt reglerna för valutarisk. Vidare skärps kapitalkraven för valutarisk på så sätt att  kravet skall beräknas på hela valutaexponeringen. </w:t>
      </w:r>
    </w:p>
    <w:p w:rsidR="008C339E" w:rsidRPr="00E14E94" w:rsidRDefault="008C339E">
      <w:pPr>
        <w:pStyle w:val="Normaltindrag"/>
      </w:pPr>
      <w:r w:rsidRPr="00E14E94">
        <w:t>Dessutom föreslås en möjlighet att under vissa förutsättningar överskrida gränserna för stora exponeringar i 5 kap. kapitaltäckningslagen. Det föreslås också att eviga och tidsbegränsade förlagslån skall kunna räknas in i kapita</w:t>
      </w:r>
      <w:r w:rsidRPr="00E14E94">
        <w:t>l</w:t>
      </w:r>
      <w:r w:rsidRPr="00E14E94">
        <w:t>basen i den utsträckning regeringen eller, efter regeringens bemyndigande, Finansinspektionen föreskriver.</w:t>
      </w:r>
    </w:p>
    <w:p w:rsidR="008C339E" w:rsidRPr="00E14E94" w:rsidRDefault="008C339E">
      <w:pPr>
        <w:pStyle w:val="Normaltindrag"/>
      </w:pPr>
      <w:r w:rsidRPr="00E14E94">
        <w:t>Utöver ändringarna i kapitaltäckningslagen föreslås ändringar i sekretes</w:t>
      </w:r>
      <w:r w:rsidRPr="00E14E94">
        <w:t>s</w:t>
      </w:r>
      <w:r w:rsidRPr="00E14E94">
        <w:t>lagen (1980:100). Sekretess skall framdeles gälla även för uppgifter som Finansinspektionen erhåller enligt samarbetsavtal med andra utländska my</w:t>
      </w:r>
      <w:r w:rsidRPr="00E14E94">
        <w:t>n</w:t>
      </w:r>
      <w:r w:rsidRPr="00E14E94">
        <w:t>digheter än tillsynsmyndigheter och med utländska organ på det finansiella området.</w:t>
      </w:r>
    </w:p>
    <w:p w:rsidR="008C339E" w:rsidRPr="00E14E94" w:rsidRDefault="008C339E">
      <w:pPr>
        <w:pStyle w:val="Normaltindrag"/>
      </w:pPr>
      <w:r w:rsidRPr="00E14E94">
        <w:t>Ändringarna föreslås träda i kraft den 1 juli 2000.</w:t>
      </w:r>
    </w:p>
    <w:p w:rsidR="008C339E" w:rsidRPr="00E14E94" w:rsidRDefault="008C339E">
      <w:pPr>
        <w:pStyle w:val="Rubrik3"/>
      </w:pPr>
      <w:bookmarkStart w:id="34" w:name="_Toc482413745"/>
      <w:r w:rsidRPr="00E14E94">
        <w:t>Finansutskottets ställningstagande</w:t>
      </w:r>
      <w:bookmarkEnd w:id="34"/>
    </w:p>
    <w:p w:rsidR="008C339E" w:rsidRPr="00E14E94" w:rsidRDefault="008C339E">
      <w:r w:rsidRPr="00E14E94">
        <w:t>Utskottet har inte något att erinra mot regeringens förslag i övrigt varför de tillstyrks.</w:t>
      </w:r>
    </w:p>
    <w:p w:rsidR="008C339E" w:rsidRPr="00E14E94" w:rsidRDefault="008C339E">
      <w:pPr>
        <w:pStyle w:val="Rubrik2"/>
      </w:pPr>
      <w:r w:rsidRPr="00E14E94">
        <w:br w:type="page"/>
      </w:r>
      <w:bookmarkStart w:id="35" w:name="_Toc482413746"/>
      <w:r w:rsidRPr="00E14E94">
        <w:t>Hemställan</w:t>
      </w:r>
      <w:bookmarkEnd w:id="35"/>
    </w:p>
    <w:p w:rsidR="008C339E" w:rsidRPr="00E14E94" w:rsidRDefault="008C339E">
      <w:r w:rsidRPr="00E14E94">
        <w:t>Utskottet hemställer</w:t>
      </w:r>
    </w:p>
    <w:p w:rsidR="008C339E" w:rsidRPr="00E14E94" w:rsidRDefault="008C339E">
      <w:pPr>
        <w:pStyle w:val="hembetr"/>
      </w:pPr>
      <w:bookmarkStart w:id="36" w:name="Nästa_Hpunkt"/>
      <w:bookmarkEnd w:id="36"/>
      <w:r w:rsidRPr="00E14E94">
        <w:t xml:space="preserve">1. beträffande </w:t>
      </w:r>
      <w:r w:rsidRPr="00E14E94">
        <w:rPr>
          <w:i/>
        </w:rPr>
        <w:t>genomförandet av direktiven</w:t>
      </w:r>
    </w:p>
    <w:p w:rsidR="008C339E" w:rsidRPr="00E14E94" w:rsidRDefault="008C339E">
      <w:pPr>
        <w:pStyle w:val="hemtext"/>
      </w:pPr>
      <w:r w:rsidRPr="00E14E94">
        <w:t>att riksdagen med bifall till proposition 1999/2000:94 i denna del go</w:t>
      </w:r>
      <w:r w:rsidRPr="00E14E94">
        <w:t>d</w:t>
      </w:r>
      <w:r w:rsidRPr="00E14E94">
        <w:t>känner vad u</w:t>
      </w:r>
      <w:r w:rsidRPr="00E14E94">
        <w:t>t</w:t>
      </w:r>
      <w:r w:rsidRPr="00E14E94">
        <w:t>skottet anfört,</w:t>
      </w:r>
      <w:bookmarkStart w:id="37" w:name="RESPARTI001"/>
      <w:bookmarkEnd w:id="37"/>
    </w:p>
    <w:p w:rsidR="008C339E" w:rsidRPr="00E14E94" w:rsidRDefault="008C339E">
      <w:pPr>
        <w:pStyle w:val="hembetr"/>
      </w:pPr>
      <w:r w:rsidRPr="00E14E94">
        <w:t xml:space="preserve">2. beträffande </w:t>
      </w:r>
      <w:r w:rsidRPr="00E14E94">
        <w:rPr>
          <w:i/>
        </w:rPr>
        <w:t>fordringar på AP-fonderna</w:t>
      </w:r>
    </w:p>
    <w:p w:rsidR="008C339E" w:rsidRPr="00E14E94" w:rsidRDefault="008C339E">
      <w:pPr>
        <w:pStyle w:val="hemtext"/>
      </w:pPr>
      <w:r w:rsidRPr="00E14E94">
        <w:t>att riksdagen med bifall till proposition 1999/2000:94 i denna del och med avslag på motion 1999/2000:Fi11 godkänner vad utskottet anfört,</w:t>
      </w:r>
    </w:p>
    <w:p w:rsidR="008C339E" w:rsidRPr="00E14E94" w:rsidRDefault="008C339E">
      <w:pPr>
        <w:pStyle w:val="Reseftermom"/>
      </w:pPr>
      <w:r w:rsidRPr="00E14E94">
        <w:t>res. (m, fp)</w:t>
      </w:r>
      <w:bookmarkStart w:id="38" w:name="RESPARTI002"/>
      <w:bookmarkEnd w:id="38"/>
    </w:p>
    <w:p w:rsidR="008C339E" w:rsidRPr="00E14E94" w:rsidRDefault="008C339E">
      <w:pPr>
        <w:pStyle w:val="hembetr"/>
      </w:pPr>
      <w:r w:rsidRPr="00E14E94">
        <w:t xml:space="preserve">3. beträffande </w:t>
      </w:r>
      <w:r w:rsidRPr="00E14E94">
        <w:rPr>
          <w:i/>
        </w:rPr>
        <w:t>regeringens förslag i övrigt</w:t>
      </w:r>
    </w:p>
    <w:p w:rsidR="008C339E" w:rsidRPr="00E14E94" w:rsidRDefault="008C339E">
      <w:pPr>
        <w:pStyle w:val="hemtext"/>
      </w:pPr>
      <w:r w:rsidRPr="00E14E94">
        <w:t>att riksdagen med bifall till proposition 1999/2000:94 i denna del go</w:t>
      </w:r>
      <w:r w:rsidRPr="00E14E94">
        <w:t>d</w:t>
      </w:r>
      <w:r w:rsidRPr="00E14E94">
        <w:t>känner vad u</w:t>
      </w:r>
      <w:r w:rsidRPr="00E14E94">
        <w:t>t</w:t>
      </w:r>
      <w:r w:rsidRPr="00E14E94">
        <w:t>skottet anfört,</w:t>
      </w:r>
      <w:bookmarkStart w:id="39" w:name="RESPARTI003"/>
      <w:bookmarkEnd w:id="39"/>
    </w:p>
    <w:p w:rsidR="008C339E" w:rsidRPr="00E14E94" w:rsidRDefault="008C339E">
      <w:pPr>
        <w:pStyle w:val="hembetr"/>
      </w:pPr>
      <w:r w:rsidRPr="00E14E94">
        <w:t xml:space="preserve">4. beträffande </w:t>
      </w:r>
      <w:r w:rsidRPr="00E14E94">
        <w:rPr>
          <w:i/>
        </w:rPr>
        <w:t>lagförslagen</w:t>
      </w:r>
    </w:p>
    <w:p w:rsidR="008C339E" w:rsidRPr="00E14E94" w:rsidRDefault="008C339E">
      <w:pPr>
        <w:pStyle w:val="hemtext"/>
      </w:pPr>
      <w:r w:rsidRPr="00E14E94">
        <w:t>att riksdagen till följd av vad utskottet ovan anfört och hemställt och med bifall till proposition 1999/2000:94 i denna del antar de av reg</w:t>
      </w:r>
      <w:r w:rsidRPr="00E14E94">
        <w:t>e</w:t>
      </w:r>
      <w:r w:rsidRPr="00E14E94">
        <w:t>ringen fra</w:t>
      </w:r>
      <w:r w:rsidRPr="00E14E94">
        <w:t>m</w:t>
      </w:r>
      <w:r w:rsidRPr="00E14E94">
        <w:t xml:space="preserve">lagda förslagen till      </w:t>
      </w:r>
    </w:p>
    <w:p w:rsidR="008C339E" w:rsidRPr="00E14E94" w:rsidRDefault="008C339E">
      <w:pPr>
        <w:pStyle w:val="hemtext"/>
      </w:pPr>
      <w:r w:rsidRPr="00E14E94">
        <w:rPr>
          <w:i/>
        </w:rPr>
        <w:t>dels</w:t>
      </w:r>
      <w:r w:rsidRPr="00E14E94">
        <w:t xml:space="preserve"> lag om ändring i sekretesslagen (1980:100),</w:t>
      </w:r>
    </w:p>
    <w:p w:rsidR="008C339E" w:rsidRPr="00E14E94" w:rsidRDefault="008C339E">
      <w:pPr>
        <w:pStyle w:val="hemtext"/>
      </w:pPr>
      <w:r w:rsidRPr="00E14E94">
        <w:rPr>
          <w:i/>
        </w:rPr>
        <w:t>dels</w:t>
      </w:r>
      <w:r w:rsidRPr="00E14E94">
        <w:t xml:space="preserve"> lag om ändring i lagen (1994:2004) om kapitaltäckning och stora expon</w:t>
      </w:r>
      <w:r w:rsidRPr="00E14E94">
        <w:t>e</w:t>
      </w:r>
      <w:r w:rsidRPr="00E14E94">
        <w:t>ringar för kreditinstitut och värdepappersbolag.</w:t>
      </w:r>
      <w:bookmarkStart w:id="40" w:name="RESPARTI004"/>
      <w:bookmarkEnd w:id="40"/>
    </w:p>
    <w:p w:rsidR="008C339E" w:rsidRPr="00E14E94" w:rsidRDefault="008C339E">
      <w:pPr>
        <w:pStyle w:val="Stockholm"/>
      </w:pPr>
      <w:r w:rsidRPr="00E14E94">
        <w:t xml:space="preserve">Stockholm den 4 maj 2000 </w:t>
      </w:r>
    </w:p>
    <w:p w:rsidR="008C339E" w:rsidRPr="00E14E94" w:rsidRDefault="008C339E">
      <w:pPr>
        <w:pStyle w:val="Vgnar"/>
      </w:pPr>
      <w:r w:rsidRPr="00E14E94">
        <w:t>På finansutskottets vägnar</w:t>
      </w:r>
    </w:p>
    <w:p w:rsidR="008C339E" w:rsidRPr="00E14E94" w:rsidRDefault="008C339E">
      <w:pPr>
        <w:pStyle w:val="Ordfnamn"/>
      </w:pPr>
      <w:bookmarkStart w:id="41" w:name="Ordförande"/>
      <w:bookmarkEnd w:id="41"/>
      <w:r w:rsidRPr="00E14E94">
        <w:t xml:space="preserve">Jan Bergqvist </w:t>
      </w:r>
    </w:p>
    <w:p w:rsidR="008C339E" w:rsidRPr="00E14E94" w:rsidRDefault="008C339E">
      <w:pPr>
        <w:pStyle w:val="Deltagare"/>
      </w:pPr>
      <w:bookmarkStart w:id="42" w:name="Deltagare"/>
      <w:bookmarkEnd w:id="42"/>
      <w:r w:rsidRPr="00E14E94">
        <w:t>I beslutet har deltagit: Jan Bergqvist (s), Mats Odell (kd), Gunnar Hökmark (m), Bengt Silfverstrand (s), Lisbet Calner (s), Johan Lönnroth (v), Lennart Hedquist (m), Sonia Karlsson (s), Fredrik Reinfeldt (m), Carin Lundberg (s), Sven-Erik Österberg (s), Siv Holma (v), Per Landgren (kd), Matz Hamma</w:t>
      </w:r>
      <w:r w:rsidRPr="00E14E94">
        <w:t>r</w:t>
      </w:r>
      <w:r w:rsidRPr="00E14E94">
        <w:t>ström (mp), Lena Ek (c), Karin Pilsäter (fp) och Gunnar Axén (m).</w:t>
      </w:r>
    </w:p>
    <w:p w:rsidR="008C339E" w:rsidRPr="00E14E94" w:rsidRDefault="008C339E"/>
    <w:p w:rsidR="008C339E" w:rsidRPr="00E14E94" w:rsidRDefault="008C339E">
      <w:pPr>
        <w:pStyle w:val="Normaltindrag"/>
      </w:pPr>
    </w:p>
    <w:p w:rsidR="008C339E" w:rsidRPr="00E14E94" w:rsidRDefault="008C339E">
      <w:pPr>
        <w:pStyle w:val="Rubrik1"/>
        <w:sectPr w:rsidR="00000000" w:rsidRPr="00E14E94">
          <w:headerReference w:type="default" r:id="rId12"/>
          <w:footerReference w:type="default" r:id="rId13"/>
          <w:pgSz w:w="11906" w:h="16838" w:code="9"/>
          <w:pgMar w:top="567" w:right="4876" w:bottom="4508" w:left="1134" w:header="227" w:footer="227" w:gutter="0"/>
          <w:cols w:space="720"/>
        </w:sectPr>
      </w:pPr>
    </w:p>
    <w:p w:rsidR="008C339E" w:rsidRPr="00E14E94" w:rsidRDefault="008C339E">
      <w:pPr>
        <w:pStyle w:val="Rubrik1"/>
        <w:spacing w:before="0"/>
      </w:pPr>
      <w:bookmarkStart w:id="43" w:name="_Toc482413747"/>
      <w:r w:rsidRPr="00E14E94">
        <w:t>Reservation</w:t>
      </w:r>
      <w:bookmarkEnd w:id="43"/>
    </w:p>
    <w:p w:rsidR="008C339E" w:rsidRPr="00E14E94" w:rsidRDefault="008C339E">
      <w:pPr>
        <w:pStyle w:val="Rubrik2"/>
        <w:spacing w:before="123"/>
      </w:pPr>
      <w:bookmarkStart w:id="44" w:name="_Toc482413748"/>
      <w:r w:rsidRPr="00E14E94">
        <w:t>Fordringar på AP-fonderna (mom. 2) (m, fp)</w:t>
      </w:r>
      <w:bookmarkEnd w:id="44"/>
    </w:p>
    <w:p w:rsidR="008C339E" w:rsidRPr="00E14E94" w:rsidRDefault="008C339E">
      <w:r w:rsidRPr="00E14E94">
        <w:t xml:space="preserve">Gunnar Hökmark (m), Lennart Hedquist (m), Fredrik Reinfeldt (m), Karin Pilsäter (fp) och Gunnar Axén (m) anser </w:t>
      </w:r>
    </w:p>
    <w:p w:rsidR="008C339E" w:rsidRPr="00E14E94" w:rsidRDefault="008C339E">
      <w:r w:rsidRPr="00E14E94">
        <w:rPr>
          <w:i/>
        </w:rPr>
        <w:t>dels</w:t>
      </w:r>
      <w:r w:rsidRPr="00E14E94">
        <w:t xml:space="preserve"> att finansutskottets ställningstagande under rubriken </w:t>
      </w:r>
      <w:r w:rsidRPr="00E14E94">
        <w:rPr>
          <w:i/>
        </w:rPr>
        <w:t>Fordringar på AP-fonderna</w:t>
      </w:r>
      <w:r w:rsidRPr="00E14E94">
        <w:t xml:space="preserve"> bort ha följande lydelse:</w:t>
      </w:r>
    </w:p>
    <w:p w:rsidR="008C339E" w:rsidRPr="00E14E94" w:rsidRDefault="008C339E">
      <w:pPr>
        <w:pStyle w:val="Normaltindrag"/>
      </w:pPr>
      <w:r w:rsidRPr="00E14E94">
        <w:t>Enligt riktlinjerna i pensionsreformen skall den statliga kapitalförvaltnin</w:t>
      </w:r>
      <w:r w:rsidRPr="00E14E94">
        <w:t>g</w:t>
      </w:r>
      <w:r w:rsidRPr="00E14E94">
        <w:t>en, dvs. Sjunde AP-fonden, verka på lika villkor och i full konkurrens med privata kapitalförvaltare. Sjunde AP-fonden kommer att kunna erhålla kr</w:t>
      </w:r>
      <w:r w:rsidRPr="00E14E94">
        <w:t>e</w:t>
      </w:r>
      <w:r w:rsidRPr="00E14E94">
        <w:t xml:space="preserve">diter till en lägre ränta än en privat förvaltare vars krediter för kreditgivaren är förknippade med kapitaltäckningskrav. Regeringens förslag står således i strid med riktlinjerna för pensionsreformen. Utskottet anser med bifall till motion Fi11 (m) att riskvikten för fordringar på Sjunde AP-fonden även i fortsättningen bör vara 20 %. Riskvikten blir härigenom </w:t>
      </w:r>
      <w:r w:rsidRPr="00E14E94">
        <w:t>densamma som för övriga kapitalförvaltare. Propos</w:t>
      </w:r>
      <w:r w:rsidRPr="00E14E94">
        <w:t>i</w:t>
      </w:r>
      <w:r w:rsidRPr="00E14E94">
        <w:t>tionen avstyrks i denna del.</w:t>
      </w:r>
    </w:p>
    <w:p w:rsidR="008C339E" w:rsidRPr="00E14E94" w:rsidRDefault="008C339E">
      <w:r w:rsidRPr="00E14E94">
        <w:rPr>
          <w:i/>
        </w:rPr>
        <w:t>dels</w:t>
      </w:r>
      <w:r w:rsidRPr="00E14E94">
        <w:t xml:space="preserve"> att utskottets hemställan under 2 bort ha följande lydelse:</w:t>
      </w:r>
    </w:p>
    <w:p w:rsidR="008C339E" w:rsidRPr="00E14E94" w:rsidRDefault="008C339E">
      <w:pPr>
        <w:pStyle w:val="Resklmb"/>
      </w:pPr>
      <w:r w:rsidRPr="00E14E94">
        <w:t xml:space="preserve">2. beträffande </w:t>
      </w:r>
      <w:r w:rsidRPr="00E14E94">
        <w:rPr>
          <w:i/>
        </w:rPr>
        <w:t>fordringar på AP-fonderna</w:t>
      </w:r>
    </w:p>
    <w:p w:rsidR="008C339E" w:rsidRPr="00E14E94" w:rsidRDefault="008C339E">
      <w:pPr>
        <w:pStyle w:val="Resklm"/>
      </w:pPr>
      <w:r w:rsidRPr="00E14E94">
        <w:t>att riksdagen med bifall till motion 1999/2000:Fi11 och med avslag på proposition 1999/2000:94 i denna del godkänner vad utskottet anfört,</w:t>
      </w:r>
    </w:p>
    <w:p w:rsidR="008C339E" w:rsidRPr="00E14E94" w:rsidRDefault="008C339E">
      <w:pPr>
        <w:pStyle w:val="Rubrik1"/>
        <w:spacing w:before="0"/>
      </w:pPr>
    </w:p>
    <w:p w:rsidR="008C339E" w:rsidRPr="00E14E94" w:rsidRDefault="008C339E">
      <w:pPr>
        <w:pStyle w:val="Rubrik1"/>
        <w:spacing w:before="0"/>
      </w:pPr>
    </w:p>
    <w:p w:rsidR="008C339E" w:rsidRPr="00E14E94" w:rsidRDefault="008C339E">
      <w:pPr>
        <w:pStyle w:val="Rubrik1"/>
        <w:spacing w:before="0"/>
      </w:pPr>
      <w:bookmarkStart w:id="45" w:name="_Toc482413749"/>
      <w:r w:rsidRPr="00E14E94">
        <w:t>Särskilt yttrande</w:t>
      </w:r>
      <w:bookmarkEnd w:id="45"/>
    </w:p>
    <w:p w:rsidR="008C339E" w:rsidRPr="00E14E94" w:rsidRDefault="008C339E">
      <w:pPr>
        <w:pStyle w:val="Rubrik2"/>
        <w:spacing w:before="123"/>
      </w:pPr>
      <w:bookmarkStart w:id="46" w:name="_Toc482413750"/>
      <w:r w:rsidRPr="00E14E94">
        <w:t>Fordringar på AP-fonderna (mom.2) (kd)</w:t>
      </w:r>
      <w:bookmarkEnd w:id="46"/>
    </w:p>
    <w:p w:rsidR="008C339E" w:rsidRPr="00E14E94" w:rsidRDefault="008C339E">
      <w:r w:rsidRPr="00E14E94">
        <w:t xml:space="preserve">Mats Odell och Per Landgren (båda kd) anför: </w:t>
      </w:r>
    </w:p>
    <w:p w:rsidR="008C339E" w:rsidRPr="00E14E94" w:rsidRDefault="008C339E">
      <w:r w:rsidRPr="00E14E94">
        <w:t>I den av riksdagen nyligen antagna lagen om allmänna pensionsfonder sta</w:t>
      </w:r>
      <w:r w:rsidRPr="00E14E94">
        <w:t>d</w:t>
      </w:r>
      <w:r w:rsidRPr="00E14E94">
        <w:t>gas att AP-fonderna är statliga myndigheter (prop. 1999/2000:46, bet. FiU19, rskr. 181). Sjunde AP-fonden är således en del av staten. Vi anser att det faktum att Sjunde AP-fonden är en del av staten ger fonden en konkurren</w:t>
      </w:r>
      <w:r w:rsidRPr="00E14E94">
        <w:t>s</w:t>
      </w:r>
      <w:r w:rsidRPr="00E14E94">
        <w:t>fördel gentemot övriga privata institut vid upptagande av krediter. Kapita</w:t>
      </w:r>
      <w:r w:rsidRPr="00E14E94">
        <w:t>l</w:t>
      </w:r>
      <w:r w:rsidRPr="00E14E94">
        <w:t>täckningsreglerna kan inte användas som instrument för att ändra detta fö</w:t>
      </w:r>
      <w:r w:rsidRPr="00E14E94">
        <w:t>r</w:t>
      </w:r>
      <w:r w:rsidRPr="00E14E94">
        <w:t>hållande.</w:t>
      </w:r>
    </w:p>
    <w:p w:rsidR="008C339E" w:rsidRPr="00E14E94" w:rsidRDefault="008C339E">
      <w:pPr>
        <w:pStyle w:val="Resklm"/>
      </w:pPr>
    </w:p>
    <w:p w:rsidR="008C339E" w:rsidRPr="00E14E94" w:rsidRDefault="008C339E">
      <w:pPr>
        <w:pStyle w:val="Rubrik1"/>
        <w:sectPr w:rsidR="00000000" w:rsidRPr="00E14E94">
          <w:headerReference w:type="default" r:id="rId14"/>
          <w:footerReference w:type="default" r:id="rId15"/>
          <w:pgSz w:w="11906" w:h="16838" w:code="9"/>
          <w:pgMar w:top="567" w:right="4876" w:bottom="4508" w:left="1134" w:header="227" w:footer="227" w:gutter="0"/>
          <w:cols w:space="720"/>
        </w:sectPr>
      </w:pPr>
    </w:p>
    <w:p w:rsidR="008C339E" w:rsidRPr="00E14E94" w:rsidRDefault="008C339E">
      <w:pPr>
        <w:pStyle w:val="Rubrik1"/>
        <w:spacing w:before="0"/>
      </w:pPr>
      <w:bookmarkStart w:id="47" w:name="Nästa_Reservation"/>
      <w:bookmarkStart w:id="48" w:name="_Toc482413751"/>
      <w:bookmarkEnd w:id="47"/>
      <w:r w:rsidRPr="00E14E94">
        <w:t>Propositionens lagförslag</w:t>
      </w:r>
      <w:bookmarkEnd w:id="48"/>
    </w:p>
    <w:p w:rsidR="008C339E" w:rsidRPr="00E14E94" w:rsidRDefault="008C339E">
      <w:pPr>
        <w:pStyle w:val="Rubrik2"/>
        <w:spacing w:before="123"/>
      </w:pPr>
      <w:bookmarkStart w:id="49" w:name="_Toc482413752"/>
      <w:r w:rsidRPr="00E14E94">
        <w:t>1  Förslag till lag om ändring i sekretesslagen (1980:100)</w:t>
      </w:r>
      <w:bookmarkEnd w:id="49"/>
    </w:p>
    <w:p w:rsidR="008C339E" w:rsidRPr="00E14E94" w:rsidRDefault="008C339E"/>
    <w:p w:rsidR="008C339E" w:rsidRPr="00E14E94" w:rsidRDefault="008C339E">
      <w:pPr>
        <w:pStyle w:val="Normaltindrag"/>
      </w:pPr>
      <w:r w:rsidRPr="00E14E94">
        <w:br w:type="page"/>
      </w:r>
    </w:p>
    <w:p w:rsidR="008C339E" w:rsidRPr="00E14E94" w:rsidRDefault="008C339E">
      <w:pPr>
        <w:pStyle w:val="Rubrik2"/>
      </w:pPr>
      <w:r w:rsidRPr="00E14E94">
        <w:br w:type="page"/>
      </w:r>
      <w:r w:rsidRPr="00E14E94">
        <w:br w:type="page"/>
      </w:r>
      <w:bookmarkStart w:id="50" w:name="_Toc482413753"/>
      <w:r w:rsidRPr="00E14E94">
        <w:t>2  Förslag till lag om ändring i lagen (1994:2004) om</w:t>
      </w:r>
      <w:r w:rsidRPr="00E14E94">
        <w:br/>
        <w:t xml:space="preserve">    kapitaltäckning och stora exponeringar för kreditinstitut och </w:t>
      </w:r>
      <w:r w:rsidRPr="00E14E94">
        <w:br/>
        <w:t xml:space="preserve">    värdepappersbolag</w:t>
      </w:r>
      <w:bookmarkEnd w:id="50"/>
    </w:p>
    <w:p w:rsidR="008C339E" w:rsidRPr="00E14E94" w:rsidRDefault="008C339E"/>
    <w:p w:rsidR="008C339E" w:rsidRPr="00E14E94" w:rsidRDefault="008C339E">
      <w:pPr>
        <w:pStyle w:val="Normaltindrag"/>
      </w:pPr>
    </w:p>
    <w:p w:rsidR="008C339E" w:rsidRPr="00E14E94" w:rsidRDefault="008C339E">
      <w:pPr>
        <w:pStyle w:val="Normaltindrag"/>
      </w:pPr>
      <w:r w:rsidRPr="00E14E94">
        <w:br w:type="page"/>
      </w:r>
      <w:r w:rsidRPr="00E14E94">
        <w:br w:type="page"/>
      </w:r>
      <w:r w:rsidRPr="00E14E94">
        <w:br w:type="page"/>
      </w:r>
      <w:r w:rsidRPr="00E14E94">
        <w:br w:type="page"/>
      </w:r>
      <w:r w:rsidRPr="00E14E94">
        <w:br w:type="page"/>
      </w:r>
      <w:r w:rsidRPr="00E14E94">
        <w:br w:type="page"/>
      </w:r>
      <w:r w:rsidRPr="00E14E94">
        <w:br w:type="page"/>
      </w:r>
      <w:r w:rsidRPr="00E14E94">
        <w:br w:type="page"/>
      </w:r>
      <w:r w:rsidRPr="00E14E94">
        <w:br w:type="page"/>
      </w:r>
    </w:p>
    <w:p w:rsidR="008C339E" w:rsidRPr="00E14E94" w:rsidRDefault="008C339E"/>
    <w:p w:rsidR="008C339E" w:rsidRPr="00E14E94" w:rsidRDefault="008C339E">
      <w:pPr>
        <w:pStyle w:val="Normaltindrag"/>
        <w:sectPr w:rsidR="00000000" w:rsidRPr="00E14E94">
          <w:headerReference w:type="default" r:id="rId16"/>
          <w:footerReference w:type="default" r:id="rId17"/>
          <w:pgSz w:w="11906" w:h="16838" w:code="9"/>
          <w:pgMar w:top="567" w:right="4876" w:bottom="4508" w:left="1134" w:header="227" w:footer="227" w:gutter="0"/>
          <w:cols w:space="720"/>
        </w:sectPr>
      </w:pPr>
    </w:p>
    <w:p w:rsidR="008C339E" w:rsidRPr="00E14E94" w:rsidRDefault="008C339E">
      <w:pPr>
        <w:pStyle w:val="Innehll"/>
        <w:outlineLvl w:val="1"/>
      </w:pPr>
      <w:r w:rsidRPr="00E14E94">
        <w:t>Innehållsförteckning</w:t>
      </w:r>
    </w:p>
    <w:p w:rsidR="008C339E" w:rsidRPr="00E14E94" w:rsidRDefault="008C339E">
      <w:pPr>
        <w:pStyle w:val="Innehll1"/>
        <w:rPr>
          <w:noProof/>
        </w:rPr>
      </w:pPr>
      <w:r w:rsidRPr="00E14E94">
        <w:rPr>
          <w:noProof/>
        </w:rPr>
        <w:t>Sammanfattning</w:t>
      </w:r>
      <w:r w:rsidRPr="00E14E94">
        <w:rPr>
          <w:noProof/>
        </w:rPr>
        <w:tab/>
        <w:t>1</w:t>
      </w:r>
    </w:p>
    <w:p w:rsidR="008C339E" w:rsidRPr="00E14E94" w:rsidRDefault="008C339E">
      <w:pPr>
        <w:pStyle w:val="Innehll1"/>
        <w:rPr>
          <w:noProof/>
        </w:rPr>
      </w:pPr>
      <w:r w:rsidRPr="00E14E94">
        <w:rPr>
          <w:noProof/>
        </w:rPr>
        <w:t>Propositionen</w:t>
      </w:r>
      <w:r w:rsidRPr="00E14E94">
        <w:rPr>
          <w:noProof/>
        </w:rPr>
        <w:tab/>
        <w:t>1</w:t>
      </w:r>
    </w:p>
    <w:p w:rsidR="008C339E" w:rsidRPr="00E14E94" w:rsidRDefault="008C339E">
      <w:pPr>
        <w:pStyle w:val="Innehll1"/>
        <w:rPr>
          <w:noProof/>
        </w:rPr>
      </w:pPr>
      <w:r w:rsidRPr="00E14E94">
        <w:rPr>
          <w:noProof/>
        </w:rPr>
        <w:t>Motionen</w:t>
      </w:r>
      <w:r w:rsidRPr="00E14E94">
        <w:rPr>
          <w:noProof/>
        </w:rPr>
        <w:tab/>
        <w:t>1</w:t>
      </w:r>
    </w:p>
    <w:p w:rsidR="008C339E" w:rsidRPr="00E14E94" w:rsidRDefault="008C339E">
      <w:pPr>
        <w:pStyle w:val="Innehll1"/>
        <w:rPr>
          <w:noProof/>
        </w:rPr>
      </w:pPr>
      <w:r w:rsidRPr="00E14E94">
        <w:rPr>
          <w:noProof/>
        </w:rPr>
        <w:t>Utskottet</w:t>
      </w:r>
      <w:r w:rsidRPr="00E14E94">
        <w:rPr>
          <w:noProof/>
        </w:rPr>
        <w:tab/>
        <w:t>2</w:t>
      </w:r>
    </w:p>
    <w:p w:rsidR="008C339E" w:rsidRPr="00E14E94" w:rsidRDefault="008C339E">
      <w:pPr>
        <w:pStyle w:val="Innehll2"/>
        <w:rPr>
          <w:noProof/>
        </w:rPr>
      </w:pPr>
      <w:r w:rsidRPr="00E14E94">
        <w:rPr>
          <w:noProof/>
        </w:rPr>
        <w:t>Bakgrund</w:t>
      </w:r>
      <w:r w:rsidRPr="00E14E94">
        <w:rPr>
          <w:noProof/>
        </w:rPr>
        <w:tab/>
        <w:t>2</w:t>
      </w:r>
    </w:p>
    <w:p w:rsidR="008C339E" w:rsidRPr="00E14E94" w:rsidRDefault="008C339E">
      <w:pPr>
        <w:pStyle w:val="Innehll2"/>
        <w:rPr>
          <w:noProof/>
        </w:rPr>
      </w:pPr>
      <w:r w:rsidRPr="00E14E94">
        <w:rPr>
          <w:noProof/>
        </w:rPr>
        <w:t>Genomförandet av direktiven</w:t>
      </w:r>
      <w:r w:rsidRPr="00E14E94">
        <w:rPr>
          <w:noProof/>
        </w:rPr>
        <w:tab/>
        <w:t>2</w:t>
      </w:r>
    </w:p>
    <w:p w:rsidR="008C339E" w:rsidRPr="00E14E94" w:rsidRDefault="008C339E">
      <w:pPr>
        <w:pStyle w:val="Innehll3"/>
        <w:rPr>
          <w:noProof/>
        </w:rPr>
      </w:pPr>
      <w:r w:rsidRPr="00E14E94">
        <w:rPr>
          <w:noProof/>
        </w:rPr>
        <w:t>Propositionen</w:t>
      </w:r>
      <w:r w:rsidRPr="00E14E94">
        <w:rPr>
          <w:noProof/>
        </w:rPr>
        <w:tab/>
        <w:t>2</w:t>
      </w:r>
    </w:p>
    <w:p w:rsidR="008C339E" w:rsidRPr="00E14E94" w:rsidRDefault="008C339E">
      <w:pPr>
        <w:pStyle w:val="Innehll3"/>
        <w:rPr>
          <w:noProof/>
        </w:rPr>
      </w:pPr>
      <w:r w:rsidRPr="00E14E94">
        <w:rPr>
          <w:noProof/>
        </w:rPr>
        <w:t>Finansutskottets ställningstagande</w:t>
      </w:r>
      <w:r w:rsidRPr="00E14E94">
        <w:rPr>
          <w:noProof/>
        </w:rPr>
        <w:tab/>
        <w:t>2</w:t>
      </w:r>
    </w:p>
    <w:p w:rsidR="008C339E" w:rsidRPr="00E14E94" w:rsidRDefault="008C339E">
      <w:pPr>
        <w:pStyle w:val="Innehll2"/>
        <w:rPr>
          <w:noProof/>
        </w:rPr>
      </w:pPr>
      <w:r w:rsidRPr="00E14E94">
        <w:rPr>
          <w:noProof/>
        </w:rPr>
        <w:t>Fordringar på AP-fonderna</w:t>
      </w:r>
      <w:r w:rsidRPr="00E14E94">
        <w:rPr>
          <w:noProof/>
        </w:rPr>
        <w:tab/>
        <w:t>3</w:t>
      </w:r>
    </w:p>
    <w:p w:rsidR="008C339E" w:rsidRPr="00E14E94" w:rsidRDefault="008C339E">
      <w:pPr>
        <w:pStyle w:val="Innehll3"/>
        <w:rPr>
          <w:noProof/>
        </w:rPr>
      </w:pPr>
      <w:r w:rsidRPr="00E14E94">
        <w:rPr>
          <w:noProof/>
        </w:rPr>
        <w:t>Propositionen</w:t>
      </w:r>
      <w:r w:rsidRPr="00E14E94">
        <w:rPr>
          <w:noProof/>
        </w:rPr>
        <w:tab/>
        <w:t>3</w:t>
      </w:r>
    </w:p>
    <w:p w:rsidR="008C339E" w:rsidRPr="00E14E94" w:rsidRDefault="008C339E">
      <w:pPr>
        <w:pStyle w:val="Innehll3"/>
        <w:rPr>
          <w:noProof/>
        </w:rPr>
      </w:pPr>
      <w:r w:rsidRPr="00E14E94">
        <w:rPr>
          <w:noProof/>
        </w:rPr>
        <w:t>Motionen</w:t>
      </w:r>
      <w:r w:rsidRPr="00E14E94">
        <w:rPr>
          <w:noProof/>
        </w:rPr>
        <w:tab/>
        <w:t>3</w:t>
      </w:r>
    </w:p>
    <w:p w:rsidR="008C339E" w:rsidRPr="00E14E94" w:rsidRDefault="008C339E">
      <w:pPr>
        <w:pStyle w:val="Innehll3"/>
        <w:rPr>
          <w:noProof/>
        </w:rPr>
      </w:pPr>
      <w:r w:rsidRPr="00E14E94">
        <w:rPr>
          <w:noProof/>
        </w:rPr>
        <w:t>Finansutskottets ställningstagande</w:t>
      </w:r>
      <w:r w:rsidRPr="00E14E94">
        <w:rPr>
          <w:noProof/>
        </w:rPr>
        <w:tab/>
        <w:t>3</w:t>
      </w:r>
    </w:p>
    <w:p w:rsidR="008C339E" w:rsidRPr="00E14E94" w:rsidRDefault="008C339E">
      <w:pPr>
        <w:pStyle w:val="Innehll2"/>
        <w:rPr>
          <w:noProof/>
        </w:rPr>
      </w:pPr>
      <w:r w:rsidRPr="00E14E94">
        <w:rPr>
          <w:noProof/>
        </w:rPr>
        <w:t>Regeringens förslag i övrigt</w:t>
      </w:r>
      <w:r w:rsidRPr="00E14E94">
        <w:rPr>
          <w:noProof/>
        </w:rPr>
        <w:tab/>
        <w:t>4</w:t>
      </w:r>
    </w:p>
    <w:p w:rsidR="008C339E" w:rsidRPr="00E14E94" w:rsidRDefault="008C339E">
      <w:pPr>
        <w:pStyle w:val="Innehll3"/>
        <w:rPr>
          <w:noProof/>
        </w:rPr>
      </w:pPr>
      <w:r w:rsidRPr="00E14E94">
        <w:rPr>
          <w:noProof/>
        </w:rPr>
        <w:t>Propositionen</w:t>
      </w:r>
      <w:r w:rsidRPr="00E14E94">
        <w:rPr>
          <w:noProof/>
        </w:rPr>
        <w:tab/>
        <w:t>4</w:t>
      </w:r>
    </w:p>
    <w:p w:rsidR="008C339E" w:rsidRPr="00E14E94" w:rsidRDefault="008C339E">
      <w:pPr>
        <w:pStyle w:val="Innehll3"/>
        <w:rPr>
          <w:noProof/>
        </w:rPr>
      </w:pPr>
      <w:r w:rsidRPr="00E14E94">
        <w:rPr>
          <w:noProof/>
        </w:rPr>
        <w:t>Finansutskottets ställningstagande</w:t>
      </w:r>
      <w:r w:rsidRPr="00E14E94">
        <w:rPr>
          <w:noProof/>
        </w:rPr>
        <w:tab/>
        <w:t>4</w:t>
      </w:r>
    </w:p>
    <w:p w:rsidR="008C339E" w:rsidRPr="00E14E94" w:rsidRDefault="008C339E">
      <w:pPr>
        <w:pStyle w:val="Innehll2"/>
        <w:rPr>
          <w:noProof/>
        </w:rPr>
      </w:pPr>
      <w:r w:rsidRPr="00E14E94">
        <w:rPr>
          <w:noProof/>
        </w:rPr>
        <w:t>Hemställan</w:t>
      </w:r>
      <w:r w:rsidRPr="00E14E94">
        <w:rPr>
          <w:noProof/>
        </w:rPr>
        <w:tab/>
        <w:t>5</w:t>
      </w:r>
    </w:p>
    <w:p w:rsidR="008C339E" w:rsidRPr="00E14E94" w:rsidRDefault="008C339E">
      <w:pPr>
        <w:pStyle w:val="Innehll1"/>
        <w:rPr>
          <w:noProof/>
        </w:rPr>
      </w:pPr>
      <w:r w:rsidRPr="00E14E94">
        <w:rPr>
          <w:noProof/>
        </w:rPr>
        <w:t>Reservation</w:t>
      </w:r>
      <w:r w:rsidRPr="00E14E94">
        <w:rPr>
          <w:noProof/>
        </w:rPr>
        <w:tab/>
        <w:t>6</w:t>
      </w:r>
    </w:p>
    <w:p w:rsidR="008C339E" w:rsidRPr="00E14E94" w:rsidRDefault="008C339E">
      <w:pPr>
        <w:pStyle w:val="Innehll2"/>
        <w:rPr>
          <w:noProof/>
        </w:rPr>
      </w:pPr>
      <w:r w:rsidRPr="00E14E94">
        <w:rPr>
          <w:noProof/>
        </w:rPr>
        <w:t>Fordringar på AP-fonderna (mom. 2) (m, fp)</w:t>
      </w:r>
      <w:r w:rsidRPr="00E14E94">
        <w:rPr>
          <w:noProof/>
        </w:rPr>
        <w:tab/>
        <w:t>6</w:t>
      </w:r>
    </w:p>
    <w:p w:rsidR="008C339E" w:rsidRPr="00E14E94" w:rsidRDefault="008C339E">
      <w:pPr>
        <w:pStyle w:val="Innehll1"/>
        <w:rPr>
          <w:noProof/>
        </w:rPr>
      </w:pPr>
      <w:r w:rsidRPr="00E14E94">
        <w:rPr>
          <w:noProof/>
        </w:rPr>
        <w:t>Särskilt yttrande</w:t>
      </w:r>
      <w:r w:rsidRPr="00E14E94">
        <w:rPr>
          <w:noProof/>
        </w:rPr>
        <w:tab/>
        <w:t>6</w:t>
      </w:r>
    </w:p>
    <w:p w:rsidR="008C339E" w:rsidRPr="00E14E94" w:rsidRDefault="008C339E">
      <w:pPr>
        <w:pStyle w:val="Innehll2"/>
        <w:rPr>
          <w:noProof/>
        </w:rPr>
      </w:pPr>
      <w:r w:rsidRPr="00E14E94">
        <w:rPr>
          <w:noProof/>
        </w:rPr>
        <w:t>Fordringar på AP-fonderna (mom.2) (kd)</w:t>
      </w:r>
      <w:r w:rsidRPr="00E14E94">
        <w:rPr>
          <w:noProof/>
        </w:rPr>
        <w:tab/>
        <w:t>6</w:t>
      </w:r>
    </w:p>
    <w:p w:rsidR="008C339E" w:rsidRPr="00E14E94" w:rsidRDefault="008C339E">
      <w:pPr>
        <w:pStyle w:val="Innehll1"/>
        <w:spacing w:before="120"/>
        <w:rPr>
          <w:i/>
          <w:noProof/>
        </w:rPr>
      </w:pPr>
      <w:r w:rsidRPr="00E14E94">
        <w:rPr>
          <w:i/>
          <w:noProof/>
        </w:rPr>
        <w:t>Bilaga</w:t>
      </w:r>
    </w:p>
    <w:p w:rsidR="008C339E" w:rsidRPr="00E14E94" w:rsidRDefault="008C339E">
      <w:pPr>
        <w:pStyle w:val="Innehll1"/>
        <w:rPr>
          <w:noProof/>
        </w:rPr>
      </w:pPr>
      <w:r w:rsidRPr="00E14E94">
        <w:rPr>
          <w:noProof/>
        </w:rPr>
        <w:t>Propositionens lagförslag</w:t>
      </w:r>
      <w:r w:rsidRPr="00E14E94">
        <w:rPr>
          <w:noProof/>
        </w:rPr>
        <w:tab/>
        <w:t>7</w:t>
      </w:r>
    </w:p>
    <w:p w:rsidR="008C339E" w:rsidRPr="00E14E94" w:rsidRDefault="008C339E">
      <w:pPr>
        <w:pStyle w:val="Innehll2"/>
        <w:rPr>
          <w:noProof/>
        </w:rPr>
      </w:pPr>
      <w:r w:rsidRPr="00E14E94">
        <w:rPr>
          <w:noProof/>
        </w:rPr>
        <w:t>1  Förslag till lag om ändring i sekretesslagen (1980:100)</w:t>
      </w:r>
      <w:r w:rsidRPr="00E14E94">
        <w:rPr>
          <w:noProof/>
        </w:rPr>
        <w:tab/>
        <w:t>7</w:t>
      </w:r>
    </w:p>
    <w:p w:rsidR="008C339E" w:rsidRPr="00E14E94" w:rsidRDefault="008C339E">
      <w:pPr>
        <w:pStyle w:val="Innehll2"/>
        <w:rPr>
          <w:noProof/>
        </w:rPr>
      </w:pPr>
      <w:r w:rsidRPr="00E14E94">
        <w:rPr>
          <w:noProof/>
        </w:rPr>
        <w:t>2  Förslag till lag om ändring i lagen (1994:2004) om     kapitaltäckning och stora exponeringar för kreditinstitut och      värd</w:t>
      </w:r>
      <w:r w:rsidRPr="00E14E94">
        <w:rPr>
          <w:noProof/>
        </w:rPr>
        <w:t>e</w:t>
      </w:r>
      <w:r w:rsidRPr="00E14E94">
        <w:rPr>
          <w:noProof/>
        </w:rPr>
        <w:t>pappersbolag</w:t>
      </w:r>
      <w:r w:rsidRPr="00E14E94">
        <w:rPr>
          <w:noProof/>
        </w:rPr>
        <w:tab/>
        <w:t>10</w:t>
      </w:r>
    </w:p>
    <w:p w:rsidR="008C339E" w:rsidRPr="00E14E94" w:rsidRDefault="008C339E"/>
    <w:p w:rsidR="008C339E" w:rsidRPr="00E14E94" w:rsidRDefault="008C339E">
      <w:pPr>
        <w:pStyle w:val="Tryckort"/>
        <w:framePr w:wrap="around"/>
      </w:pPr>
      <w:r w:rsidRPr="00E14E94">
        <w:t>Elanders Gotab, Stockholm  2000</w:t>
      </w:r>
    </w:p>
    <w:p w:rsidR="008C339E" w:rsidRPr="00E14E94" w:rsidRDefault="008C339E">
      <w:pPr>
        <w:pStyle w:val="Normaltindrag"/>
      </w:pPr>
    </w:p>
    <w:sectPr w:rsidR="008C339E" w:rsidRPr="00E14E94">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39E" w:rsidRDefault="008C339E">
      <w:pPr>
        <w:spacing w:before="0" w:line="240" w:lineRule="auto"/>
      </w:pPr>
      <w:r>
        <w:separator/>
      </w:r>
    </w:p>
  </w:endnote>
  <w:endnote w:type="continuationSeparator" w:id="0">
    <w:p w:rsidR="008C339E" w:rsidRDefault="008C33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39E" w:rsidRDefault="008C339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C339E" w:rsidRDefault="008C33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39E" w:rsidRDefault="008C339E">
    <w:pPr>
      <w:pStyle w:val="SidfotH"/>
      <w:framePr w:wrap="around"/>
    </w:pPr>
    <w:r>
      <w:fldChar w:fldCharType="begin" w:fldLock="1"/>
    </w:r>
    <w:r>
      <w:instrText xml:space="preserve"> P</w:instrText>
    </w:r>
    <w:r>
      <w:instrText>A</w:instrText>
    </w:r>
    <w:r>
      <w:instrText xml:space="preserve">GE </w:instrText>
    </w:r>
    <w:r>
      <w:fldChar w:fldCharType="separate"/>
    </w:r>
    <w:r>
      <w:rPr>
        <w:noProof/>
      </w:rPr>
      <w:t>2</w:t>
    </w:r>
    <w:r>
      <w:fldChar w:fldCharType="end"/>
    </w:r>
  </w:p>
  <w:p w:rsidR="008C339E" w:rsidRDefault="008C33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39E" w:rsidRDefault="008C339E">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8C339E" w:rsidRDefault="008C339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39E" w:rsidRDefault="008C339E">
    <w:pPr>
      <w:pStyle w:val="SidfotH"/>
      <w:framePr w:wrap="around"/>
    </w:pPr>
    <w:r>
      <w:fldChar w:fldCharType="begin" w:fldLock="1"/>
    </w:r>
    <w:r>
      <w:instrText xml:space="preserve"> P</w:instrText>
    </w:r>
    <w:r>
      <w:instrText>A</w:instrText>
    </w:r>
    <w:r>
      <w:instrText xml:space="preserve">GE </w:instrText>
    </w:r>
    <w:r>
      <w:fldChar w:fldCharType="separate"/>
    </w:r>
    <w:r>
      <w:rPr>
        <w:noProof/>
      </w:rPr>
      <w:t>19</w:t>
    </w:r>
    <w:r>
      <w:fldChar w:fldCharType="end"/>
    </w:r>
  </w:p>
  <w:p w:rsidR="008C339E" w:rsidRDefault="008C339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39E" w:rsidRDefault="008C339E">
    <w:pPr>
      <w:pStyle w:val="SidfotH"/>
      <w:framePr w:wrap="around"/>
    </w:pPr>
    <w:r>
      <w:fldChar w:fldCharType="begin" w:fldLock="1"/>
    </w:r>
    <w:r>
      <w:instrText xml:space="preserve"> P</w:instrText>
    </w:r>
    <w:r>
      <w:instrText>A</w:instrText>
    </w:r>
    <w:r>
      <w:instrText xml:space="preserve">GE </w:instrText>
    </w:r>
    <w:r>
      <w:fldChar w:fldCharType="separate"/>
    </w:r>
    <w:r>
      <w:rPr>
        <w:noProof/>
      </w:rPr>
      <w:t>20</w:t>
    </w:r>
    <w:r>
      <w:fldChar w:fldCharType="end"/>
    </w:r>
  </w:p>
  <w:p w:rsidR="008C339E" w:rsidRDefault="008C3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39E" w:rsidRDefault="008C339E">
      <w:pPr>
        <w:pStyle w:val="Sidfot"/>
      </w:pPr>
    </w:p>
  </w:footnote>
  <w:footnote w:type="continuationSeparator" w:id="0">
    <w:p w:rsidR="008C339E" w:rsidRDefault="008C339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39E" w:rsidRDefault="008C339E">
    <w:pPr>
      <w:pStyle w:val="SidhuvudKant"/>
      <w:framePr w:w="1758" w:h="2744" w:hRule="exact" w:wrap="around" w:vAnchor="page" w:hAnchor="page" w:x="7372" w:y="568" w:anchorLock="0"/>
    </w:pPr>
  </w:p>
  <w:p w:rsidR="008C339E" w:rsidRDefault="008C33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39E" w:rsidRDefault="008C339E">
    <w:pPr>
      <w:pStyle w:val="SidhuvudKant"/>
      <w:framePr w:w="1758" w:h="2744" w:hRule="exact" w:wrap="around" w:vAnchor="page" w:hAnchor="page" w:x="7372" w:y="568" w:anchorLock="0"/>
      <w:rPr>
        <w:noProof/>
      </w:rPr>
    </w:pPr>
    <w:r>
      <w:rPr>
        <w:noProof/>
      </w:rPr>
      <w:t>1999/2000:FiU26</w:t>
    </w:r>
  </w:p>
  <w:p w:rsidR="008C339E" w:rsidRDefault="008C339E">
    <w:pPr>
      <w:pStyle w:val="SidhuvudKantBilaga"/>
      <w:framePr w:w="1758" w:h="2744" w:hRule="exact" w:wrap="around" w:vAnchor="page" w:hAnchor="page" w:x="7372" w:y="568" w:anchorLock="0"/>
      <w:rPr>
        <w:noProof/>
      </w:rPr>
    </w:pPr>
    <w:r>
      <w:rPr>
        <w:noProof/>
      </w:rPr>
      <w:t>Utskottet</w:t>
    </w:r>
  </w:p>
  <w:p w:rsidR="008C339E" w:rsidRDefault="008C339E">
    <w:pPr>
      <w:pStyle w:val="SidhuvudKant"/>
      <w:framePr w:w="1758" w:h="2744" w:hRule="exact" w:wrap="around" w:vAnchor="page" w:hAnchor="page" w:x="7372" w:y="568" w:anchorLock="0"/>
    </w:pPr>
  </w:p>
  <w:p w:rsidR="008C339E" w:rsidRDefault="008C339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39E" w:rsidRDefault="008C339E">
    <w:pPr>
      <w:pStyle w:val="SidhuvudKant"/>
      <w:framePr w:w="1758" w:h="2744" w:hRule="exact" w:wrap="around" w:vAnchor="page" w:hAnchor="page" w:x="7372" w:y="568" w:anchorLock="0"/>
      <w:rPr>
        <w:noProof/>
      </w:rPr>
    </w:pPr>
    <w:r>
      <w:rPr>
        <w:noProof/>
      </w:rPr>
      <w:t>1999/2000:FiU26</w:t>
    </w:r>
  </w:p>
  <w:p w:rsidR="008C339E" w:rsidRDefault="008C339E">
    <w:pPr>
      <w:pStyle w:val="SidhuvudKantBilaga"/>
      <w:framePr w:w="1758" w:h="2744" w:hRule="exact" w:wrap="around" w:vAnchor="page" w:hAnchor="page" w:x="7372" w:y="568" w:anchorLock="0"/>
      <w:rPr>
        <w:noProof/>
      </w:rPr>
    </w:pPr>
    <w:r>
      <w:rPr>
        <w:noProof/>
      </w:rPr>
      <w:t>Reservation och särskilt yttrande</w:t>
    </w:r>
  </w:p>
  <w:p w:rsidR="008C339E" w:rsidRDefault="008C339E">
    <w:pPr>
      <w:pStyle w:val="SidhuvudKant"/>
      <w:framePr w:w="1758" w:h="2744" w:hRule="exact" w:wrap="around" w:vAnchor="page" w:hAnchor="page" w:x="7372" w:y="568" w:anchorLock="0"/>
    </w:pPr>
  </w:p>
  <w:p w:rsidR="008C339E" w:rsidRDefault="008C339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39E" w:rsidRDefault="008C339E">
    <w:pPr>
      <w:pStyle w:val="SidhuvudKant"/>
      <w:framePr w:w="1758" w:h="2744" w:hRule="exact" w:wrap="around" w:vAnchor="page" w:hAnchor="page" w:x="7372" w:y="568" w:anchorLock="0"/>
      <w:rPr>
        <w:noProof/>
      </w:rPr>
    </w:pPr>
    <w:r>
      <w:rPr>
        <w:noProof/>
      </w:rPr>
      <w:t>1999/2000:FiU26</w:t>
    </w:r>
  </w:p>
  <w:p w:rsidR="008C339E" w:rsidRDefault="008C339E">
    <w:pPr>
      <w:pStyle w:val="SidhuvudKantBilaga"/>
      <w:framePr w:w="1758" w:h="2744" w:hRule="exact" w:wrap="around" w:vAnchor="page" w:hAnchor="page" w:x="7372" w:y="568" w:anchorLock="0"/>
      <w:rPr>
        <w:noProof/>
      </w:rPr>
    </w:pPr>
    <w:r>
      <w:rPr>
        <w:noProof/>
      </w:rPr>
      <w:t>Bilaga</w:t>
    </w:r>
  </w:p>
  <w:p w:rsidR="008C339E" w:rsidRDefault="008C339E">
    <w:pPr>
      <w:pStyle w:val="SidhuvudKant"/>
      <w:framePr w:w="1758" w:h="2744" w:hRule="exact" w:wrap="around" w:vAnchor="page" w:hAnchor="page" w:x="7372" w:y="568" w:anchorLock="0"/>
    </w:pPr>
  </w:p>
  <w:p w:rsidR="008C339E" w:rsidRDefault="008C339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39E" w:rsidRDefault="008C339E">
    <w:pPr>
      <w:pStyle w:val="SidhuvudKant"/>
      <w:framePr w:w="1758" w:h="2744" w:hRule="exact" w:wrap="around" w:vAnchor="page" w:hAnchor="page" w:x="7372" w:y="568" w:anchorLock="0"/>
      <w:rPr>
        <w:noProof/>
      </w:rPr>
    </w:pPr>
    <w:r>
      <w:rPr>
        <w:noProof/>
      </w:rPr>
      <w:t>1999/2000:FiU26</w:t>
    </w:r>
  </w:p>
  <w:p w:rsidR="008C339E" w:rsidRDefault="008C339E">
    <w:pPr>
      <w:pStyle w:val="SidhuvudKantBilaga"/>
      <w:framePr w:w="1758" w:h="2744" w:hRule="exact" w:wrap="around" w:vAnchor="page" w:hAnchor="page" w:x="7372" w:y="568" w:anchorLock="0"/>
      <w:rPr>
        <w:noProof/>
      </w:rPr>
    </w:pPr>
  </w:p>
  <w:p w:rsidR="008C339E" w:rsidRDefault="008C339E">
    <w:pPr>
      <w:pStyle w:val="SidhuvudKant"/>
      <w:framePr w:w="1758" w:h="2744" w:hRule="exact" w:wrap="around" w:vAnchor="page" w:hAnchor="page" w:x="7372" w:y="568" w:anchorLock="0"/>
    </w:pPr>
  </w:p>
  <w:p w:rsidR="008C339E" w:rsidRDefault="008C33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54F"/>
    <w:multiLevelType w:val="singleLevel"/>
    <w:tmpl w:val="C9E03EFE"/>
    <w:lvl w:ilvl="0">
      <w:start w:val="2"/>
      <w:numFmt w:val="decimal"/>
      <w:lvlText w:val="%1"/>
      <w:lvlJc w:val="left"/>
      <w:pPr>
        <w:tabs>
          <w:tab w:val="num" w:pos="360"/>
        </w:tabs>
        <w:ind w:left="360" w:hanging="360"/>
      </w:pPr>
      <w:rPr>
        <w:rFonts w:hint="default"/>
      </w:rPr>
    </w:lvl>
  </w:abstractNum>
  <w:abstractNum w:abstractNumId="1" w15:restartNumberingAfterBreak="0">
    <w:nsid w:val="14A251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D577A0"/>
    <w:multiLevelType w:val="singleLevel"/>
    <w:tmpl w:val="C9E03EFE"/>
    <w:lvl w:ilvl="0">
      <w:start w:val="1"/>
      <w:numFmt w:val="decimal"/>
      <w:lvlText w:val="%1"/>
      <w:lvlJc w:val="left"/>
      <w:pPr>
        <w:tabs>
          <w:tab w:val="num" w:pos="360"/>
        </w:tabs>
        <w:ind w:left="360" w:hanging="360"/>
      </w:pPr>
      <w:rPr>
        <w:rFonts w:hint="default"/>
      </w:rPr>
    </w:lvl>
  </w:abstractNum>
  <w:abstractNum w:abstractNumId="3" w15:restartNumberingAfterBreak="0">
    <w:nsid w:val="3BE1592F"/>
    <w:multiLevelType w:val="singleLevel"/>
    <w:tmpl w:val="C9E03EFE"/>
    <w:lvl w:ilvl="0">
      <w:start w:val="1"/>
      <w:numFmt w:val="decimal"/>
      <w:lvlText w:val="%1"/>
      <w:lvlJc w:val="left"/>
      <w:pPr>
        <w:tabs>
          <w:tab w:val="num" w:pos="360"/>
        </w:tabs>
        <w:ind w:left="360" w:hanging="360"/>
      </w:pPr>
      <w:rPr>
        <w:rFonts w:hint="default"/>
      </w:rPr>
    </w:lvl>
  </w:abstractNum>
  <w:abstractNum w:abstractNumId="4" w15:restartNumberingAfterBreak="0">
    <w:nsid w:val="4C2E47F7"/>
    <w:multiLevelType w:val="singleLevel"/>
    <w:tmpl w:val="47A4C5AA"/>
    <w:lvl w:ilvl="0">
      <w:start w:val="1"/>
      <w:numFmt w:val="decimal"/>
      <w:lvlText w:val="%1"/>
      <w:lvlJc w:val="left"/>
      <w:pPr>
        <w:tabs>
          <w:tab w:val="num" w:pos="360"/>
        </w:tabs>
        <w:ind w:left="360" w:hanging="360"/>
      </w:pPr>
      <w:rPr>
        <w:rFonts w:hint="default"/>
      </w:rPr>
    </w:lvl>
  </w:abstractNum>
  <w:abstractNum w:abstractNumId="5" w15:restartNumberingAfterBreak="0">
    <w:nsid w:val="52320EAE"/>
    <w:multiLevelType w:val="singleLevel"/>
    <w:tmpl w:val="C9E03EFE"/>
    <w:lvl w:ilvl="0">
      <w:start w:val="1"/>
      <w:numFmt w:val="decimal"/>
      <w:lvlText w:val="%1"/>
      <w:lvlJc w:val="left"/>
      <w:pPr>
        <w:tabs>
          <w:tab w:val="num" w:pos="360"/>
        </w:tabs>
        <w:ind w:left="360" w:hanging="360"/>
      </w:pPr>
      <w:rPr>
        <w:rFonts w:hint="default"/>
      </w:rPr>
    </w:lvl>
  </w:abstractNum>
  <w:num w:numId="1" w16cid:durableId="699011787">
    <w:abstractNumId w:val="4"/>
  </w:num>
  <w:num w:numId="2" w16cid:durableId="547567851">
    <w:abstractNumId w:val="5"/>
  </w:num>
  <w:num w:numId="3" w16cid:durableId="1083382272">
    <w:abstractNumId w:val="1"/>
  </w:num>
  <w:num w:numId="4" w16cid:durableId="456607633">
    <w:abstractNumId w:val="3"/>
  </w:num>
  <w:num w:numId="5" w16cid:durableId="1102460053">
    <w:abstractNumId w:val="2"/>
  </w:num>
  <w:num w:numId="6" w16cid:durableId="186863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736C85"/>
    <w:rsid w:val="00736C85"/>
    <w:rsid w:val="008C339E"/>
    <w:rsid w:val="00E14E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4E7B38-C980-4BFF-A912-83BA138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1775</Words>
  <Characters>11557</Characters>
  <Application>Microsoft Office Word</Application>
  <DocSecurity>4</DocSecurity>
  <Lines>275</Lines>
  <Paragraphs>113</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Finansutskottets betänkande</vt:lpstr>
      <vt:lpstr>Sammanfattning</vt:lpstr>
      <vt:lpstr>Propositionen</vt:lpstr>
      <vt:lpstr>Motionen</vt:lpstr>
      <vt:lpstr/>
      <vt:lpstr>Utskottet</vt:lpstr>
      <vt:lpstr>    Bakgrund</vt:lpstr>
      <vt:lpstr>    Genomförandet av direktiven</vt:lpstr>
      <vt:lpstr>        Propositionen</vt:lpstr>
      <vt:lpstr>        Finansutskottets ställningstagande</vt:lpstr>
      <vt:lpstr>    Fordringar på AP-fonderna</vt:lpstr>
      <vt:lpstr>        Propositionen</vt:lpstr>
      <vt:lpstr>        Motionen</vt:lpstr>
      <vt:lpstr>        Finansutskottets ställningstagande</vt:lpstr>
      <vt:lpstr>    Regeringens förslag i övrigt</vt:lpstr>
      <vt:lpstr>        Propositionen</vt:lpstr>
      <vt:lpstr>        Finansutskottets ställningstagande</vt:lpstr>
      <vt:lpstr>    Hemställan</vt:lpstr>
      <vt:lpstr/>
      <vt:lpstr>Reservation</vt:lpstr>
      <vt:lpstr>    Fordringar på AP-fonderna (mom. 2) (m, fp)</vt:lpstr>
      <vt:lpstr/>
      <vt:lpstr/>
      <vt:lpstr>Särskilt yttrande</vt:lpstr>
      <vt:lpstr>    Fordringar på AP-fonderna (mom.2) (kd)</vt:lpstr>
      <vt:lpstr/>
      <vt:lpstr>Propositionens lagförslag</vt:lpstr>
      <vt:lpstr>    1  Förslag till lag om ändring i sekretesslagen (1980:100)</vt:lpstr>
      <vt:lpstr>    2  Förslag till lag om ändring i lagen (1994:2004) om     kapitaltäckning och </vt:lpstr>
      <vt:lpstr>    Innehållsförteckning</vt:lpstr>
    </vt:vector>
  </TitlesOfParts>
  <Company>Riksdagen</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2000-05-09T11:56:00Z</cp:lastPrinted>
  <dcterms:created xsi:type="dcterms:W3CDTF">2025-12-15T21:07:00Z</dcterms:created>
  <dcterms:modified xsi:type="dcterms:W3CDTF">2025-12-15T21:07:00Z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