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4629" w:rsidRPr="00B01BBB" w:rsidRDefault="006E4629">
      <w:pPr>
        <w:pStyle w:val="Hemstlrubrik"/>
        <w:shd w:val="clear" w:color="000000" w:fill="auto"/>
      </w:pPr>
      <w:r w:rsidRPr="00B01BBB">
        <w:t>Förslag till riksdagsbeslut</w:t>
      </w:r>
    </w:p>
    <w:p w:rsidR="006E4629" w:rsidRPr="00B01BBB" w:rsidRDefault="006E4629">
      <w:pPr>
        <w:pStyle w:val="Hemstlatt"/>
        <w:numPr>
          <w:ilvl w:val="0"/>
          <w:numId w:val="1"/>
        </w:numPr>
        <w:shd w:val="clear" w:color="000000" w:fill="auto"/>
      </w:pPr>
      <w:r w:rsidRPr="00B01BBB">
        <w:t>Riksdagen anvisar med följande ändringar i fö</w:t>
      </w:r>
      <w:r w:rsidRPr="00B01BBB">
        <w:t>r</w:t>
      </w:r>
      <w:r w:rsidRPr="00B01BBB">
        <w:t>hållande till regeringens förslag anslagen under utgiftsområde 6 Försvar enligt uppställning:</w:t>
      </w:r>
    </w:p>
    <w:tbl>
      <w:tblPr>
        <w:tblpPr w:leftFromText="141" w:rightFromText="141" w:vertAnchor="text" w:horzAnchor="margin" w:tblpXSpec="center" w:tblpY="146"/>
        <w:tblW w:w="5897" w:type="dxa"/>
        <w:tblBorders>
          <w:top w:val="single" w:sz="4" w:space="0" w:color="000000"/>
        </w:tblBorders>
        <w:tblLayout w:type="fixed"/>
        <w:tblCellMar>
          <w:left w:w="0" w:type="dxa"/>
          <w:right w:w="0" w:type="dxa"/>
        </w:tblCellMar>
        <w:tblLook w:val="0000" w:firstRow="0" w:lastRow="0" w:firstColumn="0" w:lastColumn="0" w:noHBand="0" w:noVBand="0"/>
      </w:tblPr>
      <w:tblGrid>
        <w:gridCol w:w="3329"/>
        <w:gridCol w:w="1402"/>
        <w:gridCol w:w="1166"/>
      </w:tblGrid>
      <w:tr w:rsidR="00000000" w:rsidRPr="00B01BBB">
        <w:tc>
          <w:tcPr>
            <w:tcW w:w="3329" w:type="dxa"/>
            <w:tcBorders>
              <w:top w:val="single" w:sz="4" w:space="0" w:color="000000"/>
              <w:left w:val="nil"/>
              <w:bottom w:val="single" w:sz="4" w:space="0" w:color="auto"/>
              <w:right w:val="nil"/>
            </w:tcBorders>
            <w:tcMar>
              <w:top w:w="0" w:type="dxa"/>
              <w:left w:w="57" w:type="dxa"/>
              <w:bottom w:w="0" w:type="dxa"/>
              <w:right w:w="57" w:type="dxa"/>
            </w:tcMar>
          </w:tcPr>
          <w:p w:rsidR="006E4629" w:rsidRPr="00B01BBB" w:rsidRDefault="006E4629">
            <w:pPr>
              <w:shd w:val="clear" w:color="000000" w:fill="auto"/>
              <w:spacing w:before="60" w:line="200" w:lineRule="exact"/>
              <w:rPr>
                <w:b/>
                <w:bCs/>
                <w:sz w:val="16"/>
              </w:rPr>
            </w:pPr>
            <w:r w:rsidRPr="00B01BBB">
              <w:rPr>
                <w:b/>
                <w:bCs/>
                <w:sz w:val="16"/>
              </w:rPr>
              <w:t>Anslag</w:t>
            </w:r>
          </w:p>
        </w:tc>
        <w:tc>
          <w:tcPr>
            <w:tcW w:w="1402" w:type="dxa"/>
            <w:tcBorders>
              <w:top w:val="single" w:sz="4" w:space="0" w:color="000000"/>
              <w:left w:val="nil"/>
              <w:bottom w:val="single" w:sz="4" w:space="0" w:color="auto"/>
              <w:right w:val="nil"/>
            </w:tcBorders>
            <w:tcMar>
              <w:top w:w="0" w:type="dxa"/>
              <w:left w:w="57" w:type="dxa"/>
              <w:bottom w:w="0" w:type="dxa"/>
              <w:right w:w="57" w:type="dxa"/>
            </w:tcMar>
          </w:tcPr>
          <w:p w:rsidR="006E4629" w:rsidRPr="00B01BBB" w:rsidRDefault="006E4629">
            <w:pPr>
              <w:shd w:val="clear" w:color="000000" w:fill="auto"/>
              <w:spacing w:before="60" w:line="200" w:lineRule="exact"/>
              <w:jc w:val="right"/>
              <w:rPr>
                <w:b/>
                <w:bCs/>
                <w:sz w:val="16"/>
              </w:rPr>
            </w:pPr>
            <w:r w:rsidRPr="00B01BBB">
              <w:rPr>
                <w:b/>
                <w:bCs/>
                <w:sz w:val="16"/>
              </w:rPr>
              <w:t>Regeringens</w:t>
            </w:r>
            <w:r w:rsidRPr="00B01BBB">
              <w:rPr>
                <w:b/>
                <w:bCs/>
                <w:sz w:val="16"/>
              </w:rPr>
              <w:br/>
              <w:t>förslag</w:t>
            </w:r>
          </w:p>
        </w:tc>
        <w:tc>
          <w:tcPr>
            <w:tcW w:w="1166" w:type="dxa"/>
            <w:tcBorders>
              <w:top w:val="single" w:sz="4" w:space="0" w:color="000000"/>
              <w:left w:val="nil"/>
              <w:bottom w:val="single" w:sz="4" w:space="0" w:color="auto"/>
              <w:right w:val="nil"/>
            </w:tcBorders>
          </w:tcPr>
          <w:p w:rsidR="006E4629" w:rsidRPr="00B01BBB" w:rsidRDefault="006E4629">
            <w:pPr>
              <w:shd w:val="clear" w:color="000000" w:fill="auto"/>
              <w:spacing w:before="60" w:line="200" w:lineRule="exact"/>
              <w:jc w:val="right"/>
              <w:rPr>
                <w:b/>
                <w:bCs/>
                <w:sz w:val="16"/>
              </w:rPr>
            </w:pPr>
            <w:r w:rsidRPr="00B01BBB">
              <w:rPr>
                <w:b/>
                <w:bCs/>
                <w:sz w:val="16"/>
              </w:rPr>
              <w:t>Anslags</w:t>
            </w:r>
            <w:r w:rsidRPr="00B01BBB">
              <w:rPr>
                <w:b/>
                <w:bCs/>
                <w:sz w:val="16"/>
              </w:rPr>
              <w:softHyphen/>
              <w:t>förändring</w:t>
            </w:r>
          </w:p>
        </w:tc>
      </w:tr>
      <w:tr w:rsidR="00000000" w:rsidRPr="00B01BBB">
        <w:tc>
          <w:tcPr>
            <w:tcW w:w="3329" w:type="dxa"/>
            <w:tcBorders>
              <w:top w:val="single" w:sz="4" w:space="0" w:color="auto"/>
              <w:left w:val="nil"/>
              <w:bottom w:val="nil"/>
              <w:right w:val="nil"/>
            </w:tcBorders>
            <w:tcMar>
              <w:top w:w="0" w:type="dxa"/>
              <w:left w:w="57" w:type="dxa"/>
              <w:bottom w:w="0" w:type="dxa"/>
              <w:right w:w="57" w:type="dxa"/>
            </w:tcMar>
          </w:tcPr>
          <w:p w:rsidR="006E4629" w:rsidRPr="00B01BBB" w:rsidRDefault="006E4629">
            <w:pPr>
              <w:shd w:val="clear" w:color="000000" w:fill="auto"/>
              <w:spacing w:before="60" w:line="200" w:lineRule="exact"/>
              <w:rPr>
                <w:sz w:val="16"/>
              </w:rPr>
            </w:pPr>
            <w:r w:rsidRPr="00B01BBB">
              <w:rPr>
                <w:sz w:val="16"/>
              </w:rPr>
              <w:t>1:1 Förbandsverksamhet och beredskap</w:t>
            </w:r>
          </w:p>
        </w:tc>
        <w:tc>
          <w:tcPr>
            <w:tcW w:w="1402" w:type="dxa"/>
            <w:tcBorders>
              <w:top w:val="single" w:sz="4" w:space="0" w:color="auto"/>
              <w:left w:val="nil"/>
              <w:bottom w:val="nil"/>
              <w:right w:val="nil"/>
            </w:tcBorders>
            <w:tcMar>
              <w:top w:w="0" w:type="dxa"/>
              <w:left w:w="57" w:type="dxa"/>
              <w:bottom w:w="0" w:type="dxa"/>
              <w:right w:w="57" w:type="dxa"/>
            </w:tcMar>
          </w:tcPr>
          <w:p w:rsidR="006E4629" w:rsidRPr="00B01BBB" w:rsidRDefault="006E4629">
            <w:pPr>
              <w:shd w:val="clear" w:color="000000" w:fill="auto"/>
              <w:spacing w:before="60" w:line="200" w:lineRule="exact"/>
              <w:jc w:val="right"/>
              <w:rPr>
                <w:sz w:val="16"/>
              </w:rPr>
            </w:pPr>
            <w:r w:rsidRPr="00B01BBB">
              <w:rPr>
                <w:sz w:val="16"/>
              </w:rPr>
              <w:t>19 866 051</w:t>
            </w:r>
          </w:p>
        </w:tc>
        <w:tc>
          <w:tcPr>
            <w:tcW w:w="1166" w:type="dxa"/>
            <w:tcBorders>
              <w:top w:val="single" w:sz="4" w:space="0" w:color="auto"/>
              <w:left w:val="nil"/>
              <w:bottom w:val="nil"/>
              <w:right w:val="nil"/>
            </w:tcBorders>
          </w:tcPr>
          <w:p w:rsidR="006E4629" w:rsidRPr="00B01BBB" w:rsidRDefault="006E4629">
            <w:pPr>
              <w:shd w:val="clear" w:color="000000" w:fill="auto"/>
              <w:spacing w:before="60" w:line="200" w:lineRule="exact"/>
              <w:jc w:val="right"/>
              <w:rPr>
                <w:sz w:val="16"/>
              </w:rPr>
            </w:pPr>
            <w:r w:rsidRPr="00B01BBB">
              <w:rPr>
                <w:sz w:val="16"/>
              </w:rPr>
              <w:t>–100 000</w:t>
            </w:r>
          </w:p>
        </w:tc>
      </w:tr>
      <w:tr w:rsidR="00000000" w:rsidRPr="00B01BBB">
        <w:tc>
          <w:tcPr>
            <w:tcW w:w="3329" w:type="dxa"/>
            <w:tcBorders>
              <w:top w:val="nil"/>
              <w:left w:val="nil"/>
              <w:bottom w:val="nil"/>
              <w:right w:val="nil"/>
            </w:tcBorders>
            <w:tcMar>
              <w:top w:w="0" w:type="dxa"/>
              <w:left w:w="57" w:type="dxa"/>
              <w:bottom w:w="0" w:type="dxa"/>
              <w:right w:w="57" w:type="dxa"/>
            </w:tcMar>
          </w:tcPr>
          <w:p w:rsidR="006E4629" w:rsidRPr="00B01BBB" w:rsidRDefault="006E4629">
            <w:pPr>
              <w:shd w:val="clear" w:color="000000" w:fill="auto"/>
              <w:spacing w:before="60" w:line="200" w:lineRule="exact"/>
              <w:rPr>
                <w:sz w:val="16"/>
              </w:rPr>
            </w:pPr>
            <w:r w:rsidRPr="00B01BBB">
              <w:rPr>
                <w:sz w:val="16"/>
              </w:rPr>
              <w:t>1:2 Fredsfrämjande förbandsinsatser</w:t>
            </w:r>
          </w:p>
        </w:tc>
        <w:tc>
          <w:tcPr>
            <w:tcW w:w="1402" w:type="dxa"/>
            <w:tcBorders>
              <w:top w:val="nil"/>
              <w:left w:val="nil"/>
              <w:bottom w:val="nil"/>
              <w:right w:val="nil"/>
            </w:tcBorders>
            <w:tcMar>
              <w:top w:w="0" w:type="dxa"/>
              <w:left w:w="57" w:type="dxa"/>
              <w:bottom w:w="0" w:type="dxa"/>
              <w:right w:w="57" w:type="dxa"/>
            </w:tcMar>
          </w:tcPr>
          <w:p w:rsidR="006E4629" w:rsidRPr="00B01BBB" w:rsidRDefault="006E4629">
            <w:pPr>
              <w:shd w:val="clear" w:color="000000" w:fill="auto"/>
              <w:spacing w:before="60" w:line="200" w:lineRule="exact"/>
              <w:jc w:val="right"/>
              <w:rPr>
                <w:sz w:val="16"/>
              </w:rPr>
            </w:pPr>
            <w:r w:rsidRPr="00B01BBB">
              <w:rPr>
                <w:sz w:val="16"/>
              </w:rPr>
              <w:t>2 480 000</w:t>
            </w:r>
          </w:p>
        </w:tc>
        <w:tc>
          <w:tcPr>
            <w:tcW w:w="1166" w:type="dxa"/>
            <w:tcBorders>
              <w:top w:val="nil"/>
              <w:left w:val="nil"/>
              <w:bottom w:val="nil"/>
              <w:right w:val="nil"/>
            </w:tcBorders>
          </w:tcPr>
          <w:p w:rsidR="006E4629" w:rsidRPr="00B01BBB" w:rsidRDefault="006E4629">
            <w:pPr>
              <w:pStyle w:val="PunktlistaTankstreck"/>
              <w:numPr>
                <w:ilvl w:val="0"/>
                <w:numId w:val="0"/>
              </w:numPr>
              <w:shd w:val="clear" w:color="000000" w:fill="auto"/>
              <w:spacing w:before="60" w:line="200" w:lineRule="exact"/>
              <w:jc w:val="right"/>
              <w:rPr>
                <w:sz w:val="16"/>
                <w:szCs w:val="24"/>
              </w:rPr>
            </w:pPr>
            <w:r w:rsidRPr="00B01BBB">
              <w:rPr>
                <w:sz w:val="16"/>
                <w:szCs w:val="24"/>
              </w:rPr>
              <w:t>–950 000</w:t>
            </w:r>
          </w:p>
        </w:tc>
      </w:tr>
      <w:tr w:rsidR="00000000" w:rsidRPr="00B01BBB">
        <w:tc>
          <w:tcPr>
            <w:tcW w:w="3329" w:type="dxa"/>
            <w:tcBorders>
              <w:top w:val="nil"/>
              <w:left w:val="nil"/>
              <w:bottom w:val="nil"/>
              <w:right w:val="nil"/>
            </w:tcBorders>
            <w:tcMar>
              <w:top w:w="0" w:type="dxa"/>
              <w:left w:w="57" w:type="dxa"/>
              <w:bottom w:w="0" w:type="dxa"/>
              <w:right w:w="57" w:type="dxa"/>
            </w:tcMar>
          </w:tcPr>
          <w:p w:rsidR="006E4629" w:rsidRPr="00B01BBB" w:rsidRDefault="006E4629">
            <w:pPr>
              <w:shd w:val="clear" w:color="000000" w:fill="auto"/>
              <w:spacing w:before="60" w:line="200" w:lineRule="exact"/>
              <w:rPr>
                <w:sz w:val="16"/>
              </w:rPr>
            </w:pPr>
            <w:r w:rsidRPr="00B01BBB">
              <w:rPr>
                <w:sz w:val="16"/>
              </w:rPr>
              <w:t>1:3 Anskaffning av materiel och anläggningar</w:t>
            </w:r>
          </w:p>
        </w:tc>
        <w:tc>
          <w:tcPr>
            <w:tcW w:w="1402" w:type="dxa"/>
            <w:tcBorders>
              <w:top w:val="nil"/>
              <w:left w:val="nil"/>
              <w:bottom w:val="nil"/>
              <w:right w:val="nil"/>
            </w:tcBorders>
            <w:tcMar>
              <w:top w:w="0" w:type="dxa"/>
              <w:left w:w="57" w:type="dxa"/>
              <w:bottom w:w="0" w:type="dxa"/>
              <w:right w:w="57" w:type="dxa"/>
            </w:tcMar>
          </w:tcPr>
          <w:p w:rsidR="006E4629" w:rsidRPr="00B01BBB" w:rsidRDefault="006E4629">
            <w:pPr>
              <w:shd w:val="clear" w:color="000000" w:fill="auto"/>
              <w:spacing w:before="60" w:line="200" w:lineRule="exact"/>
              <w:jc w:val="right"/>
              <w:rPr>
                <w:sz w:val="16"/>
              </w:rPr>
            </w:pPr>
            <w:r w:rsidRPr="00B01BBB">
              <w:rPr>
                <w:sz w:val="16"/>
              </w:rPr>
              <w:t>8 802 340</w:t>
            </w:r>
          </w:p>
        </w:tc>
        <w:tc>
          <w:tcPr>
            <w:tcW w:w="1166" w:type="dxa"/>
            <w:tcBorders>
              <w:top w:val="nil"/>
              <w:left w:val="nil"/>
              <w:bottom w:val="nil"/>
              <w:right w:val="nil"/>
            </w:tcBorders>
          </w:tcPr>
          <w:p w:rsidR="006E4629" w:rsidRPr="00B01BBB" w:rsidRDefault="006E4629">
            <w:pPr>
              <w:pStyle w:val="PunktlistaTankstreck"/>
              <w:numPr>
                <w:ilvl w:val="0"/>
                <w:numId w:val="0"/>
              </w:numPr>
              <w:shd w:val="clear" w:color="000000" w:fill="auto"/>
              <w:spacing w:before="60" w:line="200" w:lineRule="exact"/>
              <w:jc w:val="right"/>
              <w:rPr>
                <w:sz w:val="16"/>
                <w:szCs w:val="24"/>
              </w:rPr>
            </w:pPr>
            <w:r w:rsidRPr="00B01BBB">
              <w:rPr>
                <w:sz w:val="16"/>
              </w:rPr>
              <w:t>200 000</w:t>
            </w:r>
          </w:p>
        </w:tc>
      </w:tr>
      <w:tr w:rsidR="00000000" w:rsidRPr="00B01BBB">
        <w:tc>
          <w:tcPr>
            <w:tcW w:w="3329" w:type="dxa"/>
            <w:tcBorders>
              <w:top w:val="nil"/>
              <w:left w:val="nil"/>
              <w:bottom w:val="nil"/>
              <w:right w:val="nil"/>
            </w:tcBorders>
            <w:tcMar>
              <w:top w:w="0" w:type="dxa"/>
              <w:left w:w="57" w:type="dxa"/>
              <w:bottom w:w="0" w:type="dxa"/>
              <w:right w:w="57" w:type="dxa"/>
            </w:tcMar>
          </w:tcPr>
          <w:p w:rsidR="006E4629" w:rsidRPr="00B01BBB" w:rsidRDefault="006E4629">
            <w:pPr>
              <w:shd w:val="clear" w:color="000000" w:fill="auto"/>
              <w:spacing w:before="60" w:line="200" w:lineRule="exact"/>
              <w:rPr>
                <w:sz w:val="16"/>
              </w:rPr>
            </w:pPr>
            <w:r w:rsidRPr="00B01BBB">
              <w:rPr>
                <w:sz w:val="16"/>
              </w:rPr>
              <w:t>2:7 Myndigheten för samhällsskydd och bere</w:t>
            </w:r>
            <w:r w:rsidRPr="00B01BBB">
              <w:rPr>
                <w:sz w:val="16"/>
              </w:rPr>
              <w:t>d</w:t>
            </w:r>
            <w:r w:rsidRPr="00B01BBB">
              <w:rPr>
                <w:sz w:val="16"/>
              </w:rPr>
              <w:t>skap</w:t>
            </w:r>
          </w:p>
        </w:tc>
        <w:tc>
          <w:tcPr>
            <w:tcW w:w="1402" w:type="dxa"/>
            <w:tcBorders>
              <w:top w:val="nil"/>
              <w:left w:val="nil"/>
              <w:bottom w:val="nil"/>
              <w:right w:val="nil"/>
            </w:tcBorders>
            <w:tcMar>
              <w:top w:w="0" w:type="dxa"/>
              <w:left w:w="57" w:type="dxa"/>
              <w:bottom w:w="0" w:type="dxa"/>
              <w:right w:w="57" w:type="dxa"/>
            </w:tcMar>
            <w:vAlign w:val="bottom"/>
          </w:tcPr>
          <w:p w:rsidR="006E4629" w:rsidRPr="00B01BBB" w:rsidRDefault="006E4629">
            <w:pPr>
              <w:pStyle w:val="Normaltindrag"/>
              <w:shd w:val="clear" w:color="000000" w:fill="auto"/>
              <w:spacing w:before="60" w:line="200" w:lineRule="exact"/>
              <w:jc w:val="right"/>
              <w:rPr>
                <w:sz w:val="16"/>
              </w:rPr>
            </w:pPr>
            <w:r w:rsidRPr="00B01BBB">
              <w:rPr>
                <w:sz w:val="16"/>
              </w:rPr>
              <w:t>907 490</w:t>
            </w:r>
          </w:p>
        </w:tc>
        <w:tc>
          <w:tcPr>
            <w:tcW w:w="1166" w:type="dxa"/>
            <w:tcBorders>
              <w:top w:val="nil"/>
              <w:left w:val="nil"/>
              <w:bottom w:val="nil"/>
              <w:right w:val="nil"/>
            </w:tcBorders>
            <w:vAlign w:val="bottom"/>
          </w:tcPr>
          <w:p w:rsidR="006E4629" w:rsidRPr="00B01BBB" w:rsidRDefault="006E4629">
            <w:pPr>
              <w:pStyle w:val="PunktlistaTankstreck"/>
              <w:numPr>
                <w:ilvl w:val="0"/>
                <w:numId w:val="0"/>
              </w:numPr>
              <w:shd w:val="clear" w:color="000000" w:fill="auto"/>
              <w:spacing w:before="60" w:line="200" w:lineRule="exact"/>
              <w:jc w:val="right"/>
              <w:rPr>
                <w:sz w:val="16"/>
                <w:szCs w:val="24"/>
              </w:rPr>
            </w:pPr>
            <w:r w:rsidRPr="00B01BBB">
              <w:rPr>
                <w:sz w:val="16"/>
                <w:szCs w:val="24"/>
              </w:rPr>
              <w:t>–115 000</w:t>
            </w:r>
          </w:p>
        </w:tc>
      </w:tr>
      <w:tr w:rsidR="00000000" w:rsidRPr="00B01BBB">
        <w:tc>
          <w:tcPr>
            <w:tcW w:w="3329" w:type="dxa"/>
            <w:tcBorders>
              <w:top w:val="nil"/>
              <w:left w:val="nil"/>
              <w:bottom w:val="single" w:sz="4" w:space="0" w:color="auto"/>
              <w:right w:val="nil"/>
            </w:tcBorders>
            <w:tcMar>
              <w:top w:w="0" w:type="dxa"/>
              <w:left w:w="57" w:type="dxa"/>
              <w:bottom w:w="0" w:type="dxa"/>
              <w:right w:w="57" w:type="dxa"/>
            </w:tcMar>
          </w:tcPr>
          <w:p w:rsidR="006E4629" w:rsidRPr="00B01BBB" w:rsidRDefault="006E4629">
            <w:pPr>
              <w:shd w:val="clear" w:color="000000" w:fill="auto"/>
              <w:spacing w:before="60" w:line="200" w:lineRule="exact"/>
              <w:rPr>
                <w:b/>
                <w:bCs/>
                <w:sz w:val="16"/>
              </w:rPr>
            </w:pPr>
            <w:r w:rsidRPr="00B01BBB">
              <w:rPr>
                <w:b/>
                <w:bCs/>
                <w:sz w:val="16"/>
              </w:rPr>
              <w:t>Summa</w:t>
            </w:r>
          </w:p>
        </w:tc>
        <w:tc>
          <w:tcPr>
            <w:tcW w:w="1402" w:type="dxa"/>
            <w:tcBorders>
              <w:top w:val="nil"/>
              <w:left w:val="nil"/>
              <w:bottom w:val="single" w:sz="4" w:space="0" w:color="auto"/>
              <w:right w:val="nil"/>
            </w:tcBorders>
            <w:tcMar>
              <w:top w:w="0" w:type="dxa"/>
              <w:left w:w="57" w:type="dxa"/>
              <w:bottom w:w="0" w:type="dxa"/>
              <w:right w:w="57" w:type="dxa"/>
            </w:tcMar>
          </w:tcPr>
          <w:p w:rsidR="006E4629" w:rsidRPr="00B01BBB" w:rsidRDefault="006E4629">
            <w:pPr>
              <w:shd w:val="clear" w:color="000000" w:fill="auto"/>
              <w:spacing w:before="60" w:line="200" w:lineRule="exact"/>
              <w:jc w:val="right"/>
              <w:rPr>
                <w:b/>
                <w:bCs/>
                <w:sz w:val="16"/>
              </w:rPr>
            </w:pPr>
            <w:r w:rsidRPr="00B01BBB">
              <w:rPr>
                <w:b/>
                <w:bCs/>
                <w:sz w:val="16"/>
              </w:rPr>
              <w:t>44 707 384</w:t>
            </w:r>
          </w:p>
        </w:tc>
        <w:tc>
          <w:tcPr>
            <w:tcW w:w="1166" w:type="dxa"/>
            <w:tcBorders>
              <w:top w:val="nil"/>
              <w:left w:val="nil"/>
              <w:bottom w:val="single" w:sz="4" w:space="0" w:color="auto"/>
              <w:right w:val="nil"/>
            </w:tcBorders>
          </w:tcPr>
          <w:p w:rsidR="006E4629" w:rsidRPr="00B01BBB" w:rsidRDefault="006E4629">
            <w:pPr>
              <w:pStyle w:val="PunktlistaTankstreck"/>
              <w:numPr>
                <w:ilvl w:val="0"/>
                <w:numId w:val="0"/>
              </w:numPr>
              <w:shd w:val="clear" w:color="000000" w:fill="auto"/>
              <w:spacing w:before="60" w:line="200" w:lineRule="exact"/>
              <w:jc w:val="right"/>
              <w:rPr>
                <w:sz w:val="16"/>
                <w:szCs w:val="24"/>
              </w:rPr>
            </w:pPr>
            <w:r w:rsidRPr="00B01BBB">
              <w:rPr>
                <w:sz w:val="16"/>
                <w:szCs w:val="24"/>
              </w:rPr>
              <w:t>–965 000</w:t>
            </w:r>
          </w:p>
        </w:tc>
      </w:tr>
      <w:tr w:rsidR="00000000" w:rsidRPr="00B01BBB">
        <w:tc>
          <w:tcPr>
            <w:tcW w:w="3329" w:type="dxa"/>
            <w:tcBorders>
              <w:top w:val="single" w:sz="4" w:space="0" w:color="auto"/>
              <w:left w:val="nil"/>
              <w:bottom w:val="nil"/>
              <w:right w:val="nil"/>
            </w:tcBorders>
            <w:tcMar>
              <w:top w:w="0" w:type="dxa"/>
              <w:left w:w="57" w:type="dxa"/>
              <w:bottom w:w="0" w:type="dxa"/>
              <w:right w:w="57" w:type="dxa"/>
            </w:tcMar>
          </w:tcPr>
          <w:p w:rsidR="006E4629" w:rsidRPr="00B01BBB" w:rsidRDefault="006E4629">
            <w:pPr>
              <w:shd w:val="clear" w:color="000000" w:fill="auto"/>
              <w:spacing w:before="60" w:line="200" w:lineRule="exact"/>
              <w:rPr>
                <w:b/>
                <w:bCs/>
                <w:sz w:val="16"/>
              </w:rPr>
            </w:pPr>
          </w:p>
        </w:tc>
        <w:tc>
          <w:tcPr>
            <w:tcW w:w="1402" w:type="dxa"/>
            <w:tcBorders>
              <w:top w:val="single" w:sz="4" w:space="0" w:color="auto"/>
              <w:left w:val="nil"/>
              <w:bottom w:val="nil"/>
              <w:right w:val="nil"/>
            </w:tcBorders>
            <w:tcMar>
              <w:top w:w="0" w:type="dxa"/>
              <w:left w:w="57" w:type="dxa"/>
              <w:bottom w:w="0" w:type="dxa"/>
              <w:right w:w="57" w:type="dxa"/>
            </w:tcMar>
          </w:tcPr>
          <w:p w:rsidR="006E4629" w:rsidRPr="00B01BBB" w:rsidRDefault="006E4629">
            <w:pPr>
              <w:shd w:val="clear" w:color="000000" w:fill="auto"/>
              <w:spacing w:before="60" w:line="200" w:lineRule="exact"/>
              <w:jc w:val="right"/>
              <w:rPr>
                <w:b/>
                <w:bCs/>
                <w:sz w:val="16"/>
              </w:rPr>
            </w:pPr>
          </w:p>
        </w:tc>
        <w:tc>
          <w:tcPr>
            <w:tcW w:w="1166" w:type="dxa"/>
            <w:tcBorders>
              <w:top w:val="single" w:sz="4" w:space="0" w:color="auto"/>
              <w:left w:val="nil"/>
              <w:bottom w:val="nil"/>
              <w:right w:val="nil"/>
            </w:tcBorders>
          </w:tcPr>
          <w:p w:rsidR="006E4629" w:rsidRPr="00B01BBB" w:rsidRDefault="006E4629">
            <w:pPr>
              <w:pStyle w:val="PunktlistaTankstreck"/>
              <w:numPr>
                <w:ilvl w:val="0"/>
                <w:numId w:val="0"/>
              </w:numPr>
              <w:shd w:val="clear" w:color="000000" w:fill="auto"/>
              <w:spacing w:before="60" w:line="200" w:lineRule="exact"/>
              <w:jc w:val="right"/>
              <w:rPr>
                <w:sz w:val="16"/>
                <w:szCs w:val="24"/>
              </w:rPr>
            </w:pPr>
          </w:p>
        </w:tc>
      </w:tr>
    </w:tbl>
    <w:p w:rsidR="006E4629" w:rsidRPr="00B01BBB" w:rsidRDefault="006E4629">
      <w:pPr>
        <w:pStyle w:val="Hemstlatt"/>
        <w:numPr>
          <w:ilvl w:val="0"/>
          <w:numId w:val="1"/>
        </w:numPr>
        <w:shd w:val="clear" w:color="000000" w:fill="auto"/>
      </w:pPr>
      <w:r w:rsidRPr="00B01BBB">
        <w:t>Riksdagen tillkännager för regeringen som sin mening vad som anförs i motionen om att inte föra över biståndsmedel till Myndigh</w:t>
      </w:r>
      <w:r w:rsidRPr="00B01BBB">
        <w:t>e</w:t>
      </w:r>
      <w:r w:rsidRPr="00B01BBB">
        <w:t>ten för samhällsskydd och beredskap.</w:t>
      </w:r>
    </w:p>
    <w:p w:rsidR="006E4629" w:rsidRPr="00B01BBB" w:rsidRDefault="006E4629">
      <w:pPr>
        <w:pStyle w:val="Hemstlatt"/>
        <w:numPr>
          <w:ilvl w:val="0"/>
          <w:numId w:val="1"/>
        </w:numPr>
        <w:shd w:val="clear" w:color="000000" w:fill="auto"/>
      </w:pPr>
      <w:r w:rsidRPr="00B01BBB">
        <w:t>Riksdagen godkänner investeringsplanen för Försvarsmakten för 2009–2011 i enlighet med vad som anförs i motionen.</w:t>
      </w:r>
    </w:p>
    <w:p w:rsidR="006E4629" w:rsidRPr="00B01BBB" w:rsidRDefault="006E4629">
      <w:pPr>
        <w:pStyle w:val="Hemstlatt"/>
        <w:numPr>
          <w:ilvl w:val="0"/>
          <w:numId w:val="1"/>
        </w:numPr>
        <w:shd w:val="clear" w:color="000000" w:fill="auto"/>
      </w:pPr>
      <w:r w:rsidRPr="00B01BBB">
        <w:t>Riksdagen tillkännager för regeringen som sin mening vad som anförs i motionen om svenskt huvudmannaskap för NBG 2011.</w:t>
      </w:r>
    </w:p>
    <w:p w:rsidR="006E4629" w:rsidRPr="00B01BBB" w:rsidRDefault="006E4629">
      <w:pPr>
        <w:pStyle w:val="Hemstlatt"/>
        <w:numPr>
          <w:ilvl w:val="0"/>
          <w:numId w:val="1"/>
        </w:numPr>
        <w:shd w:val="clear" w:color="000000" w:fill="auto"/>
      </w:pPr>
      <w:r w:rsidRPr="00B01BBB">
        <w:t>Riksdagen tillkännager för regeringen som sin mening vad som anförs i motionen om Försvarsmaktens internationella insa</w:t>
      </w:r>
      <w:r w:rsidRPr="00B01BBB">
        <w:t>t</w:t>
      </w:r>
      <w:r w:rsidRPr="00B01BBB">
        <w:t>ser.</w:t>
      </w:r>
    </w:p>
    <w:p w:rsidR="006E4629" w:rsidRPr="00B01BBB" w:rsidRDefault="006E4629">
      <w:pPr>
        <w:pStyle w:val="Hemstlatt"/>
        <w:numPr>
          <w:ilvl w:val="0"/>
          <w:numId w:val="1"/>
        </w:numPr>
        <w:shd w:val="clear" w:color="000000" w:fill="auto"/>
      </w:pPr>
      <w:r w:rsidRPr="00B01BBB">
        <w:t>Riksdagen tillkännager för regeringen som sin mening vad som anförs i motionen om omstruktureringar i försvarets stödverksamh</w:t>
      </w:r>
      <w:r w:rsidRPr="00B01BBB">
        <w:t>e</w:t>
      </w:r>
      <w:r w:rsidRPr="00B01BBB">
        <w:t>ter.</w:t>
      </w:r>
    </w:p>
    <w:p w:rsidR="006E4629" w:rsidRPr="00B01BBB" w:rsidRDefault="006E4629">
      <w:pPr>
        <w:pStyle w:val="Hemstlatt"/>
        <w:numPr>
          <w:ilvl w:val="0"/>
          <w:numId w:val="1"/>
        </w:numPr>
        <w:shd w:val="clear" w:color="000000" w:fill="auto"/>
      </w:pPr>
      <w:r w:rsidRPr="00B01BBB">
        <w:t>Riksdagen godkänner anskaffningen av materiel under 2009 i enlighet med vad som anförs i motionen.</w:t>
      </w:r>
    </w:p>
    <w:p w:rsidR="006E4629" w:rsidRPr="00B01BBB" w:rsidRDefault="006E4629">
      <w:pPr>
        <w:pStyle w:val="Hemstlatt"/>
        <w:numPr>
          <w:ilvl w:val="0"/>
          <w:numId w:val="1"/>
        </w:numPr>
        <w:shd w:val="clear" w:color="000000" w:fill="auto"/>
      </w:pPr>
      <w:r w:rsidRPr="00B01BBB">
        <w:t>Riksdagen bemyndigar regeringen att disponera medel på anslag 1:1 och 1:3 i enlighet med vad som anförs i moti</w:t>
      </w:r>
      <w:r w:rsidRPr="00B01BBB">
        <w:t>o</w:t>
      </w:r>
      <w:r w:rsidRPr="00B01BBB">
        <w:t>nen.</w:t>
      </w:r>
    </w:p>
    <w:p w:rsidR="006E4629" w:rsidRPr="00B01BBB" w:rsidRDefault="006E4629">
      <w:pPr>
        <w:pStyle w:val="Rubrik1"/>
        <w:shd w:val="clear" w:color="000000" w:fill="auto"/>
      </w:pPr>
      <w:r w:rsidRPr="00B01BBB">
        <w:lastRenderedPageBreak/>
        <w:t>Ett modernt, effektivt och folkligt förankrat försvar</w:t>
      </w:r>
    </w:p>
    <w:p w:rsidR="006E4629" w:rsidRPr="00B01BBB" w:rsidRDefault="006E4629">
      <w:pPr>
        <w:shd w:val="clear" w:color="000000" w:fill="auto"/>
      </w:pPr>
      <w:r w:rsidRPr="00B01BBB">
        <w:t>Vi socialdemokrater vill fortsätta att modernisera och effektivisera försvaret. Genom att minimera byråkrati och effektivisera processer vill vi frigöra m</w:t>
      </w:r>
      <w:r w:rsidRPr="00B01BBB">
        <w:t>e</w:t>
      </w:r>
      <w:r w:rsidRPr="00B01BBB">
        <w:t>del för försvarets verksamhet.</w:t>
      </w:r>
    </w:p>
    <w:p w:rsidR="006E4629" w:rsidRPr="00B01BBB" w:rsidRDefault="006E4629">
      <w:pPr>
        <w:pStyle w:val="Normaltindrag"/>
        <w:shd w:val="clear" w:color="000000" w:fill="auto"/>
      </w:pPr>
      <w:r w:rsidRPr="00B01BBB">
        <w:t>Omställningen till ett modernt, effektivt och folkligt förankrat försvar må</w:t>
      </w:r>
      <w:r w:rsidRPr="00B01BBB">
        <w:t>s</w:t>
      </w:r>
      <w:r w:rsidRPr="00B01BBB">
        <w:t>te fortsätta. Det är en naturlig följd av försvarsbeslutet 2004. Många viktiga inriktnings- och prioriteringsbeslut måste fattas i vårens försvarsproposition. Vi socialdemokrater vill se ett fördjupat nordiskt försvarssamarbete, ett nytt personalförsörjningssystem som förmår att förena efterfrågad snabbhet med bred folklig förankring och en fortsatt utveckling av säkerhetstänkande från civilt till militärt.</w:t>
      </w:r>
    </w:p>
    <w:p w:rsidR="006E4629" w:rsidRPr="00B01BBB" w:rsidRDefault="006E4629">
      <w:pPr>
        <w:pStyle w:val="Normaltindrag"/>
        <w:shd w:val="clear" w:color="000000" w:fill="auto"/>
        <w:rPr>
          <w:color w:val="000000"/>
        </w:rPr>
      </w:pPr>
      <w:r w:rsidRPr="00B01BBB">
        <w:rPr>
          <w:color w:val="000000"/>
        </w:rPr>
        <w:t>Omvärldsläget har förändrats och analyserna från det måste beaktas. Kr</w:t>
      </w:r>
      <w:r w:rsidRPr="00B01BBB">
        <w:rPr>
          <w:color w:val="000000"/>
        </w:rPr>
        <w:t>i</w:t>
      </w:r>
      <w:r w:rsidRPr="00B01BBB">
        <w:rPr>
          <w:color w:val="000000"/>
        </w:rPr>
        <w:t>get i Georgien, IT-attacken mot Estland, utvecklingen av krigen i Afghanistan och Irak har givit erfarenheter som måste återspeglas i den svenska försvar</w:t>
      </w:r>
      <w:r w:rsidRPr="00B01BBB">
        <w:rPr>
          <w:color w:val="000000"/>
        </w:rPr>
        <w:t>s</w:t>
      </w:r>
      <w:r w:rsidRPr="00B01BBB">
        <w:rPr>
          <w:color w:val="000000"/>
        </w:rPr>
        <w:t>planeringen.</w:t>
      </w:r>
    </w:p>
    <w:p w:rsidR="006E4629" w:rsidRPr="00B01BBB" w:rsidRDefault="006E4629">
      <w:pPr>
        <w:pStyle w:val="Normaltindrag"/>
        <w:shd w:val="clear" w:color="000000" w:fill="auto"/>
        <w:rPr>
          <w:color w:val="000000"/>
        </w:rPr>
      </w:pPr>
      <w:r w:rsidRPr="00B01BBB">
        <w:rPr>
          <w:color w:val="000000"/>
        </w:rPr>
        <w:t>Vad som står klart är att ett robust samhälle klarar alla former av kriser bättre. Ett brett säkerhetsarbete ska därför fortsatt genomsyra vårt arbete från orsaksförebyggande och sårbarhetsreducerande till förhindrande, hanterande och återuppbyggande åtgärder.</w:t>
      </w:r>
    </w:p>
    <w:p w:rsidR="006E4629" w:rsidRPr="00B01BBB" w:rsidRDefault="006E4629">
      <w:pPr>
        <w:pStyle w:val="Normaltindrag"/>
        <w:shd w:val="clear" w:color="000000" w:fill="auto"/>
      </w:pPr>
      <w:r w:rsidRPr="00B01BBB">
        <w:t>Vi är övertygade om att breda politiska blocköverskridande och långsiktiga överenskommelser gynnar Sveriges säkerhetspolitik. Mot den bakgrunden har vi socialdemokrater deltagit aktivt i Försvarsberedningens arbete och där arbetat fram rapporter i bred politisk enighet. Regeringen har dock valt en oordnad process som präglats av utspel och kortsiktighet och ständigt förän</w:t>
      </w:r>
      <w:r w:rsidRPr="00B01BBB">
        <w:t>d</w:t>
      </w:r>
      <w:r w:rsidRPr="00B01BBB">
        <w:t>rade förutsättningar för Försvarsmakten. Därmed har regeringen aktivt fö</w:t>
      </w:r>
      <w:r w:rsidRPr="00B01BBB">
        <w:t>r</w:t>
      </w:r>
      <w:r w:rsidRPr="00B01BBB">
        <w:t>sämrat möjligheterna till helhetssyn, breda lösningar och långsiktighet, som historiskt har präglat svensk försvars- och säkerhetspolitik. Mona Sahlin har inbjudit till partiledaröverläggningar för att diskutera en långsiktig lösning för Sveriges försvarspolitik men inte hörsammats.</w:t>
      </w:r>
    </w:p>
    <w:p w:rsidR="006E4629" w:rsidRPr="00B01BBB" w:rsidRDefault="006E4629">
      <w:pPr>
        <w:pStyle w:val="Normaltindrag"/>
        <w:shd w:val="clear" w:color="000000" w:fill="auto"/>
      </w:pPr>
      <w:r w:rsidRPr="00B01BBB">
        <w:t>Vi socialdemokrater avser återkomma med vår syn på ett modernt, effe</w:t>
      </w:r>
      <w:r w:rsidRPr="00B01BBB">
        <w:t>k</w:t>
      </w:r>
      <w:r w:rsidRPr="00B01BBB">
        <w:t>tivt och folkligt förankrat försvar i samband med regeringens försvarspropos</w:t>
      </w:r>
      <w:r w:rsidRPr="00B01BBB">
        <w:t>i</w:t>
      </w:r>
      <w:r w:rsidRPr="00B01BBB">
        <w:t>tion.</w:t>
      </w:r>
    </w:p>
    <w:p w:rsidR="006E4629" w:rsidRPr="00B01BBB" w:rsidRDefault="006E4629">
      <w:pPr>
        <w:pStyle w:val="Rubrik1"/>
        <w:shd w:val="clear" w:color="000000" w:fill="auto"/>
      </w:pPr>
      <w:r w:rsidRPr="00B01BBB">
        <w:t>Fortsatt omställning och effektivisering av försvaret</w:t>
      </w:r>
    </w:p>
    <w:p w:rsidR="006E4629" w:rsidRPr="00B01BBB" w:rsidRDefault="006E4629">
      <w:pPr>
        <w:shd w:val="clear" w:color="000000" w:fill="auto"/>
      </w:pPr>
      <w:r w:rsidRPr="00B01BBB">
        <w:t>Vi socialdemokrater menar att ett antal rationaliseringar kan göras inom Fö</w:t>
      </w:r>
      <w:r w:rsidRPr="00B01BBB">
        <w:t>r</w:t>
      </w:r>
      <w:r w:rsidRPr="00B01BBB">
        <w:t>svarsmaktens stödverksamheter och som inte påverkar försvarets förmåga. Det handlar om en sammanhållen logistikprocess som grundar sig på en he</w:t>
      </w:r>
      <w:r w:rsidRPr="00B01BBB">
        <w:t>l</w:t>
      </w:r>
      <w:r w:rsidRPr="00B01BBB">
        <w:t>hetssyn där bland annat försvarsindustrin får axla ett större ansvar för mater</w:t>
      </w:r>
      <w:r w:rsidRPr="00B01BBB">
        <w:t>i</w:t>
      </w:r>
      <w:r w:rsidRPr="00B01BBB">
        <w:t>elsystemens tillgänglighet. Det handlar även om en effektivare statlig fasti</w:t>
      </w:r>
      <w:r w:rsidRPr="00B01BBB">
        <w:t>g</w:t>
      </w:r>
      <w:r w:rsidRPr="00B01BBB">
        <w:t xml:space="preserve">hetsförvaltning, en mer rationell planeringsprocess i enlighet med ESV:s rapport samt en överflytt av civila uppgifter från Försvarsmakten till civila myndigheter. Dessa åtgärder ger besparingar på 400 miljoner </w:t>
      </w:r>
      <w:r w:rsidRPr="00B01BBB">
        <w:t>kronor 2010 och 800 miljoner kronor 2011.</w:t>
      </w:r>
    </w:p>
    <w:p w:rsidR="006E4629" w:rsidRPr="00B01BBB" w:rsidRDefault="006E4629">
      <w:pPr>
        <w:pStyle w:val="Rubrik1"/>
        <w:shd w:val="clear" w:color="000000" w:fill="auto"/>
      </w:pPr>
      <w:r w:rsidRPr="00B01BBB">
        <w:t>Materiel</w:t>
      </w:r>
    </w:p>
    <w:p w:rsidR="006E4629" w:rsidRPr="00B01BBB" w:rsidRDefault="006E4629">
      <w:pPr>
        <w:shd w:val="clear" w:color="000000" w:fill="auto"/>
      </w:pPr>
      <w:r w:rsidRPr="00B01BBB">
        <w:t xml:space="preserve">I ljuset av den militära alliansfriheten är det viktigt att värna en inhemsk, svensk försvarsindustri med hög teknologisk standard. Försvarsindustrin </w:t>
      </w:r>
      <w:r w:rsidRPr="00B01BBB">
        <w:rPr>
          <w:spacing w:val="-2"/>
        </w:rPr>
        <w:t>bidrar till Sveriges oberoende. Samtidigt gagnas Sverige som industrination av en stark försvarsindustri, som dessutom bidrar med positiva spinoffeffekter.</w:t>
      </w:r>
    </w:p>
    <w:p w:rsidR="006E4629" w:rsidRPr="00B01BBB" w:rsidRDefault="006E4629">
      <w:pPr>
        <w:pStyle w:val="Normaltindrag"/>
        <w:shd w:val="clear" w:color="000000" w:fill="auto"/>
      </w:pPr>
      <w:r w:rsidRPr="00B01BBB">
        <w:t>I förra höstens budgetproposition föreslog vi en större neddragning på m</w:t>
      </w:r>
      <w:r w:rsidRPr="00B01BBB">
        <w:t>a</w:t>
      </w:r>
      <w:r w:rsidRPr="00B01BBB">
        <w:t>terielanslaget. Detta mot bakgrund av att de stora kostnaderna för inköp av JAS 39 Gripen skulle falla kraftigt under de närmaste åren när de sista JAS-flygplanen levererats. Nu har dock regeringen under det år som gått sedan vi presenterade vår förra budgetmotion föreslagit ytterligare neddragningar på försvarsmateriel – först i tilläggsbudgetpropositionen i april och nu i budge</w:t>
      </w:r>
      <w:r w:rsidRPr="00B01BBB">
        <w:t>t</w:t>
      </w:r>
      <w:r w:rsidRPr="00B01BBB">
        <w:t>propositionen i september. Med dessa förslag ser vi inga ytterligare möjligh</w:t>
      </w:r>
      <w:r w:rsidRPr="00B01BBB">
        <w:t>e</w:t>
      </w:r>
      <w:r w:rsidRPr="00B01BBB">
        <w:t>ter till besparingar på försvarsmaterielområdet und</w:t>
      </w:r>
      <w:r w:rsidRPr="00B01BBB">
        <w:t>er den kommande budge</w:t>
      </w:r>
      <w:r w:rsidRPr="00B01BBB">
        <w:t>t</w:t>
      </w:r>
      <w:r w:rsidRPr="00B01BBB">
        <w:t>perioden.</w:t>
      </w:r>
    </w:p>
    <w:p w:rsidR="006E4629" w:rsidRPr="00B01BBB" w:rsidRDefault="006E4629">
      <w:pPr>
        <w:pStyle w:val="Normaltindrag"/>
        <w:shd w:val="clear" w:color="000000" w:fill="auto"/>
      </w:pPr>
      <w:r w:rsidRPr="00B01BBB">
        <w:t>När det gäller regeringens förslag i höstens budgetproposition har stora d</w:t>
      </w:r>
      <w:r w:rsidRPr="00B01BBB">
        <w:t>e</w:t>
      </w:r>
      <w:r w:rsidRPr="00B01BBB">
        <w:t>lar av dessa förslag förberetts i den så kallade genomförandegruppen i Rege</w:t>
      </w:r>
      <w:r w:rsidRPr="00B01BBB">
        <w:t>r</w:t>
      </w:r>
      <w:r w:rsidRPr="00B01BBB">
        <w:t>ingskansliet. Gruppens arbete har dock inte vägletts av den försvarsindustr</w:t>
      </w:r>
      <w:r w:rsidRPr="00B01BBB">
        <w:t>i</w:t>
      </w:r>
      <w:r w:rsidRPr="00B01BBB">
        <w:t>strategi som regeringen hade utlovat. Vad som har legat till grund för priorit</w:t>
      </w:r>
      <w:r w:rsidRPr="00B01BBB">
        <w:t>e</w:t>
      </w:r>
      <w:r w:rsidRPr="00B01BBB">
        <w:t>ringarna är därför högst oklart, och vi har svårt att få insyn i vad de tillfälliga besparingarna på försvarsmateriel innebär. Därför föreslår vi något mer resu</w:t>
      </w:r>
      <w:r w:rsidRPr="00B01BBB">
        <w:t>r</w:t>
      </w:r>
      <w:r w:rsidRPr="00B01BBB">
        <w:t>ser till försvarsmateriel 2009 (300 miljoner) och 2010 (100 miljoner).</w:t>
      </w:r>
    </w:p>
    <w:p w:rsidR="006E4629" w:rsidRPr="00B01BBB" w:rsidRDefault="006E4629">
      <w:pPr>
        <w:pStyle w:val="Rubrik1"/>
        <w:shd w:val="clear" w:color="000000" w:fill="auto"/>
      </w:pPr>
      <w:r w:rsidRPr="00B01BBB">
        <w:t>Fredsfrämjande insatser</w:t>
      </w:r>
    </w:p>
    <w:p w:rsidR="006E4629" w:rsidRPr="00B01BBB" w:rsidRDefault="006E4629">
      <w:pPr>
        <w:shd w:val="clear" w:color="000000" w:fill="auto"/>
      </w:pPr>
      <w:r w:rsidRPr="00B01BBB">
        <w:t>Vi vill att Sverige ska bidra till fred och säkerhet globalt genom att delta vid internationella fredsfrämjande insatser. När det gäller det svenska engag</w:t>
      </w:r>
      <w:r w:rsidRPr="00B01BBB">
        <w:t>e</w:t>
      </w:r>
      <w:r w:rsidRPr="00B01BBB">
        <w:t>manget i Kosovo vill vi avsluta den militära insatsen Kfor, men fortsätta vårt civila engagemang. Sveriges första bataljon kom till Kosovo redan i oktober 1999 och dagens insats utgörs av den sjuttonde rotationen. Sverige har under 2008 godkänt Kosovo som stat, och det är nu hög tid att gå vidare. Därför minskar vi tillfälligt anslaget för de fredsfrämjande insatserna med 500 milj</w:t>
      </w:r>
      <w:r w:rsidRPr="00B01BBB">
        <w:t>o</w:t>
      </w:r>
      <w:r w:rsidRPr="00B01BBB">
        <w:t>ner kronor 2009 och 250 miljoner kronor 2010. Vi är öppna för att o</w:t>
      </w:r>
      <w:r w:rsidRPr="00B01BBB">
        <w:t>m</w:t>
      </w:r>
      <w:r w:rsidRPr="00B01BBB">
        <w:t>fördela resurser och förstärka insatsen i Afghanistan om sä</w:t>
      </w:r>
      <w:r w:rsidRPr="00B01BBB">
        <w:t>kerhetsläget skulle försä</w:t>
      </w:r>
      <w:r w:rsidRPr="00B01BBB">
        <w:t>m</w:t>
      </w:r>
      <w:r w:rsidRPr="00B01BBB">
        <w:t>ras.</w:t>
      </w:r>
    </w:p>
    <w:p w:rsidR="006E4629" w:rsidRPr="00B01BBB" w:rsidRDefault="006E4629">
      <w:pPr>
        <w:pStyle w:val="Normaltindrag"/>
        <w:shd w:val="clear" w:color="000000" w:fill="auto"/>
      </w:pPr>
      <w:r w:rsidRPr="00B01BBB">
        <w:t>Regeringen går i budgetpropositionen vidare och höjer ambitionsnivån y</w:t>
      </w:r>
      <w:r w:rsidRPr="00B01BBB">
        <w:t>t</w:t>
      </w:r>
      <w:r w:rsidRPr="00B01BBB">
        <w:t>terligare för de internationella insatserna med 650 miljoner kronor för 2009 och framåt. Vi menar att det nu behövs ett nytt inriktningsbeslut för hela fö</w:t>
      </w:r>
      <w:r w:rsidRPr="00B01BBB">
        <w:t>r</w:t>
      </w:r>
      <w:r w:rsidRPr="00B01BBB">
        <w:t>svarspolitiken – och vill därför inte göra några större justeringar av amb</w:t>
      </w:r>
      <w:r w:rsidRPr="00B01BBB">
        <w:t>i</w:t>
      </w:r>
      <w:r w:rsidRPr="00B01BBB">
        <w:t>tionsnivå för de fredsfrämjande insatserna innan dess. Därför nöjer vi med oss att höja ambitionerna med 200 miljoner kronor per år från 2009 och framåt.</w:t>
      </w:r>
    </w:p>
    <w:p w:rsidR="006E4629" w:rsidRPr="00B01BBB" w:rsidRDefault="006E4629">
      <w:pPr>
        <w:pStyle w:val="Normaltindrag"/>
        <w:shd w:val="clear" w:color="000000" w:fill="auto"/>
      </w:pPr>
      <w:r w:rsidRPr="00B01BBB">
        <w:t>Den svenska regeringen har, tillsammans med Estland, Finland, Irland och Norge, anmält sin avsikt till EU att ställa den nordis</w:t>
      </w:r>
      <w:r w:rsidRPr="00B01BBB">
        <w:t>ka stridsgruppen (NBG) till EU:s förfogande för en ny beredskapsperiod under det första halvåret 2011, med Sverige som så kallad ramnation. Vi socialdemokrater är positiva till att Sverige deltar i NBG 2011. Vi menar samtidigt att Sverige, som nyl</w:t>
      </w:r>
      <w:r w:rsidRPr="00B01BBB">
        <w:t>i</w:t>
      </w:r>
      <w:r w:rsidRPr="00B01BBB">
        <w:t>gen tog ett betydande ansvar för den nordiska stridsgruppen när den stod till EU:s förfogande under första halvåret 2008 – av snabbinsatsstyrkans soldater kom 2 300 av 2 800 från Sverige – denna gång inte ska vara ramnation och ta det största ansvaret. Därför mins</w:t>
      </w:r>
      <w:r w:rsidRPr="00B01BBB">
        <w:t>kar vi försvarsramen med 300 miljoner kr</w:t>
      </w:r>
      <w:r w:rsidRPr="00B01BBB">
        <w:t>o</w:t>
      </w:r>
      <w:r w:rsidRPr="00B01BBB">
        <w:t>nor 2009, 700 miljoner kronor 2010 och 1 miljard kronor 2011. Som vi tid</w:t>
      </w:r>
      <w:r w:rsidRPr="00B01BBB">
        <w:t>i</w:t>
      </w:r>
      <w:r w:rsidRPr="00B01BBB">
        <w:t>gare aviserat säger vi nej till att delta i Natos snabbinsatsstyrka (NRF).</w:t>
      </w:r>
    </w:p>
    <w:p w:rsidR="006E4629" w:rsidRPr="00B01BBB" w:rsidRDefault="006E4629">
      <w:pPr>
        <w:pStyle w:val="Normaltindrag"/>
        <w:shd w:val="clear" w:color="000000" w:fill="auto"/>
      </w:pPr>
      <w:r w:rsidRPr="00B01BBB">
        <w:t>Vi föreslår att besparingen på NBG för 2009 fördelas med 100 miljoner på anslag 1:1 och 100 miljoner på anslag 1:3. Eftersom det är oklart exakt hur kostnaderna för NBG fördelar sig föreslår vi emellertid att regeringen bemy</w:t>
      </w:r>
      <w:r w:rsidRPr="00B01BBB">
        <w:t>n</w:t>
      </w:r>
      <w:r w:rsidRPr="00B01BBB">
        <w:t>digas att vid behov omfördela besparingen mellan anslagen.</w:t>
      </w:r>
    </w:p>
    <w:p w:rsidR="006E4629" w:rsidRPr="00B01BBB" w:rsidRDefault="006E4629">
      <w:pPr>
        <w:pStyle w:val="Rubrik1"/>
        <w:shd w:val="clear" w:color="000000" w:fill="auto"/>
      </w:pPr>
      <w:r w:rsidRPr="00B01BBB">
        <w:t>Myndigheten för samhällsskydd och beredskap</w:t>
      </w:r>
    </w:p>
    <w:p w:rsidR="006E4629" w:rsidRPr="00B01BBB" w:rsidRDefault="006E4629">
      <w:pPr>
        <w:shd w:val="clear" w:color="000000" w:fill="auto"/>
      </w:pPr>
      <w:r w:rsidRPr="00B01BBB">
        <w:t>Vi avvisar regeringens förslag om att föra över resurser från biståndsbudgeten till anslaget för Myndigheten för samhällsskydd och beredskap. Dessa resu</w:t>
      </w:r>
      <w:r w:rsidRPr="00B01BBB">
        <w:t>r</w:t>
      </w:r>
      <w:r w:rsidRPr="00B01BBB">
        <w:t>ser bör även fortsättningsvis hanteras över biståndsbudgeten. Se även utgift</w:t>
      </w:r>
      <w:r w:rsidRPr="00B01BBB">
        <w:t>s</w:t>
      </w:r>
      <w:r w:rsidRPr="00B01BBB">
        <w:t>område 07.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1BBB">
        <w:trPr>
          <w:cantSplit/>
        </w:trPr>
        <w:tc>
          <w:tcPr>
            <w:tcW w:w="3046" w:type="dxa"/>
          </w:tcPr>
          <w:p w:rsidR="006E4629" w:rsidRPr="00B01BBB" w:rsidRDefault="006E4629">
            <w:pPr>
              <w:pStyle w:val="UnderskriftDatum"/>
              <w:shd w:val="clear" w:color="000000" w:fill="auto"/>
              <w:spacing w:before="240"/>
            </w:pPr>
            <w:r w:rsidRPr="00B01BBB">
              <w:t>Stockholm den 7 oktober 2008</w:t>
            </w:r>
          </w:p>
        </w:tc>
        <w:tc>
          <w:tcPr>
            <w:tcW w:w="3047" w:type="dxa"/>
          </w:tcPr>
          <w:p w:rsidR="006E4629" w:rsidRPr="00B01BBB" w:rsidRDefault="006E4629">
            <w:pPr>
              <w:pStyle w:val="Underskrifter"/>
              <w:shd w:val="clear" w:color="000000" w:fill="auto"/>
              <w:spacing w:before="240"/>
            </w:pPr>
          </w:p>
        </w:tc>
      </w:tr>
      <w:tr w:rsidR="00000000" w:rsidRPr="00B01BBB">
        <w:trPr>
          <w:cantSplit/>
        </w:trPr>
        <w:tc>
          <w:tcPr>
            <w:tcW w:w="3046" w:type="dxa"/>
          </w:tcPr>
          <w:p w:rsidR="006E4629" w:rsidRPr="00B01BBB" w:rsidRDefault="006E4629">
            <w:pPr>
              <w:pStyle w:val="Underskrifter"/>
              <w:shd w:val="clear" w:color="000000" w:fill="auto"/>
            </w:pPr>
            <w:r w:rsidRPr="00B01BBB">
              <w:t>Anders Karlsson (s)</w:t>
            </w:r>
          </w:p>
        </w:tc>
        <w:tc>
          <w:tcPr>
            <w:tcW w:w="3046" w:type="dxa"/>
          </w:tcPr>
          <w:p w:rsidR="006E4629" w:rsidRPr="00B01BBB" w:rsidRDefault="006E4629">
            <w:pPr>
              <w:pStyle w:val="Underskrifter"/>
              <w:shd w:val="clear" w:color="000000" w:fill="auto"/>
            </w:pPr>
          </w:p>
        </w:tc>
      </w:tr>
      <w:tr w:rsidR="00000000" w:rsidRPr="00B01BBB">
        <w:trPr>
          <w:cantSplit/>
        </w:trPr>
        <w:tc>
          <w:tcPr>
            <w:tcW w:w="3046" w:type="dxa"/>
          </w:tcPr>
          <w:p w:rsidR="006E4629" w:rsidRPr="00B01BBB" w:rsidRDefault="006E4629">
            <w:pPr>
              <w:pStyle w:val="Underskrifter"/>
              <w:shd w:val="clear" w:color="000000" w:fill="auto"/>
            </w:pPr>
            <w:r w:rsidRPr="00B01BBB">
              <w:t>Peter Jonsson (s)</w:t>
            </w:r>
          </w:p>
        </w:tc>
        <w:tc>
          <w:tcPr>
            <w:tcW w:w="3046" w:type="dxa"/>
          </w:tcPr>
          <w:p w:rsidR="006E4629" w:rsidRPr="00B01BBB" w:rsidRDefault="006E4629">
            <w:pPr>
              <w:pStyle w:val="Underskrifter"/>
              <w:shd w:val="clear" w:color="000000" w:fill="auto"/>
            </w:pPr>
            <w:r w:rsidRPr="00B01BBB">
              <w:t>Michael Hagberg (s)</w:t>
            </w:r>
          </w:p>
        </w:tc>
      </w:tr>
      <w:tr w:rsidR="00000000" w:rsidRPr="00B01BBB">
        <w:trPr>
          <w:cantSplit/>
        </w:trPr>
        <w:tc>
          <w:tcPr>
            <w:tcW w:w="3046" w:type="dxa"/>
          </w:tcPr>
          <w:p w:rsidR="006E4629" w:rsidRPr="00B01BBB" w:rsidRDefault="006E4629">
            <w:pPr>
              <w:pStyle w:val="Underskrifter"/>
              <w:shd w:val="clear" w:color="000000" w:fill="auto"/>
            </w:pPr>
            <w:r w:rsidRPr="00B01BBB">
              <w:t>Mats Berglind (s)</w:t>
            </w:r>
          </w:p>
        </w:tc>
        <w:tc>
          <w:tcPr>
            <w:tcW w:w="3046" w:type="dxa"/>
          </w:tcPr>
          <w:p w:rsidR="006E4629" w:rsidRPr="00B01BBB" w:rsidRDefault="006E4629">
            <w:pPr>
              <w:pStyle w:val="Underskrifter"/>
              <w:shd w:val="clear" w:color="000000" w:fill="auto"/>
            </w:pPr>
            <w:r w:rsidRPr="00B01BBB">
              <w:t>Åsa Lindestam (s)</w:t>
            </w:r>
          </w:p>
        </w:tc>
      </w:tr>
      <w:tr w:rsidR="00000000" w:rsidRPr="00B01BBB">
        <w:trPr>
          <w:cantSplit/>
        </w:trPr>
        <w:tc>
          <w:tcPr>
            <w:tcW w:w="3046" w:type="dxa"/>
          </w:tcPr>
          <w:p w:rsidR="006E4629" w:rsidRPr="00B01BBB" w:rsidRDefault="006E4629">
            <w:pPr>
              <w:pStyle w:val="Underskrifter"/>
              <w:shd w:val="clear" w:color="000000" w:fill="auto"/>
            </w:pPr>
            <w:r w:rsidRPr="00B01BBB">
              <w:t>Inger Jarl Beck (s)</w:t>
            </w:r>
          </w:p>
        </w:tc>
        <w:tc>
          <w:tcPr>
            <w:tcW w:w="3046" w:type="dxa"/>
          </w:tcPr>
          <w:p w:rsidR="006E4629" w:rsidRPr="00B01BBB" w:rsidRDefault="006E4629">
            <w:pPr>
              <w:pStyle w:val="Underskrifter"/>
              <w:shd w:val="clear" w:color="000000" w:fill="auto"/>
            </w:pPr>
            <w:r w:rsidRPr="00B01BBB">
              <w:t>Peter Jeppsson (s)</w:t>
            </w:r>
          </w:p>
        </w:tc>
      </w:tr>
      <w:tr w:rsidR="00000000" w:rsidRPr="00B01BBB">
        <w:trPr>
          <w:cantSplit/>
        </w:trPr>
        <w:tc>
          <w:tcPr>
            <w:tcW w:w="3046" w:type="dxa"/>
          </w:tcPr>
          <w:p w:rsidR="006E4629" w:rsidRPr="00B01BBB" w:rsidRDefault="006E4629">
            <w:pPr>
              <w:pStyle w:val="Underskrifter"/>
              <w:shd w:val="clear" w:color="000000" w:fill="auto"/>
            </w:pPr>
            <w:r w:rsidRPr="00B01BBB">
              <w:t>Eva Sonidsson (s)</w:t>
            </w:r>
          </w:p>
        </w:tc>
        <w:tc>
          <w:tcPr>
            <w:tcW w:w="3046" w:type="dxa"/>
          </w:tcPr>
          <w:p w:rsidR="006E4629" w:rsidRPr="00B01BBB" w:rsidRDefault="006E4629">
            <w:pPr>
              <w:pStyle w:val="Underskrifter"/>
              <w:shd w:val="clear" w:color="000000" w:fill="auto"/>
            </w:pPr>
          </w:p>
        </w:tc>
      </w:tr>
    </w:tbl>
    <w:p w:rsidR="006E4629" w:rsidRPr="00B01BBB" w:rsidRDefault="006E4629">
      <w:pPr>
        <w:pStyle w:val="Normaltindrag"/>
        <w:shd w:val="clear" w:color="000000" w:fill="auto"/>
      </w:pPr>
    </w:p>
    <w:sectPr w:rsidR="006E4629" w:rsidRPr="00B01B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629" w:rsidRPr="00B01BBB" w:rsidRDefault="006E4629">
      <w:r w:rsidRPr="00B01BBB">
        <w:separator/>
      </w:r>
    </w:p>
  </w:endnote>
  <w:endnote w:type="continuationSeparator" w:id="0">
    <w:p w:rsidR="006E4629" w:rsidRPr="00B01BBB" w:rsidRDefault="006E4629">
      <w:r w:rsidRPr="00B01B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29" w:rsidRPr="00B01BBB" w:rsidRDefault="00B01BBB">
    <w:pPr>
      <w:pStyle w:val="Sidfot"/>
    </w:pPr>
    <w:r w:rsidRPr="00B01B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05896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29" w:rsidRDefault="006E46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4629" w:rsidRDefault="006E46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29" w:rsidRPr="00B01BBB" w:rsidRDefault="00B01BBB">
    <w:pPr>
      <w:pStyle w:val="Sidfot"/>
    </w:pPr>
    <w:r w:rsidRPr="00B01B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0070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29" w:rsidRDefault="006E462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4629" w:rsidRDefault="006E462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29" w:rsidRPr="00B01BBB" w:rsidRDefault="00B01BBB">
    <w:pPr>
      <w:pStyle w:val="Sidfot"/>
    </w:pPr>
    <w:r w:rsidRPr="00B01B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460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29" w:rsidRDefault="006E46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4629" w:rsidRDefault="006E46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629" w:rsidRPr="00B01BBB" w:rsidRDefault="006E4629">
      <w:r w:rsidRPr="00B01BBB">
        <w:separator/>
      </w:r>
    </w:p>
  </w:footnote>
  <w:footnote w:type="continuationSeparator" w:id="0">
    <w:p w:rsidR="006E4629" w:rsidRPr="00B01BBB" w:rsidRDefault="006E4629">
      <w:r w:rsidRPr="00B01B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29" w:rsidRPr="00B01BBB" w:rsidRDefault="00B01BBB">
    <w:pPr>
      <w:pStyle w:val="Sidhuvud"/>
    </w:pPr>
    <w:r w:rsidRPr="00B01B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518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29" w:rsidRDefault="006E46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4629" w:rsidRDefault="006E46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29" w:rsidRPr="00B01BBB" w:rsidRDefault="00B01BBB">
    <w:pPr>
      <w:pStyle w:val="Sidhuvud"/>
    </w:pPr>
    <w:r w:rsidRPr="00B01B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5666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629" w:rsidRDefault="006E46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4629" w:rsidRDefault="006E46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629" w:rsidRPr="00B01BBB" w:rsidRDefault="006E4629">
    <w:pPr>
      <w:pStyle w:val="FSHNormal"/>
      <w:tabs>
        <w:tab w:val="right" w:pos="5840"/>
      </w:tabs>
    </w:pPr>
    <w:r w:rsidRPr="00B01BBB">
      <w:br/>
    </w:r>
    <w:r w:rsidRPr="00B01BBB">
      <w:fldChar w:fldCharType="begin" w:fldLock="1"/>
    </w:r>
    <w:r w:rsidRPr="00B01BBB">
      <w:instrText xml:space="preserve"> DOCPROPERTY</w:instrText>
    </w:r>
    <w:r w:rsidRPr="00B01BBB">
      <w:rPr>
        <w:sz w:val="18"/>
      </w:rPr>
      <w:instrText xml:space="preserve"> "YearUser" *\charformat </w:instrText>
    </w:r>
    <w:r w:rsidRPr="00B01BBB">
      <w:fldChar w:fldCharType="separate"/>
    </w:r>
    <w:r w:rsidRPr="00B01BBB">
      <w:t>2008/09</w:t>
    </w:r>
    <w:r w:rsidRPr="00B01BBB">
      <w:fldChar w:fldCharType="end"/>
    </w:r>
    <w:r w:rsidRPr="00B01BBB">
      <w:t xml:space="preserve"> </w:t>
    </w:r>
    <w:r w:rsidRPr="00B01BBB">
      <w:tab/>
      <w:t xml:space="preserve">mnr: </w:t>
    </w:r>
    <w:r w:rsidRPr="00B01BBB">
      <w:fldChar w:fldCharType="begin" w:fldLock="1"/>
    </w:r>
    <w:r w:rsidRPr="00B01BBB">
      <w:instrText xml:space="preserve"> DOCPROPERTY</w:instrText>
    </w:r>
    <w:r w:rsidRPr="00B01BBB">
      <w:rPr>
        <w:sz w:val="18"/>
      </w:rPr>
      <w:instrText xml:space="preserve"> "Motionsnummer" *\charformat </w:instrText>
    </w:r>
    <w:r w:rsidRPr="00B01BBB">
      <w:fldChar w:fldCharType="separate"/>
    </w:r>
    <w:r w:rsidRPr="00B01BBB">
      <w:t>Fö294</w:t>
    </w:r>
    <w:r w:rsidRPr="00B01BBB">
      <w:fldChar w:fldCharType="end"/>
    </w:r>
    <w:r w:rsidRPr="00B01BBB">
      <w:br/>
    </w:r>
    <w:r w:rsidRPr="00B01BBB">
      <w:fldChar w:fldCharType="begin" w:fldLock="1"/>
    </w:r>
    <w:r w:rsidRPr="00B01BBB">
      <w:instrText xml:space="preserve"> DOCPROPERTY</w:instrText>
    </w:r>
    <w:r w:rsidRPr="00B01BBB">
      <w:rPr>
        <w:sz w:val="18"/>
      </w:rPr>
      <w:instrText xml:space="preserve"> "Samling" *\charformat </w:instrText>
    </w:r>
    <w:r w:rsidRPr="00B01BBB">
      <w:fldChar w:fldCharType="end"/>
    </w:r>
    <w:r w:rsidRPr="00B01BBB">
      <w:tab/>
      <w:t xml:space="preserve">pnr: </w:t>
    </w:r>
    <w:r w:rsidRPr="00B01BBB">
      <w:fldChar w:fldCharType="begin" w:fldLock="1"/>
    </w:r>
    <w:r w:rsidRPr="00B01BBB">
      <w:instrText xml:space="preserve"> DOCPROPERTY</w:instrText>
    </w:r>
    <w:r w:rsidRPr="00B01BBB">
      <w:rPr>
        <w:sz w:val="18"/>
      </w:rPr>
      <w:instrText xml:space="preserve"> "Partinummer" *\charformat </w:instrText>
    </w:r>
    <w:r w:rsidRPr="00B01BBB">
      <w:fldChar w:fldCharType="separate"/>
    </w:r>
    <w:r w:rsidRPr="00B01BBB">
      <w:t>s64037</w:t>
    </w:r>
    <w:r w:rsidRPr="00B01BBB">
      <w:fldChar w:fldCharType="end"/>
    </w:r>
  </w:p>
  <w:p w:rsidR="006E4629" w:rsidRPr="00B01BBB" w:rsidRDefault="006E4629">
    <w:pPr>
      <w:pStyle w:val="FSHRub1"/>
    </w:pPr>
    <w:r w:rsidRPr="00B01BBB">
      <w:t>Motion till riksdagen</w:t>
    </w:r>
    <w:r w:rsidRPr="00B01BBB">
      <w:br/>
    </w:r>
    <w:r w:rsidRPr="00B01BBB">
      <w:fldChar w:fldCharType="begin" w:fldLock="1"/>
    </w:r>
    <w:r w:rsidRPr="00B01BBB">
      <w:instrText xml:space="preserve"> DOCPROPERTY "YearUser" *\charformat </w:instrText>
    </w:r>
    <w:r w:rsidRPr="00B01BBB">
      <w:fldChar w:fldCharType="separate"/>
    </w:r>
    <w:r w:rsidRPr="00B01BBB">
      <w:t>2008/09</w:t>
    </w:r>
    <w:r w:rsidRPr="00B01BBB">
      <w:fldChar w:fldCharType="end"/>
    </w:r>
    <w:r w:rsidRPr="00B01BBB">
      <w:t>:</w:t>
    </w:r>
    <w:r w:rsidRPr="00B01BBB">
      <w:fldChar w:fldCharType="begin" w:fldLock="1"/>
    </w:r>
    <w:r w:rsidRPr="00B01BBB">
      <w:instrText xml:space="preserve"> DOCPROPERTY "Motionsnummer" *\charformat </w:instrText>
    </w:r>
    <w:r w:rsidRPr="00B01BBB">
      <w:fldChar w:fldCharType="separate"/>
    </w:r>
    <w:r w:rsidRPr="00B01BBB">
      <w:t>Fö294</w:t>
    </w:r>
    <w:r w:rsidRPr="00B01BBB">
      <w:fldChar w:fldCharType="end"/>
    </w:r>
  </w:p>
  <w:p w:rsidR="006E4629" w:rsidRPr="00B01BBB" w:rsidRDefault="006E4629">
    <w:pPr>
      <w:pStyle w:val="FSHNormalS5"/>
    </w:pPr>
    <w:r w:rsidRPr="00B01BBB">
      <w:fldChar w:fldCharType="begin" w:fldLock="1"/>
    </w:r>
    <w:r w:rsidRPr="00B01BBB">
      <w:instrText xml:space="preserve"> DOCPROPERTY "MotionarText" *\charformat </w:instrText>
    </w:r>
    <w:r w:rsidRPr="00B01BBB">
      <w:fldChar w:fldCharType="separate"/>
    </w:r>
    <w:r w:rsidRPr="00B01BBB">
      <w:t>av Anders Karlsson m.fl. (s)</w:t>
    </w:r>
    <w:r w:rsidRPr="00B01BBB">
      <w:fldChar w:fldCharType="end"/>
    </w:r>
    <w:r w:rsidRPr="00B01BBB">
      <w:br/>
    </w:r>
    <w:r w:rsidRPr="00B01BBB">
      <w:fldChar w:fldCharType="begin" w:fldLock="1"/>
    </w:r>
    <w:r w:rsidRPr="00B01BBB">
      <w:instrText xml:space="preserve"> DOCPROPERTY "SvarFrasKort" *\charformat </w:instrText>
    </w:r>
    <w:r w:rsidRPr="00B01BBB">
      <w:fldChar w:fldCharType="end"/>
    </w:r>
  </w:p>
  <w:p w:rsidR="006E4629" w:rsidRPr="00B01BBB" w:rsidRDefault="006E4629">
    <w:pPr>
      <w:pStyle w:val="FSHTitel"/>
    </w:pPr>
    <w:r w:rsidRPr="00B01BBB">
      <w:fldChar w:fldCharType="begin" w:fldLock="1"/>
    </w:r>
    <w:r w:rsidRPr="00B01BBB">
      <w:instrText xml:space="preserve"> DOCPROPERTY</w:instrText>
    </w:r>
    <w:r w:rsidRPr="00B01BBB">
      <w:rPr>
        <w:sz w:val="18"/>
      </w:rPr>
      <w:instrText xml:space="preserve"> "RubrikSvar" *\charformat </w:instrText>
    </w:r>
    <w:r w:rsidRPr="00B01BBB">
      <w:fldChar w:fldCharType="separate"/>
    </w:r>
    <w:r w:rsidRPr="00B01BBB">
      <w:t>Utgiftsområde 6 Försvar</w:t>
    </w:r>
    <w:r w:rsidRPr="00B01BBB">
      <w:fldChar w:fldCharType="end"/>
    </w:r>
  </w:p>
  <w:p w:rsidR="006E4629" w:rsidRPr="00B01BBB" w:rsidRDefault="006E4629">
    <w:pPr>
      <w:pStyle w:val="Normal00"/>
    </w:pPr>
  </w:p>
  <w:p w:rsidR="006E4629" w:rsidRPr="00B01BBB" w:rsidRDefault="006E46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775C21"/>
    <w:multiLevelType w:val="multilevel"/>
    <w:tmpl w:val="F356E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D363D5C"/>
    <w:multiLevelType w:val="multilevel"/>
    <w:tmpl w:val="F356E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8757F3F"/>
    <w:multiLevelType w:val="hybridMultilevel"/>
    <w:tmpl w:val="115A0742"/>
    <w:lvl w:ilvl="0" w:tplc="8FC040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2190022">
    <w:abstractNumId w:val="8"/>
  </w:num>
  <w:num w:numId="2" w16cid:durableId="1789618234">
    <w:abstractNumId w:val="9"/>
  </w:num>
  <w:num w:numId="3" w16cid:durableId="1432510626">
    <w:abstractNumId w:val="8"/>
  </w:num>
  <w:num w:numId="4" w16cid:durableId="1604681061">
    <w:abstractNumId w:val="9"/>
  </w:num>
  <w:num w:numId="5" w16cid:durableId="1745030065">
    <w:abstractNumId w:val="15"/>
  </w:num>
  <w:num w:numId="6" w16cid:durableId="1056321764">
    <w:abstractNumId w:val="10"/>
  </w:num>
  <w:num w:numId="7" w16cid:durableId="1430155619">
    <w:abstractNumId w:val="12"/>
  </w:num>
  <w:num w:numId="8" w16cid:durableId="1121994563">
    <w:abstractNumId w:val="14"/>
  </w:num>
  <w:num w:numId="9" w16cid:durableId="487867721">
    <w:abstractNumId w:val="8"/>
  </w:num>
  <w:num w:numId="10" w16cid:durableId="1330788213">
    <w:abstractNumId w:val="3"/>
  </w:num>
  <w:num w:numId="11" w16cid:durableId="792021940">
    <w:abstractNumId w:val="2"/>
  </w:num>
  <w:num w:numId="12" w16cid:durableId="1929003057">
    <w:abstractNumId w:val="1"/>
  </w:num>
  <w:num w:numId="13" w16cid:durableId="1788697487">
    <w:abstractNumId w:val="0"/>
  </w:num>
  <w:num w:numId="14" w16cid:durableId="1067996429">
    <w:abstractNumId w:val="9"/>
  </w:num>
  <w:num w:numId="15" w16cid:durableId="142310104">
    <w:abstractNumId w:val="7"/>
  </w:num>
  <w:num w:numId="16" w16cid:durableId="38363761">
    <w:abstractNumId w:val="6"/>
  </w:num>
  <w:num w:numId="17" w16cid:durableId="1641614582">
    <w:abstractNumId w:val="5"/>
  </w:num>
  <w:num w:numId="18" w16cid:durableId="1806660238">
    <w:abstractNumId w:val="4"/>
  </w:num>
  <w:num w:numId="19" w16cid:durableId="105779389">
    <w:abstractNumId w:val="11"/>
  </w:num>
  <w:num w:numId="20" w16cid:durableId="1159928784">
    <w:abstractNumId w:val="13"/>
  </w:num>
  <w:num w:numId="21" w16cid:durableId="9508226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9A5E592E-5AED-4597-A102-9913986F01D0},{452D8401-E789-4AD7-BDFD-997D6CAC822B},{90DE8CB7-4529-46A3-B9CA-8FC406FE53F4},{3A6C1311-F46A-4531-876C-234022E85214},{FAAD9B30-D646-4250-B865-90521500BADD},{CCAC6468-8162-4A2D-A13D-54F31474AE3C},{5D7CB1CA-7CAE-491A-8DC2-13763CCF2B7E},{BF9BF603-152B-49FB-915D-59C9FA8B5D71}"/>
  </w:docVars>
  <w:rsids>
    <w:rsidRoot w:val="00E70795"/>
    <w:rsid w:val="006E4629"/>
    <w:rsid w:val="00B01BBB"/>
    <w:rsid w:val="00E707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A41851-4641-4E8A-89AB-1E96D92A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1177</Words>
  <Characters>7206</Characters>
  <Application>Microsoft Office Word</Application>
  <DocSecurity>4</DocSecurity>
  <Lines>160</Lines>
  <Paragraphs>64</Paragraphs>
  <ScaleCrop>false</ScaleCrop>
  <HeadingPairs>
    <vt:vector size="2" baseType="variant">
      <vt:variant>
        <vt:lpstr>Rubrik</vt:lpstr>
      </vt:variant>
      <vt:variant>
        <vt:i4>1</vt:i4>
      </vt:variant>
    </vt:vector>
  </HeadingPairs>
  <TitlesOfParts>
    <vt:vector size="1" baseType="lpstr">
      <vt:lpstr>s64037</vt:lpstr>
    </vt:vector>
  </TitlesOfParts>
  <Company>Riksdagen</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s64037</dc:title>
  <dc:subject>s64037</dc:subject>
  <dc:creator>Riksdagen</dc:creator>
  <cp:keywords>Riksdagen</cp:keywords>
  <dc:description>TKG-ktrl, MSMQ4mb, PersReg-Distribution mm b-&gt;ny fplogga c-&gt;nygamla s-rosen</dc:description>
  <cp:lastModifiedBy>Lars Brink</cp:lastModifiedBy>
  <cp:revision>2</cp:revision>
  <cp:lastPrinted>2008-11-05T17:19:00Z</cp:lastPrinted>
  <dcterms:created xsi:type="dcterms:W3CDTF">2025-12-17T15:33:00Z</dcterms:created>
  <dcterms:modified xsi:type="dcterms:W3CDTF">2025-12-17T15:33:00Z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6 Försvar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6 Försvar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Karlsson m.fl. (s)</vt:lpwstr>
  </property>
  <property fmtid="{D5CDD505-2E9C-101B-9397-08002B2CF9AE}" pid="26" name="MotionarLista">
    <vt:lpwstr>Karlsson, Anders (s)\Jonsson, Peter (s)\Hagberg, Michael (s)\Berglind, Mats (s)\Lindestam, Åsa (s)\Jarl Beck, Inger (s)\Jeppsson, Peter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Peter Jonsson (s), Michael Hagberg (s), Mats Berglind (s), Åsa Lindestam (s), Inger Jarl Beck (s), Peter Jeppsson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Fö294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20082009000000000115000640370075</vt:lpwstr>
  </property>
  <property fmtid="{D5CDD505-2E9C-101B-9397-08002B2CF9AE}" pid="47" name="datum">
    <vt:lpwstr>081007</vt:lpwstr>
  </property>
  <property fmtid="{D5CDD505-2E9C-101B-9397-08002B2CF9AE}" pid="48" name="avsändar-e-post">
    <vt:lpwstr>christina.ahl-bolin@riksdagen.se</vt:lpwstr>
  </property>
  <property fmtid="{D5CDD505-2E9C-101B-9397-08002B2CF9AE}" pid="49" name="id">
    <vt:lpwstr>20082009000000000115000640370075</vt:lpwstr>
  </property>
  <property fmtid="{D5CDD505-2E9C-101B-9397-08002B2CF9AE}" pid="50" name="nummer">
    <vt:lpwstr>294</vt:lpwstr>
  </property>
  <property fmtid="{D5CDD505-2E9C-101B-9397-08002B2CF9AE}" pid="51" name="utskottsbeteckning">
    <vt:lpwstr>Fö</vt:lpwstr>
  </property>
  <property fmtid="{D5CDD505-2E9C-101B-9397-08002B2CF9AE}" pid="52" name="GlobalUID">
    <vt:lpwstr>{33856715-3049-4175-8603-0AB0ABB9C1B7}</vt:lpwstr>
  </property>
  <property fmtid="{D5CDD505-2E9C-101B-9397-08002B2CF9AE}" pid="53" name="Överföringar">
    <vt:i4>1</vt:i4>
  </property>
  <property fmtid="{D5CDD505-2E9C-101B-9397-08002B2CF9AE}" pid="54" name="Checksum">
    <vt:lpwstr>*0001899637711*</vt:lpwstr>
  </property>
  <property fmtid="{D5CDD505-2E9C-101B-9397-08002B2CF9AE}" pid="55" name="skuggnummer">
    <vt:lpwstr>3623</vt:lpwstr>
  </property>
  <property fmtid="{D5CDD505-2E9C-101B-9397-08002B2CF9AE}" pid="56" name="urixVersion">
    <vt:lpwstr>3.2.0.8</vt:lpwstr>
  </property>
  <property fmtid="{D5CDD505-2E9C-101B-9397-08002B2CF9AE}" pid="57" name="urixOrigin">
    <vt:lpwstr>090402 11:10:06.675</vt:lpwstr>
  </property>
  <property fmtid="{D5CDD505-2E9C-101B-9397-08002B2CF9AE}" pid="58" name="urixGuid">
    <vt:lpwstr>{F16F9A0B-A02D-474F-9541-9B61E5E1FBE4}</vt:lpwstr>
  </property>
</Properties>
</file>