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338" w:rsidRPr="0065578F" w:rsidRDefault="002C0338">
      <w:pPr>
        <w:pStyle w:val="Frslagsrubrik"/>
      </w:pPr>
      <w:r w:rsidRPr="0065578F">
        <w:t>Förslag till riksdagsbeslut</w:t>
      </w:r>
    </w:p>
    <w:p w:rsidR="002C0338" w:rsidRPr="0065578F" w:rsidRDefault="002C0338">
      <w:pPr>
        <w:pStyle w:val="Hemstlatt"/>
      </w:pPr>
      <w:r w:rsidRPr="0065578F">
        <w:t>Riksdagen anvisar till utgiftsområde 1 Rikets styrelse 114 000 000 kr mindre än vad regeringen föreslagit för budgetåret 2012 eller således 11 695 000 000 kr.</w:t>
      </w:r>
    </w:p>
    <w:p w:rsidR="002C0338" w:rsidRPr="0065578F" w:rsidRDefault="002C0338"/>
    <w:tbl>
      <w:tblPr>
        <w:tblW w:w="6891" w:type="dxa"/>
        <w:tblCellMar>
          <w:left w:w="70" w:type="dxa"/>
          <w:right w:w="70" w:type="dxa"/>
        </w:tblCellMar>
        <w:tblLook w:val="0000" w:firstRow="0" w:lastRow="0" w:firstColumn="0" w:lastColumn="0" w:noHBand="0" w:noVBand="0"/>
      </w:tblPr>
      <w:tblGrid>
        <w:gridCol w:w="451"/>
        <w:gridCol w:w="5317"/>
        <w:gridCol w:w="1123"/>
      </w:tblGrid>
      <w:tr w:rsidR="00000000" w:rsidRPr="0065578F">
        <w:trPr>
          <w:trHeight w:val="255"/>
        </w:trPr>
        <w:tc>
          <w:tcPr>
            <w:tcW w:w="451" w:type="dxa"/>
            <w:tcBorders>
              <w:top w:val="single" w:sz="4" w:space="0" w:color="auto"/>
              <w:left w:val="single" w:sz="4" w:space="0" w:color="auto"/>
              <w:bottom w:val="single" w:sz="4" w:space="0" w:color="auto"/>
              <w:right w:val="nil"/>
            </w:tcBorders>
          </w:tcPr>
          <w:p w:rsidR="002C0338" w:rsidRPr="0065578F" w:rsidRDefault="002C0338">
            <w:pPr>
              <w:jc w:val="center"/>
              <w:rPr>
                <w:b/>
                <w:bCs/>
              </w:rPr>
            </w:pPr>
            <w:r w:rsidRPr="0065578F">
              <w:rPr>
                <w:b/>
                <w:bCs/>
              </w:rPr>
              <w:t> </w:t>
            </w:r>
          </w:p>
        </w:tc>
        <w:tc>
          <w:tcPr>
            <w:tcW w:w="5317" w:type="dxa"/>
            <w:tcBorders>
              <w:top w:val="single" w:sz="4" w:space="0" w:color="auto"/>
              <w:left w:val="nil"/>
              <w:bottom w:val="single" w:sz="4" w:space="0" w:color="auto"/>
              <w:right w:val="nil"/>
            </w:tcBorders>
          </w:tcPr>
          <w:p w:rsidR="002C0338" w:rsidRPr="0065578F" w:rsidRDefault="002C0338">
            <w:pPr>
              <w:jc w:val="center"/>
              <w:rPr>
                <w:b/>
                <w:bCs/>
              </w:rPr>
            </w:pPr>
            <w:r w:rsidRPr="0065578F">
              <w:rPr>
                <w:b/>
                <w:bCs/>
              </w:rPr>
              <w:t>Anslag</w:t>
            </w:r>
          </w:p>
        </w:tc>
        <w:tc>
          <w:tcPr>
            <w:tcW w:w="1123" w:type="dxa"/>
            <w:tcBorders>
              <w:top w:val="single" w:sz="4" w:space="0" w:color="auto"/>
              <w:left w:val="nil"/>
              <w:bottom w:val="single" w:sz="4" w:space="0" w:color="auto"/>
              <w:right w:val="nil"/>
            </w:tcBorders>
          </w:tcPr>
          <w:p w:rsidR="002C0338" w:rsidRPr="0065578F" w:rsidRDefault="002C0338">
            <w:pPr>
              <w:jc w:val="center"/>
              <w:rPr>
                <w:b/>
                <w:bCs/>
              </w:rPr>
            </w:pPr>
            <w:r w:rsidRPr="0065578F">
              <w:rPr>
                <w:b/>
                <w:bCs/>
              </w:rPr>
              <w:t> Anslagsförändring</w:t>
            </w:r>
          </w:p>
        </w:tc>
      </w:tr>
      <w:tr w:rsidR="00000000" w:rsidRPr="0065578F">
        <w:trPr>
          <w:trHeight w:val="255"/>
        </w:trPr>
        <w:tc>
          <w:tcPr>
            <w:tcW w:w="451" w:type="dxa"/>
            <w:tcBorders>
              <w:top w:val="single" w:sz="4" w:space="0" w:color="auto"/>
              <w:left w:val="single" w:sz="4" w:space="0" w:color="auto"/>
              <w:bottom w:val="single" w:sz="4" w:space="0" w:color="auto"/>
              <w:right w:val="single" w:sz="4" w:space="0" w:color="auto"/>
            </w:tcBorders>
            <w:noWrap/>
          </w:tcPr>
          <w:p w:rsidR="002C0338" w:rsidRPr="0065578F" w:rsidRDefault="002C0338">
            <w:pPr>
              <w:jc w:val="center"/>
            </w:pPr>
            <w:r w:rsidRPr="0065578F">
              <w:t>3:1</w:t>
            </w:r>
          </w:p>
        </w:tc>
        <w:tc>
          <w:tcPr>
            <w:tcW w:w="5317" w:type="dxa"/>
            <w:tcBorders>
              <w:top w:val="single" w:sz="4" w:space="0" w:color="auto"/>
              <w:left w:val="nil"/>
              <w:bottom w:val="single" w:sz="4" w:space="0" w:color="auto"/>
              <w:right w:val="single" w:sz="4" w:space="0" w:color="auto"/>
            </w:tcBorders>
          </w:tcPr>
          <w:p w:rsidR="002C0338" w:rsidRPr="0065578F" w:rsidRDefault="002C0338">
            <w:pPr>
              <w:jc w:val="center"/>
            </w:pPr>
            <w:r w:rsidRPr="0065578F">
              <w:t>Sametinget</w:t>
            </w:r>
          </w:p>
        </w:tc>
        <w:tc>
          <w:tcPr>
            <w:tcW w:w="1123" w:type="dxa"/>
            <w:tcBorders>
              <w:top w:val="single" w:sz="4" w:space="0" w:color="auto"/>
              <w:left w:val="nil"/>
              <w:bottom w:val="single" w:sz="4" w:space="0" w:color="auto"/>
              <w:right w:val="single" w:sz="4" w:space="0" w:color="auto"/>
            </w:tcBorders>
            <w:noWrap/>
          </w:tcPr>
          <w:p w:rsidR="002C0338" w:rsidRPr="0065578F" w:rsidRDefault="002C0338">
            <w:pPr>
              <w:jc w:val="center"/>
            </w:pPr>
            <w:r w:rsidRPr="0065578F">
              <w:t>+5</w:t>
            </w:r>
          </w:p>
        </w:tc>
      </w:tr>
      <w:tr w:rsidR="00000000" w:rsidRPr="0065578F">
        <w:trPr>
          <w:trHeight w:val="255"/>
        </w:trPr>
        <w:tc>
          <w:tcPr>
            <w:tcW w:w="451" w:type="dxa"/>
            <w:tcBorders>
              <w:top w:val="nil"/>
              <w:left w:val="single" w:sz="4" w:space="0" w:color="auto"/>
              <w:bottom w:val="single" w:sz="4" w:space="0" w:color="auto"/>
              <w:right w:val="single" w:sz="4" w:space="0" w:color="auto"/>
            </w:tcBorders>
            <w:noWrap/>
          </w:tcPr>
          <w:p w:rsidR="002C0338" w:rsidRPr="0065578F" w:rsidRDefault="002C0338">
            <w:pPr>
              <w:jc w:val="center"/>
            </w:pPr>
            <w:r w:rsidRPr="0065578F">
              <w:t>4:1</w:t>
            </w:r>
          </w:p>
        </w:tc>
        <w:tc>
          <w:tcPr>
            <w:tcW w:w="5317" w:type="dxa"/>
            <w:tcBorders>
              <w:top w:val="nil"/>
              <w:left w:val="nil"/>
              <w:bottom w:val="single" w:sz="4" w:space="0" w:color="auto"/>
              <w:right w:val="single" w:sz="4" w:space="0" w:color="auto"/>
            </w:tcBorders>
          </w:tcPr>
          <w:p w:rsidR="002C0338" w:rsidRPr="0065578F" w:rsidRDefault="002C0338">
            <w:pPr>
              <w:jc w:val="center"/>
            </w:pPr>
            <w:r w:rsidRPr="0065578F">
              <w:t>Regeringskansliet m.m.</w:t>
            </w:r>
          </w:p>
        </w:tc>
        <w:tc>
          <w:tcPr>
            <w:tcW w:w="1123" w:type="dxa"/>
            <w:tcBorders>
              <w:top w:val="nil"/>
              <w:left w:val="nil"/>
              <w:bottom w:val="single" w:sz="4" w:space="0" w:color="auto"/>
              <w:right w:val="single" w:sz="4" w:space="0" w:color="auto"/>
            </w:tcBorders>
            <w:noWrap/>
          </w:tcPr>
          <w:p w:rsidR="002C0338" w:rsidRPr="0065578F" w:rsidRDefault="002C0338">
            <w:pPr>
              <w:pStyle w:val="PunktlistaTankstreck"/>
              <w:numPr>
                <w:ilvl w:val="0"/>
                <w:numId w:val="0"/>
              </w:numPr>
            </w:pPr>
            <w:r w:rsidRPr="0065578F">
              <w:t>–300</w:t>
            </w:r>
          </w:p>
        </w:tc>
      </w:tr>
      <w:tr w:rsidR="00000000" w:rsidRPr="0065578F">
        <w:trPr>
          <w:trHeight w:val="255"/>
        </w:trPr>
        <w:tc>
          <w:tcPr>
            <w:tcW w:w="451" w:type="dxa"/>
            <w:tcBorders>
              <w:top w:val="nil"/>
              <w:left w:val="single" w:sz="4" w:space="0" w:color="auto"/>
              <w:bottom w:val="single" w:sz="4" w:space="0" w:color="auto"/>
              <w:right w:val="single" w:sz="4" w:space="0" w:color="auto"/>
            </w:tcBorders>
            <w:noWrap/>
          </w:tcPr>
          <w:p w:rsidR="002C0338" w:rsidRPr="0065578F" w:rsidRDefault="002C0338">
            <w:pPr>
              <w:jc w:val="center"/>
            </w:pPr>
            <w:r w:rsidRPr="0065578F">
              <w:t>5:1</w:t>
            </w:r>
          </w:p>
        </w:tc>
        <w:tc>
          <w:tcPr>
            <w:tcW w:w="5317" w:type="dxa"/>
            <w:tcBorders>
              <w:top w:val="nil"/>
              <w:left w:val="nil"/>
              <w:bottom w:val="single" w:sz="4" w:space="0" w:color="auto"/>
              <w:right w:val="single" w:sz="4" w:space="0" w:color="auto"/>
            </w:tcBorders>
          </w:tcPr>
          <w:p w:rsidR="002C0338" w:rsidRPr="0065578F" w:rsidRDefault="002C0338">
            <w:pPr>
              <w:jc w:val="center"/>
            </w:pPr>
            <w:r w:rsidRPr="0065578F">
              <w:t>Länsstyrelserna m.m.</w:t>
            </w:r>
          </w:p>
        </w:tc>
        <w:tc>
          <w:tcPr>
            <w:tcW w:w="1123" w:type="dxa"/>
            <w:tcBorders>
              <w:top w:val="nil"/>
              <w:left w:val="nil"/>
              <w:bottom w:val="single" w:sz="4" w:space="0" w:color="auto"/>
              <w:right w:val="single" w:sz="4" w:space="0" w:color="auto"/>
            </w:tcBorders>
            <w:noWrap/>
          </w:tcPr>
          <w:p w:rsidR="002C0338" w:rsidRPr="0065578F" w:rsidRDefault="002C0338">
            <w:pPr>
              <w:jc w:val="center"/>
            </w:pPr>
            <w:r w:rsidRPr="0065578F">
              <w:t>+60</w:t>
            </w:r>
          </w:p>
        </w:tc>
      </w:tr>
      <w:tr w:rsidR="00000000" w:rsidRPr="0065578F">
        <w:trPr>
          <w:trHeight w:val="255"/>
        </w:trPr>
        <w:tc>
          <w:tcPr>
            <w:tcW w:w="451" w:type="dxa"/>
            <w:tcBorders>
              <w:top w:val="nil"/>
              <w:left w:val="single" w:sz="4" w:space="0" w:color="auto"/>
              <w:bottom w:val="single" w:sz="4" w:space="0" w:color="auto"/>
              <w:right w:val="single" w:sz="4" w:space="0" w:color="auto"/>
            </w:tcBorders>
            <w:noWrap/>
          </w:tcPr>
          <w:p w:rsidR="002C0338" w:rsidRPr="0065578F" w:rsidRDefault="002C0338">
            <w:pPr>
              <w:jc w:val="center"/>
            </w:pPr>
            <w:r w:rsidRPr="0065578F">
              <w:t>6:6</w:t>
            </w:r>
          </w:p>
        </w:tc>
        <w:tc>
          <w:tcPr>
            <w:tcW w:w="5317" w:type="dxa"/>
            <w:tcBorders>
              <w:top w:val="nil"/>
              <w:left w:val="nil"/>
              <w:bottom w:val="single" w:sz="4" w:space="0" w:color="auto"/>
              <w:right w:val="single" w:sz="4" w:space="0" w:color="auto"/>
            </w:tcBorders>
          </w:tcPr>
          <w:p w:rsidR="002C0338" w:rsidRPr="0065578F" w:rsidRDefault="002C0338">
            <w:pPr>
              <w:jc w:val="center"/>
            </w:pPr>
            <w:r w:rsidRPr="0065578F">
              <w:t>Stöd till politiska partier</w:t>
            </w:r>
          </w:p>
        </w:tc>
        <w:tc>
          <w:tcPr>
            <w:tcW w:w="1123" w:type="dxa"/>
            <w:tcBorders>
              <w:top w:val="nil"/>
              <w:left w:val="nil"/>
              <w:bottom w:val="single" w:sz="4" w:space="0" w:color="auto"/>
              <w:right w:val="single" w:sz="4" w:space="0" w:color="auto"/>
            </w:tcBorders>
            <w:noWrap/>
          </w:tcPr>
          <w:p w:rsidR="002C0338" w:rsidRPr="0065578F" w:rsidRDefault="002C0338">
            <w:pPr>
              <w:pStyle w:val="PunktlistaTankstreck"/>
              <w:numPr>
                <w:ilvl w:val="0"/>
                <w:numId w:val="0"/>
              </w:numPr>
            </w:pPr>
            <w:r w:rsidRPr="0065578F">
              <w:t>–17</w:t>
            </w:r>
          </w:p>
        </w:tc>
      </w:tr>
      <w:tr w:rsidR="00000000" w:rsidRPr="0065578F">
        <w:trPr>
          <w:trHeight w:val="255"/>
        </w:trPr>
        <w:tc>
          <w:tcPr>
            <w:tcW w:w="451" w:type="dxa"/>
            <w:tcBorders>
              <w:top w:val="nil"/>
              <w:left w:val="single" w:sz="4" w:space="0" w:color="auto"/>
              <w:bottom w:val="single" w:sz="4" w:space="0" w:color="auto"/>
              <w:right w:val="single" w:sz="4" w:space="0" w:color="auto"/>
            </w:tcBorders>
            <w:noWrap/>
          </w:tcPr>
          <w:p w:rsidR="002C0338" w:rsidRPr="0065578F" w:rsidRDefault="002C0338">
            <w:pPr>
              <w:jc w:val="center"/>
            </w:pPr>
            <w:r w:rsidRPr="0065578F">
              <w:t>7:2</w:t>
            </w:r>
          </w:p>
        </w:tc>
        <w:tc>
          <w:tcPr>
            <w:tcW w:w="5317" w:type="dxa"/>
            <w:tcBorders>
              <w:top w:val="nil"/>
              <w:left w:val="nil"/>
              <w:bottom w:val="single" w:sz="4" w:space="0" w:color="auto"/>
              <w:right w:val="single" w:sz="4" w:space="0" w:color="auto"/>
            </w:tcBorders>
          </w:tcPr>
          <w:p w:rsidR="002C0338" w:rsidRPr="0065578F" w:rsidRDefault="002C0338">
            <w:pPr>
              <w:jc w:val="center"/>
            </w:pPr>
            <w:r w:rsidRPr="0065578F">
              <w:t>Åtgärder för den nationella minoriteten romer</w:t>
            </w:r>
          </w:p>
        </w:tc>
        <w:tc>
          <w:tcPr>
            <w:tcW w:w="1123" w:type="dxa"/>
            <w:tcBorders>
              <w:top w:val="nil"/>
              <w:left w:val="nil"/>
              <w:bottom w:val="single" w:sz="4" w:space="0" w:color="auto"/>
              <w:right w:val="single" w:sz="4" w:space="0" w:color="auto"/>
            </w:tcBorders>
            <w:noWrap/>
          </w:tcPr>
          <w:p w:rsidR="002C0338" w:rsidRPr="0065578F" w:rsidRDefault="002C0338">
            <w:pPr>
              <w:pStyle w:val="PunktlistaTankstreck"/>
              <w:numPr>
                <w:ilvl w:val="0"/>
                <w:numId w:val="0"/>
              </w:numPr>
            </w:pPr>
            <w:r w:rsidRPr="0065578F">
              <w:t>–11,5</w:t>
            </w:r>
          </w:p>
        </w:tc>
      </w:tr>
      <w:tr w:rsidR="00000000" w:rsidRPr="0065578F">
        <w:trPr>
          <w:trHeight w:val="270"/>
        </w:trPr>
        <w:tc>
          <w:tcPr>
            <w:tcW w:w="451" w:type="dxa"/>
            <w:tcBorders>
              <w:top w:val="nil"/>
              <w:left w:val="nil"/>
              <w:bottom w:val="nil"/>
              <w:right w:val="nil"/>
            </w:tcBorders>
            <w:noWrap/>
          </w:tcPr>
          <w:p w:rsidR="002C0338" w:rsidRPr="0065578F" w:rsidRDefault="002C0338">
            <w:pPr>
              <w:jc w:val="center"/>
            </w:pPr>
            <w:r w:rsidRPr="0065578F">
              <w:t> </w:t>
            </w:r>
          </w:p>
        </w:tc>
        <w:tc>
          <w:tcPr>
            <w:tcW w:w="5317" w:type="dxa"/>
            <w:tcBorders>
              <w:top w:val="single" w:sz="4" w:space="0" w:color="auto"/>
              <w:left w:val="single" w:sz="4" w:space="0" w:color="auto"/>
              <w:bottom w:val="single" w:sz="4" w:space="0" w:color="auto"/>
              <w:right w:val="single" w:sz="4" w:space="0" w:color="auto"/>
            </w:tcBorders>
          </w:tcPr>
          <w:p w:rsidR="002C0338" w:rsidRPr="0065578F" w:rsidRDefault="002C0338">
            <w:pPr>
              <w:jc w:val="center"/>
              <w:rPr>
                <w:b/>
                <w:bCs/>
                <w:i/>
                <w:iCs/>
              </w:rPr>
            </w:pPr>
            <w:r w:rsidRPr="0065578F">
              <w:rPr>
                <w:b/>
                <w:bCs/>
                <w:i/>
                <w:iCs/>
              </w:rPr>
              <w:t>Summa för utgiftsområdet</w:t>
            </w:r>
          </w:p>
        </w:tc>
        <w:tc>
          <w:tcPr>
            <w:tcW w:w="1123" w:type="dxa"/>
            <w:tcBorders>
              <w:top w:val="single" w:sz="4" w:space="0" w:color="auto"/>
              <w:left w:val="single" w:sz="4" w:space="0" w:color="auto"/>
              <w:bottom w:val="single" w:sz="4" w:space="0" w:color="auto"/>
              <w:right w:val="single" w:sz="4" w:space="0" w:color="auto"/>
            </w:tcBorders>
            <w:noWrap/>
          </w:tcPr>
          <w:p w:rsidR="002C0338" w:rsidRPr="0065578F" w:rsidRDefault="002C0338">
            <w:pPr>
              <w:pStyle w:val="PunktlistaTankstreck"/>
              <w:numPr>
                <w:ilvl w:val="0"/>
                <w:numId w:val="0"/>
              </w:numPr>
            </w:pPr>
            <w:r w:rsidRPr="0065578F">
              <w:t>–114</w:t>
            </w:r>
          </w:p>
        </w:tc>
      </w:tr>
    </w:tbl>
    <w:p w:rsidR="002C0338" w:rsidRPr="0065578F" w:rsidRDefault="002C0338"/>
    <w:p w:rsidR="002C0338" w:rsidRPr="0065578F" w:rsidRDefault="002C0338"/>
    <w:p w:rsidR="002C0338" w:rsidRPr="0065578F" w:rsidRDefault="002C0338">
      <w:pPr>
        <w:pStyle w:val="Rubrik1"/>
      </w:pPr>
      <w:r w:rsidRPr="0065578F">
        <w:t>Motivering</w:t>
      </w:r>
    </w:p>
    <w:p w:rsidR="002C0338" w:rsidRPr="0065578F" w:rsidRDefault="002C0338">
      <w:r w:rsidRPr="0065578F">
        <w:t>Regeringskansliet är viktigt för att effektivt och kompetent bistå regeringens uppgift att styra landet. Utgifterna ökade emellertid kraftigt i och med EU-ordförandeskapet och bör därför sänkas. Länsstyrelserna får även ett ökat bidrag på 60 Mkr avsett för att öka djurskyddskontrollerna. Vi sänker även stödet till politiska partier samt avskaffar det verkningslösa anslaget till en enskild minoritet i sin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578F">
        <w:trPr>
          <w:cantSplit/>
        </w:trPr>
        <w:tc>
          <w:tcPr>
            <w:tcW w:w="3046" w:type="dxa"/>
          </w:tcPr>
          <w:p w:rsidR="002C0338" w:rsidRPr="0065578F" w:rsidRDefault="002C0338">
            <w:pPr>
              <w:pStyle w:val="UnderskriftDatum"/>
              <w:spacing w:before="240"/>
            </w:pPr>
            <w:r w:rsidRPr="0065578F">
              <w:lastRenderedPageBreak/>
              <w:t>Stockholm den 3 oktober 2011</w:t>
            </w:r>
          </w:p>
        </w:tc>
        <w:tc>
          <w:tcPr>
            <w:tcW w:w="3047" w:type="dxa"/>
          </w:tcPr>
          <w:p w:rsidR="002C0338" w:rsidRPr="0065578F" w:rsidRDefault="002C0338">
            <w:pPr>
              <w:pStyle w:val="Underskrifter"/>
              <w:spacing w:before="240"/>
            </w:pPr>
          </w:p>
        </w:tc>
      </w:tr>
      <w:tr w:rsidR="00000000" w:rsidRPr="0065578F">
        <w:trPr>
          <w:cantSplit/>
        </w:trPr>
        <w:tc>
          <w:tcPr>
            <w:tcW w:w="3046" w:type="dxa"/>
          </w:tcPr>
          <w:p w:rsidR="002C0338" w:rsidRPr="0065578F" w:rsidRDefault="002C0338">
            <w:pPr>
              <w:pStyle w:val="Underskrifter"/>
            </w:pPr>
            <w:r w:rsidRPr="0065578F">
              <w:t>Jonas Åkerlund (SD)</w:t>
            </w:r>
          </w:p>
        </w:tc>
        <w:tc>
          <w:tcPr>
            <w:tcW w:w="3046" w:type="dxa"/>
          </w:tcPr>
          <w:p w:rsidR="002C0338" w:rsidRPr="0065578F" w:rsidRDefault="002C0338">
            <w:pPr>
              <w:pStyle w:val="Underskrifter"/>
            </w:pPr>
            <w:r w:rsidRPr="0065578F">
              <w:t>Thoralf Alfsson (SD)</w:t>
            </w:r>
          </w:p>
        </w:tc>
      </w:tr>
    </w:tbl>
    <w:p w:rsidR="002C0338" w:rsidRPr="0065578F" w:rsidRDefault="002C0338">
      <w:pPr>
        <w:pStyle w:val="Normaltindrag"/>
      </w:pPr>
    </w:p>
    <w:sectPr w:rsidR="002C0338" w:rsidRPr="0065578F">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338" w:rsidRPr="0065578F" w:rsidRDefault="002C0338">
      <w:r w:rsidRPr="0065578F">
        <w:separator/>
      </w:r>
    </w:p>
  </w:endnote>
  <w:endnote w:type="continuationSeparator" w:id="0">
    <w:p w:rsidR="002C0338" w:rsidRPr="0065578F" w:rsidRDefault="002C0338">
      <w:r w:rsidRPr="006557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338" w:rsidRPr="0065578F" w:rsidRDefault="002C03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338" w:rsidRPr="0065578F" w:rsidRDefault="002C0338">
    <w:pPr>
      <w:pStyle w:val="NormalA4fot"/>
    </w:pPr>
    <w:r w:rsidRPr="0065578F">
      <w:fldChar w:fldCharType="begin" w:fldLock="1"/>
    </w:r>
    <w:r w:rsidRPr="0065578F">
      <w:instrText xml:space="preserve"> FILENAME *\charformat </w:instrText>
    </w:r>
    <w:r w:rsidRPr="0065578F">
      <w:fldChar w:fldCharType="separate"/>
    </w:r>
    <w:r w:rsidRPr="0065578F">
      <w:t>SD251</w:t>
    </w:r>
    <w:r w:rsidRPr="0065578F">
      <w:fldChar w:fldCharType="end"/>
    </w:r>
    <w:r w:rsidRPr="0065578F">
      <w:t>/</w:t>
    </w:r>
    <w:r w:rsidRPr="0065578F">
      <w:fldChar w:fldCharType="begin" w:fldLock="1"/>
    </w:r>
    <w:r w:rsidRPr="0065578F">
      <w:instrText xml:space="preserve"> DOCPROPERTY "Sekr" *\charformat </w:instrText>
    </w:r>
    <w:r w:rsidRPr="0065578F">
      <w:fldChar w:fldCharType="separate"/>
    </w:r>
    <w:r w:rsidRPr="0065578F">
      <w:t>CD</w:t>
    </w:r>
    <w:r w:rsidRPr="0065578F">
      <w:fldChar w:fldCharType="end"/>
    </w:r>
    <w:r w:rsidRPr="0065578F">
      <w:t xml:space="preserve"> </w:t>
    </w:r>
    <w:r w:rsidRPr="0065578F">
      <w:fldChar w:fldCharType="begin" w:fldLock="1"/>
    </w:r>
    <w:r w:rsidRPr="0065578F">
      <w:instrText xml:space="preserve"> PRINTDATE \@ "yyyy-MM-dd" *\charformat </w:instrText>
    </w:r>
    <w:r w:rsidRPr="0065578F">
      <w:fldChar w:fldCharType="separate"/>
    </w:r>
    <w:r w:rsidRPr="0065578F">
      <w:t>2011-10-03</w:t>
    </w:r>
    <w:r w:rsidRPr="0065578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338" w:rsidRPr="0065578F" w:rsidRDefault="002C0338">
    <w:pPr>
      <w:pStyle w:val="NormalA4fot"/>
    </w:pPr>
    <w:r w:rsidRPr="0065578F">
      <w:fldChar w:fldCharType="begin" w:fldLock="1"/>
    </w:r>
    <w:r w:rsidRPr="0065578F">
      <w:instrText xml:space="preserve"> FILENAME *\charformat </w:instrText>
    </w:r>
    <w:r w:rsidRPr="0065578F">
      <w:fldChar w:fldCharType="separate"/>
    </w:r>
    <w:r w:rsidRPr="0065578F">
      <w:t>SD251</w:t>
    </w:r>
    <w:r w:rsidRPr="0065578F">
      <w:fldChar w:fldCharType="end"/>
    </w:r>
    <w:r w:rsidRPr="0065578F">
      <w:t>/</w:t>
    </w:r>
    <w:r w:rsidRPr="0065578F">
      <w:fldChar w:fldCharType="begin" w:fldLock="1"/>
    </w:r>
    <w:r w:rsidRPr="0065578F">
      <w:instrText xml:space="preserve"> DOCPROPERTY "Sekr" *\charformat </w:instrText>
    </w:r>
    <w:r w:rsidRPr="0065578F">
      <w:fldChar w:fldCharType="separate"/>
    </w:r>
    <w:r w:rsidRPr="0065578F">
      <w:t>CD</w:t>
    </w:r>
    <w:r w:rsidRPr="0065578F">
      <w:fldChar w:fldCharType="end"/>
    </w:r>
    <w:r w:rsidRPr="0065578F">
      <w:t xml:space="preserve"> </w:t>
    </w:r>
    <w:r w:rsidRPr="0065578F">
      <w:fldChar w:fldCharType="begin" w:fldLock="1"/>
    </w:r>
    <w:r w:rsidRPr="0065578F">
      <w:instrText xml:space="preserve"> PRINTDATE \@ "yyyy-MM-dd" *\charformat </w:instrText>
    </w:r>
    <w:r w:rsidRPr="0065578F">
      <w:fldChar w:fldCharType="separate"/>
    </w:r>
    <w:r w:rsidRPr="0065578F">
      <w:t>2011-10-03</w:t>
    </w:r>
    <w:r w:rsidRPr="0065578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338" w:rsidRPr="0065578F" w:rsidRDefault="002C0338">
      <w:r w:rsidRPr="0065578F">
        <w:separator/>
      </w:r>
    </w:p>
  </w:footnote>
  <w:footnote w:type="continuationSeparator" w:id="0">
    <w:p w:rsidR="002C0338" w:rsidRPr="0065578F" w:rsidRDefault="002C0338">
      <w:r w:rsidRPr="006557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338" w:rsidRPr="0065578F" w:rsidRDefault="002C03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338" w:rsidRPr="0065578F" w:rsidRDefault="002C0338">
    <w:pPr>
      <w:pStyle w:val="NormalA4sidnr"/>
    </w:pPr>
    <w:r w:rsidRPr="0065578F">
      <w:fldChar w:fldCharType="begin" w:fldLock="1"/>
    </w:r>
    <w:r w:rsidRPr="0065578F">
      <w:instrText xml:space="preserve"> PAGE</w:instrText>
    </w:r>
    <w:r w:rsidRPr="0065578F">
      <w:rPr>
        <w:sz w:val="18"/>
      </w:rPr>
      <w:instrText xml:space="preserve"> *\charformat</w:instrText>
    </w:r>
    <w:r w:rsidRPr="0065578F">
      <w:fldChar w:fldCharType="separate"/>
    </w:r>
    <w:r w:rsidRPr="0065578F">
      <w:t>2</w:t>
    </w:r>
    <w:r w:rsidRPr="0065578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338" w:rsidRPr="0065578F" w:rsidRDefault="002C0338">
    <w:pPr>
      <w:pStyle w:val="FSHlogo"/>
    </w:pPr>
  </w:p>
  <w:p w:rsidR="002C0338" w:rsidRPr="0065578F" w:rsidRDefault="002C0338">
    <w:pPr>
      <w:pStyle w:val="FSHNormal"/>
    </w:pPr>
    <w:r w:rsidRPr="0065578F">
      <w:fldChar w:fldCharType="begin" w:fldLock="1"/>
    </w:r>
    <w:r w:rsidRPr="0065578F">
      <w:instrText xml:space="preserve"> DOCPROPERTY "MotTyp" *\charformat </w:instrText>
    </w:r>
    <w:r w:rsidRPr="0065578F">
      <w:fldChar w:fldCharType="separate"/>
    </w:r>
    <w:r w:rsidRPr="0065578F">
      <w:t>Kommittémotion</w:t>
    </w:r>
    <w:r w:rsidRPr="0065578F">
      <w:fldChar w:fldCharType="end"/>
    </w:r>
    <w:r w:rsidRPr="0065578F">
      <w:t xml:space="preserve"> </w:t>
    </w:r>
    <w:r w:rsidRPr="0065578F">
      <w:fldChar w:fldCharType="begin" w:fldLock="1"/>
    </w:r>
    <w:r w:rsidRPr="0065578F">
      <w:instrText xml:space="preserve"> DOCPROPERTY "ArbRubr" *\charformat </w:instrText>
    </w:r>
    <w:r w:rsidRPr="0065578F">
      <w:fldChar w:fldCharType="end"/>
    </w:r>
  </w:p>
  <w:p w:rsidR="002C0338" w:rsidRPr="0065578F" w:rsidRDefault="002C0338">
    <w:pPr>
      <w:pStyle w:val="FSHRub2"/>
    </w:pPr>
    <w:r w:rsidRPr="0065578F">
      <w:t xml:space="preserve">Motion till riksdagen </w:t>
    </w:r>
    <w:r w:rsidRPr="0065578F">
      <w:tab/>
    </w:r>
    <w:r w:rsidRPr="0065578F">
      <w:fldChar w:fldCharType="begin" w:fldLock="1"/>
    </w:r>
    <w:r w:rsidRPr="0065578F">
      <w:instrText xml:space="preserve"> DOCPROPERTY "YearUser" *\charformat </w:instrText>
    </w:r>
    <w:r w:rsidRPr="0065578F">
      <w:fldChar w:fldCharType="separate"/>
    </w:r>
    <w:r w:rsidRPr="0065578F">
      <w:t>2011/12</w:t>
    </w:r>
    <w:r w:rsidRPr="0065578F">
      <w:fldChar w:fldCharType="end"/>
    </w:r>
    <w:r w:rsidRPr="0065578F">
      <w:t>:</w:t>
    </w:r>
    <w:r w:rsidRPr="0065578F">
      <w:fldChar w:fldCharType="begin" w:fldLock="1"/>
    </w:r>
    <w:r w:rsidRPr="0065578F">
      <w:instrText xml:space="preserve"> DOCPROPERTY "Motionsnummer" *\charformat </w:instrText>
    </w:r>
    <w:r w:rsidRPr="0065578F">
      <w:fldChar w:fldCharType="separate"/>
    </w:r>
    <w:r w:rsidRPr="0065578F">
      <w:t>K394</w:t>
    </w:r>
    <w:r w:rsidRPr="0065578F">
      <w:fldChar w:fldCharType="end"/>
    </w:r>
    <w:r w:rsidRPr="0065578F">
      <w:tab/>
    </w:r>
    <w:r w:rsidRPr="0065578F">
      <w:fldChar w:fldCharType="begin" w:fldLock="1"/>
    </w:r>
    <w:r w:rsidRPr="0065578F">
      <w:instrText xml:space="preserve"> DOCPROPERTY "Sekr" *\charformat </w:instrText>
    </w:r>
    <w:r w:rsidRPr="0065578F">
      <w:fldChar w:fldCharType="separate"/>
    </w:r>
    <w:r w:rsidRPr="0065578F">
      <w:t>CD</w:t>
    </w:r>
    <w:r w:rsidRPr="0065578F">
      <w:fldChar w:fldCharType="end"/>
    </w:r>
  </w:p>
  <w:p w:rsidR="002C0338" w:rsidRPr="0065578F" w:rsidRDefault="002C0338">
    <w:pPr>
      <w:pStyle w:val="FSHRub2"/>
    </w:pPr>
    <w:r w:rsidRPr="0065578F">
      <w:fldChar w:fldCharType="begin" w:fldLock="1"/>
    </w:r>
    <w:r w:rsidRPr="0065578F">
      <w:instrText xml:space="preserve"> DOCPROPERTY "MotionarText" *\charformat </w:instrText>
    </w:r>
    <w:r w:rsidRPr="0065578F">
      <w:fldChar w:fldCharType="separate"/>
    </w:r>
    <w:r w:rsidRPr="0065578F">
      <w:t>av Jonas Åkerlund och Thoralf Alfsson (SD)</w:t>
    </w:r>
    <w:r w:rsidRPr="0065578F">
      <w:fldChar w:fldCharType="end"/>
    </w:r>
  </w:p>
  <w:p w:rsidR="002C0338" w:rsidRPr="0065578F" w:rsidRDefault="002C0338">
    <w:pPr>
      <w:pStyle w:val="FSHRub2"/>
    </w:pPr>
    <w:r w:rsidRPr="0065578F">
      <w:fldChar w:fldCharType="begin" w:fldLock="1"/>
    </w:r>
    <w:r w:rsidRPr="0065578F">
      <w:instrText xml:space="preserve"> DOCPROPERTY "Subject" *\charformat </w:instrText>
    </w:r>
    <w:r w:rsidRPr="0065578F">
      <w:fldChar w:fldCharType="separate"/>
    </w:r>
    <w:r w:rsidRPr="0065578F">
      <w:t>Utgiftsområde 1 Rikets styrelse</w:t>
    </w:r>
    <w:r w:rsidRPr="0065578F">
      <w:fldChar w:fldCharType="end"/>
    </w:r>
  </w:p>
  <w:p w:rsidR="002C0338" w:rsidRPr="0065578F" w:rsidRDefault="002C0338">
    <w:pPr>
      <w:pStyle w:val="FSHNormL"/>
    </w:pPr>
  </w:p>
  <w:p w:rsidR="002C0338" w:rsidRPr="0065578F" w:rsidRDefault="002C0338">
    <w:pPr>
      <w:pStyle w:val="FSHNormal"/>
    </w:pPr>
  </w:p>
  <w:p w:rsidR="002C0338" w:rsidRPr="0065578F" w:rsidRDefault="002C03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0438812">
    <w:abstractNumId w:val="3"/>
  </w:num>
  <w:num w:numId="2" w16cid:durableId="1861964055">
    <w:abstractNumId w:val="2"/>
  </w:num>
  <w:num w:numId="3" w16cid:durableId="395511510">
    <w:abstractNumId w:val="1"/>
  </w:num>
  <w:num w:numId="4" w16cid:durableId="1963151620">
    <w:abstractNumId w:val="0"/>
  </w:num>
  <w:num w:numId="5" w16cid:durableId="1217476864">
    <w:abstractNumId w:val="7"/>
  </w:num>
  <w:num w:numId="6" w16cid:durableId="1981956652">
    <w:abstractNumId w:val="6"/>
  </w:num>
  <w:num w:numId="7" w16cid:durableId="1682393727">
    <w:abstractNumId w:val="5"/>
  </w:num>
  <w:num w:numId="8" w16cid:durableId="462383682">
    <w:abstractNumId w:val="4"/>
  </w:num>
  <w:num w:numId="9" w16cid:durableId="832066982">
    <w:abstractNumId w:val="8"/>
  </w:num>
  <w:num w:numId="10" w16cid:durableId="422842832">
    <w:abstractNumId w:val="9"/>
  </w:num>
  <w:num w:numId="11" w16cid:durableId="117067713">
    <w:abstractNumId w:val="10"/>
  </w:num>
  <w:num w:numId="12" w16cid:durableId="1387333539">
    <w:abstractNumId w:val="13"/>
  </w:num>
  <w:num w:numId="13" w16cid:durableId="365521929">
    <w:abstractNumId w:val="15"/>
  </w:num>
  <w:num w:numId="14" w16cid:durableId="1829055938">
    <w:abstractNumId w:val="16"/>
  </w:num>
  <w:num w:numId="15" w16cid:durableId="442459435">
    <w:abstractNumId w:val="11"/>
  </w:num>
  <w:num w:numId="16" w16cid:durableId="1719744782">
    <w:abstractNumId w:val="18"/>
  </w:num>
  <w:num w:numId="17" w16cid:durableId="17388776">
    <w:abstractNumId w:val="17"/>
  </w:num>
  <w:num w:numId="18" w16cid:durableId="202594120">
    <w:abstractNumId w:val="14"/>
  </w:num>
  <w:num w:numId="19" w16cid:durableId="773598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B6553A15-555F-4553-8392-90742F4B330A},{E777D43E-410F-4BC9-BB70-4814C6DA875C}"/>
  </w:docVars>
  <w:rsids>
    <w:rsidRoot w:val="00C01587"/>
    <w:rsid w:val="002C0338"/>
    <w:rsid w:val="0065578F"/>
    <w:rsid w:val="00C015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CF7578-094C-4F6D-901D-206A2581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796</Characters>
  <Application>Microsoft Office Word</Application>
  <DocSecurity>4</DocSecurity>
  <Lines>41</Lines>
  <Paragraphs>30</Paragraphs>
  <ScaleCrop>false</ScaleCrop>
  <HeadingPairs>
    <vt:vector size="2" baseType="variant">
      <vt:variant>
        <vt:lpstr>Rubrik</vt:lpstr>
      </vt:variant>
      <vt:variant>
        <vt:i4>1</vt:i4>
      </vt:variant>
    </vt:vector>
  </HeadingPairs>
  <TitlesOfParts>
    <vt:vector size="1" baseType="lpstr">
      <vt:lpstr>SD251</vt:lpstr>
    </vt:vector>
  </TitlesOfParts>
  <Company>Riksdagen</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SD251</dc:title>
  <dc:subject>SD251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2011-10-03T12:33:00Z</cp:lastPrinted>
  <dcterms:created xsi:type="dcterms:W3CDTF">2025-12-17T19:09:00Z</dcterms:created>
  <dcterms:modified xsi:type="dcterms:W3CDTF">2025-12-17T19:09:00Z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SD251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Jonas Åkerlund och Thoralf Alfsson (SD)</vt:lpwstr>
  </property>
  <property fmtid="{D5CDD505-2E9C-101B-9397-08002B2CF9AE}" pid="26" name="MotionarLista">
    <vt:lpwstr>Åkerlund, Jonas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Åkerlund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20112012000000830068000002510075</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20112012000000830068000002510075</vt:lpwstr>
  </property>
  <property fmtid="{D5CDD505-2E9C-101B-9397-08002B2CF9AE}" pid="50" name="nummer">
    <vt:lpwstr>394</vt:lpwstr>
  </property>
  <property fmtid="{D5CDD505-2E9C-101B-9397-08002B2CF9AE}" pid="51" name="utskottsbeteckning">
    <vt:lpwstr>K</vt:lpwstr>
  </property>
  <property fmtid="{D5CDD505-2E9C-101B-9397-08002B2CF9AE}" pid="52" name="GlobalUID">
    <vt:lpwstr>{9D4FB365-C369-4D64-A79E-A2CBFB7195DB}</vt:lpwstr>
  </property>
  <property fmtid="{D5CDD505-2E9C-101B-9397-08002B2CF9AE}" pid="53" name="Överföringar">
    <vt:i4>0</vt:i4>
  </property>
  <property fmtid="{D5CDD505-2E9C-101B-9397-08002B2CF9AE}" pid="54" name="Checksum">
    <vt:lpwstr>*1007185985589*</vt:lpwstr>
  </property>
  <property fmtid="{D5CDD505-2E9C-101B-9397-08002B2CF9AE}" pid="55" name="skuggnummer">
    <vt:lpwstr>3182</vt:lpwstr>
  </property>
  <property fmtid="{D5CDD505-2E9C-101B-9397-08002B2CF9AE}" pid="56" name="urixVersion">
    <vt:lpwstr>4.5.0.25</vt:lpwstr>
  </property>
  <property fmtid="{D5CDD505-2E9C-101B-9397-08002B2CF9AE}" pid="57" name="urixOrigin">
    <vt:lpwstr>111010 10:27:09.522</vt:lpwstr>
  </property>
  <property fmtid="{D5CDD505-2E9C-101B-9397-08002B2CF9AE}" pid="58" name="urixGuid">
    <vt:lpwstr>{516C95C4-2B06-46A7-9275-FA9F73A38CD0}</vt:lpwstr>
  </property>
</Properties>
</file>