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6232" w:rsidRPr="007C6232" w:rsidRDefault="007C6232">
      <w:pPr>
        <w:pStyle w:val="Frslagsrubrik"/>
      </w:pPr>
      <w:r w:rsidRPr="007C6232">
        <w:t>Förslag till riksdagsbeslut</w:t>
      </w:r>
    </w:p>
    <w:p w:rsidR="007C6232" w:rsidRPr="007C6232" w:rsidRDefault="007C6232">
      <w:pPr>
        <w:pStyle w:val="Hemstlatt"/>
      </w:pPr>
      <w:r w:rsidRPr="007C6232">
        <w:t>Riksdagen tillkännager för regeringen som sin mening vad som anförs i motionen om att utforma en proposition om tonnag</w:t>
      </w:r>
      <w:r w:rsidRPr="007C6232">
        <w:t>e</w:t>
      </w:r>
      <w:r w:rsidRPr="007C6232">
        <w:t>skatt.</w:t>
      </w:r>
    </w:p>
    <w:p w:rsidR="007C6232" w:rsidRPr="007C6232" w:rsidRDefault="007C6232">
      <w:pPr>
        <w:pStyle w:val="Rubrik1"/>
      </w:pPr>
      <w:r w:rsidRPr="007C6232">
        <w:t>Motivering</w:t>
      </w:r>
    </w:p>
    <w:p w:rsidR="007C6232" w:rsidRPr="007C6232" w:rsidRDefault="007C6232">
      <w:r w:rsidRPr="007C6232">
        <w:t>I mer än fyra års tid har finansminister Anders Borg sagt att frågan om tonn</w:t>
      </w:r>
      <w:r w:rsidRPr="007C6232">
        <w:t>a</w:t>
      </w:r>
      <w:r w:rsidRPr="007C6232">
        <w:t>geskatt bereds. Att frågan om lagstiftning av tonnageskatt har dragits i lån</w:t>
      </w:r>
      <w:r w:rsidRPr="007C6232">
        <w:t>g</w:t>
      </w:r>
      <w:r w:rsidRPr="007C6232">
        <w:t>bänk leder till utflaggning och tusentals förlorade svenska jobb till sjöss. Andra sjöfartsländer i EU har infört tonnageskatt för att skapa likvärdiga konkurrensförhållanden för handelsfartygen. Sverige förlorar både arbetstil</w:t>
      </w:r>
      <w:r w:rsidRPr="007C6232">
        <w:t>l</w:t>
      </w:r>
      <w:r w:rsidRPr="007C6232">
        <w:t>fällen och skatteinkomster. Den borgerliga regeringens passivitet när det gäller att ta fram ett förslag för en tonnageskatt som även hanterar frågan om latenta skatteskulder minskar våra förutsättningar at</w:t>
      </w:r>
      <w:r w:rsidRPr="007C6232">
        <w:t>t vara en viktig sjöfartsn</w:t>
      </w:r>
      <w:r w:rsidRPr="007C6232">
        <w:t>a</w:t>
      </w:r>
      <w:r w:rsidRPr="007C6232">
        <w:t>tion.</w:t>
      </w:r>
    </w:p>
    <w:p w:rsidR="007C6232" w:rsidRPr="007C6232" w:rsidRDefault="007C6232">
      <w:pPr>
        <w:pStyle w:val="Rubrik2"/>
      </w:pPr>
      <w:r w:rsidRPr="007C6232">
        <w:t>Tonnageskatt</w:t>
      </w:r>
    </w:p>
    <w:p w:rsidR="007C6232" w:rsidRPr="007C6232" w:rsidRDefault="007C6232">
      <w:r w:rsidRPr="007C6232">
        <w:t>Tonnageskatt innebär att inkomsten bestäms schablonmässigt med utgång</w:t>
      </w:r>
      <w:r w:rsidRPr="007C6232">
        <w:t>s</w:t>
      </w:r>
      <w:r w:rsidRPr="007C6232">
        <w:t>punkt från fartygens nettodräktighet, vilket anses ge ett mått på fartygens lastkapacitet och därmed intjäningsförmåga. Begreppet tonnageskatt används internationellt, men det är inte en skatt utan i stället ett sätt för rederiet att beräkna inkomsten av den del av verksamheten som kan hänföras till tran</w:t>
      </w:r>
      <w:r w:rsidRPr="007C6232">
        <w:t>s</w:t>
      </w:r>
      <w:r w:rsidRPr="007C6232">
        <w:t>port av gods eller passagerare. Den del av rederiets inkomst som beräknas med stöd av tonnageskattereglerna ska läggas samman med rederiets övriga inkomster och beskattas med den bolagsskattesats som tillä</w:t>
      </w:r>
      <w:r w:rsidRPr="007C6232">
        <w:t>mpas på näring</w:t>
      </w:r>
      <w:r w:rsidRPr="007C6232">
        <w:t>s</w:t>
      </w:r>
      <w:r w:rsidRPr="007C6232">
        <w:t xml:space="preserve">verksamhet i övrigt. </w:t>
      </w:r>
    </w:p>
    <w:p w:rsidR="007C6232" w:rsidRPr="007C6232" w:rsidRDefault="007C6232">
      <w:pPr>
        <w:pStyle w:val="Normaltindrag"/>
      </w:pPr>
      <w:r w:rsidRPr="007C6232">
        <w:lastRenderedPageBreak/>
        <w:t>Tonnageskatten är viktig för att handelsflottan i Sverige ska utvecklas och få likvärdiga förutsättningar som andra EU-länder. Detta bör ske för att un</w:t>
      </w:r>
      <w:r w:rsidRPr="007C6232">
        <w:t>d</w:t>
      </w:r>
      <w:r w:rsidRPr="007C6232">
        <w:t>vika att framtida investeringar kommer att läggas utanför Sverige i länder där rederierna känner att konkurrenskraften är bättre. Vissa stater erbjuder redare att registrera sina fartyg i öppna register och segla under s.k. bekvämlighet</w:t>
      </w:r>
      <w:r w:rsidRPr="007C6232">
        <w:t>s</w:t>
      </w:r>
      <w:r w:rsidRPr="007C6232">
        <w:t xml:space="preserve">flagg. Flertalet sjöfartsnationer i Europeiska unionen (EU) har infört system med tonnageskatt i syfte att stödja sina sjöfartsnäringar och förmå redare att återregistrera fartyg under nationell flagg. </w:t>
      </w:r>
    </w:p>
    <w:p w:rsidR="007C6232" w:rsidRPr="007C6232" w:rsidRDefault="007C6232">
      <w:pPr>
        <w:pStyle w:val="Normaltindrag"/>
      </w:pPr>
      <w:r w:rsidRPr="007C6232">
        <w:t xml:space="preserve">Att införa ett tonnagebaserat system för sjöfarten skulle göra att den </w:t>
      </w:r>
      <w:r w:rsidRPr="007C6232">
        <w:t>svenska näringen fick likartade villkor som sina konkurrenter. Rederiver</w:t>
      </w:r>
      <w:r w:rsidRPr="007C6232">
        <w:t>k</w:t>
      </w:r>
      <w:r w:rsidRPr="007C6232">
        <w:t>samheten skulle utvecklas och det blev fler svenska arbetstillfällen. Utan tonnageskatt för den svenska rederinäringen håller sjöfarten på att förlora sin konkurrenskraft och sina möjligheter att utvecklas i Sverige. Något som det råder fullständig enighet om från både arbetstagarorganisation och arbetsgiv</w:t>
      </w:r>
      <w:r w:rsidRPr="007C6232">
        <w:t>a</w:t>
      </w:r>
      <w:r w:rsidRPr="007C6232">
        <w:t>re. Seko, Sjöbefälsförbundet, Sveriges Fartygsbefälsförening och Redareför</w:t>
      </w:r>
      <w:r w:rsidRPr="007C6232">
        <w:t>e</w:t>
      </w:r>
      <w:r w:rsidRPr="007C6232">
        <w:t>ningen har under flera år krävt att regeringen ska agera</w:t>
      </w:r>
      <w:r w:rsidRPr="007C6232">
        <w:t>.</w:t>
      </w:r>
    </w:p>
    <w:p w:rsidR="007C6232" w:rsidRPr="007C6232" w:rsidRDefault="007C6232">
      <w:pPr>
        <w:pStyle w:val="Rubrik2"/>
      </w:pPr>
      <w:r w:rsidRPr="007C6232">
        <w:t>Riksdagens tidigare uttalande</w:t>
      </w:r>
    </w:p>
    <w:p w:rsidR="007C6232" w:rsidRPr="007C6232" w:rsidRDefault="007C6232">
      <w:r w:rsidRPr="007C6232">
        <w:t>Riksdagen genom skatteutskottet riktade våren 2007 ett enhälligt tillkännag</w:t>
      </w:r>
      <w:r w:rsidRPr="007C6232">
        <w:t>i</w:t>
      </w:r>
      <w:r w:rsidRPr="007C6232">
        <w:t>vande till regeringen i frågan. I budgetpropositionen för 2008 skrev regerin</w:t>
      </w:r>
      <w:r w:rsidRPr="007C6232">
        <w:t>g</w:t>
      </w:r>
      <w:r w:rsidRPr="007C6232">
        <w:t xml:space="preserve">en själv följande: </w:t>
      </w:r>
    </w:p>
    <w:p w:rsidR="007C6232" w:rsidRPr="007C6232" w:rsidRDefault="007C6232">
      <w:pPr>
        <w:pStyle w:val="Citat"/>
      </w:pPr>
      <w:r w:rsidRPr="007C6232">
        <w:t>Regeringen avser att se över möjligheten att införa ett system med tonn</w:t>
      </w:r>
      <w:r w:rsidRPr="007C6232">
        <w:t>a</w:t>
      </w:r>
      <w:r w:rsidRPr="007C6232">
        <w:t>gebeskattning av fartyg. Liknande system finns i majoriteten av sjöfart</w:t>
      </w:r>
      <w:r w:rsidRPr="007C6232">
        <w:t>s</w:t>
      </w:r>
      <w:r w:rsidRPr="007C6232">
        <w:t xml:space="preserve">nationerna inom Europeiska unionen. Syftet med dessa system är att ge rederier i Europa bättre möjligheter att konkurrera med rederier i länder med s.k. bekvämlighetsflagg. </w:t>
      </w:r>
    </w:p>
    <w:p w:rsidR="007C6232" w:rsidRPr="007C6232" w:rsidRDefault="007C6232">
      <w:r w:rsidRPr="007C6232">
        <w:t>Trots detta uttalande hände inget och riksdagens skatteutskott följde enigt upp denna budgetskrivning den 28 april 2008 i ett yttrande till konstitutionsutsko</w:t>
      </w:r>
      <w:r w:rsidRPr="007C6232">
        <w:t>t</w:t>
      </w:r>
      <w:r w:rsidRPr="007C6232">
        <w:t>tet.</w:t>
      </w:r>
    </w:p>
    <w:p w:rsidR="007C6232" w:rsidRPr="007C6232" w:rsidRDefault="007C6232">
      <w:pPr>
        <w:pStyle w:val="Normaltindrag"/>
      </w:pPr>
      <w:r w:rsidRPr="007C6232">
        <w:t>Kommissionen har den 21 januari 2009 presenterat centrala strategiska mål för Europas sjötransporter fram till 2018. Däri skriver kommissionen bl.a. att tydliga och konkurrenskraftiga EU-ramar för tonnagebeskattning, inkomstb</w:t>
      </w:r>
      <w:r w:rsidRPr="007C6232">
        <w:t>e</w:t>
      </w:r>
      <w:r w:rsidRPr="007C6232">
        <w:t xml:space="preserve">skattning och statligt stöd bör upprätthållas och i tillämpliga fall förbättras. Kommissionen betonar att EU-flaggstater står inför en skarp konkurrens från flaggstater utanför EU. Vid motionsbehandling den 21 april 2009 enades bl.a. därför skatteutskottet om följande tydligt talande formulering: </w:t>
      </w:r>
    </w:p>
    <w:p w:rsidR="007C6232" w:rsidRPr="007C6232" w:rsidRDefault="007C6232">
      <w:pPr>
        <w:pStyle w:val="Normaltindrag"/>
      </w:pPr>
      <w:r w:rsidRPr="007C6232">
        <w:t>”Utskottet uttalade i det nämnda ärendet att det är fortsatt angeläget att b</w:t>
      </w:r>
      <w:r w:rsidRPr="007C6232">
        <w:t>e</w:t>
      </w:r>
      <w:r w:rsidRPr="007C6232">
        <w:t>redningen av utredningens förslag kan slutföras skyndsamt. Utskottet föru</w:t>
      </w:r>
      <w:r w:rsidRPr="007C6232">
        <w:t>t</w:t>
      </w:r>
      <w:r w:rsidRPr="007C6232">
        <w:t>satte att regeringen beaktar vad kommissionen anfört i de strategiska målen för sjöfarten fram till 2018 och förklarade sig utgå ifrån att frågan ska kunna få sin lösning utan att riksdagen ska behöva besluta om ännu ett tillkännag</w:t>
      </w:r>
      <w:r w:rsidRPr="007C6232">
        <w:t>i</w:t>
      </w:r>
      <w:r w:rsidRPr="007C6232">
        <w:t xml:space="preserve">vande till regeringen.” </w:t>
      </w:r>
    </w:p>
    <w:p w:rsidR="007C6232" w:rsidRPr="007C6232" w:rsidRDefault="007C6232">
      <w:pPr>
        <w:pStyle w:val="Normaltindrag"/>
      </w:pPr>
      <w:r w:rsidRPr="007C6232">
        <w:t>Vid behandling i skatteutskottet februari 2010 hänvisades återigen till de uttalanden som utskottet gjort vid tidigare behandling av motionsyrkanden om tonnageskatt kan slutföras s</w:t>
      </w:r>
      <w:r w:rsidRPr="007C6232">
        <w:t xml:space="preserve">kyndsamt. Utskottet utgick från att regeringen följer riksdagens tidigare beslut i frågan. </w:t>
      </w:r>
    </w:p>
    <w:p w:rsidR="007C6232" w:rsidRPr="007C6232" w:rsidRDefault="007C6232">
      <w:pPr>
        <w:pStyle w:val="Normaltindrag"/>
      </w:pPr>
      <w:r w:rsidRPr="007C6232">
        <w:t>Att regeringen trots flera tillkännagivande från riksdagens sida fortsätter vara passiv är helt obegripligt. Regeringen måste sluta obstruera och istället verkställa riksdagens tillkännagivande om en proposition om tonnageskatt.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C6232">
        <w:trPr>
          <w:cantSplit/>
        </w:trPr>
        <w:tc>
          <w:tcPr>
            <w:tcW w:w="3046" w:type="dxa"/>
          </w:tcPr>
          <w:p w:rsidR="007C6232" w:rsidRPr="007C6232" w:rsidRDefault="007C6232">
            <w:pPr>
              <w:pStyle w:val="UnderskriftDatum"/>
              <w:spacing w:before="240"/>
            </w:pPr>
            <w:r w:rsidRPr="007C6232">
              <w:t>Stockholm den 19 oktober 2010</w:t>
            </w:r>
          </w:p>
        </w:tc>
        <w:tc>
          <w:tcPr>
            <w:tcW w:w="3047" w:type="dxa"/>
          </w:tcPr>
          <w:p w:rsidR="007C6232" w:rsidRPr="007C6232" w:rsidRDefault="007C6232">
            <w:pPr>
              <w:pStyle w:val="Underskrifter"/>
              <w:spacing w:before="240"/>
            </w:pPr>
          </w:p>
        </w:tc>
      </w:tr>
      <w:tr w:rsidR="00000000" w:rsidRPr="007C6232">
        <w:trPr>
          <w:cantSplit/>
        </w:trPr>
        <w:tc>
          <w:tcPr>
            <w:tcW w:w="3046" w:type="dxa"/>
          </w:tcPr>
          <w:p w:rsidR="007C6232" w:rsidRPr="007C6232" w:rsidRDefault="007C6232">
            <w:pPr>
              <w:pStyle w:val="Underskrifter"/>
            </w:pPr>
            <w:r w:rsidRPr="007C6232">
              <w:t>Eva-Lena Jansson (S)</w:t>
            </w:r>
          </w:p>
        </w:tc>
        <w:tc>
          <w:tcPr>
            <w:tcW w:w="3046" w:type="dxa"/>
          </w:tcPr>
          <w:p w:rsidR="007C6232" w:rsidRPr="007C6232" w:rsidRDefault="007C6232">
            <w:pPr>
              <w:pStyle w:val="Underskrifter"/>
            </w:pPr>
            <w:r w:rsidRPr="007C6232">
              <w:t>Kerstin Engle (S)</w:t>
            </w:r>
          </w:p>
        </w:tc>
      </w:tr>
    </w:tbl>
    <w:p w:rsidR="007C6232" w:rsidRPr="007C6232" w:rsidRDefault="007C6232">
      <w:pPr>
        <w:pStyle w:val="Normaltindrag"/>
      </w:pPr>
    </w:p>
    <w:sectPr w:rsidR="00000000" w:rsidRPr="007C62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6232" w:rsidRPr="007C6232" w:rsidRDefault="007C6232">
      <w:r w:rsidRPr="007C6232">
        <w:separator/>
      </w:r>
    </w:p>
  </w:endnote>
  <w:endnote w:type="continuationSeparator" w:id="0">
    <w:p w:rsidR="007C6232" w:rsidRPr="007C6232" w:rsidRDefault="007C6232">
      <w:r w:rsidRPr="007C62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6232" w:rsidRPr="007C6232" w:rsidRDefault="007C6232">
    <w:pPr>
      <w:pStyle w:val="Sidfot"/>
    </w:pPr>
    <w:r w:rsidRPr="007C623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688251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232" w:rsidRDefault="007C623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C6232" w:rsidRDefault="007C623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6232" w:rsidRPr="007C6232" w:rsidRDefault="007C6232">
    <w:pPr>
      <w:pStyle w:val="Sidfot"/>
    </w:pPr>
    <w:r w:rsidRPr="007C623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51172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232" w:rsidRDefault="007C62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6232" w:rsidRDefault="007C62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6232" w:rsidRPr="007C6232" w:rsidRDefault="007C6232">
    <w:pPr>
      <w:pStyle w:val="Sidfot"/>
    </w:pPr>
    <w:r w:rsidRPr="007C623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52210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232" w:rsidRDefault="007C62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6232" w:rsidRDefault="007C62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6232" w:rsidRPr="007C6232" w:rsidRDefault="007C6232">
      <w:r w:rsidRPr="007C6232">
        <w:separator/>
      </w:r>
    </w:p>
  </w:footnote>
  <w:footnote w:type="continuationSeparator" w:id="0">
    <w:p w:rsidR="007C6232" w:rsidRPr="007C6232" w:rsidRDefault="007C6232">
      <w:r w:rsidRPr="007C62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6232" w:rsidRPr="007C6232" w:rsidRDefault="007C6232">
    <w:pPr>
      <w:pStyle w:val="Sidhuvud"/>
    </w:pPr>
    <w:r w:rsidRPr="007C623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996236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232" w:rsidRDefault="007C623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C6232" w:rsidRDefault="007C623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6232" w:rsidRPr="007C6232" w:rsidRDefault="007C6232">
    <w:pPr>
      <w:pStyle w:val="Sidhuvud"/>
    </w:pPr>
    <w:r w:rsidRPr="007C623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643403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232" w:rsidRDefault="007C623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C6232" w:rsidRDefault="007C623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6232" w:rsidRPr="007C6232" w:rsidRDefault="007C6232">
    <w:pPr>
      <w:pStyle w:val="FSHNormal"/>
      <w:tabs>
        <w:tab w:val="right" w:pos="5840"/>
      </w:tabs>
    </w:pPr>
    <w:r w:rsidRPr="007C6232">
      <w:br/>
    </w:r>
    <w:r w:rsidRPr="007C6232">
      <w:fldChar w:fldCharType="begin" w:fldLock="1"/>
    </w:r>
    <w:r w:rsidRPr="007C6232">
      <w:instrText xml:space="preserve"> DOCPROPERTY</w:instrText>
    </w:r>
    <w:r w:rsidRPr="007C6232">
      <w:rPr>
        <w:sz w:val="18"/>
      </w:rPr>
      <w:instrText xml:space="preserve"> "YearUser" *\charformat </w:instrText>
    </w:r>
    <w:r w:rsidRPr="007C6232">
      <w:fldChar w:fldCharType="separate"/>
    </w:r>
    <w:r w:rsidRPr="007C6232">
      <w:t>2010/11</w:t>
    </w:r>
    <w:r w:rsidRPr="007C6232">
      <w:fldChar w:fldCharType="end"/>
    </w:r>
    <w:r w:rsidRPr="007C6232">
      <w:t xml:space="preserve"> </w:t>
    </w:r>
    <w:r w:rsidRPr="007C6232">
      <w:tab/>
      <w:t xml:space="preserve">mnr: </w:t>
    </w:r>
    <w:r w:rsidRPr="007C6232">
      <w:fldChar w:fldCharType="begin" w:fldLock="1"/>
    </w:r>
    <w:r w:rsidRPr="007C6232">
      <w:instrText xml:space="preserve"> DOCPROPERTY</w:instrText>
    </w:r>
    <w:r w:rsidRPr="007C6232">
      <w:rPr>
        <w:sz w:val="18"/>
      </w:rPr>
      <w:instrText xml:space="preserve"> "Motionsnummer" *\charformat </w:instrText>
    </w:r>
    <w:r w:rsidRPr="007C6232">
      <w:fldChar w:fldCharType="separate"/>
    </w:r>
    <w:r w:rsidRPr="007C6232">
      <w:t>Sk291</w:t>
    </w:r>
    <w:r w:rsidRPr="007C6232">
      <w:fldChar w:fldCharType="end"/>
    </w:r>
    <w:r w:rsidRPr="007C6232">
      <w:br/>
    </w:r>
    <w:r w:rsidRPr="007C6232">
      <w:fldChar w:fldCharType="begin" w:fldLock="1"/>
    </w:r>
    <w:r w:rsidRPr="007C6232">
      <w:instrText xml:space="preserve"> DOCPROPERTY</w:instrText>
    </w:r>
    <w:r w:rsidRPr="007C6232">
      <w:rPr>
        <w:sz w:val="18"/>
      </w:rPr>
      <w:instrText xml:space="preserve"> "Samling" *\charformat </w:instrText>
    </w:r>
    <w:r w:rsidRPr="007C6232">
      <w:fldChar w:fldCharType="end"/>
    </w:r>
    <w:r w:rsidRPr="007C6232">
      <w:tab/>
      <w:t xml:space="preserve">pnr: </w:t>
    </w:r>
    <w:r w:rsidRPr="007C6232">
      <w:fldChar w:fldCharType="begin" w:fldLock="1"/>
    </w:r>
    <w:r w:rsidRPr="007C6232">
      <w:instrText xml:space="preserve"> DOCPROPERTY</w:instrText>
    </w:r>
    <w:r w:rsidRPr="007C6232">
      <w:rPr>
        <w:sz w:val="18"/>
      </w:rPr>
      <w:instrText xml:space="preserve"> "Partinummer" *\charformat </w:instrText>
    </w:r>
    <w:r w:rsidRPr="007C6232">
      <w:fldChar w:fldCharType="separate"/>
    </w:r>
    <w:r w:rsidRPr="007C6232">
      <w:t>S30023</w:t>
    </w:r>
    <w:r w:rsidRPr="007C6232">
      <w:fldChar w:fldCharType="end"/>
    </w:r>
  </w:p>
  <w:p w:rsidR="007C6232" w:rsidRPr="007C6232" w:rsidRDefault="007C6232">
    <w:pPr>
      <w:pStyle w:val="FSHRub1"/>
    </w:pPr>
    <w:r w:rsidRPr="007C6232">
      <w:t>Motion till riksdagen</w:t>
    </w:r>
    <w:r w:rsidRPr="007C6232">
      <w:br/>
    </w:r>
    <w:r w:rsidRPr="007C6232">
      <w:fldChar w:fldCharType="begin" w:fldLock="1"/>
    </w:r>
    <w:r w:rsidRPr="007C6232">
      <w:instrText xml:space="preserve"> DOCPROPERTY "YearUser" *\charformat </w:instrText>
    </w:r>
    <w:r w:rsidRPr="007C6232">
      <w:fldChar w:fldCharType="separate"/>
    </w:r>
    <w:r w:rsidRPr="007C6232">
      <w:t>2010/11</w:t>
    </w:r>
    <w:r w:rsidRPr="007C6232">
      <w:fldChar w:fldCharType="end"/>
    </w:r>
    <w:r w:rsidRPr="007C6232">
      <w:t>:</w:t>
    </w:r>
    <w:r w:rsidRPr="007C6232">
      <w:fldChar w:fldCharType="begin" w:fldLock="1"/>
    </w:r>
    <w:r w:rsidRPr="007C6232">
      <w:instrText xml:space="preserve"> DOCPROPERTY "Motionsnummer" *\charformat </w:instrText>
    </w:r>
    <w:r w:rsidRPr="007C6232">
      <w:fldChar w:fldCharType="separate"/>
    </w:r>
    <w:r w:rsidRPr="007C6232">
      <w:t>Sk291</w:t>
    </w:r>
    <w:r w:rsidRPr="007C6232">
      <w:fldChar w:fldCharType="end"/>
    </w:r>
  </w:p>
  <w:p w:rsidR="007C6232" w:rsidRPr="007C6232" w:rsidRDefault="007C6232">
    <w:pPr>
      <w:pStyle w:val="FSHNormalS5"/>
    </w:pPr>
    <w:r w:rsidRPr="007C6232">
      <w:fldChar w:fldCharType="begin" w:fldLock="1"/>
    </w:r>
    <w:r w:rsidRPr="007C6232">
      <w:instrText xml:space="preserve"> DOCPROPERTY "MotionarText" *\charformat </w:instrText>
    </w:r>
    <w:r w:rsidRPr="007C6232">
      <w:fldChar w:fldCharType="separate"/>
    </w:r>
    <w:r w:rsidRPr="007C6232">
      <w:t>av Eva-Lena Jansson och Kerstin Engle (S)</w:t>
    </w:r>
    <w:r w:rsidRPr="007C6232">
      <w:fldChar w:fldCharType="end"/>
    </w:r>
    <w:r w:rsidRPr="007C6232">
      <w:br/>
    </w:r>
    <w:r w:rsidRPr="007C6232">
      <w:fldChar w:fldCharType="begin" w:fldLock="1"/>
    </w:r>
    <w:r w:rsidRPr="007C6232">
      <w:instrText xml:space="preserve"> DOCPROPERTY "SvarFrasKort" *\charformat </w:instrText>
    </w:r>
    <w:r w:rsidRPr="007C6232">
      <w:fldChar w:fldCharType="end"/>
    </w:r>
  </w:p>
  <w:p w:rsidR="007C6232" w:rsidRPr="007C6232" w:rsidRDefault="007C6232">
    <w:pPr>
      <w:pStyle w:val="FSHTitel"/>
    </w:pPr>
    <w:r w:rsidRPr="007C6232">
      <w:fldChar w:fldCharType="begin" w:fldLock="1"/>
    </w:r>
    <w:r w:rsidRPr="007C6232">
      <w:instrText xml:space="preserve"> DOCPROPERTY</w:instrText>
    </w:r>
    <w:r w:rsidRPr="007C6232">
      <w:rPr>
        <w:sz w:val="18"/>
      </w:rPr>
      <w:instrText xml:space="preserve"> "RubrikSvar" *\charformat </w:instrText>
    </w:r>
    <w:r w:rsidRPr="007C6232">
      <w:fldChar w:fldCharType="separate"/>
    </w:r>
    <w:r w:rsidRPr="007C6232">
      <w:t>Tonnageskatt</w:t>
    </w:r>
    <w:r w:rsidRPr="007C6232">
      <w:fldChar w:fldCharType="end"/>
    </w:r>
  </w:p>
  <w:p w:rsidR="007C6232" w:rsidRPr="007C6232" w:rsidRDefault="007C6232">
    <w:pPr>
      <w:pStyle w:val="Normal00"/>
    </w:pPr>
  </w:p>
  <w:p w:rsidR="007C6232" w:rsidRPr="007C6232" w:rsidRDefault="007C623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93730377">
    <w:abstractNumId w:val="3"/>
  </w:num>
  <w:num w:numId="2" w16cid:durableId="101725641">
    <w:abstractNumId w:val="2"/>
  </w:num>
  <w:num w:numId="3" w16cid:durableId="200174455">
    <w:abstractNumId w:val="1"/>
  </w:num>
  <w:num w:numId="4" w16cid:durableId="2111656684">
    <w:abstractNumId w:val="0"/>
  </w:num>
  <w:num w:numId="5" w16cid:durableId="2042627131">
    <w:abstractNumId w:val="7"/>
  </w:num>
  <w:num w:numId="6" w16cid:durableId="2069303753">
    <w:abstractNumId w:val="6"/>
  </w:num>
  <w:num w:numId="7" w16cid:durableId="50688727">
    <w:abstractNumId w:val="5"/>
  </w:num>
  <w:num w:numId="8" w16cid:durableId="2037998080">
    <w:abstractNumId w:val="4"/>
  </w:num>
  <w:num w:numId="9" w16cid:durableId="1983850333">
    <w:abstractNumId w:val="8"/>
  </w:num>
  <w:num w:numId="10" w16cid:durableId="1538619920">
    <w:abstractNumId w:val="9"/>
  </w:num>
  <w:num w:numId="11" w16cid:durableId="154685868">
    <w:abstractNumId w:val="10"/>
  </w:num>
  <w:num w:numId="12" w16cid:durableId="1987398339">
    <w:abstractNumId w:val="13"/>
  </w:num>
  <w:num w:numId="13" w16cid:durableId="1561792215">
    <w:abstractNumId w:val="15"/>
  </w:num>
  <w:num w:numId="14" w16cid:durableId="74208164">
    <w:abstractNumId w:val="16"/>
  </w:num>
  <w:num w:numId="15" w16cid:durableId="2050953401">
    <w:abstractNumId w:val="11"/>
  </w:num>
  <w:num w:numId="16" w16cid:durableId="832179747">
    <w:abstractNumId w:val="18"/>
  </w:num>
  <w:num w:numId="17" w16cid:durableId="240332357">
    <w:abstractNumId w:val="17"/>
  </w:num>
  <w:num w:numId="18" w16cid:durableId="1518349347">
    <w:abstractNumId w:val="14"/>
  </w:num>
  <w:num w:numId="19" w16cid:durableId="21077226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8"/>
    <w:docVar w:name="PersonGUIDs" w:val="{0116109A-FD56-42D5-8551-9B68938ABFD6},{9A79731D-6EA4-4282-8936-A0551B20D296}"/>
  </w:docVars>
  <w:rsids>
    <w:rsidRoot w:val="00323252"/>
    <w:rsid w:val="00323252"/>
    <w:rsid w:val="007C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515CED15-47AA-4855-8A04-AFE47B2F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4141</Characters>
  <Application>Microsoft Office Word</Application>
  <DocSecurity>4</DocSecurity>
  <Lines>75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s30023</vt:lpstr>
    </vt:vector>
  </TitlesOfParts>
  <Company>Riksdagen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s30023</dc:title>
  <dc:subject>s30023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2010-11-18T13:36:00Z</cp:lastPrinted>
  <dcterms:created xsi:type="dcterms:W3CDTF">2025-12-18T02:13:00Z</dcterms:created>
  <dcterms:modified xsi:type="dcterms:W3CDTF">2025-12-18T02:13:00Z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mot2000_530_2010-11-18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Tonnageskatt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Tonnageskatt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S30023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Eva-Lena Jansson och Kerstin Engle (S)</vt:lpwstr>
  </property>
  <property fmtid="{D5CDD505-2E9C-101B-9397-08002B2CF9AE}" pid="26" name="MotionarLista">
    <vt:lpwstr>Jansson, Eva-Lena (S)\Engle, Kerstin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Eva-Lena Jansson (S), Kerstin Engle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20102011000000000115000300230069</vt:lpwstr>
  </property>
  <property fmtid="{D5CDD505-2E9C-101B-9397-08002B2CF9AE}" pid="47" name="datum">
    <vt:lpwstr>101019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20102011000000000115000300230069</vt:lpwstr>
  </property>
  <property fmtid="{D5CDD505-2E9C-101B-9397-08002B2CF9AE}" pid="50" name="nummer">
    <vt:lpwstr>291</vt:lpwstr>
  </property>
  <property fmtid="{D5CDD505-2E9C-101B-9397-08002B2CF9AE}" pid="51" name="utskottsbeteckning">
    <vt:lpwstr>Sk</vt:lpwstr>
  </property>
  <property fmtid="{D5CDD505-2E9C-101B-9397-08002B2CF9AE}" pid="52" name="GlobalUID">
    <vt:lpwstr>{9F8DA61A-2FB1-4C2F-8061-F805F7B3BE22}</vt:lpwstr>
  </property>
  <property fmtid="{D5CDD505-2E9C-101B-9397-08002B2CF9AE}" pid="53" name="Överföringar">
    <vt:i4>0</vt:i4>
  </property>
  <property fmtid="{D5CDD505-2E9C-101B-9397-08002B2CF9AE}" pid="54" name="Checksum">
    <vt:lpwstr>*1006845885863*</vt:lpwstr>
  </property>
  <property fmtid="{D5CDD505-2E9C-101B-9397-08002B2CF9AE}" pid="55" name="skuggnummer">
    <vt:lpwstr>1109</vt:lpwstr>
  </property>
  <property fmtid="{D5CDD505-2E9C-101B-9397-08002B2CF9AE}" pid="56" name="urixVersion">
    <vt:lpwstr>4.3.0.0</vt:lpwstr>
  </property>
  <property fmtid="{D5CDD505-2E9C-101B-9397-08002B2CF9AE}" pid="57" name="urixOrigin">
    <vt:lpwstr>101118 14:36:43.984</vt:lpwstr>
  </property>
  <property fmtid="{D5CDD505-2E9C-101B-9397-08002B2CF9AE}" pid="58" name="urixGuid">
    <vt:lpwstr>{F8188B1E-3A28-4095-A1CF-C950576F83BA}</vt:lpwstr>
  </property>
</Properties>
</file>