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AE4FB6D92714C3EB9FFF84CF0D155B8"/>
        </w:placeholder>
        <w:text/>
      </w:sdtPr>
      <w:sdtEndPr/>
      <w:sdtContent>
        <w:p w:rsidRPr="009B062B" w:rsidR="00AF30DD" w:rsidP="00DA28CE" w:rsidRDefault="00AF30DD" w14:paraId="774D1469" w14:textId="77777777">
          <w:pPr>
            <w:pStyle w:val="Rubrik1"/>
            <w:spacing w:after="300"/>
          </w:pPr>
          <w:r w:rsidRPr="009B062B">
            <w:t>Förslag till riksdagsbeslut</w:t>
          </w:r>
        </w:p>
      </w:sdtContent>
    </w:sdt>
    <w:sdt>
      <w:sdtPr>
        <w:alias w:val="Yrkande 1"/>
        <w:tag w:val="23d2e473-3d0b-4222-9a1a-71180f4778e5"/>
        <w:id w:val="-2144273017"/>
        <w:lock w:val="sdtLocked"/>
      </w:sdtPr>
      <w:sdtEndPr/>
      <w:sdtContent>
        <w:p w:rsidR="008A4E82" w:rsidRDefault="00BC3A99" w14:paraId="10EACCDC" w14:textId="77777777">
          <w:pPr>
            <w:pStyle w:val="Frslagstext"/>
          </w:pPr>
          <w:r>
            <w:t>Riksdagen anvisar anslagen för 2023 inom utgiftsområde 18 Samhällsplanering, bostadsförsörjning och byggande samt konsumentpolitik enligt förslaget i tabell 1 i motionen.</w:t>
          </w:r>
        </w:p>
      </w:sdtContent>
    </w:sdt>
    <w:sdt>
      <w:sdtPr>
        <w:alias w:val="Yrkande 2"/>
        <w:tag w:val="056a2e10-0624-4efb-8259-6b01d05b21d0"/>
        <w:id w:val="1019050180"/>
        <w:lock w:val="sdtLocked"/>
      </w:sdtPr>
      <w:sdtEndPr/>
      <w:sdtContent>
        <w:p w:rsidR="008A4E82" w:rsidRDefault="00BC3A99" w14:paraId="49DF80DA" w14:textId="77777777">
          <w:pPr>
            <w:pStyle w:val="Frslagstext"/>
          </w:pPr>
          <w:r>
            <w:t>Riksdagen beslutar att bemyndiga regeringen att under 2023 för anslaget 1:8 Investeringsstöd för anordnande av hyresbostäder och bostäder för studerande ingå ekonomiska åtaganden som medför behov av framtida anslag på högst 8 miljarder kronor 2023.</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DACCFBF6944AE7AD7275536C0B0E99"/>
        </w:placeholder>
        <w:text/>
      </w:sdtPr>
      <w:sdtEndPr/>
      <w:sdtContent>
        <w:p w:rsidRPr="00AB26A0" w:rsidR="006D79C9" w:rsidP="00333E95" w:rsidRDefault="006D79C9" w14:paraId="394D95F9" w14:textId="77777777">
          <w:pPr>
            <w:pStyle w:val="Rubrik1"/>
          </w:pPr>
          <w:r>
            <w:t>Motivering</w:t>
          </w:r>
        </w:p>
      </w:sdtContent>
    </w:sdt>
    <w:bookmarkEnd w:displacedByCustomXml="prev" w:id="3"/>
    <w:bookmarkEnd w:displacedByCustomXml="prev" w:id="4"/>
    <w:p w:rsidRPr="00AB26A0" w:rsidR="00DC1CCD" w:rsidP="00F56A8A" w:rsidRDefault="00DC1CCD" w14:paraId="726EC7F4" w14:textId="76A81CCE">
      <w:pPr>
        <w:pStyle w:val="Normalutanindragellerluft"/>
      </w:pPr>
      <w:r w:rsidRPr="00F56A8A">
        <w:rPr>
          <w:spacing w:val="-2"/>
        </w:rPr>
        <w:t>Bra och trygga bostäder för alla är målsättningen för oss socialdemokrater. Det förutsätter</w:t>
      </w:r>
      <w:r w:rsidRPr="00AB26A0">
        <w:t xml:space="preserve"> en nationell bostadspolitik som fokuserar på goda bostäder åt alla – inte en marknad som fungerar för några.</w:t>
      </w:r>
    </w:p>
    <w:p w:rsidRPr="00AB26A0" w:rsidR="00DC1CCD" w:rsidP="00F56A8A" w:rsidRDefault="00DC1CCD" w14:paraId="1EF9C49E" w14:textId="6BBB312B">
      <w:r w:rsidRPr="00AB26A0">
        <w:t>Vi socialdemokrater vill att hemmet ska vara den trygga punkten i varje människas liv. Ens bostad påverkar vilka arbeten man kan ta, var man kan studera och hur mycket av ens vakna tid som går till hantering av logistik såsom pendling. Det avgör om man kan flytta hemifrån</w:t>
      </w:r>
      <w:r w:rsidR="00130F67">
        <w:t xml:space="preserve"> och det</w:t>
      </w:r>
      <w:r w:rsidRPr="00AB26A0">
        <w:t xml:space="preserve"> påverkar vilka förskolor och skolor som är tillgängliga för ens barn, och möjligheten att känna ro. Goda bostäder innebär därmed fler hyresrätter </w:t>
      </w:r>
      <w:r w:rsidRPr="00AB26A0">
        <w:lastRenderedPageBreak/>
        <w:t>och förutsätter ännu fler blandade bostadsområden med villor, radhus och flerfamiljshus som bryter den växande bostadssegregationen.</w:t>
      </w:r>
    </w:p>
    <w:p w:rsidRPr="00AB26A0" w:rsidR="00DC1CCD" w:rsidP="00F56A8A" w:rsidRDefault="00DC1CCD" w14:paraId="6EF8A74E" w14:textId="02A9A3F2">
      <w:r w:rsidRPr="00AB26A0">
        <w:t>Sverige har haft det mest omfattande bostadsbyggandet på 30</w:t>
      </w:r>
      <w:r w:rsidR="00130F67">
        <w:t> </w:t>
      </w:r>
      <w:r w:rsidRPr="00AB26A0">
        <w:t>år och det socialdemo</w:t>
      </w:r>
      <w:r w:rsidR="00F12E86">
        <w:softHyphen/>
      </w:r>
      <w:r w:rsidRPr="00AB26A0">
        <w:t>kra</w:t>
      </w:r>
      <w:r w:rsidR="00F12E86">
        <w:softHyphen/>
      </w:r>
      <w:r w:rsidRPr="00AB26A0">
        <w:t>tiska målet om 250</w:t>
      </w:r>
      <w:r w:rsidR="00130F67">
        <w:t> </w:t>
      </w:r>
      <w:r w:rsidRPr="00AB26A0">
        <w:t>000 nya bostäder till 2020 uppnåddes med råge. Ett osäkert världsläge med stigande materialpriser, ökat inflationstryck och stigande räntor skapar nu stor oro och osäkerhet för fastighets-</w:t>
      </w:r>
      <w:r w:rsidR="00130F67">
        <w:t xml:space="preserve"> och</w:t>
      </w:r>
      <w:r w:rsidRPr="00AB26A0">
        <w:t xml:space="preserve"> byggbranschen men även för hushållen. Bostadsbyggandet spås minska och ökade kostnader för räntor, energi och förvaltnings</w:t>
      </w:r>
      <w:r w:rsidR="00F12E86">
        <w:softHyphen/>
      </w:r>
      <w:r w:rsidRPr="00AB26A0">
        <w:t>kostnader riskerar att slå hårt mot fastighetsbranschen och hushållen. Bostadsbristen är dessutom fortsatt stor, speciellt i storstäderna. För att klara dessa utmaningar måste staten ta ansvar för de hushåll som idag har svårt att klara sig samtidigt som samhället måste stimulera till fortsatt byggande.</w:t>
      </w:r>
    </w:p>
    <w:p w:rsidRPr="00AB26A0" w:rsidR="00D150DC" w:rsidP="00F56A8A" w:rsidRDefault="00DC1CCD" w14:paraId="660A3403" w14:textId="315F8C48">
      <w:r w:rsidRPr="00AB26A0">
        <w:t xml:space="preserve">I dessa oroliga tider är det därför extra viktigt att bostadspolitiken värnar vikten </w:t>
      </w:r>
      <w:r w:rsidR="00130F67">
        <w:t>av</w:t>
      </w:r>
      <w:r w:rsidRPr="00AB26A0">
        <w:t xml:space="preserve"> </w:t>
      </w:r>
      <w:r w:rsidR="00130F67">
        <w:t xml:space="preserve">den </w:t>
      </w:r>
      <w:r w:rsidRPr="00AB26A0">
        <w:t>goda bostaden för alla. Den behövs för att hålla uppe byggandet och för att alla människor ska ha råd med sitt boende. Vi behöver också fler blandade bostadsområden i hela landet. Att bryta segregationen är nämligen helt central</w:t>
      </w:r>
      <w:r w:rsidR="00130F67">
        <w:t>t</w:t>
      </w:r>
      <w:r w:rsidRPr="00AB26A0">
        <w:t xml:space="preserve"> för att stärka samman</w:t>
      </w:r>
      <w:r w:rsidR="00F12E86">
        <w:softHyphen/>
      </w:r>
      <w:r w:rsidRPr="00AB26A0">
        <w:t xml:space="preserve">hållningen i vårt land. Detta gör vi med en offensiv bostadspolitik där det byggs blandat i hela landet i stället för </w:t>
      </w:r>
      <w:r w:rsidR="00130F67">
        <w:t xml:space="preserve">med </w:t>
      </w:r>
      <w:r w:rsidRPr="00AB26A0">
        <w:t xml:space="preserve">särlösningar som riskerar </w:t>
      </w:r>
      <w:r w:rsidR="00130F67">
        <w:t xml:space="preserve">att </w:t>
      </w:r>
      <w:r w:rsidRPr="00AB26A0">
        <w:t>splittra vårt land ytterligare. Här har stat och kommun ett gemensamt ansvar. Alla kommuner måste ta ansvar för planering och byggande så att fler människor får tillgång till bra och trygga bostäder. Vi socialdemokrater ser också ett behov av att staten tydligare ta</w:t>
      </w:r>
      <w:r w:rsidR="00130F67">
        <w:t>r</w:t>
      </w:r>
      <w:r w:rsidRPr="00AB26A0">
        <w:t xml:space="preserve"> ledning och, i likhet med vad som redan gäller för kommunerna, ta</w:t>
      </w:r>
      <w:r w:rsidR="00130F67">
        <w:t>r</w:t>
      </w:r>
      <w:r w:rsidRPr="00AB26A0">
        <w:t xml:space="preserve"> fram en nationell handlingsplan för bostads</w:t>
      </w:r>
      <w:r w:rsidR="00F12E86">
        <w:softHyphen/>
      </w:r>
      <w:r w:rsidRPr="00AB26A0">
        <w:t xml:space="preserve">försörjningen. </w:t>
      </w:r>
    </w:p>
    <w:p w:rsidRPr="00F56A8A" w:rsidR="00422B9E" w:rsidP="00F56A8A" w:rsidRDefault="00DC1CCD" w14:paraId="707F5050" w14:textId="1B0ECF30">
      <w:pPr>
        <w:pStyle w:val="Rubrik2"/>
      </w:pPr>
      <w:r w:rsidRPr="00F56A8A">
        <w:t>Tabell 1 Socialdemokraternas förslag till anslag för 2023 uttryckt som differens gentemot regeringens förslag</w:t>
      </w:r>
      <w:r w:rsidRPr="00F56A8A" w:rsidR="00D150DC">
        <w:t xml:space="preserve"> (tusental kronor)</w:t>
      </w:r>
    </w:p>
    <w:p w:rsidRPr="00F56A8A" w:rsidR="00DC1CCD" w:rsidP="00F56A8A" w:rsidRDefault="00DC1CCD" w14:paraId="1FE4DB32" w14:textId="5D55884C">
      <w:pPr>
        <w:pStyle w:val="Tabellrubrik"/>
      </w:pPr>
      <w:r w:rsidRPr="00F56A8A">
        <w:t>Anslagsförslag 2023 för utgiftsområde 18 Samhällsplanering, bostadsförsörjning och byggande samt konsumentpolitik</w:t>
      </w:r>
    </w:p>
    <w:p w:rsidRPr="00F56A8A" w:rsidR="00D150DC" w:rsidP="00F56A8A" w:rsidRDefault="00D150DC" w14:paraId="355AA3A7" w14:textId="14EBE463">
      <w:pPr>
        <w:pStyle w:val="Tabellunderrubrik"/>
      </w:pPr>
      <w:r w:rsidRPr="00F56A8A">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76"/>
        <w:gridCol w:w="4695"/>
        <w:gridCol w:w="1667"/>
        <w:gridCol w:w="1667"/>
      </w:tblGrid>
      <w:tr w:rsidRPr="00F56A8A" w:rsidR="00B1733D" w:rsidTr="00F56A8A" w14:paraId="63A35810" w14:textId="77777777">
        <w:tc>
          <w:tcPr>
            <w:tcW w:w="5171"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56A8A" w:rsidR="00B1733D" w:rsidP="00F56A8A" w:rsidRDefault="00B1733D" w14:paraId="120B442C" w14:textId="73E97643">
            <w:pPr>
              <w:tabs>
                <w:tab w:val="clear" w:pos="284"/>
                <w:tab w:val="right" w:pos="4991"/>
              </w:tabs>
              <w:spacing w:line="240" w:lineRule="exact"/>
              <w:ind w:firstLine="0"/>
              <w:rPr>
                <w:b/>
                <w:bCs/>
                <w:color w:val="000000"/>
                <w:sz w:val="20"/>
                <w:szCs w:val="20"/>
              </w:rPr>
            </w:pPr>
            <w:bookmarkStart w:name="_Hlk119958966" w:id="5"/>
            <w:r w:rsidRPr="00F56A8A">
              <w:rPr>
                <w:b/>
                <w:bCs/>
                <w:sz w:val="20"/>
                <w:szCs w:val="20"/>
              </w:rPr>
              <w:t>Ramanslag</w:t>
            </w:r>
          </w:p>
        </w:tc>
        <w:tc>
          <w:tcPr>
            <w:tcW w:w="1667"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F56A8A" w:rsidR="00B1733D" w:rsidP="00F56A8A" w:rsidRDefault="00B1733D" w14:paraId="55431197" w14:textId="4573994F">
            <w:pPr>
              <w:tabs>
                <w:tab w:val="clear" w:pos="284"/>
                <w:tab w:val="left" w:pos="1304"/>
              </w:tabs>
              <w:spacing w:line="240" w:lineRule="exact"/>
              <w:ind w:firstLine="0"/>
              <w:jc w:val="right"/>
              <w:rPr>
                <w:b/>
                <w:bCs/>
                <w:color w:val="000000"/>
                <w:sz w:val="20"/>
                <w:szCs w:val="20"/>
              </w:rPr>
            </w:pPr>
            <w:r w:rsidRPr="00F56A8A">
              <w:rPr>
                <w:b/>
                <w:bCs/>
                <w:sz w:val="20"/>
                <w:szCs w:val="20"/>
              </w:rPr>
              <w:t>Regeringens förslag</w:t>
            </w:r>
          </w:p>
        </w:tc>
        <w:tc>
          <w:tcPr>
            <w:tcW w:w="1667"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F56A8A" w:rsidR="00B1733D" w:rsidP="00F56A8A" w:rsidRDefault="00B1733D" w14:paraId="0906C43F" w14:textId="26B790DD">
            <w:pPr>
              <w:tabs>
                <w:tab w:val="clear" w:pos="284"/>
                <w:tab w:val="left" w:pos="1304"/>
              </w:tabs>
              <w:spacing w:line="240" w:lineRule="exact"/>
              <w:ind w:firstLine="0"/>
              <w:jc w:val="right"/>
              <w:rPr>
                <w:b/>
                <w:bCs/>
                <w:color w:val="000000"/>
                <w:sz w:val="20"/>
                <w:szCs w:val="20"/>
              </w:rPr>
            </w:pPr>
            <w:r w:rsidRPr="00F56A8A">
              <w:rPr>
                <w:b/>
                <w:bCs/>
                <w:sz w:val="20"/>
                <w:szCs w:val="20"/>
              </w:rPr>
              <w:t>Avvikelse från regeringen</w:t>
            </w:r>
          </w:p>
        </w:tc>
      </w:tr>
      <w:tr w:rsidRPr="00F56A8A" w:rsidR="00B1733D" w:rsidTr="00F56A8A" w14:paraId="1B16037B" w14:textId="77777777">
        <w:tc>
          <w:tcPr>
            <w:tcW w:w="476" w:type="dxa"/>
            <w:shd w:val="clear" w:color="auto" w:fill="FFFFFF"/>
            <w:tcMar>
              <w:top w:w="68" w:type="dxa"/>
              <w:left w:w="45" w:type="dxa"/>
              <w:bottom w:w="0" w:type="dxa"/>
              <w:right w:w="45" w:type="dxa"/>
            </w:tcMar>
            <w:hideMark/>
          </w:tcPr>
          <w:p w:rsidRPr="00F56A8A" w:rsidR="00B1733D" w:rsidP="00F56A8A" w:rsidRDefault="00B1733D" w14:paraId="0C7639FA" w14:textId="25E5A940">
            <w:pPr>
              <w:tabs>
                <w:tab w:val="clear" w:pos="284"/>
                <w:tab w:val="left" w:pos="1304"/>
              </w:tabs>
              <w:spacing w:line="240" w:lineRule="exact"/>
              <w:ind w:firstLine="0"/>
              <w:rPr>
                <w:color w:val="000000"/>
                <w:sz w:val="20"/>
                <w:szCs w:val="20"/>
              </w:rPr>
            </w:pPr>
            <w:r w:rsidRPr="00F56A8A">
              <w:rPr>
                <w:sz w:val="20"/>
                <w:szCs w:val="20"/>
              </w:rPr>
              <w:t>1:1</w:t>
            </w:r>
          </w:p>
        </w:tc>
        <w:tc>
          <w:tcPr>
            <w:tcW w:w="4695" w:type="dxa"/>
            <w:shd w:val="clear" w:color="auto" w:fill="FFFFFF"/>
            <w:tcMar>
              <w:top w:w="68" w:type="dxa"/>
              <w:left w:w="28" w:type="dxa"/>
              <w:bottom w:w="0" w:type="dxa"/>
              <w:right w:w="28" w:type="dxa"/>
            </w:tcMar>
            <w:hideMark/>
          </w:tcPr>
          <w:p w:rsidRPr="00F56A8A" w:rsidR="00B1733D" w:rsidP="00F56A8A" w:rsidRDefault="00B1733D" w14:paraId="2E9AEF55" w14:textId="2C398BDC">
            <w:pPr>
              <w:pStyle w:val="Normalutanindragellerluft"/>
              <w:spacing w:before="0" w:line="240" w:lineRule="exact"/>
              <w:rPr>
                <w:color w:val="000000"/>
                <w:sz w:val="20"/>
                <w:szCs w:val="20"/>
              </w:rPr>
            </w:pPr>
            <w:r w:rsidRPr="00F56A8A">
              <w:rPr>
                <w:sz w:val="20"/>
                <w:szCs w:val="20"/>
              </w:rPr>
              <w:t>Bostadspolitisk utveckling</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08DC5C9C" w14:textId="3B583A25">
            <w:pPr>
              <w:tabs>
                <w:tab w:val="clear" w:pos="284"/>
                <w:tab w:val="left" w:pos="1304"/>
              </w:tabs>
              <w:spacing w:line="240" w:lineRule="exact"/>
              <w:ind w:firstLine="0"/>
              <w:jc w:val="right"/>
              <w:rPr>
                <w:color w:val="000000"/>
                <w:sz w:val="20"/>
                <w:szCs w:val="20"/>
              </w:rPr>
            </w:pPr>
            <w:r w:rsidRPr="00F56A8A">
              <w:rPr>
                <w:sz w:val="20"/>
                <w:szCs w:val="20"/>
              </w:rPr>
              <w:t>35</w:t>
            </w:r>
            <w:r w:rsidR="00F56A8A">
              <w:rPr>
                <w:sz w:val="20"/>
                <w:szCs w:val="20"/>
              </w:rPr>
              <w:t> </w:t>
            </w:r>
            <w:r w:rsidRPr="00F56A8A">
              <w:rPr>
                <w:sz w:val="20"/>
                <w:szCs w:val="20"/>
              </w:rPr>
              <w:t>600</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08D98027" w14:textId="77777777">
            <w:pPr>
              <w:tabs>
                <w:tab w:val="clear" w:pos="284"/>
                <w:tab w:val="left" w:pos="1304"/>
              </w:tabs>
              <w:spacing w:line="240" w:lineRule="exact"/>
              <w:ind w:firstLine="0"/>
              <w:jc w:val="right"/>
              <w:rPr>
                <w:color w:val="000000"/>
                <w:sz w:val="20"/>
                <w:szCs w:val="20"/>
              </w:rPr>
            </w:pPr>
            <w:r w:rsidRPr="00F56A8A">
              <w:rPr>
                <w:color w:val="000000"/>
                <w:sz w:val="20"/>
                <w:szCs w:val="20"/>
              </w:rPr>
              <w:t>±0</w:t>
            </w:r>
          </w:p>
        </w:tc>
      </w:tr>
      <w:tr w:rsidRPr="00F56A8A" w:rsidR="00B1733D" w:rsidTr="00F56A8A" w14:paraId="1CED6BF5" w14:textId="77777777">
        <w:tc>
          <w:tcPr>
            <w:tcW w:w="476" w:type="dxa"/>
            <w:shd w:val="clear" w:color="auto" w:fill="FFFFFF"/>
            <w:tcMar>
              <w:top w:w="68" w:type="dxa"/>
              <w:left w:w="45" w:type="dxa"/>
              <w:bottom w:w="0" w:type="dxa"/>
              <w:right w:w="45" w:type="dxa"/>
            </w:tcMar>
            <w:hideMark/>
          </w:tcPr>
          <w:p w:rsidRPr="00F56A8A" w:rsidR="00B1733D" w:rsidP="00F56A8A" w:rsidRDefault="00B1733D" w14:paraId="369038B6" w14:textId="42CBCFD0">
            <w:pPr>
              <w:tabs>
                <w:tab w:val="clear" w:pos="284"/>
                <w:tab w:val="left" w:pos="1304"/>
              </w:tabs>
              <w:spacing w:line="240" w:lineRule="exact"/>
              <w:ind w:firstLine="0"/>
              <w:rPr>
                <w:color w:val="000000"/>
                <w:sz w:val="20"/>
                <w:szCs w:val="20"/>
              </w:rPr>
            </w:pPr>
            <w:r w:rsidRPr="00F56A8A">
              <w:rPr>
                <w:sz w:val="20"/>
                <w:szCs w:val="20"/>
              </w:rPr>
              <w:t>1:2</w:t>
            </w:r>
          </w:p>
        </w:tc>
        <w:tc>
          <w:tcPr>
            <w:tcW w:w="4695" w:type="dxa"/>
            <w:shd w:val="clear" w:color="auto" w:fill="FFFFFF"/>
            <w:tcMar>
              <w:top w:w="68" w:type="dxa"/>
              <w:left w:w="28" w:type="dxa"/>
              <w:bottom w:w="0" w:type="dxa"/>
              <w:right w:w="28" w:type="dxa"/>
            </w:tcMar>
            <w:hideMark/>
          </w:tcPr>
          <w:p w:rsidRPr="00F56A8A" w:rsidR="00B1733D" w:rsidP="00F56A8A" w:rsidRDefault="00B1733D" w14:paraId="55DC6C57" w14:textId="5F5A05F3">
            <w:pPr>
              <w:pStyle w:val="Normalutanindragellerluft"/>
              <w:spacing w:before="0" w:line="240" w:lineRule="exact"/>
              <w:rPr>
                <w:color w:val="000000"/>
                <w:sz w:val="20"/>
                <w:szCs w:val="20"/>
              </w:rPr>
            </w:pPr>
            <w:r w:rsidRPr="00F56A8A">
              <w:rPr>
                <w:sz w:val="20"/>
                <w:szCs w:val="20"/>
              </w:rPr>
              <w:t>Omstrukturering av kommunala bostadsföretag</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043537BA" w14:textId="2AA5904F">
            <w:pPr>
              <w:tabs>
                <w:tab w:val="clear" w:pos="284"/>
                <w:tab w:val="left" w:pos="1304"/>
              </w:tabs>
              <w:spacing w:line="240" w:lineRule="exact"/>
              <w:ind w:firstLine="0"/>
              <w:jc w:val="right"/>
              <w:rPr>
                <w:color w:val="000000"/>
                <w:sz w:val="20"/>
                <w:szCs w:val="20"/>
              </w:rPr>
            </w:pPr>
            <w:r w:rsidRPr="00F56A8A">
              <w:rPr>
                <w:sz w:val="20"/>
                <w:szCs w:val="20"/>
              </w:rPr>
              <w:t>12</w:t>
            </w:r>
            <w:r w:rsidR="00F56A8A">
              <w:rPr>
                <w:sz w:val="20"/>
                <w:szCs w:val="20"/>
              </w:rPr>
              <w:t> </w:t>
            </w:r>
            <w:r w:rsidRPr="00F56A8A">
              <w:rPr>
                <w:sz w:val="20"/>
                <w:szCs w:val="20"/>
              </w:rPr>
              <w:t>500</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08A78030" w14:textId="77777777">
            <w:pPr>
              <w:tabs>
                <w:tab w:val="clear" w:pos="284"/>
                <w:tab w:val="left" w:pos="1304"/>
              </w:tabs>
              <w:spacing w:line="240" w:lineRule="exact"/>
              <w:ind w:firstLine="0"/>
              <w:jc w:val="right"/>
              <w:rPr>
                <w:color w:val="000000"/>
                <w:sz w:val="20"/>
                <w:szCs w:val="20"/>
              </w:rPr>
            </w:pPr>
            <w:r w:rsidRPr="00F56A8A">
              <w:rPr>
                <w:color w:val="000000"/>
                <w:sz w:val="20"/>
                <w:szCs w:val="20"/>
              </w:rPr>
              <w:t>±0</w:t>
            </w:r>
          </w:p>
        </w:tc>
      </w:tr>
      <w:tr w:rsidRPr="00F56A8A" w:rsidR="00B1733D" w:rsidTr="00F56A8A" w14:paraId="11D6CAD9" w14:textId="77777777">
        <w:tc>
          <w:tcPr>
            <w:tcW w:w="476" w:type="dxa"/>
            <w:shd w:val="clear" w:color="auto" w:fill="FFFFFF"/>
            <w:tcMar>
              <w:top w:w="68" w:type="dxa"/>
              <w:left w:w="45" w:type="dxa"/>
              <w:bottom w:w="0" w:type="dxa"/>
              <w:right w:w="45" w:type="dxa"/>
            </w:tcMar>
            <w:hideMark/>
          </w:tcPr>
          <w:p w:rsidRPr="00F56A8A" w:rsidR="00B1733D" w:rsidP="00F56A8A" w:rsidRDefault="00B1733D" w14:paraId="5B536A86" w14:textId="304C7E84">
            <w:pPr>
              <w:tabs>
                <w:tab w:val="clear" w:pos="284"/>
                <w:tab w:val="left" w:pos="1304"/>
              </w:tabs>
              <w:spacing w:line="240" w:lineRule="exact"/>
              <w:ind w:firstLine="0"/>
              <w:rPr>
                <w:color w:val="000000"/>
                <w:sz w:val="20"/>
                <w:szCs w:val="20"/>
              </w:rPr>
            </w:pPr>
            <w:r w:rsidRPr="00F56A8A">
              <w:rPr>
                <w:sz w:val="20"/>
                <w:szCs w:val="20"/>
              </w:rPr>
              <w:t>1:3</w:t>
            </w:r>
          </w:p>
        </w:tc>
        <w:tc>
          <w:tcPr>
            <w:tcW w:w="4695" w:type="dxa"/>
            <w:shd w:val="clear" w:color="auto" w:fill="FFFFFF"/>
            <w:tcMar>
              <w:top w:w="68" w:type="dxa"/>
              <w:left w:w="28" w:type="dxa"/>
              <w:bottom w:w="0" w:type="dxa"/>
              <w:right w:w="28" w:type="dxa"/>
            </w:tcMar>
            <w:hideMark/>
          </w:tcPr>
          <w:p w:rsidRPr="00F56A8A" w:rsidR="00B1733D" w:rsidP="00F56A8A" w:rsidRDefault="00B1733D" w14:paraId="2A2A6C53" w14:textId="319C8F7A">
            <w:pPr>
              <w:pStyle w:val="Normalutanindragellerluft"/>
              <w:spacing w:before="0" w:line="240" w:lineRule="exact"/>
              <w:rPr>
                <w:color w:val="000000"/>
                <w:sz w:val="20"/>
                <w:szCs w:val="20"/>
              </w:rPr>
            </w:pPr>
            <w:r w:rsidRPr="00F56A8A">
              <w:rPr>
                <w:sz w:val="20"/>
                <w:szCs w:val="20"/>
              </w:rPr>
              <w:t>Stöd för att underlätta för enskilda att ordna bostad</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388A773B" w14:textId="3FA51810">
            <w:pPr>
              <w:tabs>
                <w:tab w:val="clear" w:pos="284"/>
                <w:tab w:val="left" w:pos="1304"/>
              </w:tabs>
              <w:spacing w:line="240" w:lineRule="exact"/>
              <w:ind w:firstLine="0"/>
              <w:jc w:val="right"/>
              <w:rPr>
                <w:color w:val="000000"/>
                <w:sz w:val="20"/>
                <w:szCs w:val="20"/>
              </w:rPr>
            </w:pPr>
            <w:r w:rsidRPr="00F56A8A">
              <w:rPr>
                <w:sz w:val="20"/>
                <w:szCs w:val="20"/>
              </w:rPr>
              <w:t>43</w:t>
            </w:r>
            <w:r w:rsidR="00F56A8A">
              <w:rPr>
                <w:sz w:val="20"/>
                <w:szCs w:val="20"/>
              </w:rPr>
              <w:t> </w:t>
            </w:r>
            <w:r w:rsidRPr="00F56A8A">
              <w:rPr>
                <w:sz w:val="20"/>
                <w:szCs w:val="20"/>
              </w:rPr>
              <w:t>000</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330CEC6C" w14:textId="77777777">
            <w:pPr>
              <w:tabs>
                <w:tab w:val="clear" w:pos="284"/>
                <w:tab w:val="left" w:pos="1304"/>
              </w:tabs>
              <w:spacing w:line="240" w:lineRule="exact"/>
              <w:ind w:firstLine="0"/>
              <w:jc w:val="right"/>
              <w:rPr>
                <w:color w:val="000000"/>
                <w:sz w:val="20"/>
                <w:szCs w:val="20"/>
              </w:rPr>
            </w:pPr>
            <w:r w:rsidRPr="00F56A8A">
              <w:rPr>
                <w:color w:val="000000"/>
                <w:sz w:val="20"/>
                <w:szCs w:val="20"/>
              </w:rPr>
              <w:t>±0</w:t>
            </w:r>
          </w:p>
        </w:tc>
      </w:tr>
      <w:tr w:rsidRPr="00F56A8A" w:rsidR="00B1733D" w:rsidTr="00F56A8A" w14:paraId="03262F0C" w14:textId="77777777">
        <w:tc>
          <w:tcPr>
            <w:tcW w:w="476" w:type="dxa"/>
            <w:shd w:val="clear" w:color="auto" w:fill="FFFFFF"/>
            <w:tcMar>
              <w:top w:w="68" w:type="dxa"/>
              <w:left w:w="45" w:type="dxa"/>
              <w:bottom w:w="0" w:type="dxa"/>
              <w:right w:w="45" w:type="dxa"/>
            </w:tcMar>
            <w:hideMark/>
          </w:tcPr>
          <w:p w:rsidRPr="00F56A8A" w:rsidR="00B1733D" w:rsidP="00F56A8A" w:rsidRDefault="00B1733D" w14:paraId="7830919D" w14:textId="7EC94079">
            <w:pPr>
              <w:tabs>
                <w:tab w:val="clear" w:pos="284"/>
                <w:tab w:val="left" w:pos="1304"/>
              </w:tabs>
              <w:spacing w:line="240" w:lineRule="exact"/>
              <w:ind w:firstLine="0"/>
              <w:rPr>
                <w:color w:val="000000"/>
                <w:sz w:val="20"/>
                <w:szCs w:val="20"/>
              </w:rPr>
            </w:pPr>
            <w:r w:rsidRPr="00F56A8A">
              <w:rPr>
                <w:sz w:val="20"/>
                <w:szCs w:val="20"/>
              </w:rPr>
              <w:t>1:4</w:t>
            </w:r>
          </w:p>
        </w:tc>
        <w:tc>
          <w:tcPr>
            <w:tcW w:w="4695" w:type="dxa"/>
            <w:shd w:val="clear" w:color="auto" w:fill="FFFFFF"/>
            <w:tcMar>
              <w:top w:w="68" w:type="dxa"/>
              <w:left w:w="28" w:type="dxa"/>
              <w:bottom w:w="0" w:type="dxa"/>
              <w:right w:w="28" w:type="dxa"/>
            </w:tcMar>
            <w:hideMark/>
          </w:tcPr>
          <w:p w:rsidRPr="00F56A8A" w:rsidR="00B1733D" w:rsidP="00F56A8A" w:rsidRDefault="00B1733D" w14:paraId="7A4F295F" w14:textId="71C35278">
            <w:pPr>
              <w:pStyle w:val="Normalutanindragellerluft"/>
              <w:spacing w:before="0" w:line="240" w:lineRule="exact"/>
              <w:rPr>
                <w:color w:val="000000"/>
                <w:sz w:val="20"/>
                <w:szCs w:val="20"/>
              </w:rPr>
            </w:pPr>
            <w:r w:rsidRPr="00F56A8A">
              <w:rPr>
                <w:sz w:val="20"/>
                <w:szCs w:val="20"/>
              </w:rPr>
              <w:t>Boverket</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49F30CBC" w14:textId="74C0C617">
            <w:pPr>
              <w:tabs>
                <w:tab w:val="clear" w:pos="284"/>
                <w:tab w:val="left" w:pos="1304"/>
              </w:tabs>
              <w:spacing w:line="240" w:lineRule="exact"/>
              <w:ind w:firstLine="0"/>
              <w:jc w:val="right"/>
              <w:rPr>
                <w:color w:val="000000"/>
                <w:sz w:val="20"/>
                <w:szCs w:val="20"/>
              </w:rPr>
            </w:pPr>
            <w:r w:rsidRPr="00F56A8A">
              <w:rPr>
                <w:sz w:val="20"/>
                <w:szCs w:val="20"/>
              </w:rPr>
              <w:t>288</w:t>
            </w:r>
            <w:r w:rsidR="00F56A8A">
              <w:rPr>
                <w:sz w:val="20"/>
                <w:szCs w:val="20"/>
              </w:rPr>
              <w:t> </w:t>
            </w:r>
            <w:r w:rsidRPr="00F56A8A">
              <w:rPr>
                <w:sz w:val="20"/>
                <w:szCs w:val="20"/>
              </w:rPr>
              <w:t>029</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0C3C5F71" w14:textId="77777777">
            <w:pPr>
              <w:tabs>
                <w:tab w:val="clear" w:pos="284"/>
                <w:tab w:val="left" w:pos="1304"/>
              </w:tabs>
              <w:spacing w:line="240" w:lineRule="exact"/>
              <w:ind w:firstLine="0"/>
              <w:jc w:val="right"/>
              <w:rPr>
                <w:color w:val="000000"/>
                <w:sz w:val="20"/>
                <w:szCs w:val="20"/>
              </w:rPr>
            </w:pPr>
            <w:r w:rsidRPr="00F56A8A">
              <w:rPr>
                <w:color w:val="000000"/>
                <w:sz w:val="20"/>
                <w:szCs w:val="20"/>
              </w:rPr>
              <w:t>±0</w:t>
            </w:r>
          </w:p>
        </w:tc>
      </w:tr>
      <w:tr w:rsidRPr="00F56A8A" w:rsidR="00B1733D" w:rsidTr="00F56A8A" w14:paraId="2B706E6E" w14:textId="77777777">
        <w:tc>
          <w:tcPr>
            <w:tcW w:w="476" w:type="dxa"/>
            <w:shd w:val="clear" w:color="auto" w:fill="FFFFFF"/>
            <w:tcMar>
              <w:top w:w="68" w:type="dxa"/>
              <w:left w:w="45" w:type="dxa"/>
              <w:bottom w:w="0" w:type="dxa"/>
              <w:right w:w="45" w:type="dxa"/>
            </w:tcMar>
            <w:hideMark/>
          </w:tcPr>
          <w:p w:rsidRPr="00F56A8A" w:rsidR="00B1733D" w:rsidP="00F56A8A" w:rsidRDefault="00B1733D" w14:paraId="6AE78D4A" w14:textId="36591CC6">
            <w:pPr>
              <w:tabs>
                <w:tab w:val="clear" w:pos="284"/>
                <w:tab w:val="left" w:pos="1304"/>
              </w:tabs>
              <w:spacing w:line="240" w:lineRule="exact"/>
              <w:ind w:firstLine="0"/>
              <w:rPr>
                <w:color w:val="000000"/>
                <w:sz w:val="20"/>
                <w:szCs w:val="20"/>
              </w:rPr>
            </w:pPr>
            <w:r w:rsidRPr="00F56A8A">
              <w:rPr>
                <w:sz w:val="20"/>
                <w:szCs w:val="20"/>
              </w:rPr>
              <w:t>1:5</w:t>
            </w:r>
          </w:p>
        </w:tc>
        <w:tc>
          <w:tcPr>
            <w:tcW w:w="4695" w:type="dxa"/>
            <w:shd w:val="clear" w:color="auto" w:fill="FFFFFF"/>
            <w:tcMar>
              <w:top w:w="68" w:type="dxa"/>
              <w:left w:w="28" w:type="dxa"/>
              <w:bottom w:w="0" w:type="dxa"/>
              <w:right w:w="28" w:type="dxa"/>
            </w:tcMar>
            <w:hideMark/>
          </w:tcPr>
          <w:p w:rsidRPr="00F56A8A" w:rsidR="00B1733D" w:rsidP="00F56A8A" w:rsidRDefault="00B1733D" w14:paraId="502436FC" w14:textId="1EDBD3D5">
            <w:pPr>
              <w:pStyle w:val="Normalutanindragellerluft"/>
              <w:spacing w:before="0" w:line="240" w:lineRule="exact"/>
              <w:rPr>
                <w:color w:val="000000"/>
                <w:sz w:val="20"/>
                <w:szCs w:val="20"/>
              </w:rPr>
            </w:pPr>
            <w:r w:rsidRPr="00F56A8A">
              <w:rPr>
                <w:sz w:val="20"/>
                <w:szCs w:val="20"/>
              </w:rPr>
              <w:t>Statens geotekniska institut</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185E5012" w14:textId="16101C77">
            <w:pPr>
              <w:tabs>
                <w:tab w:val="clear" w:pos="284"/>
                <w:tab w:val="left" w:pos="1304"/>
              </w:tabs>
              <w:spacing w:line="240" w:lineRule="exact"/>
              <w:ind w:firstLine="0"/>
              <w:jc w:val="right"/>
              <w:rPr>
                <w:color w:val="000000"/>
                <w:sz w:val="20"/>
                <w:szCs w:val="20"/>
              </w:rPr>
            </w:pPr>
            <w:r w:rsidRPr="00F56A8A">
              <w:rPr>
                <w:sz w:val="20"/>
                <w:szCs w:val="20"/>
              </w:rPr>
              <w:t>54</w:t>
            </w:r>
            <w:r w:rsidR="00F56A8A">
              <w:rPr>
                <w:sz w:val="20"/>
                <w:szCs w:val="20"/>
              </w:rPr>
              <w:t> </w:t>
            </w:r>
            <w:r w:rsidRPr="00F56A8A">
              <w:rPr>
                <w:sz w:val="20"/>
                <w:szCs w:val="20"/>
              </w:rPr>
              <w:t>369</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753272F1" w14:textId="77777777">
            <w:pPr>
              <w:tabs>
                <w:tab w:val="clear" w:pos="284"/>
                <w:tab w:val="left" w:pos="1304"/>
              </w:tabs>
              <w:spacing w:line="240" w:lineRule="exact"/>
              <w:ind w:firstLine="0"/>
              <w:jc w:val="right"/>
              <w:rPr>
                <w:color w:val="000000"/>
                <w:sz w:val="20"/>
                <w:szCs w:val="20"/>
              </w:rPr>
            </w:pPr>
            <w:r w:rsidRPr="00F56A8A">
              <w:rPr>
                <w:color w:val="000000"/>
                <w:sz w:val="20"/>
                <w:szCs w:val="20"/>
              </w:rPr>
              <w:t>±0</w:t>
            </w:r>
          </w:p>
        </w:tc>
      </w:tr>
      <w:tr w:rsidRPr="00F56A8A" w:rsidR="00B1733D" w:rsidTr="00F56A8A" w14:paraId="6E08BF8A" w14:textId="77777777">
        <w:tc>
          <w:tcPr>
            <w:tcW w:w="476" w:type="dxa"/>
            <w:shd w:val="clear" w:color="auto" w:fill="FFFFFF"/>
            <w:tcMar>
              <w:top w:w="68" w:type="dxa"/>
              <w:left w:w="45" w:type="dxa"/>
              <w:bottom w:w="0" w:type="dxa"/>
              <w:right w:w="45" w:type="dxa"/>
            </w:tcMar>
            <w:hideMark/>
          </w:tcPr>
          <w:p w:rsidRPr="00F56A8A" w:rsidR="00B1733D" w:rsidP="00F56A8A" w:rsidRDefault="00B1733D" w14:paraId="13493493" w14:textId="5D5006D0">
            <w:pPr>
              <w:tabs>
                <w:tab w:val="clear" w:pos="284"/>
                <w:tab w:val="left" w:pos="1304"/>
              </w:tabs>
              <w:spacing w:line="240" w:lineRule="exact"/>
              <w:ind w:firstLine="0"/>
              <w:rPr>
                <w:color w:val="000000"/>
                <w:sz w:val="20"/>
                <w:szCs w:val="20"/>
              </w:rPr>
            </w:pPr>
            <w:r w:rsidRPr="00F56A8A">
              <w:rPr>
                <w:sz w:val="20"/>
                <w:szCs w:val="20"/>
              </w:rPr>
              <w:lastRenderedPageBreak/>
              <w:t>1:6</w:t>
            </w:r>
          </w:p>
        </w:tc>
        <w:tc>
          <w:tcPr>
            <w:tcW w:w="4695" w:type="dxa"/>
            <w:shd w:val="clear" w:color="auto" w:fill="FFFFFF"/>
            <w:tcMar>
              <w:top w:w="68" w:type="dxa"/>
              <w:left w:w="28" w:type="dxa"/>
              <w:bottom w:w="0" w:type="dxa"/>
              <w:right w:w="28" w:type="dxa"/>
            </w:tcMar>
            <w:hideMark/>
          </w:tcPr>
          <w:p w:rsidRPr="00F56A8A" w:rsidR="00B1733D" w:rsidP="00F56A8A" w:rsidRDefault="00B1733D" w14:paraId="7A72B13B" w14:textId="5656F9DD">
            <w:pPr>
              <w:pStyle w:val="Normalutanindragellerluft"/>
              <w:spacing w:before="0" w:line="240" w:lineRule="exact"/>
              <w:rPr>
                <w:color w:val="000000"/>
                <w:sz w:val="20"/>
                <w:szCs w:val="20"/>
              </w:rPr>
            </w:pPr>
            <w:r w:rsidRPr="00F56A8A">
              <w:rPr>
                <w:sz w:val="20"/>
                <w:szCs w:val="20"/>
              </w:rPr>
              <w:t>Lantmäteriet</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1D062FBA" w14:textId="186DF92E">
            <w:pPr>
              <w:tabs>
                <w:tab w:val="clear" w:pos="284"/>
                <w:tab w:val="left" w:pos="1304"/>
              </w:tabs>
              <w:spacing w:line="240" w:lineRule="exact"/>
              <w:ind w:firstLine="0"/>
              <w:jc w:val="right"/>
              <w:rPr>
                <w:color w:val="000000"/>
                <w:sz w:val="20"/>
                <w:szCs w:val="20"/>
              </w:rPr>
            </w:pPr>
            <w:r w:rsidRPr="00F56A8A">
              <w:rPr>
                <w:sz w:val="20"/>
                <w:szCs w:val="20"/>
              </w:rPr>
              <w:t>721</w:t>
            </w:r>
            <w:r w:rsidR="00F56A8A">
              <w:rPr>
                <w:sz w:val="20"/>
                <w:szCs w:val="20"/>
              </w:rPr>
              <w:t> </w:t>
            </w:r>
            <w:r w:rsidRPr="00F56A8A">
              <w:rPr>
                <w:sz w:val="20"/>
                <w:szCs w:val="20"/>
              </w:rPr>
              <w:t>241</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1161BFD3" w14:textId="77777777">
            <w:pPr>
              <w:tabs>
                <w:tab w:val="clear" w:pos="284"/>
                <w:tab w:val="left" w:pos="1304"/>
              </w:tabs>
              <w:spacing w:line="240" w:lineRule="exact"/>
              <w:ind w:firstLine="0"/>
              <w:jc w:val="right"/>
              <w:rPr>
                <w:color w:val="000000"/>
                <w:sz w:val="20"/>
                <w:szCs w:val="20"/>
              </w:rPr>
            </w:pPr>
            <w:r w:rsidRPr="00F56A8A">
              <w:rPr>
                <w:color w:val="000000"/>
                <w:sz w:val="20"/>
                <w:szCs w:val="20"/>
              </w:rPr>
              <w:t>±0</w:t>
            </w:r>
          </w:p>
        </w:tc>
      </w:tr>
      <w:tr w:rsidRPr="00F56A8A" w:rsidR="00B1733D" w:rsidTr="00F56A8A" w14:paraId="70B084C0" w14:textId="77777777">
        <w:tc>
          <w:tcPr>
            <w:tcW w:w="476" w:type="dxa"/>
            <w:shd w:val="clear" w:color="auto" w:fill="FFFFFF"/>
            <w:tcMar>
              <w:top w:w="68" w:type="dxa"/>
              <w:left w:w="45" w:type="dxa"/>
              <w:bottom w:w="0" w:type="dxa"/>
              <w:right w:w="45" w:type="dxa"/>
            </w:tcMar>
            <w:hideMark/>
          </w:tcPr>
          <w:p w:rsidRPr="00F56A8A" w:rsidR="00B1733D" w:rsidP="00F56A8A" w:rsidRDefault="00B1733D" w14:paraId="60A912AF" w14:textId="07B7EF13">
            <w:pPr>
              <w:tabs>
                <w:tab w:val="clear" w:pos="284"/>
                <w:tab w:val="left" w:pos="1304"/>
              </w:tabs>
              <w:spacing w:line="240" w:lineRule="exact"/>
              <w:ind w:firstLine="0"/>
              <w:rPr>
                <w:color w:val="000000"/>
                <w:sz w:val="20"/>
                <w:szCs w:val="20"/>
              </w:rPr>
            </w:pPr>
            <w:r w:rsidRPr="00F56A8A">
              <w:rPr>
                <w:sz w:val="20"/>
                <w:szCs w:val="20"/>
              </w:rPr>
              <w:t>1:7</w:t>
            </w:r>
          </w:p>
        </w:tc>
        <w:tc>
          <w:tcPr>
            <w:tcW w:w="4695" w:type="dxa"/>
            <w:shd w:val="clear" w:color="auto" w:fill="FFFFFF"/>
            <w:tcMar>
              <w:top w:w="68" w:type="dxa"/>
              <w:left w:w="28" w:type="dxa"/>
              <w:bottom w:w="0" w:type="dxa"/>
              <w:right w:w="28" w:type="dxa"/>
            </w:tcMar>
            <w:hideMark/>
          </w:tcPr>
          <w:p w:rsidRPr="00F56A8A" w:rsidR="00B1733D" w:rsidP="00F56A8A" w:rsidRDefault="00B1733D" w14:paraId="513E9FA9" w14:textId="67D77B65">
            <w:pPr>
              <w:pStyle w:val="Normalutanindragellerluft"/>
              <w:spacing w:before="0" w:line="240" w:lineRule="exact"/>
              <w:rPr>
                <w:color w:val="000000"/>
                <w:sz w:val="20"/>
                <w:szCs w:val="20"/>
              </w:rPr>
            </w:pPr>
            <w:r w:rsidRPr="00F56A8A">
              <w:rPr>
                <w:sz w:val="20"/>
                <w:szCs w:val="20"/>
              </w:rPr>
              <w:t>Energieffektivisering av flerbostadshus</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6A7FF94C" w14:textId="00882C43">
            <w:pPr>
              <w:tabs>
                <w:tab w:val="clear" w:pos="284"/>
                <w:tab w:val="left" w:pos="1304"/>
              </w:tabs>
              <w:spacing w:line="240" w:lineRule="exact"/>
              <w:ind w:firstLine="0"/>
              <w:jc w:val="right"/>
              <w:rPr>
                <w:color w:val="000000"/>
                <w:sz w:val="20"/>
                <w:szCs w:val="20"/>
              </w:rPr>
            </w:pPr>
            <w:r w:rsidRPr="00F56A8A">
              <w:rPr>
                <w:sz w:val="20"/>
                <w:szCs w:val="20"/>
              </w:rPr>
              <w:t>350</w:t>
            </w:r>
            <w:r w:rsidR="00F56A8A">
              <w:rPr>
                <w:sz w:val="20"/>
                <w:szCs w:val="20"/>
              </w:rPr>
              <w:t> </w:t>
            </w:r>
            <w:r w:rsidRPr="00F56A8A">
              <w:rPr>
                <w:sz w:val="20"/>
                <w:szCs w:val="20"/>
              </w:rPr>
              <w:t>000</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4A8BCFD2" w14:textId="1A3994B9">
            <w:pPr>
              <w:tabs>
                <w:tab w:val="clear" w:pos="284"/>
                <w:tab w:val="left" w:pos="1304"/>
              </w:tabs>
              <w:spacing w:line="240" w:lineRule="exact"/>
              <w:ind w:firstLine="0"/>
              <w:jc w:val="right"/>
              <w:rPr>
                <w:color w:val="000000"/>
                <w:sz w:val="20"/>
                <w:szCs w:val="20"/>
              </w:rPr>
            </w:pPr>
            <w:r w:rsidRPr="00F56A8A">
              <w:rPr>
                <w:color w:val="000000"/>
                <w:sz w:val="20"/>
                <w:szCs w:val="20"/>
              </w:rPr>
              <w:t>367</w:t>
            </w:r>
            <w:r w:rsidR="00F56A8A">
              <w:rPr>
                <w:color w:val="000000"/>
                <w:sz w:val="20"/>
                <w:szCs w:val="20"/>
              </w:rPr>
              <w:t> </w:t>
            </w:r>
            <w:r w:rsidRPr="00F56A8A">
              <w:rPr>
                <w:color w:val="000000"/>
                <w:sz w:val="20"/>
                <w:szCs w:val="20"/>
              </w:rPr>
              <w:t>000</w:t>
            </w:r>
          </w:p>
        </w:tc>
      </w:tr>
      <w:tr w:rsidRPr="00F56A8A" w:rsidR="00B1733D" w:rsidTr="00F56A8A" w14:paraId="4946723A" w14:textId="77777777">
        <w:tc>
          <w:tcPr>
            <w:tcW w:w="476" w:type="dxa"/>
            <w:shd w:val="clear" w:color="auto" w:fill="FFFFFF"/>
            <w:tcMar>
              <w:top w:w="68" w:type="dxa"/>
              <w:left w:w="45" w:type="dxa"/>
              <w:bottom w:w="0" w:type="dxa"/>
              <w:right w:w="45" w:type="dxa"/>
            </w:tcMar>
            <w:hideMark/>
          </w:tcPr>
          <w:p w:rsidRPr="00F56A8A" w:rsidR="00B1733D" w:rsidP="00F56A8A" w:rsidRDefault="00B1733D" w14:paraId="3EE1B54F" w14:textId="43D8E723">
            <w:pPr>
              <w:tabs>
                <w:tab w:val="clear" w:pos="284"/>
                <w:tab w:val="left" w:pos="1304"/>
              </w:tabs>
              <w:spacing w:line="240" w:lineRule="exact"/>
              <w:ind w:firstLine="0"/>
              <w:rPr>
                <w:color w:val="000000"/>
                <w:sz w:val="20"/>
                <w:szCs w:val="20"/>
              </w:rPr>
            </w:pPr>
            <w:r w:rsidRPr="00F56A8A">
              <w:rPr>
                <w:sz w:val="20"/>
                <w:szCs w:val="20"/>
              </w:rPr>
              <w:t>1:8</w:t>
            </w:r>
          </w:p>
        </w:tc>
        <w:tc>
          <w:tcPr>
            <w:tcW w:w="4695" w:type="dxa"/>
            <w:shd w:val="clear" w:color="auto" w:fill="FFFFFF"/>
            <w:tcMar>
              <w:top w:w="68" w:type="dxa"/>
              <w:left w:w="28" w:type="dxa"/>
              <w:bottom w:w="0" w:type="dxa"/>
              <w:right w:w="28" w:type="dxa"/>
            </w:tcMar>
            <w:hideMark/>
          </w:tcPr>
          <w:p w:rsidRPr="00F56A8A" w:rsidR="00B1733D" w:rsidP="00F56A8A" w:rsidRDefault="00B1733D" w14:paraId="73F55F67" w14:textId="63212914">
            <w:pPr>
              <w:pStyle w:val="Normalutanindragellerluft"/>
              <w:spacing w:before="0" w:line="240" w:lineRule="exact"/>
              <w:rPr>
                <w:color w:val="000000"/>
                <w:sz w:val="20"/>
                <w:szCs w:val="20"/>
              </w:rPr>
            </w:pPr>
            <w:r w:rsidRPr="00F56A8A">
              <w:rPr>
                <w:sz w:val="20"/>
                <w:szCs w:val="20"/>
              </w:rPr>
              <w:t>Investeringsstöd för anordnande av hyresbostäder och bostäder för studerande</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2759EC1A" w14:textId="3EB6696A">
            <w:pPr>
              <w:tabs>
                <w:tab w:val="clear" w:pos="284"/>
                <w:tab w:val="left" w:pos="1304"/>
              </w:tabs>
              <w:spacing w:line="240" w:lineRule="exact"/>
              <w:ind w:firstLine="0"/>
              <w:jc w:val="right"/>
              <w:rPr>
                <w:color w:val="000000"/>
                <w:sz w:val="20"/>
                <w:szCs w:val="20"/>
              </w:rPr>
            </w:pPr>
            <w:r w:rsidRPr="00F56A8A">
              <w:rPr>
                <w:sz w:val="20"/>
                <w:szCs w:val="20"/>
              </w:rPr>
              <w:t>4</w:t>
            </w:r>
            <w:r w:rsidR="00F56A8A">
              <w:rPr>
                <w:sz w:val="20"/>
                <w:szCs w:val="20"/>
              </w:rPr>
              <w:t> </w:t>
            </w:r>
            <w:r w:rsidRPr="00F56A8A">
              <w:rPr>
                <w:sz w:val="20"/>
                <w:szCs w:val="20"/>
              </w:rPr>
              <w:t>320</w:t>
            </w:r>
            <w:r w:rsidR="00F56A8A">
              <w:rPr>
                <w:sz w:val="20"/>
                <w:szCs w:val="20"/>
              </w:rPr>
              <w:t> </w:t>
            </w:r>
            <w:r w:rsidRPr="00F56A8A">
              <w:rPr>
                <w:sz w:val="20"/>
                <w:szCs w:val="20"/>
              </w:rPr>
              <w:t>000</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3FC37AAF" w14:textId="77777777">
            <w:pPr>
              <w:tabs>
                <w:tab w:val="clear" w:pos="284"/>
                <w:tab w:val="left" w:pos="1304"/>
              </w:tabs>
              <w:spacing w:line="240" w:lineRule="exact"/>
              <w:ind w:firstLine="0"/>
              <w:jc w:val="right"/>
              <w:rPr>
                <w:color w:val="000000"/>
                <w:sz w:val="20"/>
                <w:szCs w:val="20"/>
              </w:rPr>
            </w:pPr>
            <w:r w:rsidRPr="00F56A8A">
              <w:rPr>
                <w:color w:val="000000"/>
                <w:sz w:val="20"/>
                <w:szCs w:val="20"/>
              </w:rPr>
              <w:t>±0</w:t>
            </w:r>
          </w:p>
        </w:tc>
      </w:tr>
      <w:tr w:rsidRPr="00F56A8A" w:rsidR="00B1733D" w:rsidTr="00F56A8A" w14:paraId="1A5C6124" w14:textId="77777777">
        <w:tc>
          <w:tcPr>
            <w:tcW w:w="476" w:type="dxa"/>
            <w:shd w:val="clear" w:color="auto" w:fill="FFFFFF"/>
            <w:tcMar>
              <w:top w:w="68" w:type="dxa"/>
              <w:left w:w="45" w:type="dxa"/>
              <w:bottom w:w="0" w:type="dxa"/>
              <w:right w:w="45" w:type="dxa"/>
            </w:tcMar>
            <w:hideMark/>
          </w:tcPr>
          <w:p w:rsidRPr="00F56A8A" w:rsidR="00B1733D" w:rsidP="00F56A8A" w:rsidRDefault="00B1733D" w14:paraId="2E98EF11" w14:textId="1B8BDCDC">
            <w:pPr>
              <w:tabs>
                <w:tab w:val="clear" w:pos="284"/>
                <w:tab w:val="left" w:pos="1304"/>
              </w:tabs>
              <w:spacing w:line="240" w:lineRule="exact"/>
              <w:ind w:firstLine="0"/>
              <w:rPr>
                <w:color w:val="000000"/>
                <w:sz w:val="20"/>
                <w:szCs w:val="20"/>
              </w:rPr>
            </w:pPr>
            <w:r w:rsidRPr="00F56A8A">
              <w:rPr>
                <w:sz w:val="20"/>
                <w:szCs w:val="20"/>
              </w:rPr>
              <w:t>2:1</w:t>
            </w:r>
          </w:p>
        </w:tc>
        <w:tc>
          <w:tcPr>
            <w:tcW w:w="4695" w:type="dxa"/>
            <w:shd w:val="clear" w:color="auto" w:fill="FFFFFF"/>
            <w:tcMar>
              <w:top w:w="68" w:type="dxa"/>
              <w:left w:w="28" w:type="dxa"/>
              <w:bottom w:w="0" w:type="dxa"/>
              <w:right w:w="28" w:type="dxa"/>
            </w:tcMar>
            <w:hideMark/>
          </w:tcPr>
          <w:p w:rsidRPr="00F56A8A" w:rsidR="00B1733D" w:rsidP="00F56A8A" w:rsidRDefault="00B1733D" w14:paraId="3C182A68" w14:textId="495969D4">
            <w:pPr>
              <w:pStyle w:val="Normalutanindragellerluft"/>
              <w:spacing w:before="0" w:line="240" w:lineRule="exact"/>
              <w:rPr>
                <w:color w:val="000000"/>
                <w:sz w:val="20"/>
                <w:szCs w:val="20"/>
              </w:rPr>
            </w:pPr>
            <w:r w:rsidRPr="00F56A8A">
              <w:rPr>
                <w:sz w:val="20"/>
                <w:szCs w:val="20"/>
              </w:rPr>
              <w:t>Konsumentverket</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061F9959" w14:textId="790D3B0B">
            <w:pPr>
              <w:tabs>
                <w:tab w:val="clear" w:pos="284"/>
                <w:tab w:val="left" w:pos="1304"/>
              </w:tabs>
              <w:spacing w:line="240" w:lineRule="exact"/>
              <w:ind w:firstLine="0"/>
              <w:jc w:val="right"/>
              <w:rPr>
                <w:color w:val="000000"/>
                <w:sz w:val="20"/>
                <w:szCs w:val="20"/>
              </w:rPr>
            </w:pPr>
            <w:r w:rsidRPr="00F56A8A">
              <w:rPr>
                <w:sz w:val="20"/>
                <w:szCs w:val="20"/>
              </w:rPr>
              <w:t>171</w:t>
            </w:r>
            <w:r w:rsidR="00F56A8A">
              <w:rPr>
                <w:sz w:val="20"/>
                <w:szCs w:val="20"/>
              </w:rPr>
              <w:t> </w:t>
            </w:r>
            <w:r w:rsidRPr="00F56A8A">
              <w:rPr>
                <w:sz w:val="20"/>
                <w:szCs w:val="20"/>
              </w:rPr>
              <w:t>338</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054A9C57" w14:textId="77777777">
            <w:pPr>
              <w:tabs>
                <w:tab w:val="clear" w:pos="284"/>
                <w:tab w:val="left" w:pos="1304"/>
              </w:tabs>
              <w:spacing w:line="240" w:lineRule="exact"/>
              <w:ind w:firstLine="0"/>
              <w:jc w:val="right"/>
              <w:rPr>
                <w:color w:val="000000"/>
                <w:sz w:val="20"/>
                <w:szCs w:val="20"/>
              </w:rPr>
            </w:pPr>
            <w:r w:rsidRPr="00F56A8A">
              <w:rPr>
                <w:color w:val="000000"/>
                <w:sz w:val="20"/>
                <w:szCs w:val="20"/>
              </w:rPr>
              <w:t>±0</w:t>
            </w:r>
          </w:p>
        </w:tc>
      </w:tr>
      <w:tr w:rsidRPr="00F56A8A" w:rsidR="00B1733D" w:rsidTr="00F56A8A" w14:paraId="6902F55C" w14:textId="77777777">
        <w:tc>
          <w:tcPr>
            <w:tcW w:w="476" w:type="dxa"/>
            <w:shd w:val="clear" w:color="auto" w:fill="FFFFFF"/>
            <w:tcMar>
              <w:top w:w="68" w:type="dxa"/>
              <w:left w:w="45" w:type="dxa"/>
              <w:bottom w:w="0" w:type="dxa"/>
              <w:right w:w="45" w:type="dxa"/>
            </w:tcMar>
            <w:hideMark/>
          </w:tcPr>
          <w:p w:rsidRPr="00F56A8A" w:rsidR="00B1733D" w:rsidP="00F56A8A" w:rsidRDefault="00B1733D" w14:paraId="65076A02" w14:textId="19FF11D4">
            <w:pPr>
              <w:tabs>
                <w:tab w:val="clear" w:pos="284"/>
                <w:tab w:val="left" w:pos="1304"/>
              </w:tabs>
              <w:spacing w:line="240" w:lineRule="exact"/>
              <w:ind w:firstLine="0"/>
              <w:rPr>
                <w:color w:val="000000"/>
                <w:sz w:val="20"/>
                <w:szCs w:val="20"/>
              </w:rPr>
            </w:pPr>
            <w:r w:rsidRPr="00F56A8A">
              <w:rPr>
                <w:sz w:val="20"/>
                <w:szCs w:val="20"/>
              </w:rPr>
              <w:t>2:2</w:t>
            </w:r>
          </w:p>
        </w:tc>
        <w:tc>
          <w:tcPr>
            <w:tcW w:w="4695" w:type="dxa"/>
            <w:shd w:val="clear" w:color="auto" w:fill="FFFFFF"/>
            <w:tcMar>
              <w:top w:w="68" w:type="dxa"/>
              <w:left w:w="28" w:type="dxa"/>
              <w:bottom w:w="0" w:type="dxa"/>
              <w:right w:w="28" w:type="dxa"/>
            </w:tcMar>
            <w:hideMark/>
          </w:tcPr>
          <w:p w:rsidRPr="00F56A8A" w:rsidR="00B1733D" w:rsidP="00F56A8A" w:rsidRDefault="00B1733D" w14:paraId="687AB6F3" w14:textId="7FCB4610">
            <w:pPr>
              <w:pStyle w:val="Normalutanindragellerluft"/>
              <w:spacing w:before="0" w:line="240" w:lineRule="exact"/>
              <w:rPr>
                <w:color w:val="000000"/>
                <w:sz w:val="20"/>
                <w:szCs w:val="20"/>
              </w:rPr>
            </w:pPr>
            <w:r w:rsidRPr="00F56A8A">
              <w:rPr>
                <w:sz w:val="20"/>
                <w:szCs w:val="20"/>
              </w:rPr>
              <w:t>Allmänna reklamationsnämnden</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46C97B84" w14:textId="6F5F29E5">
            <w:pPr>
              <w:tabs>
                <w:tab w:val="clear" w:pos="284"/>
                <w:tab w:val="left" w:pos="1304"/>
              </w:tabs>
              <w:spacing w:line="240" w:lineRule="exact"/>
              <w:ind w:firstLine="0"/>
              <w:jc w:val="right"/>
              <w:rPr>
                <w:color w:val="000000"/>
                <w:sz w:val="20"/>
                <w:szCs w:val="20"/>
              </w:rPr>
            </w:pPr>
            <w:r w:rsidRPr="00F56A8A">
              <w:rPr>
                <w:sz w:val="20"/>
                <w:szCs w:val="20"/>
              </w:rPr>
              <w:t>54</w:t>
            </w:r>
            <w:r w:rsidR="00F56A8A">
              <w:rPr>
                <w:sz w:val="20"/>
                <w:szCs w:val="20"/>
              </w:rPr>
              <w:t> </w:t>
            </w:r>
            <w:r w:rsidRPr="00F56A8A">
              <w:rPr>
                <w:sz w:val="20"/>
                <w:szCs w:val="20"/>
              </w:rPr>
              <w:t>447</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3A945EBB" w14:textId="77777777">
            <w:pPr>
              <w:tabs>
                <w:tab w:val="clear" w:pos="284"/>
                <w:tab w:val="left" w:pos="1304"/>
              </w:tabs>
              <w:spacing w:line="240" w:lineRule="exact"/>
              <w:ind w:firstLine="0"/>
              <w:jc w:val="right"/>
              <w:rPr>
                <w:color w:val="000000"/>
                <w:sz w:val="20"/>
                <w:szCs w:val="20"/>
              </w:rPr>
            </w:pPr>
            <w:r w:rsidRPr="00F56A8A">
              <w:rPr>
                <w:color w:val="000000"/>
                <w:sz w:val="20"/>
                <w:szCs w:val="20"/>
              </w:rPr>
              <w:t>±0</w:t>
            </w:r>
          </w:p>
        </w:tc>
      </w:tr>
      <w:tr w:rsidRPr="00F56A8A" w:rsidR="00B1733D" w:rsidTr="00F56A8A" w14:paraId="107E78CD" w14:textId="77777777">
        <w:tc>
          <w:tcPr>
            <w:tcW w:w="476" w:type="dxa"/>
            <w:shd w:val="clear" w:color="auto" w:fill="FFFFFF"/>
            <w:tcMar>
              <w:top w:w="68" w:type="dxa"/>
              <w:left w:w="45" w:type="dxa"/>
              <w:bottom w:w="0" w:type="dxa"/>
              <w:right w:w="45" w:type="dxa"/>
            </w:tcMar>
            <w:hideMark/>
          </w:tcPr>
          <w:p w:rsidRPr="00F56A8A" w:rsidR="00B1733D" w:rsidP="00F56A8A" w:rsidRDefault="00B1733D" w14:paraId="318BCAED" w14:textId="60638556">
            <w:pPr>
              <w:tabs>
                <w:tab w:val="clear" w:pos="284"/>
                <w:tab w:val="left" w:pos="1304"/>
              </w:tabs>
              <w:spacing w:line="240" w:lineRule="exact"/>
              <w:ind w:firstLine="0"/>
              <w:rPr>
                <w:color w:val="000000"/>
                <w:sz w:val="20"/>
                <w:szCs w:val="20"/>
              </w:rPr>
            </w:pPr>
            <w:r w:rsidRPr="00F56A8A">
              <w:rPr>
                <w:sz w:val="20"/>
                <w:szCs w:val="20"/>
              </w:rPr>
              <w:t>2:3</w:t>
            </w:r>
          </w:p>
        </w:tc>
        <w:tc>
          <w:tcPr>
            <w:tcW w:w="4695" w:type="dxa"/>
            <w:shd w:val="clear" w:color="auto" w:fill="FFFFFF"/>
            <w:tcMar>
              <w:top w:w="68" w:type="dxa"/>
              <w:left w:w="28" w:type="dxa"/>
              <w:bottom w:w="0" w:type="dxa"/>
              <w:right w:w="28" w:type="dxa"/>
            </w:tcMar>
            <w:hideMark/>
          </w:tcPr>
          <w:p w:rsidRPr="00F56A8A" w:rsidR="00B1733D" w:rsidP="00F56A8A" w:rsidRDefault="00B1733D" w14:paraId="5AF4AD47" w14:textId="299AD87B">
            <w:pPr>
              <w:pStyle w:val="Normalutanindragellerluft"/>
              <w:spacing w:before="0" w:line="240" w:lineRule="exact"/>
              <w:rPr>
                <w:color w:val="000000"/>
                <w:sz w:val="20"/>
                <w:szCs w:val="20"/>
              </w:rPr>
            </w:pPr>
            <w:r w:rsidRPr="00F56A8A">
              <w:rPr>
                <w:sz w:val="20"/>
                <w:szCs w:val="20"/>
              </w:rPr>
              <w:t>Fastighetsmäklarinspektionen</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77A86C0F" w14:textId="493ACA70">
            <w:pPr>
              <w:tabs>
                <w:tab w:val="clear" w:pos="284"/>
                <w:tab w:val="left" w:pos="1304"/>
              </w:tabs>
              <w:spacing w:line="240" w:lineRule="exact"/>
              <w:ind w:firstLine="0"/>
              <w:jc w:val="right"/>
              <w:rPr>
                <w:color w:val="000000"/>
                <w:sz w:val="20"/>
                <w:szCs w:val="20"/>
              </w:rPr>
            </w:pPr>
            <w:r w:rsidRPr="00F56A8A">
              <w:rPr>
                <w:sz w:val="20"/>
                <w:szCs w:val="20"/>
              </w:rPr>
              <w:t>31</w:t>
            </w:r>
            <w:r w:rsidR="00F56A8A">
              <w:rPr>
                <w:sz w:val="20"/>
                <w:szCs w:val="20"/>
              </w:rPr>
              <w:t> </w:t>
            </w:r>
            <w:r w:rsidRPr="00F56A8A">
              <w:rPr>
                <w:sz w:val="20"/>
                <w:szCs w:val="20"/>
              </w:rPr>
              <w:t>951</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1346718A" w14:textId="77777777">
            <w:pPr>
              <w:tabs>
                <w:tab w:val="clear" w:pos="284"/>
                <w:tab w:val="left" w:pos="1304"/>
              </w:tabs>
              <w:spacing w:line="240" w:lineRule="exact"/>
              <w:ind w:firstLine="0"/>
              <w:jc w:val="right"/>
              <w:rPr>
                <w:color w:val="000000"/>
                <w:sz w:val="20"/>
                <w:szCs w:val="20"/>
              </w:rPr>
            </w:pPr>
            <w:r w:rsidRPr="00F56A8A">
              <w:rPr>
                <w:color w:val="000000"/>
                <w:sz w:val="20"/>
                <w:szCs w:val="20"/>
              </w:rPr>
              <w:t>±0</w:t>
            </w:r>
          </w:p>
        </w:tc>
      </w:tr>
      <w:tr w:rsidRPr="00F56A8A" w:rsidR="00B1733D" w:rsidTr="00F56A8A" w14:paraId="3BFE76B4" w14:textId="77777777">
        <w:tc>
          <w:tcPr>
            <w:tcW w:w="476" w:type="dxa"/>
            <w:shd w:val="clear" w:color="auto" w:fill="FFFFFF"/>
            <w:tcMar>
              <w:top w:w="68" w:type="dxa"/>
              <w:left w:w="45" w:type="dxa"/>
              <w:bottom w:w="0" w:type="dxa"/>
              <w:right w:w="45" w:type="dxa"/>
            </w:tcMar>
            <w:hideMark/>
          </w:tcPr>
          <w:p w:rsidRPr="00F56A8A" w:rsidR="00B1733D" w:rsidP="00F56A8A" w:rsidRDefault="00B1733D" w14:paraId="5EED16C1" w14:textId="1B697E63">
            <w:pPr>
              <w:tabs>
                <w:tab w:val="clear" w:pos="284"/>
                <w:tab w:val="left" w:pos="1304"/>
              </w:tabs>
              <w:spacing w:line="240" w:lineRule="exact"/>
              <w:ind w:firstLine="0"/>
              <w:rPr>
                <w:color w:val="000000"/>
                <w:sz w:val="20"/>
                <w:szCs w:val="20"/>
              </w:rPr>
            </w:pPr>
            <w:r w:rsidRPr="00F56A8A">
              <w:rPr>
                <w:sz w:val="20"/>
                <w:szCs w:val="20"/>
              </w:rPr>
              <w:t>2:4</w:t>
            </w:r>
          </w:p>
        </w:tc>
        <w:tc>
          <w:tcPr>
            <w:tcW w:w="4695" w:type="dxa"/>
            <w:shd w:val="clear" w:color="auto" w:fill="FFFFFF"/>
            <w:tcMar>
              <w:top w:w="68" w:type="dxa"/>
              <w:left w:w="28" w:type="dxa"/>
              <w:bottom w:w="0" w:type="dxa"/>
              <w:right w:w="28" w:type="dxa"/>
            </w:tcMar>
            <w:hideMark/>
          </w:tcPr>
          <w:p w:rsidRPr="00F56A8A" w:rsidR="00B1733D" w:rsidP="00F56A8A" w:rsidRDefault="00B1733D" w14:paraId="488ED27D" w14:textId="749090BF">
            <w:pPr>
              <w:pStyle w:val="Normalutanindragellerluft"/>
              <w:spacing w:before="0" w:line="240" w:lineRule="exact"/>
              <w:rPr>
                <w:color w:val="000000"/>
                <w:sz w:val="20"/>
                <w:szCs w:val="20"/>
              </w:rPr>
            </w:pPr>
            <w:r w:rsidRPr="00F56A8A">
              <w:rPr>
                <w:sz w:val="20"/>
                <w:szCs w:val="20"/>
              </w:rPr>
              <w:t>Åtgärder på konsumentområdet</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2A2DE03A" w14:textId="788611D7">
            <w:pPr>
              <w:tabs>
                <w:tab w:val="clear" w:pos="284"/>
                <w:tab w:val="left" w:pos="1304"/>
              </w:tabs>
              <w:spacing w:line="240" w:lineRule="exact"/>
              <w:ind w:firstLine="0"/>
              <w:jc w:val="right"/>
              <w:rPr>
                <w:color w:val="000000"/>
                <w:sz w:val="20"/>
                <w:szCs w:val="20"/>
              </w:rPr>
            </w:pPr>
            <w:r w:rsidRPr="00F56A8A">
              <w:rPr>
                <w:sz w:val="20"/>
                <w:szCs w:val="20"/>
              </w:rPr>
              <w:t>13</w:t>
            </w:r>
            <w:r w:rsidR="00F56A8A">
              <w:rPr>
                <w:sz w:val="20"/>
                <w:szCs w:val="20"/>
              </w:rPr>
              <w:t> </w:t>
            </w:r>
            <w:r w:rsidRPr="00F56A8A">
              <w:rPr>
                <w:sz w:val="20"/>
                <w:szCs w:val="20"/>
              </w:rPr>
              <w:t>559</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3CFFCA3E" w14:textId="77777777">
            <w:pPr>
              <w:tabs>
                <w:tab w:val="clear" w:pos="284"/>
                <w:tab w:val="left" w:pos="1304"/>
              </w:tabs>
              <w:spacing w:line="240" w:lineRule="exact"/>
              <w:ind w:firstLine="0"/>
              <w:jc w:val="right"/>
              <w:rPr>
                <w:color w:val="000000"/>
                <w:sz w:val="20"/>
                <w:szCs w:val="20"/>
              </w:rPr>
            </w:pPr>
            <w:r w:rsidRPr="00F56A8A">
              <w:rPr>
                <w:color w:val="000000"/>
                <w:sz w:val="20"/>
                <w:szCs w:val="20"/>
              </w:rPr>
              <w:t>±0</w:t>
            </w:r>
          </w:p>
        </w:tc>
      </w:tr>
      <w:tr w:rsidRPr="00F56A8A" w:rsidR="00B1733D" w:rsidTr="00F56A8A" w14:paraId="276405A8" w14:textId="77777777">
        <w:tc>
          <w:tcPr>
            <w:tcW w:w="476" w:type="dxa"/>
            <w:shd w:val="clear" w:color="auto" w:fill="FFFFFF"/>
            <w:tcMar>
              <w:top w:w="68" w:type="dxa"/>
              <w:left w:w="45" w:type="dxa"/>
              <w:bottom w:w="0" w:type="dxa"/>
              <w:right w:w="45" w:type="dxa"/>
            </w:tcMar>
            <w:hideMark/>
          </w:tcPr>
          <w:p w:rsidRPr="00F56A8A" w:rsidR="00B1733D" w:rsidP="00F56A8A" w:rsidRDefault="00B1733D" w14:paraId="2C1CAA7D" w14:textId="25747F78">
            <w:pPr>
              <w:tabs>
                <w:tab w:val="clear" w:pos="284"/>
                <w:tab w:val="left" w:pos="1304"/>
              </w:tabs>
              <w:spacing w:line="240" w:lineRule="exact"/>
              <w:ind w:firstLine="0"/>
              <w:rPr>
                <w:color w:val="000000"/>
                <w:sz w:val="20"/>
                <w:szCs w:val="20"/>
              </w:rPr>
            </w:pPr>
            <w:r w:rsidRPr="00F56A8A">
              <w:rPr>
                <w:sz w:val="20"/>
                <w:szCs w:val="20"/>
              </w:rPr>
              <w:t>2:5</w:t>
            </w:r>
          </w:p>
        </w:tc>
        <w:tc>
          <w:tcPr>
            <w:tcW w:w="4695" w:type="dxa"/>
            <w:shd w:val="clear" w:color="auto" w:fill="FFFFFF"/>
            <w:tcMar>
              <w:top w:w="68" w:type="dxa"/>
              <w:left w:w="28" w:type="dxa"/>
              <w:bottom w:w="0" w:type="dxa"/>
              <w:right w:w="28" w:type="dxa"/>
            </w:tcMar>
            <w:hideMark/>
          </w:tcPr>
          <w:p w:rsidRPr="00F56A8A" w:rsidR="00B1733D" w:rsidP="00F56A8A" w:rsidRDefault="00B1733D" w14:paraId="62C541BE" w14:textId="302D19E8">
            <w:pPr>
              <w:pStyle w:val="Normalutanindragellerluft"/>
              <w:spacing w:before="0" w:line="240" w:lineRule="exact"/>
              <w:rPr>
                <w:color w:val="000000"/>
                <w:sz w:val="20"/>
                <w:szCs w:val="20"/>
              </w:rPr>
            </w:pPr>
            <w:r w:rsidRPr="00F56A8A">
              <w:rPr>
                <w:sz w:val="20"/>
                <w:szCs w:val="20"/>
              </w:rPr>
              <w:t>Bidrag till miljömärkning av produkter</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4478090A" w14:textId="798FB17F">
            <w:pPr>
              <w:tabs>
                <w:tab w:val="clear" w:pos="284"/>
                <w:tab w:val="left" w:pos="1304"/>
              </w:tabs>
              <w:spacing w:line="240" w:lineRule="exact"/>
              <w:ind w:firstLine="0"/>
              <w:jc w:val="right"/>
              <w:rPr>
                <w:color w:val="000000"/>
                <w:sz w:val="20"/>
                <w:szCs w:val="20"/>
              </w:rPr>
            </w:pPr>
            <w:r w:rsidRPr="00F56A8A">
              <w:rPr>
                <w:sz w:val="20"/>
                <w:szCs w:val="20"/>
              </w:rPr>
              <w:t>3</w:t>
            </w:r>
            <w:r w:rsidR="00F56A8A">
              <w:rPr>
                <w:sz w:val="20"/>
                <w:szCs w:val="20"/>
              </w:rPr>
              <w:t> </w:t>
            </w:r>
            <w:r w:rsidRPr="00F56A8A">
              <w:rPr>
                <w:sz w:val="20"/>
                <w:szCs w:val="20"/>
              </w:rPr>
              <w:t>124</w:t>
            </w:r>
          </w:p>
        </w:tc>
        <w:tc>
          <w:tcPr>
            <w:tcW w:w="1667" w:type="dxa"/>
            <w:shd w:val="clear" w:color="auto" w:fill="FFFFFF"/>
            <w:tcMar>
              <w:top w:w="68" w:type="dxa"/>
              <w:left w:w="28" w:type="dxa"/>
              <w:bottom w:w="0" w:type="dxa"/>
              <w:right w:w="28" w:type="dxa"/>
            </w:tcMar>
            <w:vAlign w:val="bottom"/>
            <w:hideMark/>
          </w:tcPr>
          <w:p w:rsidRPr="00F56A8A" w:rsidR="00B1733D" w:rsidP="00F56A8A" w:rsidRDefault="00B1733D" w14:paraId="4BFF9781" w14:textId="77777777">
            <w:pPr>
              <w:tabs>
                <w:tab w:val="clear" w:pos="284"/>
                <w:tab w:val="left" w:pos="1304"/>
              </w:tabs>
              <w:spacing w:line="240" w:lineRule="exact"/>
              <w:ind w:firstLine="0"/>
              <w:jc w:val="right"/>
              <w:rPr>
                <w:color w:val="000000"/>
                <w:sz w:val="20"/>
                <w:szCs w:val="20"/>
              </w:rPr>
            </w:pPr>
            <w:r w:rsidRPr="00F56A8A">
              <w:rPr>
                <w:color w:val="000000"/>
                <w:sz w:val="20"/>
                <w:szCs w:val="20"/>
              </w:rPr>
              <w:t>±0</w:t>
            </w:r>
          </w:p>
        </w:tc>
      </w:tr>
      <w:tr w:rsidRPr="00F56A8A" w:rsidR="00B1733D" w:rsidTr="00F56A8A" w14:paraId="137A38BA" w14:textId="77777777">
        <w:tc>
          <w:tcPr>
            <w:tcW w:w="5171" w:type="dxa"/>
            <w:gridSpan w:val="2"/>
            <w:tcBorders>
              <w:top w:val="nil"/>
              <w:left w:val="nil"/>
              <w:bottom w:val="single" w:color="auto" w:sz="6" w:space="0"/>
              <w:right w:val="nil"/>
            </w:tcBorders>
            <w:shd w:val="clear" w:color="auto" w:fill="FFFFFF"/>
            <w:tcMar>
              <w:top w:w="68" w:type="dxa"/>
              <w:left w:w="28" w:type="dxa"/>
              <w:bottom w:w="20" w:type="dxa"/>
              <w:right w:w="85" w:type="dxa"/>
            </w:tcMar>
            <w:hideMark/>
          </w:tcPr>
          <w:p w:rsidRPr="00F56A8A" w:rsidR="00B1733D" w:rsidP="00F56A8A" w:rsidRDefault="00B1733D" w14:paraId="4339D70C" w14:textId="62129E21">
            <w:pPr>
              <w:tabs>
                <w:tab w:val="clear" w:pos="284"/>
                <w:tab w:val="left" w:pos="1304"/>
              </w:tabs>
              <w:spacing w:line="240" w:lineRule="exact"/>
              <w:ind w:firstLine="0"/>
              <w:rPr>
                <w:b/>
                <w:bCs/>
                <w:color w:val="000000"/>
                <w:sz w:val="20"/>
                <w:szCs w:val="20"/>
              </w:rPr>
            </w:pPr>
            <w:r w:rsidRPr="00F56A8A">
              <w:rPr>
                <w:b/>
                <w:bCs/>
                <w:sz w:val="20"/>
                <w:szCs w:val="20"/>
              </w:rPr>
              <w:t>Summa</w:t>
            </w:r>
          </w:p>
        </w:tc>
        <w:tc>
          <w:tcPr>
            <w:tcW w:w="166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56A8A" w:rsidR="00B1733D" w:rsidP="00F56A8A" w:rsidRDefault="00B1733D" w14:paraId="1CFBB91C" w14:textId="0480FDEB">
            <w:pPr>
              <w:tabs>
                <w:tab w:val="clear" w:pos="284"/>
                <w:tab w:val="left" w:pos="1304"/>
              </w:tabs>
              <w:spacing w:line="240" w:lineRule="exact"/>
              <w:ind w:firstLine="0"/>
              <w:jc w:val="right"/>
              <w:rPr>
                <w:b/>
                <w:bCs/>
                <w:color w:val="000000"/>
                <w:sz w:val="20"/>
                <w:szCs w:val="20"/>
              </w:rPr>
            </w:pPr>
            <w:r w:rsidRPr="00F56A8A">
              <w:rPr>
                <w:b/>
                <w:bCs/>
                <w:sz w:val="20"/>
                <w:szCs w:val="20"/>
              </w:rPr>
              <w:t>6</w:t>
            </w:r>
            <w:r w:rsidR="00F56A8A">
              <w:rPr>
                <w:b/>
                <w:bCs/>
                <w:sz w:val="20"/>
                <w:szCs w:val="20"/>
              </w:rPr>
              <w:t> </w:t>
            </w:r>
            <w:r w:rsidRPr="00F56A8A">
              <w:rPr>
                <w:b/>
                <w:bCs/>
                <w:sz w:val="20"/>
                <w:szCs w:val="20"/>
              </w:rPr>
              <w:t>099</w:t>
            </w:r>
            <w:r w:rsidR="00F56A8A">
              <w:rPr>
                <w:b/>
                <w:bCs/>
                <w:sz w:val="20"/>
                <w:szCs w:val="20"/>
              </w:rPr>
              <w:t> </w:t>
            </w:r>
            <w:r w:rsidRPr="00F56A8A">
              <w:rPr>
                <w:b/>
                <w:bCs/>
                <w:sz w:val="20"/>
                <w:szCs w:val="20"/>
              </w:rPr>
              <w:t>158</w:t>
            </w:r>
          </w:p>
        </w:tc>
        <w:tc>
          <w:tcPr>
            <w:tcW w:w="1667"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F56A8A" w:rsidR="00B1733D" w:rsidP="00F56A8A" w:rsidRDefault="00B1733D" w14:paraId="7FF9212A" w14:textId="1CDFFA59">
            <w:pPr>
              <w:tabs>
                <w:tab w:val="clear" w:pos="284"/>
                <w:tab w:val="left" w:pos="1304"/>
              </w:tabs>
              <w:spacing w:line="240" w:lineRule="exact"/>
              <w:ind w:firstLine="0"/>
              <w:jc w:val="right"/>
              <w:rPr>
                <w:b/>
                <w:bCs/>
                <w:color w:val="000000"/>
                <w:sz w:val="20"/>
                <w:szCs w:val="20"/>
              </w:rPr>
            </w:pPr>
            <w:r w:rsidRPr="00F56A8A">
              <w:rPr>
                <w:b/>
                <w:bCs/>
                <w:sz w:val="20"/>
                <w:szCs w:val="20"/>
              </w:rPr>
              <w:t>367</w:t>
            </w:r>
            <w:r w:rsidR="00F56A8A">
              <w:rPr>
                <w:b/>
                <w:bCs/>
                <w:sz w:val="20"/>
                <w:szCs w:val="20"/>
              </w:rPr>
              <w:t> </w:t>
            </w:r>
            <w:r w:rsidRPr="00F56A8A">
              <w:rPr>
                <w:b/>
                <w:bCs/>
                <w:sz w:val="20"/>
                <w:szCs w:val="20"/>
              </w:rPr>
              <w:t>000</w:t>
            </w:r>
          </w:p>
        </w:tc>
      </w:tr>
    </w:tbl>
    <w:bookmarkEnd w:id="5"/>
    <w:p w:rsidRPr="00AB26A0" w:rsidR="00DA254F" w:rsidP="00DA254F" w:rsidRDefault="00DA254F" w14:paraId="58558246" w14:textId="138A2BA2">
      <w:pPr>
        <w:pStyle w:val="Rubrik2"/>
      </w:pPr>
      <w:r w:rsidRPr="00AB26A0">
        <w:t xml:space="preserve">Anslag 1:7 Energieffektivisering </w:t>
      </w:r>
      <w:r w:rsidR="00130F67">
        <w:t>av</w:t>
      </w:r>
      <w:r w:rsidRPr="00AB26A0">
        <w:t xml:space="preserve"> flerbostadshus</w:t>
      </w:r>
    </w:p>
    <w:p w:rsidRPr="00AB26A0" w:rsidR="00DA254F" w:rsidP="00F56A8A" w:rsidRDefault="00DA254F" w14:paraId="6373A50C" w14:textId="39956B64">
      <w:pPr>
        <w:pStyle w:val="Normalutanindragellerluft"/>
      </w:pPr>
      <w:r w:rsidRPr="00AB26A0">
        <w:t>Stödet för renovering och energieffektivisering i vissa bostadsområden avvecklades efter högermajoritetens beslut om statens budget för 2019. Stödet infördes av den social</w:t>
      </w:r>
      <w:r w:rsidR="00F12E86">
        <w:softHyphen/>
      </w:r>
      <w:r w:rsidRPr="00AB26A0">
        <w:t>demokratiskt ledda regeringen hösten 2016 och totalt beviljades drygt 350 miljoner kronor i stöd till bostadsbolag i 33 kommuner för upprustning av sammanlagt knappt 4</w:t>
      </w:r>
      <w:r w:rsidR="00130F67">
        <w:t> </w:t>
      </w:r>
      <w:r w:rsidRPr="00AB26A0">
        <w:t>000 bostäder.</w:t>
      </w:r>
    </w:p>
    <w:p w:rsidRPr="00AB26A0" w:rsidR="00DA254F" w:rsidP="00F56A8A" w:rsidRDefault="00DA254F" w14:paraId="668FB398" w14:textId="048F48A3">
      <w:r w:rsidRPr="00AB26A0">
        <w:t xml:space="preserve">Den socialdemokratiska regeringen införde under 2021 ett nytt tidsbegränsat stöd för </w:t>
      </w:r>
      <w:r w:rsidRPr="00F12E86">
        <w:rPr>
          <w:spacing w:val="-1"/>
        </w:rPr>
        <w:t xml:space="preserve">energieffektivisering </w:t>
      </w:r>
      <w:r w:rsidRPr="00F12E86" w:rsidR="00196B6B">
        <w:rPr>
          <w:spacing w:val="-1"/>
        </w:rPr>
        <w:t>av</w:t>
      </w:r>
      <w:r w:rsidRPr="00F12E86">
        <w:rPr>
          <w:spacing w:val="-1"/>
        </w:rPr>
        <w:t xml:space="preserve"> flerbostadshus. Syftet med stödet var att förbättra energiprestan</w:t>
      </w:r>
      <w:r w:rsidRPr="00F12E86" w:rsidR="00F12E86">
        <w:rPr>
          <w:spacing w:val="-1"/>
        </w:rPr>
        <w:softHyphen/>
      </w:r>
      <w:r w:rsidRPr="00F12E86">
        <w:rPr>
          <w:spacing w:val="-1"/>
        </w:rPr>
        <w:t>dan</w:t>
      </w:r>
      <w:r w:rsidRPr="00AB26A0">
        <w:t xml:space="preserve"> i flerbostadshus genom att förbättra lönsamheten och främja kostnadseffektiva åtgärder vid genomförandet av energieffektiviserande renoveringar. Även detta stöd avvecklades av de högerkonservativa partierna vid beslutet om statens budget för 2022.</w:t>
      </w:r>
    </w:p>
    <w:p w:rsidRPr="00AB26A0" w:rsidR="00DA254F" w:rsidP="00F56A8A" w:rsidRDefault="00DA254F" w14:paraId="31E9C030" w14:textId="3DE38EA9">
      <w:r w:rsidRPr="00AB26A0">
        <w:t xml:space="preserve">Vi socialdemokrater ser nu att behovet av ett riktat stöd för energieffektiviseringar är minst lika aktuellt som tidigare. Det är nödvändigt att förbättra befintliga byggnaders energiprestanda genom att främja kostnadseffektiva åtgärder vid genomförandet av energieffektiviserande renoveringar. </w:t>
      </w:r>
    </w:p>
    <w:p w:rsidRPr="00AB26A0" w:rsidR="00D150DC" w:rsidP="00F56A8A" w:rsidRDefault="00D150DC" w14:paraId="2B0749F4" w14:textId="07E24266">
      <w:r w:rsidRPr="00AB26A0">
        <w:t>För att utöka takten föreslår därför vi socialdemokrater att anslaget för energi</w:t>
      </w:r>
      <w:r w:rsidR="00F12E86">
        <w:softHyphen/>
      </w:r>
      <w:r w:rsidRPr="00AB26A0">
        <w:t xml:space="preserve">effektivisering av flerbostadshus utökas med 367 miljoner kronor, vilket innebär totalt 717 miljoner kronor under år 2023. I Socialdemokraternas rammotion föreslår vi att anslaget fördubblas under år 2024 och </w:t>
      </w:r>
      <w:r w:rsidRPr="00AB26A0" w:rsidR="001B72AB">
        <w:t xml:space="preserve">att det </w:t>
      </w:r>
      <w:r w:rsidRPr="00AB26A0">
        <w:t xml:space="preserve">år 2025 överstiger en miljard kronor. </w:t>
      </w:r>
    </w:p>
    <w:p w:rsidRPr="00AB26A0" w:rsidR="00DA254F" w:rsidP="00F56A8A" w:rsidRDefault="00DA254F" w14:paraId="50AE8CE6" w14:textId="11506AB3">
      <w:r w:rsidRPr="00AB26A0">
        <w:t xml:space="preserve">I samma rammotion har vi också förslag om att höja subventionsgraden inom ramen för </w:t>
      </w:r>
      <w:r w:rsidR="007E5421">
        <w:t>rot</w:t>
      </w:r>
      <w:r w:rsidRPr="00AB26A0">
        <w:t>avdraget för tjänster som bidrar till energieffektivisering. Det kan till exempel handla om installation av bergvärme</w:t>
      </w:r>
      <w:r w:rsidR="00196B6B">
        <w:t xml:space="preserve"> eller</w:t>
      </w:r>
      <w:r w:rsidRPr="00AB26A0">
        <w:t xml:space="preserve"> vattenburen värme, installation av solceller, installation av dörr och fönster eller tilläggsisolering. Energieffektiviserande tjänster </w:t>
      </w:r>
      <w:r w:rsidRPr="00AB26A0">
        <w:lastRenderedPageBreak/>
        <w:t>föreslås få en höjd subventionsgrad till 50</w:t>
      </w:r>
      <w:r w:rsidR="007E5421">
        <w:t> </w:t>
      </w:r>
      <w:r w:rsidRPr="00AB26A0">
        <w:t xml:space="preserve">procent, samtidigt som subventionsgraden sänks för övriga rotarbeten och för installation av solceller i </w:t>
      </w:r>
      <w:r w:rsidR="00196B6B">
        <w:t xml:space="preserve">det </w:t>
      </w:r>
      <w:r w:rsidRPr="00AB26A0">
        <w:t>gröna avdraget.</w:t>
      </w:r>
    </w:p>
    <w:p w:rsidRPr="00AB26A0" w:rsidR="00DA254F" w:rsidP="00DA254F" w:rsidRDefault="00DA254F" w14:paraId="2A6650A2" w14:textId="46128CC0">
      <w:pPr>
        <w:pStyle w:val="Rubrik2"/>
      </w:pPr>
      <w:r w:rsidRPr="00AB26A0">
        <w:t>Bemyndigande att ingå ekonomiska åtaganden för investeringsstöd för hyresbostäder och bostäder för studerande</w:t>
      </w:r>
    </w:p>
    <w:p w:rsidRPr="00AB26A0" w:rsidR="00DA254F" w:rsidP="00F56A8A" w:rsidRDefault="00DA254F" w14:paraId="323020A8" w14:textId="6601105C">
      <w:pPr>
        <w:pStyle w:val="Normalutanindragellerluft"/>
      </w:pPr>
      <w:r w:rsidRPr="00AB26A0">
        <w:t xml:space="preserve">Sedan starten i slutet av 2016 fram t.o.m. augusti 2022 </w:t>
      </w:r>
      <w:r w:rsidRPr="00AB26A0" w:rsidR="00BF4058">
        <w:t>bevilja</w:t>
      </w:r>
      <w:r w:rsidR="00BF4058">
        <w:t>de</w:t>
      </w:r>
      <w:r w:rsidRPr="00AB26A0" w:rsidR="00BF4058">
        <w:t xml:space="preserve">s investeringsstöd </w:t>
      </w:r>
      <w:r w:rsidR="00BF4058">
        <w:t xml:space="preserve">för </w:t>
      </w:r>
      <w:r w:rsidRPr="00AB26A0">
        <w:t>cirka 1</w:t>
      </w:r>
      <w:r w:rsidR="007E5421">
        <w:t> </w:t>
      </w:r>
      <w:r w:rsidRPr="00AB26A0">
        <w:t>450 ansökningar omfattande drygt 57</w:t>
      </w:r>
      <w:r w:rsidR="007E5421">
        <w:t> </w:t>
      </w:r>
      <w:r w:rsidRPr="00AB26A0">
        <w:t>000 bostäder, inklusive cirka 6</w:t>
      </w:r>
      <w:r w:rsidR="007E5421">
        <w:t> </w:t>
      </w:r>
      <w:r w:rsidRPr="00AB26A0">
        <w:t>600 bostäder för studerande. Av dessa har nästan 60</w:t>
      </w:r>
      <w:r w:rsidR="007E5421">
        <w:t> </w:t>
      </w:r>
      <w:r w:rsidRPr="00AB26A0">
        <w:t>procent, omkring 32</w:t>
      </w:r>
      <w:r w:rsidR="007E5421">
        <w:t> </w:t>
      </w:r>
      <w:r w:rsidRPr="00AB26A0">
        <w:t>000 bostäder, färdigställts. Det handlar således om tiotusentals lägenheter med omkring 1</w:t>
      </w:r>
      <w:r w:rsidR="007E5421">
        <w:t> </w:t>
      </w:r>
      <w:r w:rsidRPr="00AB26A0">
        <w:t xml:space="preserve">500 kronor i lägre månadshyra jämfört med annan nyproduktion. Det har gjort skillnad för vanligt folk, inte minst i det ekonomiskt osäkra läge </w:t>
      </w:r>
      <w:r w:rsidR="00BF4058">
        <w:t xml:space="preserve">som </w:t>
      </w:r>
      <w:r w:rsidRPr="00AB26A0">
        <w:t xml:space="preserve">vi befinner oss </w:t>
      </w:r>
      <w:r w:rsidR="00BF4058">
        <w:t xml:space="preserve">i </w:t>
      </w:r>
      <w:r w:rsidRPr="00AB26A0">
        <w:t xml:space="preserve">just nu där priserna stiger. Investeringsstödet har även möjliggjort byggande av bostäder i kommuner där det knappast </w:t>
      </w:r>
      <w:r w:rsidR="00BF4058">
        <w:t xml:space="preserve">har </w:t>
      </w:r>
      <w:r w:rsidRPr="00AB26A0">
        <w:t>byggts något sedan 1990-talet. De statliga investeringsstöden har varit framgångsrika och bidragit till omkring 20</w:t>
      </w:r>
      <w:r w:rsidR="00BF4058">
        <w:t> </w:t>
      </w:r>
      <w:r w:rsidRPr="00AB26A0">
        <w:t>procent av alla hyresbostäder som byggts de senaste åren. Vi socialdemokrater vill att de ska utvecklas och villkoras med krav på socialt ansvarstagande.</w:t>
      </w:r>
    </w:p>
    <w:p w:rsidRPr="00AB26A0" w:rsidR="00DA254F" w:rsidP="00F56A8A" w:rsidRDefault="00DA254F" w14:paraId="7B61A3A5" w14:textId="10426AA9">
      <w:r w:rsidRPr="00AB26A0">
        <w:t>Det är beklagligt att Moderaterna, Sverigedemokraterna och Kristdemokraterna valde att slopa investeringsstödet i budgetbeslutet för 2022. Detta möttes av kritik från både kommuner och byggföretag för att det skapar ryckighet i en bransch som behöver stabila förutsättningar. Avskaffandet av stödet kommer att minska bostadsbyggandet och öka arbetslösheten inom byggbranschen, vilket kommer</w:t>
      </w:r>
      <w:r w:rsidR="00BF4058">
        <w:t xml:space="preserve"> att</w:t>
      </w:r>
      <w:r w:rsidRPr="00AB26A0">
        <w:t xml:space="preserve"> bli än mer påtagligt när vi nu är på väg mot en lågkonjunktur.</w:t>
      </w:r>
    </w:p>
    <w:p w:rsidRPr="00AB26A0" w:rsidR="00DA254F" w:rsidP="00F56A8A" w:rsidRDefault="00DA254F" w14:paraId="6BCFF03E" w14:textId="78F33125">
      <w:r w:rsidRPr="00AB26A0">
        <w:t xml:space="preserve">Moderaterna, Sverigedemokraterna, Kristdemokraterna och Liberalerna </w:t>
      </w:r>
      <w:r w:rsidR="00BF4058">
        <w:t>slog</w:t>
      </w:r>
      <w:r w:rsidRPr="00AB26A0">
        <w:t xml:space="preserve"> sedan i </w:t>
      </w:r>
      <w:r w:rsidRPr="00F12E86">
        <w:rPr>
          <w:spacing w:val="-2"/>
        </w:rPr>
        <w:t>sitt särskilda yttrande till finansutskottet i juni 2022 fast att samtliga inkomna ansökningar</w:t>
      </w:r>
      <w:r w:rsidRPr="00AB26A0">
        <w:t xml:space="preserve"> sk</w:t>
      </w:r>
      <w:r w:rsidR="00BF4058">
        <w:t>ulle</w:t>
      </w:r>
      <w:r w:rsidRPr="00AB26A0">
        <w:t xml:space="preserve"> handläggas och beviljas stöd. Men i budgetpropositionen för 2023 </w:t>
      </w:r>
      <w:r w:rsidR="00BF4058">
        <w:t>gjorde</w:t>
      </w:r>
      <w:r w:rsidRPr="00AB26A0">
        <w:t xml:space="preserve"> den högerkonservativa regeringen en helomvändning. Nu ska inga pengar betalas ut till beviljade ansökningar efter den 31</w:t>
      </w:r>
      <w:r w:rsidR="007E5421">
        <w:t> </w:t>
      </w:r>
      <w:r w:rsidRPr="00AB26A0">
        <w:t xml:space="preserve">december 2022. Det är ett ytterligare exempel på ett av de många löftessvek som återfinns i budgetpropositionen. </w:t>
      </w:r>
    </w:p>
    <w:p w:rsidRPr="00AB26A0" w:rsidR="00DA254F" w:rsidP="00F56A8A" w:rsidRDefault="00DA254F" w14:paraId="23406BBE" w14:textId="301BCBFF">
      <w:r w:rsidRPr="00AB26A0">
        <w:t>Boverkets bedömning är att den totala kön motsvarar 15</w:t>
      </w:r>
      <w:r w:rsidR="00BC3A99">
        <w:t> </w:t>
      </w:r>
      <w:r w:rsidRPr="00AB26A0">
        <w:t>miljarder kronor. Enligt uppgifter från Sveriges Allmännytta ligger det färdigberedda ansökningar för över 8</w:t>
      </w:r>
      <w:r w:rsidR="00BC3A99">
        <w:t> </w:t>
      </w:r>
      <w:r w:rsidRPr="00AB26A0">
        <w:t>miljarder kronor i kö hos länsstyrelserna och väntar på beviljande. Det handlar sammanlagt om flera tusen bostäder. Att det är kö beror på att det finns en ram för hur mycket stöd som får beviljas.</w:t>
      </w:r>
    </w:p>
    <w:p w:rsidRPr="00AB26A0" w:rsidR="00DA254F" w:rsidP="00F56A8A" w:rsidRDefault="00DA254F" w14:paraId="79721D2E" w14:textId="3508F0C8">
      <w:r w:rsidRPr="00AB26A0">
        <w:lastRenderedPageBreak/>
        <w:t xml:space="preserve">Vi socialdemokrater ser det som angeläget och nödvändigt att beta av den kö av ansökningar som inkommit för att inte stoppa ett stort antal planerade och välbehövliga bostäder. Det enda rimliga är att bostadsföretag som lämnat in </w:t>
      </w:r>
      <w:r w:rsidR="00BC3A99">
        <w:t xml:space="preserve">en </w:t>
      </w:r>
      <w:r w:rsidRPr="00AB26A0">
        <w:t xml:space="preserve">ansökan i tid ska behandlas lika och få investeringsstöd om de uppfyller de krav som ställs. </w:t>
      </w:r>
    </w:p>
    <w:p w:rsidRPr="00AB26A0" w:rsidR="00BB6339" w:rsidP="00F56A8A" w:rsidRDefault="00DA254F" w14:paraId="5F390B9D" w14:textId="626744DA">
      <w:r w:rsidRPr="00AB26A0">
        <w:t xml:space="preserve">Därför bör riksdagen bemyndiga regeringen att ingå ekonomiska åtaganden som täcker kostnaden för detta. Vi föreslår att regeringen bemyndigas </w:t>
      </w:r>
      <w:r w:rsidR="00BC3A99">
        <w:t xml:space="preserve">att </w:t>
      </w:r>
      <w:r w:rsidRPr="00AB26A0">
        <w:t>ingå ekonomiska åtaganden som medför behov av framtida anslag på högst 8</w:t>
      </w:r>
      <w:r w:rsidR="0023047C">
        <w:t> </w:t>
      </w:r>
      <w:r w:rsidRPr="00AB26A0" w:rsidR="002576DB">
        <w:t>miljarder</w:t>
      </w:r>
      <w:r w:rsidRPr="00AB26A0">
        <w:t xml:space="preserve"> kronor 2023.</w:t>
      </w:r>
    </w:p>
    <w:sdt>
      <w:sdtPr>
        <w:alias w:val="CC_Underskrifter"/>
        <w:tag w:val="CC_Underskrifter"/>
        <w:id w:val="583496634"/>
        <w:lock w:val="sdtContentLocked"/>
        <w:placeholder>
          <w:docPart w:val="957F8A49249349CBBEBE7DAEFCD3AF79"/>
        </w:placeholder>
      </w:sdtPr>
      <w:sdtEndPr/>
      <w:sdtContent>
        <w:p w:rsidR="00DC1CCD" w:rsidP="00AB26A0" w:rsidRDefault="00DC1CCD" w14:paraId="54FCF792" w14:textId="77777777"/>
        <w:p w:rsidRPr="008E0FE2" w:rsidR="004801AC" w:rsidP="00AB26A0" w:rsidRDefault="00F12E86" w14:paraId="781CF18A" w14:textId="6262E814"/>
      </w:sdtContent>
    </w:sdt>
    <w:tbl>
      <w:tblPr>
        <w:tblW w:w="5000" w:type="pct"/>
        <w:tblLook w:val="04A0" w:firstRow="1" w:lastRow="0" w:firstColumn="1" w:lastColumn="0" w:noHBand="0" w:noVBand="1"/>
        <w:tblCaption w:val="underskrifter"/>
      </w:tblPr>
      <w:tblGrid>
        <w:gridCol w:w="4252"/>
        <w:gridCol w:w="4252"/>
      </w:tblGrid>
      <w:tr w:rsidR="008A4E82" w14:paraId="307D5694" w14:textId="77777777">
        <w:trPr>
          <w:cantSplit/>
        </w:trPr>
        <w:tc>
          <w:tcPr>
            <w:tcW w:w="50" w:type="pct"/>
            <w:vAlign w:val="bottom"/>
          </w:tcPr>
          <w:p w:rsidR="008A4E82" w:rsidRDefault="00BC3A99" w14:paraId="2C8F00BF" w14:textId="77777777">
            <w:pPr>
              <w:pStyle w:val="Underskrifter"/>
            </w:pPr>
            <w:r>
              <w:t>Jennie Nilsson (S)</w:t>
            </w:r>
          </w:p>
        </w:tc>
        <w:tc>
          <w:tcPr>
            <w:tcW w:w="50" w:type="pct"/>
            <w:vAlign w:val="bottom"/>
          </w:tcPr>
          <w:p w:rsidR="008A4E82" w:rsidRDefault="00BC3A99" w14:paraId="051C79E7" w14:textId="77777777">
            <w:pPr>
              <w:pStyle w:val="Underskrifter"/>
            </w:pPr>
            <w:r>
              <w:t>Leif Nysmed (S)</w:t>
            </w:r>
          </w:p>
        </w:tc>
      </w:tr>
      <w:tr w:rsidR="008A4E82" w14:paraId="31412F5F" w14:textId="77777777">
        <w:trPr>
          <w:cantSplit/>
        </w:trPr>
        <w:tc>
          <w:tcPr>
            <w:tcW w:w="50" w:type="pct"/>
            <w:vAlign w:val="bottom"/>
          </w:tcPr>
          <w:p w:rsidR="008A4E82" w:rsidRDefault="00BC3A99" w14:paraId="536F466E" w14:textId="77777777">
            <w:pPr>
              <w:pStyle w:val="Underskrifter"/>
            </w:pPr>
            <w:r>
              <w:t>Laila Naraghi (S)</w:t>
            </w:r>
          </w:p>
        </w:tc>
        <w:tc>
          <w:tcPr>
            <w:tcW w:w="50" w:type="pct"/>
            <w:vAlign w:val="bottom"/>
          </w:tcPr>
          <w:p w:rsidR="008A4E82" w:rsidRDefault="00BC3A99" w14:paraId="6EEDBB8E" w14:textId="77777777">
            <w:pPr>
              <w:pStyle w:val="Underskrifter"/>
            </w:pPr>
            <w:r>
              <w:t>Denis Begic (S)</w:t>
            </w:r>
          </w:p>
        </w:tc>
      </w:tr>
      <w:tr w:rsidR="008A4E82" w14:paraId="193C1979" w14:textId="77777777">
        <w:trPr>
          <w:cantSplit/>
        </w:trPr>
        <w:tc>
          <w:tcPr>
            <w:tcW w:w="50" w:type="pct"/>
            <w:vAlign w:val="bottom"/>
          </w:tcPr>
          <w:p w:rsidR="008A4E82" w:rsidRDefault="00BC3A99" w14:paraId="2CC321DC" w14:textId="77777777">
            <w:pPr>
              <w:pStyle w:val="Underskrifter"/>
            </w:pPr>
            <w:r>
              <w:t>Anna-Belle Strömberg (S)</w:t>
            </w:r>
          </w:p>
        </w:tc>
        <w:tc>
          <w:tcPr>
            <w:tcW w:w="50" w:type="pct"/>
            <w:vAlign w:val="bottom"/>
          </w:tcPr>
          <w:p w:rsidR="008A4E82" w:rsidRDefault="00BC3A99" w14:paraId="54F6C04C" w14:textId="77777777">
            <w:pPr>
              <w:pStyle w:val="Underskrifter"/>
            </w:pPr>
            <w:r>
              <w:t>Markus Kallifatides (S)</w:t>
            </w:r>
          </w:p>
        </w:tc>
      </w:tr>
    </w:tbl>
    <w:p w:rsidR="00C65EA6" w:rsidRDefault="00C65EA6" w14:paraId="357C03B4" w14:textId="77777777"/>
    <w:sectPr w:rsidR="00C65EA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2036" w14:textId="77777777" w:rsidR="00DC1CCD" w:rsidRDefault="00DC1CCD" w:rsidP="000C1CAD">
      <w:pPr>
        <w:spacing w:line="240" w:lineRule="auto"/>
      </w:pPr>
      <w:r>
        <w:separator/>
      </w:r>
    </w:p>
  </w:endnote>
  <w:endnote w:type="continuationSeparator" w:id="0">
    <w:p w14:paraId="7C03CB1C" w14:textId="77777777" w:rsidR="00DC1CCD" w:rsidRDefault="00DC1C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86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81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53FB" w14:textId="0523E8A7" w:rsidR="00262EA3" w:rsidRPr="00AB26A0" w:rsidRDefault="00262EA3" w:rsidP="00AB26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84D5F" w14:textId="77777777" w:rsidR="00DC1CCD" w:rsidRDefault="00DC1CCD" w:rsidP="000C1CAD">
      <w:pPr>
        <w:spacing w:line="240" w:lineRule="auto"/>
      </w:pPr>
      <w:r>
        <w:separator/>
      </w:r>
    </w:p>
  </w:footnote>
  <w:footnote w:type="continuationSeparator" w:id="0">
    <w:p w14:paraId="0A64BD70" w14:textId="77777777" w:rsidR="00DC1CCD" w:rsidRDefault="00DC1C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77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3348EB" wp14:editId="02811E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FE3741" w14:textId="230C544F" w:rsidR="00262EA3" w:rsidRDefault="00F12E86" w:rsidP="008103B5">
                          <w:pPr>
                            <w:jc w:val="right"/>
                          </w:pPr>
                          <w:sdt>
                            <w:sdtPr>
                              <w:alias w:val="CC_Noformat_Partikod"/>
                              <w:tag w:val="CC_Noformat_Partikod"/>
                              <w:id w:val="-53464382"/>
                              <w:text/>
                            </w:sdtPr>
                            <w:sdtEndPr/>
                            <w:sdtContent>
                              <w:r w:rsidR="00DC1CCD">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3348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FE3741" w14:textId="230C544F" w:rsidR="00262EA3" w:rsidRDefault="00F12E86" w:rsidP="008103B5">
                    <w:pPr>
                      <w:jc w:val="right"/>
                    </w:pPr>
                    <w:sdt>
                      <w:sdtPr>
                        <w:alias w:val="CC_Noformat_Partikod"/>
                        <w:tag w:val="CC_Noformat_Partikod"/>
                        <w:id w:val="-53464382"/>
                        <w:text/>
                      </w:sdtPr>
                      <w:sdtEndPr/>
                      <w:sdtContent>
                        <w:r w:rsidR="00DC1CCD">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E7471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7CE97" w14:textId="77777777" w:rsidR="00262EA3" w:rsidRDefault="00262EA3" w:rsidP="008563AC">
    <w:pPr>
      <w:jc w:val="right"/>
    </w:pPr>
  </w:p>
  <w:p w14:paraId="362D7A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21CC" w14:textId="77777777" w:rsidR="00262EA3" w:rsidRDefault="00F12E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6C0D1B" wp14:editId="023F99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7057DD" w14:textId="5CE8CD20" w:rsidR="00262EA3" w:rsidRDefault="00F12E86" w:rsidP="00A314CF">
    <w:pPr>
      <w:pStyle w:val="FSHNormal"/>
      <w:spacing w:before="40"/>
    </w:pPr>
    <w:sdt>
      <w:sdtPr>
        <w:alias w:val="CC_Noformat_Motionstyp"/>
        <w:tag w:val="CC_Noformat_Motionstyp"/>
        <w:id w:val="1162973129"/>
        <w:lock w:val="sdtContentLocked"/>
        <w15:appearance w15:val="hidden"/>
        <w:text/>
      </w:sdtPr>
      <w:sdtEndPr/>
      <w:sdtContent>
        <w:r w:rsidR="00AB26A0">
          <w:t>Kommittémotion</w:t>
        </w:r>
      </w:sdtContent>
    </w:sdt>
    <w:r w:rsidR="00821B36">
      <w:t xml:space="preserve"> </w:t>
    </w:r>
    <w:sdt>
      <w:sdtPr>
        <w:alias w:val="CC_Noformat_Partikod"/>
        <w:tag w:val="CC_Noformat_Partikod"/>
        <w:id w:val="1471015553"/>
        <w:text/>
      </w:sdtPr>
      <w:sdtEndPr/>
      <w:sdtContent>
        <w:r w:rsidR="00DC1CCD">
          <w:t>S</w:t>
        </w:r>
      </w:sdtContent>
    </w:sdt>
    <w:sdt>
      <w:sdtPr>
        <w:alias w:val="CC_Noformat_Partinummer"/>
        <w:tag w:val="CC_Noformat_Partinummer"/>
        <w:id w:val="-2014525982"/>
        <w:showingPlcHdr/>
        <w:text/>
      </w:sdtPr>
      <w:sdtEndPr/>
      <w:sdtContent>
        <w:r w:rsidR="00821B36">
          <w:t xml:space="preserve"> </w:t>
        </w:r>
      </w:sdtContent>
    </w:sdt>
  </w:p>
  <w:p w14:paraId="2BE7A170" w14:textId="77777777" w:rsidR="00262EA3" w:rsidRPr="008227B3" w:rsidRDefault="00F12E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290BBE" w14:textId="15B0CE89" w:rsidR="00262EA3" w:rsidRPr="008227B3" w:rsidRDefault="00F12E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26A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6A0">
          <w:t>:2216</w:t>
        </w:r>
      </w:sdtContent>
    </w:sdt>
  </w:p>
  <w:p w14:paraId="71B471DB" w14:textId="42DA2C65" w:rsidR="00262EA3" w:rsidRDefault="00F12E86" w:rsidP="00E03A3D">
    <w:pPr>
      <w:pStyle w:val="Motionr"/>
    </w:pPr>
    <w:sdt>
      <w:sdtPr>
        <w:alias w:val="CC_Noformat_Avtext"/>
        <w:tag w:val="CC_Noformat_Avtext"/>
        <w:id w:val="-2020768203"/>
        <w:lock w:val="sdtContentLocked"/>
        <w15:appearance w15:val="hidden"/>
        <w:text/>
      </w:sdtPr>
      <w:sdtEndPr/>
      <w:sdtContent>
        <w:r w:rsidR="00AB26A0">
          <w:t>av Jennie Nilsson m.fl. (S)</w:t>
        </w:r>
      </w:sdtContent>
    </w:sdt>
  </w:p>
  <w:sdt>
    <w:sdtPr>
      <w:alias w:val="CC_Noformat_Rubtext"/>
      <w:tag w:val="CC_Noformat_Rubtext"/>
      <w:id w:val="-218060500"/>
      <w:lock w:val="sdtLocked"/>
      <w:text/>
    </w:sdtPr>
    <w:sdtEndPr/>
    <w:sdtContent>
      <w:p w14:paraId="3280C5E3" w14:textId="1D85AD2E" w:rsidR="00262EA3" w:rsidRDefault="00DC1CCD"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11345B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C1C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67"/>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6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2AB"/>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47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6D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F3D"/>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421"/>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E8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6A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3D"/>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99"/>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58"/>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EA6"/>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0D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54F"/>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CD"/>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1FC1"/>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86"/>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8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5A4563"/>
  <w15:chartTrackingRefBased/>
  <w15:docId w15:val="{7681051D-99E3-41CE-A43B-08205300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07234">
      <w:bodyDiv w:val="1"/>
      <w:marLeft w:val="0"/>
      <w:marRight w:val="0"/>
      <w:marTop w:val="0"/>
      <w:marBottom w:val="0"/>
      <w:divBdr>
        <w:top w:val="none" w:sz="0" w:space="0" w:color="auto"/>
        <w:left w:val="none" w:sz="0" w:space="0" w:color="auto"/>
        <w:bottom w:val="none" w:sz="0" w:space="0" w:color="auto"/>
        <w:right w:val="none" w:sz="0" w:space="0" w:color="auto"/>
      </w:divBdr>
    </w:div>
    <w:div w:id="265695930">
      <w:bodyDiv w:val="1"/>
      <w:marLeft w:val="0"/>
      <w:marRight w:val="0"/>
      <w:marTop w:val="0"/>
      <w:marBottom w:val="0"/>
      <w:divBdr>
        <w:top w:val="none" w:sz="0" w:space="0" w:color="auto"/>
        <w:left w:val="none" w:sz="0" w:space="0" w:color="auto"/>
        <w:bottom w:val="none" w:sz="0" w:space="0" w:color="auto"/>
        <w:right w:val="none" w:sz="0" w:space="0" w:color="auto"/>
      </w:divBdr>
    </w:div>
    <w:div w:id="1739403261">
      <w:bodyDiv w:val="1"/>
      <w:marLeft w:val="0"/>
      <w:marRight w:val="0"/>
      <w:marTop w:val="0"/>
      <w:marBottom w:val="0"/>
      <w:divBdr>
        <w:top w:val="none" w:sz="0" w:space="0" w:color="auto"/>
        <w:left w:val="none" w:sz="0" w:space="0" w:color="auto"/>
        <w:bottom w:val="none" w:sz="0" w:space="0" w:color="auto"/>
        <w:right w:val="none" w:sz="0" w:space="0" w:color="auto"/>
      </w:divBdr>
    </w:div>
    <w:div w:id="1881817428">
      <w:bodyDiv w:val="1"/>
      <w:marLeft w:val="0"/>
      <w:marRight w:val="0"/>
      <w:marTop w:val="0"/>
      <w:marBottom w:val="0"/>
      <w:divBdr>
        <w:top w:val="none" w:sz="0" w:space="0" w:color="auto"/>
        <w:left w:val="none" w:sz="0" w:space="0" w:color="auto"/>
        <w:bottom w:val="none" w:sz="0" w:space="0" w:color="auto"/>
        <w:right w:val="none" w:sz="0" w:space="0" w:color="auto"/>
      </w:divBdr>
    </w:div>
    <w:div w:id="192259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E4FB6D92714C3EB9FFF84CF0D155B8"/>
        <w:category>
          <w:name w:val="Allmänt"/>
          <w:gallery w:val="placeholder"/>
        </w:category>
        <w:types>
          <w:type w:val="bbPlcHdr"/>
        </w:types>
        <w:behaviors>
          <w:behavior w:val="content"/>
        </w:behaviors>
        <w:guid w:val="{1D9C419A-E36F-435E-A36F-EFD0F50CA698}"/>
      </w:docPartPr>
      <w:docPartBody>
        <w:p w:rsidR="00DC44BD" w:rsidRDefault="00DC44BD">
          <w:pPr>
            <w:pStyle w:val="CAE4FB6D92714C3EB9FFF84CF0D155B8"/>
          </w:pPr>
          <w:r w:rsidRPr="005A0A93">
            <w:rPr>
              <w:rStyle w:val="Platshllartext"/>
            </w:rPr>
            <w:t>Förslag till riksdagsbeslut</w:t>
          </w:r>
        </w:p>
      </w:docPartBody>
    </w:docPart>
    <w:docPart>
      <w:docPartPr>
        <w:name w:val="A4DACCFBF6944AE7AD7275536C0B0E99"/>
        <w:category>
          <w:name w:val="Allmänt"/>
          <w:gallery w:val="placeholder"/>
        </w:category>
        <w:types>
          <w:type w:val="bbPlcHdr"/>
        </w:types>
        <w:behaviors>
          <w:behavior w:val="content"/>
        </w:behaviors>
        <w:guid w:val="{D0DE041E-7290-4F2D-A72B-A4C8A0FD0801}"/>
      </w:docPartPr>
      <w:docPartBody>
        <w:p w:rsidR="00DC44BD" w:rsidRDefault="00DC44BD">
          <w:pPr>
            <w:pStyle w:val="A4DACCFBF6944AE7AD7275536C0B0E99"/>
          </w:pPr>
          <w:r w:rsidRPr="005A0A93">
            <w:rPr>
              <w:rStyle w:val="Platshllartext"/>
            </w:rPr>
            <w:t>Motivering</w:t>
          </w:r>
        </w:p>
      </w:docPartBody>
    </w:docPart>
    <w:docPart>
      <w:docPartPr>
        <w:name w:val="957F8A49249349CBBEBE7DAEFCD3AF79"/>
        <w:category>
          <w:name w:val="Allmänt"/>
          <w:gallery w:val="placeholder"/>
        </w:category>
        <w:types>
          <w:type w:val="bbPlcHdr"/>
        </w:types>
        <w:behaviors>
          <w:behavior w:val="content"/>
        </w:behaviors>
        <w:guid w:val="{3D666A86-56D4-4B85-A4D3-3E63DB287974}"/>
      </w:docPartPr>
      <w:docPartBody>
        <w:p w:rsidR="008B2496" w:rsidRDefault="008B24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BD"/>
    <w:rsid w:val="008B2496"/>
    <w:rsid w:val="00DC44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E4FB6D92714C3EB9FFF84CF0D155B8">
    <w:name w:val="CAE4FB6D92714C3EB9FFF84CF0D155B8"/>
  </w:style>
  <w:style w:type="paragraph" w:customStyle="1" w:styleId="A4DACCFBF6944AE7AD7275536C0B0E99">
    <w:name w:val="A4DACCFBF6944AE7AD7275536C0B0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22ECD-22B0-4E16-9D2D-C851C4041CC7}"/>
</file>

<file path=customXml/itemProps2.xml><?xml version="1.0" encoding="utf-8"?>
<ds:datastoreItem xmlns:ds="http://schemas.openxmlformats.org/officeDocument/2006/customXml" ds:itemID="{D1A4CD08-378B-4F92-A05A-0C6FA4B3D694}"/>
</file>

<file path=customXml/itemProps3.xml><?xml version="1.0" encoding="utf-8"?>
<ds:datastoreItem xmlns:ds="http://schemas.openxmlformats.org/officeDocument/2006/customXml" ds:itemID="{9677EA4F-8F1C-406D-BB0E-EA17429B1780}"/>
</file>

<file path=docProps/app.xml><?xml version="1.0" encoding="utf-8"?>
<Properties xmlns="http://schemas.openxmlformats.org/officeDocument/2006/extended-properties" xmlns:vt="http://schemas.openxmlformats.org/officeDocument/2006/docPropsVTypes">
  <Template>Normal</Template>
  <TotalTime>81</TotalTime>
  <Pages>4</Pages>
  <Words>1270</Words>
  <Characters>7535</Characters>
  <Application>Microsoft Office Word</Application>
  <DocSecurity>0</DocSecurity>
  <Lines>183</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18 Samhällsplanering  bostadsförsörjning och byggande samt konsumentpolitik</vt:lpstr>
      <vt:lpstr>
      </vt:lpstr>
    </vt:vector>
  </TitlesOfParts>
  <Company>Sveriges riksdag</Company>
  <LinksUpToDate>false</LinksUpToDate>
  <CharactersWithSpaces>8703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