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7176C" w:rsidRPr="00C64954">
        <w:tblPrEx>
          <w:tblCellMar>
            <w:top w:w="0" w:type="dxa"/>
            <w:bottom w:w="0" w:type="dxa"/>
          </w:tblCellMar>
        </w:tblPrEx>
        <w:tc>
          <w:tcPr>
            <w:tcW w:w="2268" w:type="dxa"/>
          </w:tcPr>
          <w:p w:rsidR="0037176C" w:rsidRPr="00C64954" w:rsidRDefault="0037176C">
            <w:pPr>
              <w:framePr w:w="4400" w:h="1644" w:wrap="notBeside" w:vAnchor="page" w:hAnchor="page" w:x="6573" w:y="721"/>
              <w:rPr>
                <w:rFonts w:ascii="TradeGothic" w:hAnsi="TradeGothic"/>
                <w:i/>
                <w:sz w:val="18"/>
              </w:rPr>
            </w:pPr>
          </w:p>
        </w:tc>
        <w:tc>
          <w:tcPr>
            <w:tcW w:w="2347" w:type="dxa"/>
            <w:gridSpan w:val="2"/>
          </w:tcPr>
          <w:p w:rsidR="0037176C" w:rsidRPr="00C64954" w:rsidRDefault="0037176C">
            <w:pPr>
              <w:framePr w:w="4400" w:h="1644" w:wrap="notBeside" w:vAnchor="page" w:hAnchor="page" w:x="6573" w:y="721"/>
              <w:rPr>
                <w:rFonts w:ascii="TradeGothic" w:hAnsi="TradeGothic"/>
                <w:i/>
                <w:sz w:val="18"/>
              </w:rPr>
            </w:pPr>
          </w:p>
        </w:tc>
      </w:tr>
      <w:tr w:rsidR="0037176C" w:rsidRPr="00C64954">
        <w:tblPrEx>
          <w:tblCellMar>
            <w:top w:w="0" w:type="dxa"/>
            <w:bottom w:w="0" w:type="dxa"/>
          </w:tblCellMar>
        </w:tblPrEx>
        <w:trPr>
          <w:cantSplit/>
        </w:trPr>
        <w:tc>
          <w:tcPr>
            <w:tcW w:w="4615" w:type="dxa"/>
            <w:gridSpan w:val="3"/>
          </w:tcPr>
          <w:p w:rsidR="0037176C" w:rsidRPr="00C64954" w:rsidRDefault="0037176C">
            <w:pPr>
              <w:framePr w:w="4400" w:h="1644" w:wrap="notBeside" w:vAnchor="page" w:hAnchor="page" w:x="6573" w:y="721"/>
              <w:rPr>
                <w:rFonts w:ascii="TradeGothic" w:hAnsi="TradeGothic"/>
                <w:b/>
                <w:sz w:val="22"/>
              </w:rPr>
            </w:pPr>
            <w:r w:rsidRPr="00C64954">
              <w:rPr>
                <w:rFonts w:ascii="TradeGothic" w:hAnsi="TradeGothic"/>
                <w:b/>
                <w:sz w:val="22"/>
              </w:rPr>
              <w:t>PM Till riksdagen</w:t>
            </w:r>
          </w:p>
        </w:tc>
      </w:tr>
      <w:tr w:rsidR="0037176C" w:rsidRPr="00C64954">
        <w:tblPrEx>
          <w:tblCellMar>
            <w:top w:w="0" w:type="dxa"/>
            <w:bottom w:w="0" w:type="dxa"/>
          </w:tblCellMar>
        </w:tblPrEx>
        <w:tc>
          <w:tcPr>
            <w:tcW w:w="3402" w:type="dxa"/>
            <w:gridSpan w:val="2"/>
          </w:tcPr>
          <w:p w:rsidR="0037176C" w:rsidRPr="00C64954" w:rsidRDefault="0037176C">
            <w:pPr>
              <w:framePr w:w="4400" w:h="1644" w:wrap="notBeside" w:vAnchor="page" w:hAnchor="page" w:x="6573" w:y="721"/>
            </w:pPr>
          </w:p>
        </w:tc>
        <w:tc>
          <w:tcPr>
            <w:tcW w:w="1213" w:type="dxa"/>
          </w:tcPr>
          <w:p w:rsidR="0037176C" w:rsidRPr="00C64954" w:rsidRDefault="0037176C">
            <w:pPr>
              <w:framePr w:w="4400" w:h="1644" w:wrap="notBeside" w:vAnchor="page" w:hAnchor="page" w:x="6573" w:y="721"/>
            </w:pPr>
          </w:p>
        </w:tc>
      </w:tr>
      <w:tr w:rsidR="0037176C" w:rsidRPr="00C64954">
        <w:tblPrEx>
          <w:tblCellMar>
            <w:top w:w="0" w:type="dxa"/>
            <w:bottom w:w="0" w:type="dxa"/>
          </w:tblCellMar>
        </w:tblPrEx>
        <w:tc>
          <w:tcPr>
            <w:tcW w:w="2268" w:type="dxa"/>
          </w:tcPr>
          <w:p w:rsidR="0037176C" w:rsidRPr="00C64954" w:rsidRDefault="0037176C">
            <w:pPr>
              <w:framePr w:w="4400" w:h="1644" w:wrap="notBeside" w:vAnchor="page" w:hAnchor="page" w:x="6573" w:y="721"/>
            </w:pPr>
            <w:r w:rsidRPr="00C64954">
              <w:t>200</w:t>
            </w:r>
            <w:r w:rsidR="00F74D90" w:rsidRPr="00C64954">
              <w:t>9</w:t>
            </w:r>
            <w:r w:rsidRPr="00C64954">
              <w:t>-</w:t>
            </w:r>
            <w:r w:rsidR="00F74D90" w:rsidRPr="00C64954">
              <w:t>09</w:t>
            </w:r>
            <w:r w:rsidRPr="00C64954">
              <w:t>-</w:t>
            </w:r>
            <w:r w:rsidR="00F74D90" w:rsidRPr="00C64954">
              <w:t>22</w:t>
            </w:r>
          </w:p>
        </w:tc>
        <w:tc>
          <w:tcPr>
            <w:tcW w:w="2347" w:type="dxa"/>
            <w:gridSpan w:val="2"/>
          </w:tcPr>
          <w:p w:rsidR="0037176C" w:rsidRPr="00C64954" w:rsidRDefault="0037176C">
            <w:pPr>
              <w:framePr w:w="4400" w:h="1644" w:wrap="notBeside" w:vAnchor="page" w:hAnchor="page" w:x="6573" w:y="721"/>
            </w:pPr>
          </w:p>
        </w:tc>
      </w:tr>
      <w:tr w:rsidR="0037176C" w:rsidRPr="00C64954">
        <w:tblPrEx>
          <w:tblCellMar>
            <w:top w:w="0" w:type="dxa"/>
            <w:bottom w:w="0" w:type="dxa"/>
          </w:tblCellMar>
        </w:tblPrEx>
        <w:tc>
          <w:tcPr>
            <w:tcW w:w="2268" w:type="dxa"/>
          </w:tcPr>
          <w:p w:rsidR="0037176C" w:rsidRPr="00C64954" w:rsidRDefault="0037176C">
            <w:pPr>
              <w:framePr w:w="4400" w:h="1644" w:wrap="notBeside" w:vAnchor="page" w:hAnchor="page" w:x="6573" w:y="721"/>
            </w:pPr>
          </w:p>
        </w:tc>
        <w:tc>
          <w:tcPr>
            <w:tcW w:w="2347" w:type="dxa"/>
            <w:gridSpan w:val="2"/>
          </w:tcPr>
          <w:p w:rsidR="0037176C" w:rsidRPr="00C64954" w:rsidRDefault="0037176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7176C" w:rsidRPr="00C64954">
        <w:tblPrEx>
          <w:tblCellMar>
            <w:top w:w="0" w:type="dxa"/>
            <w:bottom w:w="0" w:type="dxa"/>
          </w:tblCellMar>
        </w:tblPrEx>
        <w:trPr>
          <w:trHeight w:val="284"/>
        </w:trPr>
        <w:tc>
          <w:tcPr>
            <w:tcW w:w="4911" w:type="dxa"/>
          </w:tcPr>
          <w:p w:rsidR="0037176C" w:rsidRPr="00C64954" w:rsidRDefault="005D5E85">
            <w:pPr>
              <w:pStyle w:val="Avsndare"/>
              <w:framePr w:h="2483" w:wrap="notBeside" w:x="1504"/>
              <w:rPr>
                <w:b/>
                <w:i w:val="0"/>
                <w:sz w:val="22"/>
              </w:rPr>
            </w:pPr>
            <w:r w:rsidRPr="00C64954">
              <w:rPr>
                <w:b/>
                <w:i w:val="0"/>
                <w:sz w:val="22"/>
              </w:rPr>
              <w:t>Närings</w:t>
            </w:r>
            <w:r w:rsidR="0037176C" w:rsidRPr="00C64954">
              <w:rPr>
                <w:b/>
                <w:i w:val="0"/>
                <w:sz w:val="22"/>
              </w:rPr>
              <w:t>departementet</w:t>
            </w: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5D5E85">
            <w:pPr>
              <w:pStyle w:val="Avsndare"/>
              <w:framePr w:h="2483" w:wrap="notBeside" w:x="1504"/>
              <w:rPr>
                <w:bCs/>
                <w:iCs/>
              </w:rPr>
            </w:pPr>
            <w:r w:rsidRPr="00C64954">
              <w:rPr>
                <w:bCs/>
                <w:iCs/>
              </w:rPr>
              <w:t>Trafike</w:t>
            </w:r>
            <w:r w:rsidR="0037176C" w:rsidRPr="00C64954">
              <w:rPr>
                <w:bCs/>
                <w:iCs/>
              </w:rPr>
              <w:t>nheten</w:t>
            </w:r>
          </w:p>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r w:rsidR="0037176C" w:rsidRPr="00C64954">
        <w:tblPrEx>
          <w:tblCellMar>
            <w:top w:w="0" w:type="dxa"/>
            <w:bottom w:w="0" w:type="dxa"/>
          </w:tblCellMar>
        </w:tblPrEx>
        <w:trPr>
          <w:trHeight w:val="284"/>
        </w:trPr>
        <w:tc>
          <w:tcPr>
            <w:tcW w:w="4911" w:type="dxa"/>
          </w:tcPr>
          <w:p w:rsidR="0037176C" w:rsidRPr="00C64954" w:rsidRDefault="0037176C">
            <w:pPr>
              <w:pStyle w:val="Avsndare"/>
              <w:framePr w:h="2483" w:wrap="notBeside" w:x="1504"/>
              <w:rPr>
                <w:bCs/>
                <w:iCs/>
              </w:rPr>
            </w:pPr>
          </w:p>
        </w:tc>
      </w:tr>
    </w:tbl>
    <w:p w:rsidR="0037176C" w:rsidRPr="00C64954" w:rsidRDefault="0037176C">
      <w:pPr>
        <w:framePr w:w="4400" w:h="2523" w:wrap="notBeside" w:vAnchor="page" w:hAnchor="page" w:x="6453" w:y="2445"/>
        <w:ind w:left="142"/>
        <w:rPr>
          <w:b/>
        </w:rPr>
      </w:pPr>
    </w:p>
    <w:p w:rsidR="0037176C" w:rsidRPr="00C64954" w:rsidRDefault="00F74D90">
      <w:pPr>
        <w:pStyle w:val="RKrubrik"/>
        <w:pBdr>
          <w:bottom w:val="single" w:sz="6" w:space="1" w:color="auto"/>
        </w:pBdr>
      </w:pPr>
      <w:bookmarkStart w:id="0" w:name="bRubrik"/>
      <w:bookmarkEnd w:id="0"/>
      <w:r w:rsidRPr="00C64954">
        <w:t>Meddelande från kommissionen ”Hållbara framtida transporter: Ett integrerat, teknikstyrt och användarvänligt transportsystem”</w:t>
      </w:r>
      <w:r w:rsidR="0037176C" w:rsidRPr="00C64954">
        <w:t xml:space="preserve"> </w:t>
      </w:r>
    </w:p>
    <w:p w:rsidR="0037176C" w:rsidRPr="00C64954" w:rsidRDefault="0037176C">
      <w:pPr>
        <w:pStyle w:val="RKrubrik"/>
      </w:pPr>
      <w:r w:rsidRPr="00C64954">
        <w:t>Dokumentbeteckning</w:t>
      </w:r>
    </w:p>
    <w:p w:rsidR="00F74D90" w:rsidRPr="00C64954" w:rsidRDefault="00F74D90" w:rsidP="00F74D90">
      <w:pPr>
        <w:pStyle w:val="RKnormal"/>
      </w:pPr>
      <w:r w:rsidRPr="00C64954">
        <w:t>11294/09 (KOM (279) slutlig)</w:t>
      </w:r>
    </w:p>
    <w:p w:rsidR="0037176C" w:rsidRPr="00C64954" w:rsidRDefault="006157A7" w:rsidP="00F74D90">
      <w:pPr>
        <w:pStyle w:val="RKnormal"/>
      </w:pPr>
      <w:r w:rsidRPr="00C64954">
        <w:t>13310/09</w:t>
      </w:r>
    </w:p>
    <w:p w:rsidR="0037176C" w:rsidRPr="00C64954" w:rsidRDefault="0037176C">
      <w:pPr>
        <w:pStyle w:val="RKrubrik"/>
      </w:pPr>
      <w:r w:rsidRPr="00C64954">
        <w:t>Sammanfattning</w:t>
      </w:r>
    </w:p>
    <w:p w:rsidR="0037176C" w:rsidRPr="00C64954" w:rsidRDefault="00F74D90">
      <w:pPr>
        <w:pStyle w:val="RKnormal"/>
      </w:pPr>
      <w:r w:rsidRPr="00C64954">
        <w:t>Meddelandet om Hållbara framtida transporter: Ett integrerat, teknikstyrt och användarvänligt transportsystem antogs av kommissionen den 17 juni 2009. Meddelandet och den konsultationsprocess som inleddes med meddelandet om Hållbara framtida transporter utgör viktiga utgångspunkter för vitboken om EU:s transportpolitik bortom 2010 som avses läggas fram under hösten 2010.</w:t>
      </w:r>
    </w:p>
    <w:p w:rsidR="0037176C" w:rsidRPr="00C64954" w:rsidRDefault="0037176C">
      <w:pPr>
        <w:pStyle w:val="RKrubrik"/>
        <w:rPr>
          <w:u w:val="single"/>
        </w:rPr>
      </w:pPr>
      <w:r w:rsidRPr="00C64954">
        <w:rPr>
          <w:u w:val="single"/>
        </w:rPr>
        <w:t>I Förslaget</w:t>
      </w:r>
    </w:p>
    <w:p w:rsidR="0037176C" w:rsidRPr="00C64954" w:rsidRDefault="0037176C">
      <w:pPr>
        <w:pStyle w:val="RKrubrik"/>
      </w:pPr>
      <w:r w:rsidRPr="00C64954">
        <w:t>1. Innehåll</w:t>
      </w:r>
    </w:p>
    <w:p w:rsidR="00F74D90" w:rsidRPr="00C64954" w:rsidRDefault="00F74D90" w:rsidP="00F74D90">
      <w:pPr>
        <w:pStyle w:val="RKnormal"/>
      </w:pPr>
      <w:r w:rsidRPr="00C64954">
        <w:t>Meddelandet innehåller en redovisning för utvecklingen av den gemensamma transportpolitiken 2000 – 2010 samt vilka frågor som återstår att hantera. Meddelandet beskriver också de viktigaste drivande faktorerna inom transportsektorn fram till seklets mitt och de utmaningar som dessa medför. Bland de omvärldsfaktorer som kommissionen nämner återfinns åldrande befolkning, migration och inre rörlighet, miljöutmaningar och begränsad tillgång på fossila bränslen.</w:t>
      </w:r>
    </w:p>
    <w:p w:rsidR="00F74D90" w:rsidRPr="00C64954" w:rsidRDefault="00F74D90" w:rsidP="00F74D90">
      <w:pPr>
        <w:pStyle w:val="RKnormal"/>
      </w:pPr>
    </w:p>
    <w:p w:rsidR="00F74D90" w:rsidRPr="00C64954" w:rsidRDefault="00F74D90" w:rsidP="00F74D90">
      <w:pPr>
        <w:pStyle w:val="RKnormal"/>
      </w:pPr>
      <w:r w:rsidRPr="00C64954">
        <w:t xml:space="preserve">Vidare innehåller meddelandet förslag på strategiska mål för det medellånga perspektivet som bör genomföras för att ta itu med de utmaningar som förutses uppstå inom sektorn. De främsta prioriteringarna anser kommissionen vara bättre integrering av olika transportslag för att förbättra transportsystemets effektivitet överlag, samt en snabbare </w:t>
      </w:r>
      <w:r w:rsidRPr="00C64954">
        <w:lastRenderedPageBreak/>
        <w:t>utveckling och tillämpning av ny teknik. Kommissionen framhåller särskilt att när politiken utformas måste detta ske utifrån transportanvändarnas och transportarbetarnas behov.</w:t>
      </w:r>
    </w:p>
    <w:p w:rsidR="00F74D90" w:rsidRPr="00C64954" w:rsidRDefault="00F74D90" w:rsidP="00F74D90">
      <w:pPr>
        <w:pStyle w:val="RKnormal"/>
      </w:pPr>
    </w:p>
    <w:p w:rsidR="00F74D90" w:rsidRPr="00C64954" w:rsidRDefault="00F74D90" w:rsidP="00F74D90">
      <w:pPr>
        <w:pStyle w:val="RKnormal"/>
      </w:pPr>
      <w:r w:rsidRPr="00C64954">
        <w:t>Kommissionen lyfter i sitt meddelande fram sju tänkbara breda politiska mål: högkvalitativa, säkra och trygga transporter; ett väl underhållet och fullt integrerat nätverk; miljövänliga hållbara transporter; EU måste gå i bräschen för utvecklingen av transporttjänster och teknik; skydd och utveckling av humankapitalet; smartare prissättning samt planering av transporter för förbättra tillgänglighet.</w:t>
      </w:r>
    </w:p>
    <w:p w:rsidR="00F74D90" w:rsidRPr="00C64954" w:rsidRDefault="00F74D90" w:rsidP="00F74D90">
      <w:pPr>
        <w:pStyle w:val="RKnormal"/>
      </w:pPr>
    </w:p>
    <w:p w:rsidR="00F74D90" w:rsidRPr="00C64954" w:rsidRDefault="00F74D90" w:rsidP="00F74D90">
      <w:pPr>
        <w:pStyle w:val="RKnormal"/>
      </w:pPr>
      <w:r w:rsidRPr="00C64954">
        <w:t>Avslutningsvis lägger kommissionen i sitt meddelande fram tankar på hur tillgängliga politiska instrument skulle kunna användas för att förverkliga de uppställda målen samtidigt som man lever upp till hållbarhetskraven. En rad förslag läggs fram så som mer välplanerad infrastruktur, utpekandet av gröna korridorer för att minska trängsel och miljöföroreningar, särskild utpekad infrastruktur för passagerar- och godstrafik, fullständigt genomförande av ett europeiskt område för sjötransporter utan hinder, informationssystem för att informera transportanvändare om tillgängliga och alternativa transportlösningar, elektronisk hantering av transporthandlingar och biljetter, stegvis strategi för internalisering externa kostnader för samtliga transpormedel, fastställandet av standarder för att bana väg för teknikutveckling, styra FoU mot hållbar rörlighet, utbildning, information och kampanjer för att höja medvetenheten bland allmänheten om transportpolitikens utmaningar samt nödvändigheten av att EU agerar samstämmigt i sina externa kontakter.</w:t>
      </w:r>
    </w:p>
    <w:p w:rsidR="00F74D90" w:rsidRPr="00C64954" w:rsidRDefault="00F74D90" w:rsidP="00F74D90">
      <w:pPr>
        <w:pStyle w:val="RKnormal"/>
      </w:pPr>
    </w:p>
    <w:p w:rsidR="0037176C" w:rsidRPr="00C64954" w:rsidRDefault="00F74D90" w:rsidP="00F74D90">
      <w:pPr>
        <w:pStyle w:val="RKnormal"/>
      </w:pPr>
      <w:r w:rsidRPr="00C64954">
        <w:t>I meddelandet inbjuder kommissionen till en kortare konsultationsprocess (30 september 2009) under vilken kommissionen vill ha alla tänkbara aktörers syn på de i meddelandet framlagda tankarna.</w:t>
      </w:r>
    </w:p>
    <w:p w:rsidR="0037176C" w:rsidRPr="00C64954" w:rsidRDefault="0037176C">
      <w:pPr>
        <w:pStyle w:val="RKrubrik"/>
      </w:pPr>
      <w:r w:rsidRPr="00C64954">
        <w:t>2. Gällande svenska regler och förslagets effekt på dessa</w:t>
      </w:r>
    </w:p>
    <w:p w:rsidR="0037176C" w:rsidRPr="00C64954" w:rsidRDefault="00F74D90">
      <w:pPr>
        <w:pStyle w:val="RKnormal"/>
      </w:pPr>
      <w:r w:rsidRPr="00C64954">
        <w:t xml:space="preserve">- </w:t>
      </w:r>
    </w:p>
    <w:p w:rsidR="0037176C" w:rsidRPr="00C64954" w:rsidRDefault="0037176C">
      <w:pPr>
        <w:pStyle w:val="RKrubrik"/>
      </w:pPr>
      <w:r w:rsidRPr="00C64954">
        <w:t xml:space="preserve">3. Budgetära konsekvenser </w:t>
      </w:r>
    </w:p>
    <w:p w:rsidR="0037176C" w:rsidRPr="00C64954" w:rsidRDefault="00F74D90">
      <w:pPr>
        <w:pStyle w:val="RKnormal"/>
      </w:pPr>
      <w:r w:rsidRPr="00C64954">
        <w:t xml:space="preserve">- </w:t>
      </w:r>
    </w:p>
    <w:p w:rsidR="0037176C" w:rsidRPr="00C64954" w:rsidRDefault="0037176C">
      <w:pPr>
        <w:pStyle w:val="RKrubrik"/>
        <w:rPr>
          <w:u w:val="single"/>
        </w:rPr>
      </w:pPr>
      <w:r w:rsidRPr="00C64954">
        <w:rPr>
          <w:u w:val="single"/>
        </w:rPr>
        <w:t>II Ståndpunkter</w:t>
      </w:r>
    </w:p>
    <w:p w:rsidR="0037176C" w:rsidRPr="00C64954" w:rsidRDefault="0037176C">
      <w:pPr>
        <w:pStyle w:val="RKrubrik"/>
      </w:pPr>
      <w:r w:rsidRPr="00C64954">
        <w:t xml:space="preserve">1. Svensk ståndpunkt </w:t>
      </w:r>
    </w:p>
    <w:p w:rsidR="00F74D90" w:rsidRPr="00C64954" w:rsidRDefault="00F74D90" w:rsidP="00F74D90">
      <w:r w:rsidRPr="00C64954">
        <w:t>Ett långsiktigt hållbart och konkurrenskraftigt europeiskt transportsystem är av grundläggande betydelse för Europas utveckling och välstånd. För att bidra till målsättningen med ett hållbart transportsystem prioriteras EU:s transportpolitik efter 2010 under det svenska EU-ordförandeskapet. Mot denna bakgrund välkomnas kommissionen meddelande och den debatt som förväntas följa.</w:t>
      </w:r>
    </w:p>
    <w:p w:rsidR="0037176C" w:rsidRPr="00C64954" w:rsidRDefault="0037176C">
      <w:pPr>
        <w:pStyle w:val="RKrubrik"/>
      </w:pPr>
      <w:r w:rsidRPr="00C64954">
        <w:t>2. Remissinstansernas ståndpunkter</w:t>
      </w:r>
    </w:p>
    <w:p w:rsidR="0037176C" w:rsidRPr="00C64954" w:rsidRDefault="00F74D90">
      <w:pPr>
        <w:pStyle w:val="RKnormal"/>
      </w:pPr>
      <w:r w:rsidRPr="00C64954">
        <w:t>Meddelandet har remitterats samt har behandlats vid en hearing. Ingen av instanserna är negativa till kommissionens meddelande. Även om vissa synpunkter finns, ses meddelandet i stort som en bra start - och utgångspunkt för den framtida transportpolitiken. Ett par instanser noterar att meddelandet i vissa hänseenden följer svenska prioriteringar. Transportgruppen, SIKA, Vägverket, Sjöfartsverket, Banverket och Transportstyrelsen är exempelvis positiva till utvecklandet av bl.a. intermodala transporter och gröna korridorer. Ett integrerat och välfungerande transportnät lyfts fram av många. Även vad som sägs i meddelandet om avgiftspolitiken får medhåll av SIKA, SKL, KTH, Vägverket, VTI, Transportgruppen, Företagarna och Transportarbetarförbundet.</w:t>
      </w:r>
    </w:p>
    <w:p w:rsidR="0037176C" w:rsidRPr="00C64954" w:rsidRDefault="0037176C">
      <w:pPr>
        <w:pStyle w:val="RKrubrik"/>
      </w:pPr>
      <w:r w:rsidRPr="00C64954">
        <w:t>III Övrigt</w:t>
      </w:r>
    </w:p>
    <w:p w:rsidR="0037176C" w:rsidRPr="00C64954" w:rsidRDefault="0037176C">
      <w:pPr>
        <w:pStyle w:val="RKrubrik"/>
      </w:pPr>
      <w:r w:rsidRPr="00C64954">
        <w:t>1. Fortsatt behandling av ärendet</w:t>
      </w:r>
    </w:p>
    <w:p w:rsidR="00165751" w:rsidRPr="00C64954" w:rsidRDefault="00165751" w:rsidP="00165751">
      <w:pPr>
        <w:pStyle w:val="RKnormal"/>
      </w:pPr>
    </w:p>
    <w:p w:rsidR="0037176C" w:rsidRPr="00C64954" w:rsidRDefault="00165751" w:rsidP="00165751">
      <w:pPr>
        <w:pStyle w:val="RKnormal"/>
      </w:pPr>
      <w:r w:rsidRPr="00C64954">
        <w:t xml:space="preserve">Meddelandet om den framtida europeiska transportpolitiken prioriteras under det svenska EU-ordförandeskapet. Bland de tänkta aktiviteterna är riktlinjedebatt vid TTE-rådet i oktober samt antagande av rådsslutsatser vid rådsmötet i december. </w:t>
      </w:r>
    </w:p>
    <w:p w:rsidR="0037176C" w:rsidRPr="00C64954" w:rsidRDefault="0037176C">
      <w:pPr>
        <w:pStyle w:val="RKrubrik"/>
      </w:pPr>
      <w:r w:rsidRPr="00C64954">
        <w:t>2. Rättslig grund och beslutsförfarande</w:t>
      </w:r>
    </w:p>
    <w:p w:rsidR="0037176C" w:rsidRPr="00C64954" w:rsidRDefault="00165751">
      <w:pPr>
        <w:pStyle w:val="RKnormal"/>
      </w:pPr>
      <w:r w:rsidRPr="00C64954">
        <w:t xml:space="preserve">- </w:t>
      </w:r>
    </w:p>
    <w:p w:rsidR="0037176C" w:rsidRPr="00C64954" w:rsidRDefault="0037176C">
      <w:pPr>
        <w:pStyle w:val="RKrubrik"/>
      </w:pPr>
      <w:r w:rsidRPr="00C64954">
        <w:t>3. Fackuttryck/termer</w:t>
      </w:r>
    </w:p>
    <w:p w:rsidR="0037176C" w:rsidRPr="00C64954" w:rsidRDefault="00165751">
      <w:pPr>
        <w:pStyle w:val="RKnormal"/>
      </w:pPr>
      <w:r w:rsidRPr="00C64954">
        <w:t xml:space="preserve">- </w:t>
      </w:r>
    </w:p>
    <w:p w:rsidR="0037176C" w:rsidRPr="00C64954" w:rsidRDefault="0037176C">
      <w:pPr>
        <w:pStyle w:val="RKrubrik"/>
        <w:spacing w:before="0" w:after="0"/>
      </w:pPr>
    </w:p>
    <w:p w:rsidR="0037176C" w:rsidRPr="00C64954" w:rsidRDefault="0037176C">
      <w:pPr>
        <w:pStyle w:val="RKnormal"/>
      </w:pPr>
    </w:p>
    <w:p w:rsidR="0037176C" w:rsidRPr="00C64954" w:rsidRDefault="0037176C">
      <w:pPr>
        <w:pStyle w:val="RKnormal"/>
      </w:pPr>
    </w:p>
    <w:sectPr w:rsidR="0037176C" w:rsidRPr="00C64954">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9D1" w:rsidRPr="00C64954" w:rsidRDefault="005709D1">
      <w:r w:rsidRPr="00C64954">
        <w:separator/>
      </w:r>
    </w:p>
  </w:endnote>
  <w:endnote w:type="continuationSeparator" w:id="0">
    <w:p w:rsidR="005709D1" w:rsidRPr="00C64954" w:rsidRDefault="005709D1">
      <w:r w:rsidRPr="00C64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9D1" w:rsidRPr="00C64954" w:rsidRDefault="005709D1">
      <w:r w:rsidRPr="00C64954">
        <w:separator/>
      </w:r>
    </w:p>
  </w:footnote>
  <w:footnote w:type="continuationSeparator" w:id="0">
    <w:p w:rsidR="005709D1" w:rsidRPr="00C64954" w:rsidRDefault="005709D1">
      <w:r w:rsidRPr="00C64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90" w:rsidRPr="00C64954" w:rsidRDefault="00F74D90">
    <w:pPr>
      <w:pStyle w:val="Sidhuvud"/>
      <w:framePr w:wrap="around" w:vAnchor="text" w:hAnchor="margin" w:xAlign="right" w:y="1"/>
      <w:rPr>
        <w:rStyle w:val="Sidnummer"/>
      </w:rPr>
    </w:pPr>
    <w:r w:rsidRPr="00C64954">
      <w:rPr>
        <w:rStyle w:val="Sidnummer"/>
      </w:rPr>
      <w:fldChar w:fldCharType="begin" w:fldLock="1"/>
    </w:r>
    <w:r w:rsidRPr="00C64954">
      <w:rPr>
        <w:rStyle w:val="Sidnummer"/>
      </w:rPr>
      <w:instrText xml:space="preserve">PAGE  </w:instrText>
    </w:r>
    <w:r w:rsidRPr="00C64954">
      <w:rPr>
        <w:rStyle w:val="Sidnummer"/>
      </w:rPr>
      <w:fldChar w:fldCharType="separate"/>
    </w:r>
    <w:r w:rsidR="00DE58A7" w:rsidRPr="00C64954">
      <w:rPr>
        <w:rStyle w:val="Sidnummer"/>
      </w:rPr>
      <w:t>2</w:t>
    </w:r>
    <w:r w:rsidRPr="00C64954">
      <w:rPr>
        <w:rStyle w:val="Sidnummer"/>
      </w:rPr>
      <w:fldChar w:fldCharType="end"/>
    </w:r>
  </w:p>
  <w:p w:rsidR="00F74D90" w:rsidRPr="00C64954" w:rsidRDefault="00F74D90">
    <w:pPr>
      <w:pStyle w:val="Sidhuvud"/>
      <w:ind w:right="360"/>
    </w:pPr>
  </w:p>
  <w:p w:rsidR="00F74D90" w:rsidRPr="00C64954" w:rsidRDefault="00F74D9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90" w:rsidRPr="00C64954" w:rsidRDefault="00F74D90">
    <w:pPr>
      <w:pStyle w:val="Sidhuvud"/>
      <w:framePr w:wrap="around" w:vAnchor="text" w:hAnchor="margin" w:xAlign="right" w:y="1"/>
      <w:rPr>
        <w:rStyle w:val="Sidnummer"/>
      </w:rPr>
    </w:pPr>
    <w:r w:rsidRPr="00C64954">
      <w:rPr>
        <w:rStyle w:val="Sidnummer"/>
      </w:rPr>
      <w:fldChar w:fldCharType="begin" w:fldLock="1"/>
    </w:r>
    <w:r w:rsidRPr="00C64954">
      <w:rPr>
        <w:rStyle w:val="Sidnummer"/>
      </w:rPr>
      <w:instrText xml:space="preserve">PAGE  </w:instrText>
    </w:r>
    <w:r w:rsidRPr="00C64954">
      <w:rPr>
        <w:rStyle w:val="Sidnummer"/>
      </w:rPr>
      <w:fldChar w:fldCharType="separate"/>
    </w:r>
    <w:r w:rsidR="00DE58A7" w:rsidRPr="00C64954">
      <w:rPr>
        <w:rStyle w:val="Sidnummer"/>
      </w:rPr>
      <w:t>3</w:t>
    </w:r>
    <w:r w:rsidRPr="00C64954">
      <w:rPr>
        <w:rStyle w:val="Sidnummer"/>
      </w:rPr>
      <w:fldChar w:fldCharType="end"/>
    </w:r>
  </w:p>
  <w:p w:rsidR="00F74D90" w:rsidRPr="00C64954" w:rsidRDefault="00F74D90">
    <w:pPr>
      <w:pStyle w:val="Sidhuvud"/>
      <w:ind w:right="360"/>
    </w:pPr>
  </w:p>
  <w:p w:rsidR="00F74D90" w:rsidRPr="00C64954" w:rsidRDefault="00F74D9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D90" w:rsidRPr="00C64954" w:rsidRDefault="00C64954">
    <w:pPr>
      <w:framePr w:w="2948" w:h="1321" w:hRule="exact" w:wrap="notBeside" w:vAnchor="page" w:hAnchor="page" w:x="1362" w:y="653"/>
    </w:pPr>
    <w:r w:rsidRPr="00C6495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74D90" w:rsidRPr="00C64954" w:rsidRDefault="00F74D90">
    <w:pPr>
      <w:pStyle w:val="RKrubrik"/>
      <w:keepNext w:val="0"/>
      <w:tabs>
        <w:tab w:val="clear" w:pos="1134"/>
        <w:tab w:val="clear" w:pos="2835"/>
      </w:tabs>
      <w:spacing w:before="0" w:after="0" w:line="320" w:lineRule="atLeast"/>
      <w:rPr>
        <w:bCs/>
      </w:rPr>
    </w:pPr>
  </w:p>
  <w:p w:rsidR="00F74D90" w:rsidRPr="00C64954" w:rsidRDefault="00F74D90">
    <w:pPr>
      <w:rPr>
        <w:rFonts w:ascii="TradeGothic" w:hAnsi="TradeGothic"/>
        <w:b/>
        <w:bCs/>
        <w:spacing w:val="12"/>
        <w:sz w:val="22"/>
      </w:rPr>
    </w:pPr>
  </w:p>
  <w:p w:rsidR="00F74D90" w:rsidRPr="00C64954" w:rsidRDefault="00F74D90">
    <w:pPr>
      <w:pStyle w:val="RKrubrik"/>
      <w:keepNext w:val="0"/>
      <w:tabs>
        <w:tab w:val="clear" w:pos="1134"/>
        <w:tab w:val="clear" w:pos="2835"/>
      </w:tabs>
      <w:spacing w:before="0" w:after="0" w:line="320" w:lineRule="atLeast"/>
      <w:rPr>
        <w:bCs/>
      </w:rPr>
    </w:pPr>
  </w:p>
  <w:p w:rsidR="00F74D90" w:rsidRPr="00C64954" w:rsidRDefault="00F74D9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D5E85"/>
    <w:rsid w:val="00165751"/>
    <w:rsid w:val="0037176C"/>
    <w:rsid w:val="005709D1"/>
    <w:rsid w:val="005D5E85"/>
    <w:rsid w:val="006157A7"/>
    <w:rsid w:val="00C64954"/>
    <w:rsid w:val="00DE58A7"/>
    <w:rsid w:val="00F74D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84EC06-FC29-44F6-BD28-9F5F7E5F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83702513-7A30-49C7-961A-477CAA48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54F550-DC6E-433B-8CEF-CF9ADFECD170}">
  <ds:schemaRefs>
    <ds:schemaRef ds:uri="http://schemas.microsoft.com/sharepoint/v3/contenttype/forms"/>
  </ds:schemaRefs>
</ds:datastoreItem>
</file>

<file path=customXml/itemProps3.xml><?xml version="1.0" encoding="utf-8"?>
<ds:datastoreItem xmlns:ds="http://schemas.openxmlformats.org/officeDocument/2006/customXml" ds:itemID="{4174245A-4BBF-414F-AEE0-B356BB54BB50}">
  <ds:schemaRefs>
    <ds:schemaRef ds:uri="http://schemas.microsoft.com/sharepoint/events"/>
  </ds:schemaRefs>
</ds:datastoreItem>
</file>

<file path=customXml/itemProps4.xml><?xml version="1.0" encoding="utf-8"?>
<ds:datastoreItem xmlns:ds="http://schemas.openxmlformats.org/officeDocument/2006/customXml" ds:itemID="{F175BE4D-E038-456F-9D92-5BF7CAF8C8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623</Words>
  <Characters>4365</Characters>
  <Application>Microsoft Office Word</Application>
  <DocSecurity>4</DocSecurity>
  <Lines>117</Lines>
  <Paragraphs>37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2025-12-17T23:53:00Z</dcterms:created>
  <dcterms:modified xsi:type="dcterms:W3CDTF">2025-12-17T23:53:00Z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