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41" w:rsidRPr="00DE675A" w:rsidRDefault="00067341" w:rsidP="00067341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67341" w:rsidRPr="00DE675A" w:rsidTr="00323FF1">
        <w:tc>
          <w:tcPr>
            <w:tcW w:w="9141" w:type="dxa"/>
          </w:tcPr>
          <w:p w:rsidR="00067341" w:rsidRPr="00DE675A" w:rsidRDefault="00067341" w:rsidP="00323FF1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RIKSDAGEN</w:t>
            </w:r>
          </w:p>
          <w:p w:rsidR="00067341" w:rsidRPr="00DE675A" w:rsidRDefault="00067341" w:rsidP="00323FF1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MILJÖ- OCH JORDBRUKSUTSKOTTET</w:t>
            </w:r>
          </w:p>
        </w:tc>
      </w:tr>
    </w:tbl>
    <w:p w:rsidR="00067341" w:rsidRPr="00DE675A" w:rsidRDefault="00067341" w:rsidP="00067341">
      <w:pPr>
        <w:rPr>
          <w:sz w:val="22"/>
          <w:szCs w:val="22"/>
        </w:rPr>
      </w:pPr>
    </w:p>
    <w:p w:rsidR="00067341" w:rsidRPr="00DE675A" w:rsidRDefault="00067341" w:rsidP="00067341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67341" w:rsidRPr="00DE675A" w:rsidTr="00323FF1">
        <w:trPr>
          <w:cantSplit/>
          <w:trHeight w:val="742"/>
        </w:trPr>
        <w:tc>
          <w:tcPr>
            <w:tcW w:w="1985" w:type="dxa"/>
          </w:tcPr>
          <w:p w:rsidR="00067341" w:rsidRPr="00DE675A" w:rsidRDefault="00067341" w:rsidP="00323FF1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067341" w:rsidRPr="00DE675A" w:rsidRDefault="00067341" w:rsidP="00323FF1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UTSKOTTSSAMMANTRÄDE 2021/22:</w:t>
            </w:r>
            <w:r w:rsidR="00002605" w:rsidRPr="00DE675A">
              <w:rPr>
                <w:b/>
                <w:sz w:val="22"/>
                <w:szCs w:val="22"/>
              </w:rPr>
              <w:t>5</w:t>
            </w:r>
            <w:r w:rsidR="00A707B7" w:rsidRPr="00DE675A">
              <w:rPr>
                <w:b/>
                <w:sz w:val="22"/>
                <w:szCs w:val="22"/>
              </w:rPr>
              <w:t>6</w:t>
            </w:r>
          </w:p>
        </w:tc>
      </w:tr>
      <w:tr w:rsidR="00067341" w:rsidRPr="00DE675A" w:rsidTr="00323FF1">
        <w:tc>
          <w:tcPr>
            <w:tcW w:w="1985" w:type="dxa"/>
          </w:tcPr>
          <w:p w:rsidR="00067341" w:rsidRPr="00DE675A" w:rsidRDefault="00067341" w:rsidP="00323FF1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067341" w:rsidRPr="00DE675A" w:rsidRDefault="00067341" w:rsidP="00323FF1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2022-06-</w:t>
            </w:r>
            <w:r w:rsidR="00077B94" w:rsidRPr="00DE675A">
              <w:rPr>
                <w:sz w:val="22"/>
                <w:szCs w:val="22"/>
              </w:rPr>
              <w:t>16</w:t>
            </w:r>
          </w:p>
        </w:tc>
      </w:tr>
      <w:tr w:rsidR="00067341" w:rsidRPr="00DE675A" w:rsidTr="00323FF1">
        <w:tc>
          <w:tcPr>
            <w:tcW w:w="1985" w:type="dxa"/>
          </w:tcPr>
          <w:p w:rsidR="00067341" w:rsidRPr="00DE675A" w:rsidRDefault="00067341" w:rsidP="00323FF1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067341" w:rsidRPr="00DE675A" w:rsidRDefault="00077B94" w:rsidP="00323FF1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10.00 </w:t>
            </w:r>
            <w:r w:rsidR="006D1D67" w:rsidRPr="00DE675A">
              <w:rPr>
                <w:sz w:val="22"/>
                <w:szCs w:val="22"/>
              </w:rPr>
              <w:t>–</w:t>
            </w:r>
            <w:r w:rsidRPr="00DE675A">
              <w:rPr>
                <w:sz w:val="22"/>
                <w:szCs w:val="22"/>
              </w:rPr>
              <w:t xml:space="preserve"> </w:t>
            </w:r>
            <w:r w:rsidR="006D1D67" w:rsidRPr="00DE675A">
              <w:rPr>
                <w:sz w:val="22"/>
                <w:szCs w:val="22"/>
              </w:rPr>
              <w:t>11.20</w:t>
            </w:r>
          </w:p>
        </w:tc>
      </w:tr>
      <w:tr w:rsidR="00067341" w:rsidRPr="00DE675A" w:rsidTr="00323FF1">
        <w:tc>
          <w:tcPr>
            <w:tcW w:w="1985" w:type="dxa"/>
          </w:tcPr>
          <w:p w:rsidR="00067341" w:rsidRPr="00DE675A" w:rsidRDefault="00067341" w:rsidP="00323FF1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067341" w:rsidRPr="00DE675A" w:rsidRDefault="00067341" w:rsidP="00323FF1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Se bilaga 1</w:t>
            </w:r>
          </w:p>
        </w:tc>
      </w:tr>
    </w:tbl>
    <w:p w:rsidR="00067341" w:rsidRPr="00DE675A" w:rsidRDefault="00067341" w:rsidP="00067341">
      <w:pPr>
        <w:rPr>
          <w:sz w:val="22"/>
          <w:szCs w:val="22"/>
        </w:rPr>
      </w:pPr>
    </w:p>
    <w:p w:rsidR="00067341" w:rsidRPr="00DE675A" w:rsidRDefault="00067341" w:rsidP="0006734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67341" w:rsidRPr="00DE675A" w:rsidRDefault="00067341" w:rsidP="00067341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16F88" w:rsidRPr="00DE675A" w:rsidTr="00323FF1">
        <w:tc>
          <w:tcPr>
            <w:tcW w:w="567" w:type="dxa"/>
          </w:tcPr>
          <w:p w:rsidR="00516F88" w:rsidRPr="00DE675A" w:rsidRDefault="00516F88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138C" w:rsidRPr="00DE675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077B94" w:rsidRPr="00DE675A" w:rsidRDefault="00077B94" w:rsidP="00077B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077B94" w:rsidRPr="00DE675A" w:rsidRDefault="00077B94" w:rsidP="00077B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77B94" w:rsidRPr="00DE675A" w:rsidRDefault="00077B94" w:rsidP="00077B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675A">
              <w:rPr>
                <w:snapToGrid w:val="0"/>
                <w:sz w:val="22"/>
                <w:szCs w:val="22"/>
              </w:rPr>
              <w:t>Utskottet justerade protokoll 2021/22:5</w:t>
            </w:r>
            <w:r w:rsidR="00CE17AB" w:rsidRPr="00DE675A">
              <w:rPr>
                <w:snapToGrid w:val="0"/>
                <w:sz w:val="22"/>
                <w:szCs w:val="22"/>
              </w:rPr>
              <w:t>4</w:t>
            </w:r>
            <w:r w:rsidRPr="00DE675A">
              <w:rPr>
                <w:snapToGrid w:val="0"/>
                <w:sz w:val="22"/>
                <w:szCs w:val="22"/>
              </w:rPr>
              <w:t xml:space="preserve">. </w:t>
            </w:r>
          </w:p>
          <w:p w:rsidR="00516F88" w:rsidRPr="00DE675A" w:rsidRDefault="00516F88" w:rsidP="00CF3AB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516F88" w:rsidRPr="00DE675A" w:rsidTr="00323FF1">
        <w:tc>
          <w:tcPr>
            <w:tcW w:w="567" w:type="dxa"/>
          </w:tcPr>
          <w:p w:rsidR="00516F88" w:rsidRPr="00DE675A" w:rsidRDefault="00516F88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138C" w:rsidRPr="00DE675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9D392A" w:rsidRPr="00DE675A" w:rsidRDefault="00077B94" w:rsidP="00CF3A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b/>
                <w:sz w:val="22"/>
                <w:szCs w:val="22"/>
                <w:lang w:eastAsia="en-US"/>
              </w:rPr>
              <w:t xml:space="preserve">Pausad höjning av reduktionsplikten för bensin och diesel 2023 (MJU31)                                               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9D392A" w:rsidRPr="00DE675A" w:rsidRDefault="009D392A" w:rsidP="009D392A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 behandlingen av prop. 2021/22:243 och motioner.</w:t>
            </w:r>
          </w:p>
          <w:p w:rsidR="009D392A" w:rsidRPr="00DE675A" w:rsidRDefault="009D392A" w:rsidP="009D392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justerade betänkandet 2021/22:MJU31. </w:t>
            </w:r>
          </w:p>
          <w:p w:rsidR="009D392A" w:rsidRPr="00DE675A" w:rsidRDefault="009D392A" w:rsidP="009D392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9D392A" w:rsidRPr="00DE675A" w:rsidRDefault="0096261D" w:rsidP="009D392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M-, SD-, KD-</w:t>
            </w:r>
            <w:r w:rsidR="000E6EB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E6EB9"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L- 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och MP</w:t>
            </w:r>
            <w:r w:rsidR="009D392A"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-ledamöterna anmälde reservationer. </w:t>
            </w:r>
            <w:r w:rsidR="009D392A"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="009D392A"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</w:t>
            </w:r>
            <w:r w:rsidR="009D392A"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-, 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KD</w:t>
            </w:r>
            <w:r w:rsidR="009D392A"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 och 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</w:t>
            </w:r>
            <w:r w:rsidR="009D392A"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-ledamöterna anmälde särskilda yttranden. </w:t>
            </w:r>
          </w:p>
          <w:p w:rsidR="00C133CB" w:rsidRPr="00DE675A" w:rsidRDefault="00C133CB" w:rsidP="00002605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</w:p>
        </w:tc>
      </w:tr>
      <w:tr w:rsidR="000D138C" w:rsidRPr="00DE675A" w:rsidTr="00323FF1">
        <w:tc>
          <w:tcPr>
            <w:tcW w:w="567" w:type="dxa"/>
          </w:tcPr>
          <w:p w:rsidR="000D138C" w:rsidRPr="00DE675A" w:rsidRDefault="000D138C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0D138C" w:rsidRPr="00DE675A" w:rsidRDefault="000D138C" w:rsidP="00CF3A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Ökade kolsänkor i skogs- och jordbrukssektorn</w:t>
            </w:r>
            <w:r w:rsidRPr="00DE67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Jordbruksverket, Naturvårdsverket och Skogsstyrelsen presenterade</w:t>
            </w:r>
            <w:r w:rsidR="004D3C9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på distans, 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slutsatserna i sin gemensamma rapport Förslag för ökade kolsänkor i skogs- och jordbrukssektorn - Underlagsrapport om LULUCF inom regeringsuppdraget om näringslivets klimatomställning (Naturvårdsverkets rapport 7046, april 2022).</w:t>
            </w:r>
          </w:p>
          <w:p w:rsidR="000D138C" w:rsidRPr="00DE675A" w:rsidRDefault="000D138C" w:rsidP="009D392A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67341" w:rsidRPr="00DE675A" w:rsidTr="00323FF1">
        <w:tc>
          <w:tcPr>
            <w:tcW w:w="567" w:type="dxa"/>
          </w:tcPr>
          <w:p w:rsidR="00067341" w:rsidRPr="00DE675A" w:rsidRDefault="00067341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6F88" w:rsidRPr="00DE675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077B94" w:rsidRPr="00DE675A" w:rsidRDefault="00077B94" w:rsidP="00077B94">
            <w:pPr>
              <w:widowControl/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eastAsia="en-US"/>
              </w:rPr>
            </w:pPr>
            <w:r w:rsidRPr="00DE675A">
              <w:rPr>
                <w:b/>
                <w:sz w:val="22"/>
                <w:szCs w:val="22"/>
                <w:lang w:eastAsia="en-US"/>
              </w:rPr>
              <w:t>Inkomna EU-dokument</w:t>
            </w:r>
          </w:p>
          <w:p w:rsidR="009D392A" w:rsidRPr="00DE675A" w:rsidRDefault="009D392A" w:rsidP="009D392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Inkomna EU-dokument enligt bilaga 2 anmäldes och föranledde ingen vidare åtgärd. </w:t>
            </w:r>
          </w:p>
          <w:p w:rsidR="00002605" w:rsidRPr="00DE675A" w:rsidRDefault="00002605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02605" w:rsidRPr="00DE675A" w:rsidTr="00323FF1">
        <w:tc>
          <w:tcPr>
            <w:tcW w:w="567" w:type="dxa"/>
          </w:tcPr>
          <w:p w:rsidR="00002605" w:rsidRPr="00DE675A" w:rsidRDefault="00002605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6F88" w:rsidRPr="00DE675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6D1D67" w:rsidRPr="00DE675A" w:rsidRDefault="00077B94" w:rsidP="00077B9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6D1D67" w:rsidRPr="00DE675A" w:rsidRDefault="006D1D67" w:rsidP="00077B9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Inkomna skrivelser enligt bilaga 3 anmäldes och lades till handlingarna. </w:t>
            </w:r>
          </w:p>
          <w:p w:rsidR="00002605" w:rsidRPr="00DE675A" w:rsidRDefault="00002605" w:rsidP="00C133C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732E" w:rsidRPr="00DE675A" w:rsidTr="00323FF1">
        <w:tc>
          <w:tcPr>
            <w:tcW w:w="567" w:type="dxa"/>
          </w:tcPr>
          <w:p w:rsidR="00D2732E" w:rsidRPr="00DE675A" w:rsidRDefault="00D2732E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E17AB" w:rsidRPr="00DE675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6D1D67" w:rsidRPr="00DE675A" w:rsidRDefault="006D1D67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>Överläggning om ekodesign</w:t>
            </w:r>
            <w:r w:rsidR="003877FF">
              <w:rPr>
                <w:b/>
                <w:snapToGrid w:val="0"/>
                <w:sz w:val="22"/>
                <w:szCs w:val="22"/>
              </w:rPr>
              <w:t xml:space="preserve"> tisdagen den 21 juni 2022</w:t>
            </w:r>
            <w:r w:rsidRPr="00DE675A">
              <w:rPr>
                <w:b/>
                <w:snapToGrid w:val="0"/>
                <w:sz w:val="22"/>
                <w:szCs w:val="22"/>
              </w:rPr>
              <w:br/>
            </w:r>
            <w:r w:rsidRPr="00DE675A">
              <w:rPr>
                <w:b/>
                <w:snapToGrid w:val="0"/>
                <w:sz w:val="22"/>
                <w:szCs w:val="22"/>
              </w:rPr>
              <w:br/>
            </w:r>
            <w:r w:rsidRPr="00DE67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informerade utskottet om </w:t>
            </w:r>
            <w:r w:rsidR="009B4F7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att </w:t>
            </w:r>
            <w:r w:rsidR="000E6EB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övertagit berednings-ansvaret för </w:t>
            </w:r>
            <w:r w:rsidRPr="00DE67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kommissionens förslag</w:t>
            </w:r>
            <w:r w:rsidRPr="00DE675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E6EB9" w:rsidRPr="000E6EB9">
              <w:rPr>
                <w:snapToGrid w:val="0"/>
                <w:sz w:val="22"/>
                <w:szCs w:val="22"/>
              </w:rPr>
              <w:t>Europaparlamentets och rådets förordning om upprättande av en ram för att fastställa krav på ekodesign för hållbara produkter och om upphävande av direktiv 2009/125/EG</w:t>
            </w:r>
            <w:r w:rsidR="000E6EB9">
              <w:rPr>
                <w:snapToGrid w:val="0"/>
                <w:sz w:val="22"/>
                <w:szCs w:val="22"/>
              </w:rPr>
              <w:t>,</w:t>
            </w:r>
            <w:r w:rsidR="000E6EB9" w:rsidRPr="000E6EB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E6EB9" w:rsidRPr="00DE675A">
              <w:rPr>
                <w:sz w:val="22"/>
                <w:szCs w:val="22"/>
              </w:rPr>
              <w:t>COM</w:t>
            </w:r>
            <w:r w:rsidR="000E6EB9">
              <w:rPr>
                <w:sz w:val="22"/>
                <w:szCs w:val="22"/>
              </w:rPr>
              <w:t xml:space="preserve"> </w:t>
            </w:r>
            <w:r w:rsidR="000E6EB9" w:rsidRPr="00DE675A">
              <w:rPr>
                <w:sz w:val="22"/>
                <w:szCs w:val="22"/>
              </w:rPr>
              <w:t>(2022) 142</w:t>
            </w:r>
            <w:r w:rsidR="000E6EB9">
              <w:rPr>
                <w:sz w:val="22"/>
                <w:szCs w:val="22"/>
              </w:rPr>
              <w:t xml:space="preserve">. Förslaget till rättsakt har </w:t>
            </w:r>
            <w:r w:rsidR="009B4F78">
              <w:rPr>
                <w:sz w:val="22"/>
                <w:szCs w:val="22"/>
              </w:rPr>
              <w:t xml:space="preserve">tidigare </w:t>
            </w:r>
            <w:r w:rsidR="000E6EB9">
              <w:rPr>
                <w:sz w:val="22"/>
                <w:szCs w:val="22"/>
              </w:rPr>
              <w:t>beretts</w:t>
            </w:r>
            <w:r w:rsidRPr="00DE675A">
              <w:rPr>
                <w:sz w:val="22"/>
                <w:szCs w:val="22"/>
              </w:rPr>
              <w:t xml:space="preserve"> av näringsutskottet. </w:t>
            </w:r>
            <w:r w:rsidR="000E6EB9">
              <w:rPr>
                <w:sz w:val="22"/>
                <w:szCs w:val="22"/>
              </w:rPr>
              <w:t>T</w:t>
            </w:r>
            <w:r w:rsidRPr="00DE675A">
              <w:rPr>
                <w:sz w:val="22"/>
                <w:szCs w:val="22"/>
              </w:rPr>
              <w:t>isdag den 21 juni 2022 kommer miljö- och jordbruksutskottet att överlägga med</w:t>
            </w:r>
            <w:r w:rsidR="004D3C92">
              <w:rPr>
                <w:sz w:val="22"/>
                <w:szCs w:val="22"/>
              </w:rPr>
              <w:t xml:space="preserve"> klimat- och miljöminister Annika Strandhäll,</w:t>
            </w:r>
            <w:r w:rsidRPr="00DE675A">
              <w:rPr>
                <w:sz w:val="22"/>
                <w:szCs w:val="22"/>
              </w:rPr>
              <w:t xml:space="preserve"> Miljödepartementet</w:t>
            </w:r>
            <w:r w:rsidR="000E6EB9">
              <w:rPr>
                <w:sz w:val="22"/>
                <w:szCs w:val="22"/>
              </w:rPr>
              <w:t>, om förslaget.</w:t>
            </w:r>
            <w:r w:rsidRPr="00DE675A">
              <w:rPr>
                <w:sz w:val="22"/>
                <w:szCs w:val="22"/>
              </w:rPr>
              <w:t xml:space="preserve"> </w:t>
            </w:r>
          </w:p>
          <w:p w:rsidR="00D2732E" w:rsidRPr="00DE675A" w:rsidRDefault="006D1D67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 </w:t>
            </w:r>
          </w:p>
        </w:tc>
      </w:tr>
      <w:tr w:rsidR="00067341" w:rsidRPr="00DE675A" w:rsidTr="00323FF1">
        <w:tc>
          <w:tcPr>
            <w:tcW w:w="567" w:type="dxa"/>
          </w:tcPr>
          <w:p w:rsidR="00067341" w:rsidRPr="00DE675A" w:rsidRDefault="00067341" w:rsidP="00323F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67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E17AB" w:rsidRPr="00DE675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067341" w:rsidRPr="00DE675A" w:rsidRDefault="00067341" w:rsidP="00323FF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E675A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067341" w:rsidRPr="00DE675A" w:rsidRDefault="00067341" w:rsidP="00323FF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67341" w:rsidRDefault="00067341" w:rsidP="00323FF1">
            <w:pPr>
              <w:rPr>
                <w:snapToGrid w:val="0"/>
                <w:sz w:val="22"/>
                <w:szCs w:val="22"/>
              </w:rPr>
            </w:pPr>
            <w:r w:rsidRPr="00DE675A">
              <w:rPr>
                <w:snapToGrid w:val="0"/>
                <w:sz w:val="22"/>
                <w:szCs w:val="22"/>
              </w:rPr>
              <w:t>Nästa sammanträde äger rum t</w:t>
            </w:r>
            <w:r w:rsidR="003877FF">
              <w:rPr>
                <w:snapToGrid w:val="0"/>
                <w:sz w:val="22"/>
                <w:szCs w:val="22"/>
              </w:rPr>
              <w:t>i</w:t>
            </w:r>
            <w:r w:rsidRPr="00DE675A">
              <w:rPr>
                <w:snapToGrid w:val="0"/>
                <w:sz w:val="22"/>
                <w:szCs w:val="22"/>
              </w:rPr>
              <w:t xml:space="preserve">sdagen den </w:t>
            </w:r>
            <w:r w:rsidR="003877FF">
              <w:rPr>
                <w:snapToGrid w:val="0"/>
                <w:sz w:val="22"/>
                <w:szCs w:val="22"/>
              </w:rPr>
              <w:t>21 juni</w:t>
            </w:r>
            <w:r w:rsidRPr="00DE675A">
              <w:rPr>
                <w:snapToGrid w:val="0"/>
                <w:sz w:val="22"/>
                <w:szCs w:val="22"/>
              </w:rPr>
              <w:t xml:space="preserve"> 2022 kl. </w:t>
            </w:r>
            <w:r w:rsidR="00C133CB" w:rsidRPr="00DE675A">
              <w:rPr>
                <w:snapToGrid w:val="0"/>
                <w:sz w:val="22"/>
                <w:szCs w:val="22"/>
              </w:rPr>
              <w:t>1</w:t>
            </w:r>
            <w:r w:rsidR="00077B94" w:rsidRPr="00DE675A">
              <w:rPr>
                <w:snapToGrid w:val="0"/>
                <w:sz w:val="22"/>
                <w:szCs w:val="22"/>
              </w:rPr>
              <w:t>1</w:t>
            </w:r>
            <w:r w:rsidRPr="00DE675A">
              <w:rPr>
                <w:snapToGrid w:val="0"/>
                <w:sz w:val="22"/>
                <w:szCs w:val="22"/>
              </w:rPr>
              <w:t>.</w:t>
            </w:r>
            <w:r w:rsidR="00077B94" w:rsidRPr="00DE675A">
              <w:rPr>
                <w:snapToGrid w:val="0"/>
                <w:sz w:val="22"/>
                <w:szCs w:val="22"/>
              </w:rPr>
              <w:t>0</w:t>
            </w:r>
            <w:r w:rsidRPr="00DE675A">
              <w:rPr>
                <w:snapToGrid w:val="0"/>
                <w:sz w:val="22"/>
                <w:szCs w:val="22"/>
              </w:rPr>
              <w:t>0</w:t>
            </w:r>
            <w:r w:rsidR="00D2732E" w:rsidRPr="00DE675A">
              <w:rPr>
                <w:snapToGrid w:val="0"/>
                <w:sz w:val="22"/>
                <w:szCs w:val="22"/>
              </w:rPr>
              <w:t>.</w:t>
            </w:r>
          </w:p>
          <w:p w:rsidR="00DE04C3" w:rsidRPr="00DE675A" w:rsidRDefault="00DE04C3" w:rsidP="00323FF1">
            <w:pPr>
              <w:rPr>
                <w:snapToGrid w:val="0"/>
                <w:sz w:val="22"/>
                <w:szCs w:val="22"/>
              </w:rPr>
            </w:pPr>
          </w:p>
          <w:p w:rsidR="00067341" w:rsidRPr="00DE675A" w:rsidRDefault="00067341" w:rsidP="00323FF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67341" w:rsidRPr="00DE675A" w:rsidTr="00323FF1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67341" w:rsidRPr="00DE675A" w:rsidRDefault="0006734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lastRenderedPageBreak/>
              <w:t>Vid protokollet</w:t>
            </w:r>
          </w:p>
          <w:p w:rsidR="00067341" w:rsidRPr="00DE675A" w:rsidRDefault="0006734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7341" w:rsidRPr="00DE675A" w:rsidRDefault="0006734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7341" w:rsidRPr="00DE675A" w:rsidRDefault="0006734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7341" w:rsidRPr="00DE675A" w:rsidRDefault="0006734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32BFD" w:rsidRPr="00DE675A" w:rsidRDefault="00932BFD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565B1" w:rsidRDefault="00A565B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565B1" w:rsidRDefault="00A565B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7341" w:rsidRPr="00DE675A" w:rsidRDefault="0006734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Justeras den </w:t>
            </w:r>
            <w:r w:rsidR="006D1D67" w:rsidRPr="00DE675A">
              <w:rPr>
                <w:sz w:val="22"/>
                <w:szCs w:val="22"/>
              </w:rPr>
              <w:t xml:space="preserve">22 juni </w:t>
            </w:r>
            <w:r w:rsidRPr="00DE675A">
              <w:rPr>
                <w:sz w:val="22"/>
                <w:szCs w:val="22"/>
              </w:rPr>
              <w:t>2022</w:t>
            </w:r>
          </w:p>
          <w:p w:rsidR="00067341" w:rsidRPr="00DE675A" w:rsidRDefault="00067341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67341" w:rsidRPr="00DE675A" w:rsidRDefault="00067341" w:rsidP="00323FF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67341" w:rsidRPr="00DE675A" w:rsidRDefault="00067341" w:rsidP="00323FF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67341" w:rsidRPr="00DE675A" w:rsidRDefault="00DE04C3" w:rsidP="00323FF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067341" w:rsidRPr="00DE675A" w:rsidRDefault="00067341" w:rsidP="00067341">
      <w:pPr>
        <w:tabs>
          <w:tab w:val="left" w:pos="1701"/>
        </w:tabs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</w:pPr>
    </w:p>
    <w:p w:rsidR="00067341" w:rsidRPr="00DE675A" w:rsidRDefault="00067341" w:rsidP="001806D9">
      <w:pPr>
        <w:pStyle w:val="Brdtext"/>
        <w:rPr>
          <w:sz w:val="22"/>
          <w:szCs w:val="22"/>
        </w:rPr>
        <w:sectPr w:rsidR="00067341" w:rsidRPr="00DE675A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DE675A" w:rsidTr="00940A4C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DE675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Hlk94254676"/>
            <w:r w:rsidRPr="00DE675A">
              <w:rPr>
                <w:sz w:val="22"/>
                <w:szCs w:val="22"/>
              </w:rPr>
              <w:lastRenderedPageBreak/>
              <w:br w:type="page"/>
            </w:r>
            <w:r w:rsidRPr="00DE675A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DE675A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DE675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 xml:space="preserve">Bilaga 1 </w:t>
            </w:r>
            <w:r w:rsidRPr="00DE675A">
              <w:rPr>
                <w:sz w:val="22"/>
                <w:szCs w:val="22"/>
              </w:rPr>
              <w:t xml:space="preserve">till </w:t>
            </w:r>
          </w:p>
          <w:p w:rsidR="009823FA" w:rsidRPr="00DE675A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prot. 20</w:t>
            </w:r>
            <w:r w:rsidR="007A1132" w:rsidRPr="00DE675A">
              <w:rPr>
                <w:sz w:val="22"/>
                <w:szCs w:val="22"/>
              </w:rPr>
              <w:t>2</w:t>
            </w:r>
            <w:r w:rsidR="007F4080" w:rsidRPr="00DE675A">
              <w:rPr>
                <w:sz w:val="22"/>
                <w:szCs w:val="22"/>
              </w:rPr>
              <w:t>1</w:t>
            </w:r>
            <w:r w:rsidRPr="00DE675A">
              <w:rPr>
                <w:sz w:val="22"/>
                <w:szCs w:val="22"/>
              </w:rPr>
              <w:t>/</w:t>
            </w:r>
            <w:r w:rsidR="000E777E" w:rsidRPr="00DE675A">
              <w:rPr>
                <w:sz w:val="22"/>
                <w:szCs w:val="22"/>
              </w:rPr>
              <w:t>2</w:t>
            </w:r>
            <w:r w:rsidR="007F4080" w:rsidRPr="00DE675A">
              <w:rPr>
                <w:sz w:val="22"/>
                <w:szCs w:val="22"/>
              </w:rPr>
              <w:t>2</w:t>
            </w:r>
            <w:r w:rsidR="00BC1103" w:rsidRPr="00DE675A">
              <w:rPr>
                <w:sz w:val="22"/>
                <w:szCs w:val="22"/>
              </w:rPr>
              <w:t>:</w:t>
            </w:r>
            <w:r w:rsidR="008353FB" w:rsidRPr="00DE675A">
              <w:rPr>
                <w:sz w:val="22"/>
                <w:szCs w:val="22"/>
              </w:rPr>
              <w:t>5</w:t>
            </w:r>
            <w:r w:rsidR="00091BED" w:rsidRPr="00DE675A">
              <w:rPr>
                <w:sz w:val="22"/>
                <w:szCs w:val="22"/>
              </w:rPr>
              <w:t>6</w:t>
            </w:r>
          </w:p>
        </w:tc>
      </w:tr>
      <w:tr w:rsidR="009823FA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E675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E675A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§ </w:t>
            </w:r>
            <w:r w:rsidR="00DF6184" w:rsidRPr="00DE675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E675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 </w:t>
            </w:r>
            <w:r w:rsidR="00107211" w:rsidRPr="00DE675A">
              <w:rPr>
                <w:sz w:val="22"/>
                <w:szCs w:val="22"/>
              </w:rPr>
              <w:t xml:space="preserve">§ </w:t>
            </w:r>
            <w:r w:rsidR="00F0042F" w:rsidRPr="00DE675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E675A" w:rsidRDefault="0010721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§ </w:t>
            </w:r>
            <w:r w:rsidR="00F0042F" w:rsidRPr="00DE675A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E675A" w:rsidRDefault="0010721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§ </w:t>
            </w:r>
            <w:r w:rsidR="00091BED" w:rsidRPr="00DE675A">
              <w:rPr>
                <w:sz w:val="22"/>
                <w:szCs w:val="22"/>
              </w:rPr>
              <w:t>4 - 7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E675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E675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V</w:t>
            </w: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DE675A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eastAsia="en-US"/>
              </w:rPr>
              <w:t>Kristina Yngwe (C),</w:t>
            </w:r>
            <w:r w:rsidRPr="00DE675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675A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DE675A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E675A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DE675A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DE675A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DE675A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DE675A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E675A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DE675A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DE675A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F0042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F0042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E25C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E25C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E25C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E25C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Magnus Manhammar (S)</w:t>
            </w:r>
            <w:r w:rsidR="002D66EA" w:rsidRPr="00DE675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E25C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E675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E675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E675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E675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F0042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E675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E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E675A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021A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E675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F0042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DE675A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Jakob Olofsgård</w:t>
            </w:r>
            <w:r w:rsidR="00B40F4D" w:rsidRPr="00DE675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021A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021A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021A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021A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DE675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091BE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DE675A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F0042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F0042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E675A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DF618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DE675A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DE675A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DE675A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10721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DE675A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E675A">
              <w:rPr>
                <w:sz w:val="22"/>
                <w:szCs w:val="22"/>
              </w:rPr>
              <w:t xml:space="preserve">Birger </w:t>
            </w:r>
            <w:r w:rsidRPr="00DE675A">
              <w:rPr>
                <w:sz w:val="22"/>
                <w:szCs w:val="22"/>
                <w:lang w:eastAsia="en-US"/>
              </w:rPr>
              <w:t>Lahti</w:t>
            </w:r>
            <w:r w:rsidRPr="00DE675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DE675A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E675A">
              <w:rPr>
                <w:sz w:val="22"/>
                <w:szCs w:val="22"/>
                <w:lang w:val="en-US"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DE67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E675A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Helena Storckenfeldt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091BED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2732E" w:rsidRPr="00DE675A" w:rsidTr="00940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D2732E" w:rsidRPr="00DE675A" w:rsidRDefault="00D2732E" w:rsidP="00D273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0"/>
    </w:tbl>
    <w:p w:rsidR="006D1D67" w:rsidRPr="00DE675A" w:rsidRDefault="006D1D67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6D1D67" w:rsidRPr="00DE675A" w:rsidTr="00837926">
        <w:tc>
          <w:tcPr>
            <w:tcW w:w="6532" w:type="dxa"/>
          </w:tcPr>
          <w:p w:rsidR="006D1D67" w:rsidRPr="00DE675A" w:rsidRDefault="006D1D67" w:rsidP="00837926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MILJÖ- OCH JORDBRUKSUTSKOTTET</w:t>
            </w:r>
          </w:p>
        </w:tc>
        <w:tc>
          <w:tcPr>
            <w:tcW w:w="2206" w:type="dxa"/>
          </w:tcPr>
          <w:p w:rsidR="006D1D67" w:rsidRPr="00DE675A" w:rsidRDefault="006D1D67" w:rsidP="00837926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:rsidR="006D1D67" w:rsidRPr="00DE675A" w:rsidRDefault="006D1D67" w:rsidP="00837926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 xml:space="preserve">Bilaga </w:t>
            </w:r>
            <w:r w:rsidR="00F66310">
              <w:rPr>
                <w:b/>
                <w:sz w:val="22"/>
                <w:szCs w:val="22"/>
              </w:rPr>
              <w:t>2</w:t>
            </w:r>
          </w:p>
          <w:p w:rsidR="006D1D67" w:rsidRPr="00DE675A" w:rsidRDefault="006D1D67" w:rsidP="00837926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till protokoll</w:t>
            </w:r>
          </w:p>
          <w:p w:rsidR="006D1D67" w:rsidRPr="00DE675A" w:rsidRDefault="006D1D67" w:rsidP="00837926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2021/22:56</w:t>
            </w:r>
          </w:p>
        </w:tc>
      </w:tr>
    </w:tbl>
    <w:p w:rsidR="006D1D67" w:rsidRPr="00DE675A" w:rsidRDefault="006D1D67" w:rsidP="006D1D67">
      <w:pPr>
        <w:widowControl/>
        <w:rPr>
          <w:sz w:val="22"/>
          <w:szCs w:val="22"/>
        </w:rPr>
      </w:pPr>
    </w:p>
    <w:p w:rsidR="00894CEC" w:rsidRPr="00DE675A" w:rsidRDefault="00894CEC" w:rsidP="00894CEC">
      <w:pPr>
        <w:tabs>
          <w:tab w:val="left" w:pos="11325"/>
        </w:tabs>
        <w:rPr>
          <w:b/>
          <w:bCs/>
          <w:sz w:val="22"/>
          <w:szCs w:val="22"/>
        </w:rPr>
      </w:pPr>
      <w:bookmarkStart w:id="1" w:name="RANGE!A1:E30"/>
    </w:p>
    <w:p w:rsidR="00894CEC" w:rsidRPr="00DE675A" w:rsidRDefault="00894CEC" w:rsidP="00894CEC">
      <w:pPr>
        <w:tabs>
          <w:tab w:val="left" w:pos="11325"/>
        </w:tabs>
        <w:rPr>
          <w:b/>
          <w:bCs/>
          <w:sz w:val="22"/>
          <w:szCs w:val="22"/>
        </w:rPr>
      </w:pPr>
      <w:r w:rsidRPr="00DE675A">
        <w:rPr>
          <w:b/>
          <w:bCs/>
          <w:sz w:val="22"/>
          <w:szCs w:val="22"/>
        </w:rPr>
        <w:t>Till MJU överlämnade dokument från EU:s institutioner m.m. 10 maj -13 juni 2022</w:t>
      </w:r>
      <w:r w:rsidRPr="00DE675A">
        <w:rPr>
          <w:b/>
          <w:bCs/>
          <w:sz w:val="22"/>
          <w:szCs w:val="22"/>
        </w:rPr>
        <w:br/>
      </w:r>
    </w:p>
    <w:p w:rsidR="00894CEC" w:rsidRPr="00DE675A" w:rsidRDefault="00894CEC" w:rsidP="00894CEC">
      <w:pPr>
        <w:rPr>
          <w:b/>
          <w:kern w:val="32"/>
          <w:sz w:val="22"/>
          <w:szCs w:val="22"/>
          <w:lang w:val="en-GB"/>
        </w:rPr>
      </w:pPr>
      <w:r w:rsidRPr="00DE675A">
        <w:rPr>
          <w:b/>
          <w:sz w:val="22"/>
          <w:szCs w:val="22"/>
        </w:rPr>
        <w:t>COM-dokument. (Kommissionens utkast till lagförslag och andra meddelanden från kommissionen inklusive det förberedande arbetet till lagförslag såsom grön- och vitböcker, rapporter m.m.)</w:t>
      </w:r>
      <w:r w:rsidRPr="00DE675A">
        <w:rPr>
          <w:b/>
          <w:sz w:val="22"/>
          <w:szCs w:val="22"/>
        </w:rPr>
        <w:br/>
      </w:r>
      <w:bookmarkEnd w:id="1"/>
    </w:p>
    <w:p w:rsidR="00894CEC" w:rsidRPr="00DE675A" w:rsidRDefault="00894CEC" w:rsidP="00894CEC">
      <w:pPr>
        <w:rPr>
          <w:b/>
          <w:kern w:val="32"/>
          <w:sz w:val="22"/>
          <w:szCs w:val="22"/>
        </w:rPr>
      </w:pPr>
    </w:p>
    <w:tbl>
      <w:tblPr>
        <w:tblW w:w="103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8455"/>
      </w:tblGrid>
      <w:tr w:rsidR="00894CEC" w:rsidRPr="00DE675A" w:rsidTr="00894CEC">
        <w:trPr>
          <w:trHeight w:val="572"/>
          <w:tblHeader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bCs/>
                <w:sz w:val="22"/>
                <w:szCs w:val="22"/>
              </w:rPr>
            </w:pPr>
            <w:r w:rsidRPr="00DE675A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Rubrik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199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Förslag till rådets beslut om undertecknande, på unionens vägnar, av det frivilliga partnerskapsavtalet mellan Europeiska unionen och Kooperativa Republiken </w:t>
            </w:r>
            <w:r w:rsidRPr="00DE675A">
              <w:rPr>
                <w:b/>
                <w:sz w:val="22"/>
                <w:szCs w:val="22"/>
              </w:rPr>
              <w:t xml:space="preserve">Guyana </w:t>
            </w:r>
            <w:r w:rsidRPr="00DE675A">
              <w:rPr>
                <w:sz w:val="22"/>
                <w:szCs w:val="22"/>
              </w:rPr>
              <w:t xml:space="preserve">om skogslagstiftningens efterlevnad samt </w:t>
            </w:r>
            <w:r w:rsidRPr="00DE675A">
              <w:rPr>
                <w:b/>
                <w:sz w:val="22"/>
                <w:szCs w:val="22"/>
              </w:rPr>
              <w:t>förvaltning av och handel med skog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200</w:t>
            </w:r>
            <w:r w:rsidRPr="00DE675A">
              <w:rPr>
                <w:sz w:val="22"/>
                <w:szCs w:val="22"/>
              </w:rPr>
              <w:br/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Förslag till rådets beslut om </w:t>
            </w:r>
            <w:r w:rsidRPr="00DE675A">
              <w:rPr>
                <w:sz w:val="22"/>
                <w:szCs w:val="22"/>
                <w:u w:val="single"/>
              </w:rPr>
              <w:t>ingående</w:t>
            </w:r>
            <w:r w:rsidRPr="00DE675A">
              <w:rPr>
                <w:sz w:val="22"/>
                <w:szCs w:val="22"/>
              </w:rPr>
              <w:t xml:space="preserve"> av det frivilliga partnerskapsavtalet mellan Europeiska unionen och Kooperativa republiken </w:t>
            </w:r>
            <w:r w:rsidRPr="00DE675A">
              <w:rPr>
                <w:b/>
                <w:sz w:val="22"/>
                <w:szCs w:val="22"/>
              </w:rPr>
              <w:t>Guyana</w:t>
            </w:r>
            <w:r w:rsidRPr="00DE675A">
              <w:rPr>
                <w:sz w:val="22"/>
                <w:szCs w:val="22"/>
              </w:rPr>
              <w:t xml:space="preserve"> om skogslagstiftningens efterlevnad samt </w:t>
            </w:r>
            <w:r w:rsidRPr="00DE675A">
              <w:rPr>
                <w:b/>
                <w:sz w:val="22"/>
                <w:szCs w:val="22"/>
              </w:rPr>
              <w:t>förvaltning av och handel med skog</w:t>
            </w:r>
          </w:p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225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RAPPORT från kommissionen till Europaparlamentet och rådet om </w:t>
            </w:r>
            <w:proofErr w:type="spellStart"/>
            <w:r w:rsidRPr="00DE675A">
              <w:rPr>
                <w:b/>
                <w:sz w:val="22"/>
                <w:szCs w:val="22"/>
              </w:rPr>
              <w:t>EGFJ:s</w:t>
            </w:r>
            <w:proofErr w:type="spellEnd"/>
            <w:r w:rsidRPr="00DE675A">
              <w:rPr>
                <w:sz w:val="22"/>
                <w:szCs w:val="22"/>
              </w:rPr>
              <w:t xml:space="preserve"> utgifter System för tidig varning nr </w:t>
            </w:r>
            <w:proofErr w:type="gramStart"/>
            <w:r w:rsidRPr="00DE675A">
              <w:rPr>
                <w:sz w:val="22"/>
                <w:szCs w:val="22"/>
              </w:rPr>
              <w:t>1-3</w:t>
            </w:r>
            <w:proofErr w:type="gramEnd"/>
            <w:r w:rsidRPr="00DE675A">
              <w:rPr>
                <w:sz w:val="22"/>
                <w:szCs w:val="22"/>
              </w:rPr>
              <w:t xml:space="preserve">/2022 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226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RAPPORT från kommissionen till Europaparlamentet och rådet Tillämpning av </w:t>
            </w:r>
            <w:r w:rsidRPr="00DE675A">
              <w:rPr>
                <w:b/>
                <w:sz w:val="22"/>
                <w:szCs w:val="22"/>
              </w:rPr>
              <w:t>EU:s hälso- och miljönormer på importerade jordbruks- och livsmedelsprodukter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242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Förslag till Europaparlamentets och rådets förordning om ändring av förordning (EU) nr 1305/2013 vad gäller en särskild åtgärd för att ge exceptionellt tillfälligt stöd inom ramen för </w:t>
            </w:r>
            <w:r w:rsidRPr="00DE675A">
              <w:rPr>
                <w:b/>
                <w:sz w:val="22"/>
                <w:szCs w:val="22"/>
              </w:rPr>
              <w:t>Europeiska jordbruksfonden för landsbygdsutveckling (</w:t>
            </w:r>
            <w:proofErr w:type="spellStart"/>
            <w:r w:rsidRPr="00DE675A">
              <w:rPr>
                <w:b/>
                <w:sz w:val="22"/>
                <w:szCs w:val="22"/>
              </w:rPr>
              <w:t>Ejflu</w:t>
            </w:r>
            <w:proofErr w:type="spellEnd"/>
            <w:r w:rsidRPr="00DE675A">
              <w:rPr>
                <w:b/>
                <w:sz w:val="22"/>
                <w:szCs w:val="22"/>
              </w:rPr>
              <w:t>) för att hantera effekterna av Rysslands invasion av Ukraina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253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Meddelande från kommissionen till Europaparlamentet och rådet </w:t>
            </w:r>
            <w:r w:rsidRPr="00DE675A">
              <w:rPr>
                <w:b/>
                <w:sz w:val="22"/>
                <w:szCs w:val="22"/>
              </w:rPr>
              <w:t>Mot ett mer hållbart fiske i EU: lägesrapport och riktlinjer för 2023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SWD(2022) 157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DE675A">
              <w:rPr>
                <w:sz w:val="22"/>
                <w:szCs w:val="22"/>
              </w:rPr>
              <w:t>Accompanying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document</w:t>
            </w:r>
            <w:proofErr w:type="spellEnd"/>
            <w:r w:rsidRPr="00DE675A">
              <w:rPr>
                <w:sz w:val="22"/>
                <w:szCs w:val="22"/>
              </w:rPr>
              <w:t xml:space="preserve"> Communication from the Commission to the </w:t>
            </w:r>
            <w:proofErr w:type="spellStart"/>
            <w:r w:rsidRPr="00DE675A">
              <w:rPr>
                <w:sz w:val="22"/>
                <w:szCs w:val="22"/>
              </w:rPr>
              <w:t>European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Parliament</w:t>
            </w:r>
            <w:proofErr w:type="spellEnd"/>
            <w:r w:rsidRPr="00DE675A">
              <w:rPr>
                <w:sz w:val="22"/>
                <w:szCs w:val="22"/>
              </w:rPr>
              <w:t xml:space="preserve"> and the Council </w:t>
            </w:r>
            <w:proofErr w:type="spellStart"/>
            <w:r w:rsidRPr="00DE675A">
              <w:rPr>
                <w:sz w:val="22"/>
                <w:szCs w:val="22"/>
              </w:rPr>
              <w:t>Towards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more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sustainable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fishing</w:t>
            </w:r>
            <w:proofErr w:type="spellEnd"/>
            <w:r w:rsidRPr="00DE675A">
              <w:rPr>
                <w:sz w:val="22"/>
                <w:szCs w:val="22"/>
              </w:rPr>
              <w:t xml:space="preserve"> in the EU: </w:t>
            </w:r>
            <w:proofErr w:type="spellStart"/>
            <w:r w:rsidRPr="00DE675A">
              <w:rPr>
                <w:sz w:val="22"/>
                <w:szCs w:val="22"/>
              </w:rPr>
              <w:t>state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play and </w:t>
            </w:r>
            <w:proofErr w:type="spellStart"/>
            <w:r w:rsidRPr="00DE675A">
              <w:rPr>
                <w:sz w:val="22"/>
                <w:szCs w:val="22"/>
              </w:rPr>
              <w:t>orientations</w:t>
            </w:r>
            <w:proofErr w:type="spellEnd"/>
            <w:r w:rsidRPr="00DE675A">
              <w:rPr>
                <w:sz w:val="22"/>
                <w:szCs w:val="22"/>
              </w:rPr>
              <w:t xml:space="preserve"> for 2023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263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Förslag till rådets beslut om bemyndigande för Republiken </w:t>
            </w:r>
            <w:r w:rsidRPr="00DE675A">
              <w:rPr>
                <w:b/>
                <w:sz w:val="22"/>
                <w:szCs w:val="22"/>
              </w:rPr>
              <w:t>Polen</w:t>
            </w:r>
            <w:r w:rsidRPr="00DE675A">
              <w:rPr>
                <w:sz w:val="22"/>
                <w:szCs w:val="22"/>
              </w:rPr>
              <w:t xml:space="preserve"> att, i Europeiska unionens intresse, ratificera ändringen av konventionen om bevarande och förvaltning av </w:t>
            </w:r>
            <w:proofErr w:type="spellStart"/>
            <w:r w:rsidRPr="00DE675A">
              <w:rPr>
                <w:b/>
                <w:sz w:val="22"/>
                <w:szCs w:val="22"/>
              </w:rPr>
              <w:t>sejresurserna</w:t>
            </w:r>
            <w:proofErr w:type="spellEnd"/>
            <w:r w:rsidRPr="00DE675A">
              <w:rPr>
                <w:b/>
                <w:sz w:val="22"/>
                <w:szCs w:val="22"/>
              </w:rPr>
              <w:t xml:space="preserve"> i centrala Berings hav</w:t>
            </w:r>
            <w:r w:rsidRPr="00DE675A">
              <w:rPr>
                <w:b/>
                <w:sz w:val="22"/>
                <w:szCs w:val="22"/>
              </w:rPr>
              <w:br/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275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Förslag till rådets förordning om ändring av förordning (EU) 2022/109 om fastställande för 2022 av fiskemöjligheterna avseende vissa fiskbestånd och grupper av fiskbestånd i unionens vatten och, för unionsfiskefartyg, i vissa andra vatten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COM(2022) 283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RAPPORT från kommissionen till Europaparlamentet, rådet, Europeiska ekonomiska och sociala kommittén SAMT Regionkommittén Lägesrapport om EU:s bioekonomistrategi EU:s bioekonomipolitik: genomgång och framtida utveckling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SWD(2022) 162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COMMISSION STAFF WORKING DOCUMENT </w:t>
            </w:r>
            <w:proofErr w:type="spellStart"/>
            <w:r w:rsidRPr="00DE675A">
              <w:rPr>
                <w:sz w:val="22"/>
                <w:szCs w:val="22"/>
              </w:rPr>
              <w:t>Accompanying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document</w:t>
            </w:r>
            <w:proofErr w:type="spellEnd"/>
            <w:r w:rsidRPr="00DE675A">
              <w:rPr>
                <w:sz w:val="22"/>
                <w:szCs w:val="22"/>
              </w:rPr>
              <w:t xml:space="preserve"> REPORT FROM THE COMMISSION TO THE EUROPEAN PARLIAMENT, THE COUNCIL, THE EUROPEAN ECONOMIC AND SOCIAL COMMITTEE AND THE COMMITTEE OF THE REGIONS EU </w:t>
            </w:r>
            <w:proofErr w:type="spellStart"/>
            <w:r w:rsidRPr="00DE675A">
              <w:rPr>
                <w:sz w:val="22"/>
                <w:szCs w:val="22"/>
              </w:rPr>
              <w:t>Bioeconomy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Strategy</w:t>
            </w:r>
            <w:proofErr w:type="spellEnd"/>
            <w:r w:rsidRPr="00DE675A">
              <w:rPr>
                <w:sz w:val="22"/>
                <w:szCs w:val="22"/>
              </w:rPr>
              <w:t xml:space="preserve"> Progress </w:t>
            </w:r>
            <w:proofErr w:type="spellStart"/>
            <w:r w:rsidRPr="00DE675A">
              <w:rPr>
                <w:sz w:val="22"/>
                <w:szCs w:val="22"/>
              </w:rPr>
              <w:t>Report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European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Bioeconomy</w:t>
            </w:r>
            <w:proofErr w:type="spellEnd"/>
            <w:r w:rsidRPr="00DE675A">
              <w:rPr>
                <w:sz w:val="22"/>
                <w:szCs w:val="22"/>
              </w:rPr>
              <w:t xml:space="preserve"> policy: </w:t>
            </w:r>
            <w:proofErr w:type="spellStart"/>
            <w:r w:rsidRPr="00DE675A">
              <w:rPr>
                <w:sz w:val="22"/>
                <w:szCs w:val="22"/>
              </w:rPr>
              <w:t>stocktaking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future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developments</w:t>
            </w:r>
            <w:proofErr w:type="spellEnd"/>
            <w:r w:rsidRPr="00DE675A">
              <w:rPr>
                <w:sz w:val="22"/>
                <w:szCs w:val="22"/>
              </w:rPr>
              <w:br/>
            </w:r>
          </w:p>
        </w:tc>
      </w:tr>
    </w:tbl>
    <w:p w:rsidR="00894CEC" w:rsidRPr="00DE675A" w:rsidRDefault="00894CEC" w:rsidP="00894CEC">
      <w:pPr>
        <w:rPr>
          <w:b/>
          <w:kern w:val="32"/>
          <w:sz w:val="22"/>
          <w:szCs w:val="22"/>
        </w:rPr>
      </w:pPr>
      <w:r w:rsidRPr="00DE675A">
        <w:rPr>
          <w:b/>
          <w:kern w:val="32"/>
          <w:sz w:val="22"/>
          <w:szCs w:val="22"/>
        </w:rPr>
        <w:lastRenderedPageBreak/>
        <w:br/>
      </w:r>
    </w:p>
    <w:p w:rsidR="00894CEC" w:rsidRPr="00DE675A" w:rsidRDefault="00894CEC" w:rsidP="00894CEC">
      <w:pPr>
        <w:rPr>
          <w:b/>
          <w:kern w:val="32"/>
          <w:sz w:val="22"/>
          <w:szCs w:val="22"/>
        </w:rPr>
      </w:pPr>
    </w:p>
    <w:p w:rsidR="00894CEC" w:rsidRPr="00DE675A" w:rsidRDefault="00894CEC" w:rsidP="00894CEC">
      <w:pPr>
        <w:rPr>
          <w:b/>
          <w:kern w:val="32"/>
          <w:sz w:val="22"/>
          <w:szCs w:val="22"/>
        </w:rPr>
      </w:pPr>
    </w:p>
    <w:p w:rsidR="00894CEC" w:rsidRPr="00DE675A" w:rsidRDefault="00894CEC" w:rsidP="00894CEC">
      <w:pPr>
        <w:rPr>
          <w:b/>
          <w:kern w:val="32"/>
          <w:sz w:val="22"/>
          <w:szCs w:val="22"/>
        </w:rPr>
      </w:pPr>
      <w:r w:rsidRPr="00DE675A">
        <w:rPr>
          <w:b/>
          <w:kern w:val="32"/>
          <w:sz w:val="22"/>
          <w:szCs w:val="22"/>
        </w:rPr>
        <w:t xml:space="preserve">C-dokument för kännedom. (Handlingar som rör rättsakter från kommissionens eget ansvarsområde, bl.a. genomförandeakter och delegerade akter som lämnats till rådet och parlamentet för kännedom.) </w:t>
      </w:r>
    </w:p>
    <w:p w:rsidR="00894CEC" w:rsidRPr="00DE675A" w:rsidRDefault="00894CEC" w:rsidP="00894CEC">
      <w:pPr>
        <w:rPr>
          <w:b/>
          <w:kern w:val="32"/>
          <w:sz w:val="22"/>
          <w:szCs w:val="22"/>
        </w:rPr>
      </w:pPr>
    </w:p>
    <w:tbl>
      <w:tblPr>
        <w:tblW w:w="103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8455"/>
      </w:tblGrid>
      <w:tr w:rsidR="00894CEC" w:rsidRPr="00DE675A" w:rsidTr="00894CEC">
        <w:trPr>
          <w:trHeight w:val="572"/>
          <w:tblHeader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bCs/>
                <w:sz w:val="22"/>
                <w:szCs w:val="22"/>
              </w:rPr>
            </w:pPr>
            <w:r w:rsidRPr="00DE675A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Rubrik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bCs/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C(2022) 3521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Kommissionens svar på motiverat yttrande enligt utlåtande 2021/22:MJU19 Subsidiaritetsprövning av kommissionens förslag till förordning om utsläppande på unionens marknad och export från unionen av vissa råvaror och produkter som är förknippade med avskogning och skogsförstörelse</w:t>
            </w:r>
          </w:p>
        </w:tc>
      </w:tr>
    </w:tbl>
    <w:p w:rsidR="00894CEC" w:rsidRPr="00DE675A" w:rsidRDefault="00894CEC" w:rsidP="00894CEC">
      <w:pPr>
        <w:rPr>
          <w:b/>
          <w:kern w:val="32"/>
          <w:sz w:val="22"/>
          <w:szCs w:val="22"/>
        </w:rPr>
      </w:pPr>
      <w:r w:rsidRPr="00DE675A">
        <w:rPr>
          <w:sz w:val="22"/>
          <w:szCs w:val="22"/>
        </w:rPr>
        <w:br/>
      </w:r>
    </w:p>
    <w:p w:rsidR="00894CEC" w:rsidRPr="00DE675A" w:rsidRDefault="00894CEC" w:rsidP="00894CEC">
      <w:pPr>
        <w:rPr>
          <w:b/>
          <w:kern w:val="32"/>
          <w:sz w:val="22"/>
          <w:szCs w:val="22"/>
        </w:rPr>
      </w:pPr>
    </w:p>
    <w:p w:rsidR="00894CEC" w:rsidRPr="00DE675A" w:rsidRDefault="00894CEC" w:rsidP="00894CEC">
      <w:pPr>
        <w:rPr>
          <w:b/>
          <w:kern w:val="32"/>
          <w:sz w:val="22"/>
          <w:szCs w:val="22"/>
        </w:rPr>
      </w:pPr>
      <w:r w:rsidRPr="00DE675A">
        <w:rPr>
          <w:b/>
          <w:kern w:val="32"/>
          <w:sz w:val="22"/>
          <w:szCs w:val="22"/>
        </w:rPr>
        <w:t xml:space="preserve">Övriga överlämnade dokument som rör EU-arbetet för kännedom. </w:t>
      </w:r>
    </w:p>
    <w:p w:rsidR="00894CEC" w:rsidRPr="00DE675A" w:rsidRDefault="00894CEC" w:rsidP="00894CEC">
      <w:pPr>
        <w:rPr>
          <w:b/>
          <w:kern w:val="32"/>
          <w:sz w:val="22"/>
          <w:szCs w:val="22"/>
        </w:rPr>
      </w:pPr>
    </w:p>
    <w:tbl>
      <w:tblPr>
        <w:tblW w:w="103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8455"/>
      </w:tblGrid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Fakta-PM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2021/22:FPM87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F-gasförordningen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2021/22:FPM86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Ozonförordningen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2021/22:FPM88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Ett reviderat industriutsläppsdirektiv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</w:p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Rådsmöten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br/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Rapport från Europeiska unionens Råd, Jordbruk och Fiske 24 maj 2022 i Bryssel</w:t>
            </w:r>
            <w:r w:rsidRPr="00DE675A">
              <w:rPr>
                <w:sz w:val="22"/>
                <w:szCs w:val="22"/>
              </w:rPr>
              <w:br/>
              <w:t>Rapport AGRIFISH 24 maj 2022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Samråd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 xml:space="preserve">Kommissionen har inlett samråd inom följande områden: 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spacing w:after="240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  <w:lang w:eastAsia="en-US"/>
              </w:rPr>
              <w:br/>
              <w:t>Direktivet om miljöansvar (utvärdering)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spacing w:after="240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br/>
              <w:t>Näringsläckage – handlingsplan för bättre hantering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  <w:lang w:eastAsia="en-US"/>
              </w:rPr>
            </w:pPr>
            <w:r w:rsidRPr="00DE675A">
              <w:rPr>
                <w:sz w:val="22"/>
                <w:szCs w:val="22"/>
                <w:lang w:eastAsia="en-US"/>
              </w:rPr>
              <w:t xml:space="preserve">Livsmedelssäkerhet: </w:t>
            </w:r>
            <w:r w:rsidRPr="00DE675A">
              <w:rPr>
                <w:sz w:val="22"/>
                <w:szCs w:val="22"/>
              </w:rPr>
              <w:t xml:space="preserve">https://ec.europa.eu/info/law/better-regulation/have-your-say/initiatives/13223-Mal-for-minskat-matsvinn_sv </w:t>
            </w:r>
          </w:p>
          <w:p w:rsidR="00894CEC" w:rsidRPr="00DE675A" w:rsidRDefault="00894CEC" w:rsidP="00837926">
            <w:pPr>
              <w:spacing w:after="240"/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bCs/>
                <w:sz w:val="22"/>
                <w:szCs w:val="22"/>
              </w:rPr>
            </w:pPr>
            <w:r w:rsidRPr="00DE675A">
              <w:rPr>
                <w:b/>
                <w:bCs/>
                <w:sz w:val="22"/>
                <w:szCs w:val="22"/>
              </w:rPr>
              <w:t>Färdplaner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Cs/>
                <w:sz w:val="22"/>
                <w:szCs w:val="22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br/>
            </w:r>
            <w:proofErr w:type="spellStart"/>
            <w:r w:rsidRPr="00DE675A">
              <w:rPr>
                <w:sz w:val="22"/>
                <w:szCs w:val="22"/>
              </w:rPr>
              <w:t>Evaluation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Ship Recycling </w:t>
            </w:r>
            <w:proofErr w:type="spellStart"/>
            <w:r w:rsidRPr="00DE675A">
              <w:rPr>
                <w:sz w:val="22"/>
                <w:szCs w:val="22"/>
              </w:rPr>
              <w:t>Regulation</w:t>
            </w:r>
            <w:proofErr w:type="spellEnd"/>
          </w:p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bCs/>
                <w:sz w:val="22"/>
                <w:szCs w:val="22"/>
              </w:rPr>
            </w:pPr>
            <w:r w:rsidRPr="00DE675A">
              <w:rPr>
                <w:b/>
                <w:bCs/>
                <w:sz w:val="22"/>
                <w:szCs w:val="22"/>
              </w:rPr>
              <w:t>Förutsedda dagordnings-</w:t>
            </w:r>
          </w:p>
          <w:p w:rsidR="00894CEC" w:rsidRPr="00DE675A" w:rsidRDefault="00894CEC" w:rsidP="00837926">
            <w:pPr>
              <w:rPr>
                <w:bCs/>
                <w:sz w:val="22"/>
                <w:szCs w:val="22"/>
              </w:rPr>
            </w:pPr>
            <w:r w:rsidRPr="00DE675A">
              <w:rPr>
                <w:b/>
                <w:bCs/>
                <w:sz w:val="22"/>
                <w:szCs w:val="22"/>
              </w:rPr>
              <w:t>punkter vid kommissionens sammanträden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Cs/>
                <w:sz w:val="22"/>
                <w:szCs w:val="22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  <w:p w:rsidR="00894CEC" w:rsidRPr="00DE675A" w:rsidRDefault="00894CEC" w:rsidP="008379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Förutsedda dagordningspunkter vid kommissionens sammanträden: den </w:t>
            </w:r>
            <w:r w:rsidRPr="00DE675A">
              <w:rPr>
                <w:bCs/>
                <w:color w:val="000000"/>
                <w:sz w:val="22"/>
                <w:szCs w:val="22"/>
              </w:rPr>
              <w:t>22 juni</w:t>
            </w:r>
            <w:r w:rsidRPr="00DE67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Gemensamt meddelande om internationell världshavsförvaltning </w:t>
            </w:r>
          </w:p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Revisionsrätten rapporter m.m.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Revisionsrättens förhandsbeskrivning 02/2022 av en revision av att EU ska bli världens näst största batteritillverkare </w:t>
            </w:r>
            <w:r w:rsidRPr="00DE675A">
              <w:rPr>
                <w:sz w:val="22"/>
                <w:szCs w:val="22"/>
              </w:rPr>
              <w:br/>
              <w:t>Revisionsrättens förhandsbeskrivning 02/2022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Revisionsrättens särskilda rapport 09/2022 Klimatutgifterna i EU:s budget för 2014–2020: inte lika stora som rapporterat</w:t>
            </w:r>
            <w:r w:rsidRPr="00DE675A">
              <w:rPr>
                <w:sz w:val="22"/>
                <w:szCs w:val="22"/>
              </w:rPr>
              <w:br/>
              <w:t>Revisionsrättens särskilda rapport 09/2022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b/>
                <w:color w:val="0000FF"/>
                <w:sz w:val="22"/>
                <w:szCs w:val="22"/>
                <w:u w:val="single"/>
              </w:rPr>
            </w:pPr>
            <w:r w:rsidRPr="00DE675A">
              <w:rPr>
                <w:b/>
                <w:sz w:val="22"/>
                <w:szCs w:val="22"/>
              </w:rPr>
              <w:t>Yttranden från andra nationella parlament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proofErr w:type="spellStart"/>
            <w:r w:rsidRPr="00DE675A">
              <w:rPr>
                <w:sz w:val="22"/>
                <w:szCs w:val="22"/>
              </w:rPr>
              <w:t>Proposal</w:t>
            </w:r>
            <w:proofErr w:type="spellEnd"/>
            <w:r w:rsidRPr="00DE675A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DE675A">
              <w:rPr>
                <w:sz w:val="22"/>
                <w:szCs w:val="22"/>
              </w:rPr>
              <w:t>amending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Regulation</w:t>
            </w:r>
            <w:proofErr w:type="spellEnd"/>
            <w:r w:rsidRPr="00DE675A">
              <w:rPr>
                <w:sz w:val="22"/>
                <w:szCs w:val="22"/>
              </w:rPr>
              <w:t xml:space="preserve"> (EU) 2016/1628 as </w:t>
            </w:r>
            <w:proofErr w:type="spellStart"/>
            <w:r w:rsidRPr="00DE675A">
              <w:rPr>
                <w:sz w:val="22"/>
                <w:szCs w:val="22"/>
              </w:rPr>
              <w:t>regards</w:t>
            </w:r>
            <w:proofErr w:type="spellEnd"/>
            <w:r w:rsidRPr="00DE675A">
              <w:rPr>
                <w:sz w:val="22"/>
                <w:szCs w:val="22"/>
              </w:rPr>
              <w:t xml:space="preserve"> the extension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empowerment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Commission to </w:t>
            </w:r>
            <w:proofErr w:type="spellStart"/>
            <w:r w:rsidRPr="00DE675A">
              <w:rPr>
                <w:sz w:val="22"/>
                <w:szCs w:val="22"/>
              </w:rPr>
              <w:t>adopt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delegated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acts</w:t>
            </w:r>
            <w:proofErr w:type="spellEnd"/>
            <w:r w:rsidRPr="00DE675A">
              <w:rPr>
                <w:sz w:val="22"/>
                <w:szCs w:val="22"/>
              </w:rPr>
              <w:t xml:space="preserve"> [7373/22- </w:t>
            </w:r>
            <w:proofErr w:type="gramStart"/>
            <w:r w:rsidRPr="00DE675A">
              <w:rPr>
                <w:sz w:val="22"/>
                <w:szCs w:val="22"/>
              </w:rPr>
              <w:t>COM(</w:t>
            </w:r>
            <w:proofErr w:type="gramEnd"/>
            <w:r w:rsidRPr="00DE675A">
              <w:rPr>
                <w:sz w:val="22"/>
                <w:szCs w:val="22"/>
              </w:rPr>
              <w:t xml:space="preserve">2022) 113 final] - Opinion on the </w:t>
            </w:r>
            <w:proofErr w:type="spellStart"/>
            <w:r w:rsidRPr="00DE675A">
              <w:rPr>
                <w:sz w:val="22"/>
                <w:szCs w:val="22"/>
              </w:rPr>
              <w:t>application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Principles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Subsidiarity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Proportionality</w:t>
            </w:r>
            <w:proofErr w:type="spellEnd"/>
            <w:r w:rsidRPr="00DE675A">
              <w:rPr>
                <w:sz w:val="22"/>
                <w:szCs w:val="22"/>
              </w:rPr>
              <w:t xml:space="preserve"> - The </w:t>
            </w:r>
            <w:proofErr w:type="spellStart"/>
            <w:r w:rsidRPr="00DE675A">
              <w:rPr>
                <w:sz w:val="22"/>
                <w:szCs w:val="22"/>
              </w:rPr>
              <w:t>Spanish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Parliament</w:t>
            </w:r>
            <w:proofErr w:type="spellEnd"/>
            <w:r w:rsidRPr="00DE675A">
              <w:rPr>
                <w:sz w:val="22"/>
                <w:szCs w:val="22"/>
              </w:rPr>
              <w:t xml:space="preserve"> (</w:t>
            </w:r>
            <w:proofErr w:type="spellStart"/>
            <w:r w:rsidRPr="00DE675A">
              <w:rPr>
                <w:sz w:val="22"/>
                <w:szCs w:val="22"/>
              </w:rPr>
              <w:t>Cortes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Generales</w:t>
            </w:r>
            <w:proofErr w:type="spellEnd"/>
            <w:r w:rsidRPr="00DE675A">
              <w:rPr>
                <w:sz w:val="22"/>
                <w:szCs w:val="22"/>
              </w:rPr>
              <w:t>)</w:t>
            </w:r>
            <w:r w:rsidRPr="00DE675A">
              <w:rPr>
                <w:sz w:val="22"/>
                <w:szCs w:val="22"/>
              </w:rPr>
              <w:br/>
              <w:t>ST 9134/22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proofErr w:type="spellStart"/>
            <w:r w:rsidRPr="00DE675A">
              <w:rPr>
                <w:sz w:val="22"/>
                <w:szCs w:val="22"/>
              </w:rPr>
              <w:t>Proposal</w:t>
            </w:r>
            <w:proofErr w:type="spellEnd"/>
            <w:r w:rsidRPr="00DE675A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DE675A">
              <w:rPr>
                <w:sz w:val="22"/>
                <w:szCs w:val="22"/>
              </w:rPr>
              <w:t>amending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Regulation</w:t>
            </w:r>
            <w:proofErr w:type="spellEnd"/>
            <w:r w:rsidRPr="00DE675A">
              <w:rPr>
                <w:sz w:val="22"/>
                <w:szCs w:val="22"/>
              </w:rPr>
              <w:t xml:space="preserve"> (EU) 2019/631 as </w:t>
            </w:r>
            <w:proofErr w:type="spellStart"/>
            <w:r w:rsidRPr="00DE675A">
              <w:rPr>
                <w:sz w:val="22"/>
                <w:szCs w:val="22"/>
              </w:rPr>
              <w:t>regards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strengthening</w:t>
            </w:r>
            <w:proofErr w:type="spellEnd"/>
            <w:r w:rsidRPr="00DE675A">
              <w:rPr>
                <w:sz w:val="22"/>
                <w:szCs w:val="22"/>
              </w:rPr>
              <w:t xml:space="preserve"> the CO2 emission </w:t>
            </w:r>
            <w:proofErr w:type="spellStart"/>
            <w:r w:rsidRPr="00DE675A">
              <w:rPr>
                <w:sz w:val="22"/>
                <w:szCs w:val="22"/>
              </w:rPr>
              <w:t>performance</w:t>
            </w:r>
            <w:proofErr w:type="spellEnd"/>
            <w:r w:rsidRPr="00DE675A">
              <w:rPr>
                <w:sz w:val="22"/>
                <w:szCs w:val="22"/>
              </w:rPr>
              <w:t xml:space="preserve"> standards for new </w:t>
            </w:r>
            <w:proofErr w:type="spellStart"/>
            <w:r w:rsidRPr="00DE675A">
              <w:rPr>
                <w:sz w:val="22"/>
                <w:szCs w:val="22"/>
              </w:rPr>
              <w:t>passenger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cars</w:t>
            </w:r>
            <w:proofErr w:type="spellEnd"/>
            <w:r w:rsidRPr="00DE675A">
              <w:rPr>
                <w:sz w:val="22"/>
                <w:szCs w:val="22"/>
              </w:rPr>
              <w:t xml:space="preserve"> and new </w:t>
            </w:r>
            <w:proofErr w:type="spellStart"/>
            <w:r w:rsidRPr="00DE675A">
              <w:rPr>
                <w:sz w:val="22"/>
                <w:szCs w:val="22"/>
              </w:rPr>
              <w:t>light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commercial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vehicles</w:t>
            </w:r>
            <w:proofErr w:type="spellEnd"/>
            <w:r w:rsidRPr="00DE675A">
              <w:rPr>
                <w:sz w:val="22"/>
                <w:szCs w:val="22"/>
              </w:rPr>
              <w:t xml:space="preserve"> in </w:t>
            </w:r>
            <w:proofErr w:type="spellStart"/>
            <w:r w:rsidRPr="00DE675A">
              <w:rPr>
                <w:sz w:val="22"/>
                <w:szCs w:val="22"/>
              </w:rPr>
              <w:t>line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with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Union’s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increased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climate</w:t>
            </w:r>
            <w:proofErr w:type="spellEnd"/>
            <w:r w:rsidRPr="00DE675A">
              <w:rPr>
                <w:sz w:val="22"/>
                <w:szCs w:val="22"/>
              </w:rPr>
              <w:t xml:space="preserve"> ambition - Opinion on the </w:t>
            </w:r>
            <w:proofErr w:type="spellStart"/>
            <w:r w:rsidRPr="00DE675A">
              <w:rPr>
                <w:sz w:val="22"/>
                <w:szCs w:val="22"/>
              </w:rPr>
              <w:t>application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Principles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Subsidiarity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Proportionality</w:t>
            </w:r>
            <w:proofErr w:type="spellEnd"/>
            <w:r w:rsidRPr="00DE675A">
              <w:rPr>
                <w:sz w:val="22"/>
                <w:szCs w:val="22"/>
              </w:rPr>
              <w:t xml:space="preserve"> - The </w:t>
            </w:r>
            <w:proofErr w:type="spellStart"/>
            <w:r w:rsidRPr="00DE675A">
              <w:rPr>
                <w:sz w:val="22"/>
                <w:szCs w:val="22"/>
              </w:rPr>
              <w:t>Italian</w:t>
            </w:r>
            <w:proofErr w:type="spellEnd"/>
            <w:r w:rsidRPr="00DE675A">
              <w:rPr>
                <w:sz w:val="22"/>
                <w:szCs w:val="22"/>
              </w:rPr>
              <w:t xml:space="preserve"> Chamber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Deputies</w:t>
            </w:r>
            <w:proofErr w:type="spellEnd"/>
            <w:r w:rsidRPr="00DE675A">
              <w:rPr>
                <w:sz w:val="22"/>
                <w:szCs w:val="22"/>
              </w:rPr>
              <w:br/>
              <w:t>ST 9715/22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proofErr w:type="spellStart"/>
            <w:r w:rsidRPr="00DE675A">
              <w:rPr>
                <w:sz w:val="22"/>
                <w:szCs w:val="22"/>
              </w:rPr>
              <w:t>Proposal</w:t>
            </w:r>
            <w:proofErr w:type="spellEnd"/>
            <w:r w:rsidRPr="00DE675A">
              <w:rPr>
                <w:sz w:val="22"/>
                <w:szCs w:val="22"/>
              </w:rPr>
              <w:t xml:space="preserve"> for a DIRECTIVE OF THE EUROPEAN PARLIAMENT AND OF THE COUNCIL </w:t>
            </w:r>
            <w:proofErr w:type="spellStart"/>
            <w:r w:rsidRPr="00DE675A">
              <w:rPr>
                <w:sz w:val="22"/>
                <w:szCs w:val="22"/>
              </w:rPr>
              <w:t>amending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Directive</w:t>
            </w:r>
            <w:proofErr w:type="spellEnd"/>
            <w:r w:rsidRPr="00DE675A">
              <w:rPr>
                <w:sz w:val="22"/>
                <w:szCs w:val="22"/>
              </w:rPr>
              <w:t xml:space="preserve"> 2003/87/EC </w:t>
            </w:r>
            <w:proofErr w:type="spellStart"/>
            <w:r w:rsidRPr="00DE675A">
              <w:rPr>
                <w:sz w:val="22"/>
                <w:szCs w:val="22"/>
              </w:rPr>
              <w:t>establishing</w:t>
            </w:r>
            <w:proofErr w:type="spellEnd"/>
            <w:r w:rsidRPr="00DE675A">
              <w:rPr>
                <w:sz w:val="22"/>
                <w:szCs w:val="22"/>
              </w:rPr>
              <w:t xml:space="preserve"> a system for greenhouse gas emission </w:t>
            </w:r>
            <w:proofErr w:type="spellStart"/>
            <w:r w:rsidRPr="00DE675A">
              <w:rPr>
                <w:sz w:val="22"/>
                <w:szCs w:val="22"/>
              </w:rPr>
              <w:t>allowance</w:t>
            </w:r>
            <w:proofErr w:type="spellEnd"/>
            <w:r w:rsidRPr="00DE675A">
              <w:rPr>
                <w:sz w:val="22"/>
                <w:szCs w:val="22"/>
              </w:rPr>
              <w:t xml:space="preserve"> trading </w:t>
            </w:r>
            <w:proofErr w:type="spellStart"/>
            <w:r w:rsidRPr="00DE675A">
              <w:rPr>
                <w:sz w:val="22"/>
                <w:szCs w:val="22"/>
              </w:rPr>
              <w:t>within</w:t>
            </w:r>
            <w:proofErr w:type="spellEnd"/>
            <w:r w:rsidRPr="00DE675A">
              <w:rPr>
                <w:sz w:val="22"/>
                <w:szCs w:val="22"/>
              </w:rPr>
              <w:t xml:space="preserve"> the Union, Decision (EU) 2015/1814 </w:t>
            </w:r>
            <w:proofErr w:type="spellStart"/>
            <w:r w:rsidRPr="00DE675A">
              <w:rPr>
                <w:sz w:val="22"/>
                <w:szCs w:val="22"/>
              </w:rPr>
              <w:t>concerning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establishment</w:t>
            </w:r>
            <w:proofErr w:type="spellEnd"/>
            <w:r w:rsidRPr="00DE675A">
              <w:rPr>
                <w:sz w:val="22"/>
                <w:szCs w:val="22"/>
              </w:rPr>
              <w:t xml:space="preserve"> and operation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a market </w:t>
            </w:r>
            <w:proofErr w:type="spellStart"/>
            <w:r w:rsidRPr="00DE675A">
              <w:rPr>
                <w:sz w:val="22"/>
                <w:szCs w:val="22"/>
              </w:rPr>
              <w:t>stability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reserve</w:t>
            </w:r>
            <w:proofErr w:type="spellEnd"/>
            <w:r w:rsidRPr="00DE675A">
              <w:rPr>
                <w:sz w:val="22"/>
                <w:szCs w:val="22"/>
              </w:rPr>
              <w:t xml:space="preserve"> for the Union greenhouse gas emission trading </w:t>
            </w:r>
            <w:proofErr w:type="spellStart"/>
            <w:r w:rsidRPr="00DE675A">
              <w:rPr>
                <w:sz w:val="22"/>
                <w:szCs w:val="22"/>
              </w:rPr>
              <w:t>scheme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Regulation</w:t>
            </w:r>
            <w:proofErr w:type="spellEnd"/>
            <w:r w:rsidRPr="00DE675A">
              <w:rPr>
                <w:sz w:val="22"/>
                <w:szCs w:val="22"/>
              </w:rPr>
              <w:t xml:space="preserve"> (EU) 2015/757 [10875/21 - COM (2021) 551 final] - Opinion on the </w:t>
            </w:r>
            <w:proofErr w:type="spellStart"/>
            <w:r w:rsidRPr="00DE675A">
              <w:rPr>
                <w:sz w:val="22"/>
                <w:szCs w:val="22"/>
              </w:rPr>
              <w:t>application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Principles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Subsidiarity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Proportionality</w:t>
            </w:r>
            <w:proofErr w:type="spellEnd"/>
            <w:r w:rsidRPr="00DE675A">
              <w:rPr>
                <w:sz w:val="22"/>
                <w:szCs w:val="22"/>
              </w:rPr>
              <w:t xml:space="preserve"> - The </w:t>
            </w:r>
            <w:proofErr w:type="spellStart"/>
            <w:r w:rsidRPr="00DE675A">
              <w:rPr>
                <w:sz w:val="22"/>
                <w:szCs w:val="22"/>
              </w:rPr>
              <w:t>Italian</w:t>
            </w:r>
            <w:proofErr w:type="spellEnd"/>
            <w:r w:rsidRPr="00DE675A">
              <w:rPr>
                <w:sz w:val="22"/>
                <w:szCs w:val="22"/>
              </w:rPr>
              <w:t xml:space="preserve"> Chamber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Deputies</w:t>
            </w:r>
            <w:proofErr w:type="spellEnd"/>
            <w:r w:rsidRPr="00DE675A">
              <w:rPr>
                <w:sz w:val="22"/>
                <w:szCs w:val="22"/>
              </w:rPr>
              <w:br/>
              <w:t>ST 9901/22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proofErr w:type="spellStart"/>
            <w:r w:rsidRPr="00DE675A">
              <w:rPr>
                <w:sz w:val="22"/>
                <w:szCs w:val="22"/>
              </w:rPr>
              <w:t>Proposal</w:t>
            </w:r>
            <w:proofErr w:type="spellEnd"/>
            <w:r w:rsidRPr="00DE675A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DE675A">
              <w:rPr>
                <w:sz w:val="22"/>
                <w:szCs w:val="22"/>
              </w:rPr>
              <w:t>amending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Regulations</w:t>
            </w:r>
            <w:proofErr w:type="spellEnd"/>
            <w:r w:rsidRPr="00DE675A">
              <w:rPr>
                <w:sz w:val="22"/>
                <w:szCs w:val="22"/>
              </w:rPr>
              <w:t xml:space="preserve"> (EU) 2018/841 as </w:t>
            </w:r>
            <w:proofErr w:type="spellStart"/>
            <w:r w:rsidRPr="00DE675A">
              <w:rPr>
                <w:sz w:val="22"/>
                <w:szCs w:val="22"/>
              </w:rPr>
              <w:t>regards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scope</w:t>
            </w:r>
            <w:proofErr w:type="spellEnd"/>
            <w:r w:rsidRPr="00DE675A">
              <w:rPr>
                <w:sz w:val="22"/>
                <w:szCs w:val="22"/>
              </w:rPr>
              <w:t xml:space="preserve">, </w:t>
            </w:r>
            <w:proofErr w:type="spellStart"/>
            <w:r w:rsidRPr="00DE675A">
              <w:rPr>
                <w:sz w:val="22"/>
                <w:szCs w:val="22"/>
              </w:rPr>
              <w:t>simplifying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compliance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rules</w:t>
            </w:r>
            <w:proofErr w:type="spellEnd"/>
            <w:r w:rsidRPr="00DE675A">
              <w:rPr>
                <w:sz w:val="22"/>
                <w:szCs w:val="22"/>
              </w:rPr>
              <w:t xml:space="preserve">, </w:t>
            </w:r>
            <w:proofErr w:type="spellStart"/>
            <w:r w:rsidRPr="00DE675A">
              <w:rPr>
                <w:sz w:val="22"/>
                <w:szCs w:val="22"/>
              </w:rPr>
              <w:t>setting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out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targets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Member</w:t>
            </w:r>
            <w:proofErr w:type="spellEnd"/>
            <w:r w:rsidRPr="00DE675A">
              <w:rPr>
                <w:sz w:val="22"/>
                <w:szCs w:val="22"/>
              </w:rPr>
              <w:t xml:space="preserve"> States for 2030 and </w:t>
            </w:r>
            <w:proofErr w:type="spellStart"/>
            <w:r w:rsidRPr="00DE675A">
              <w:rPr>
                <w:sz w:val="22"/>
                <w:szCs w:val="22"/>
              </w:rPr>
              <w:t>committing</w:t>
            </w:r>
            <w:proofErr w:type="spellEnd"/>
            <w:r w:rsidRPr="00DE675A">
              <w:rPr>
                <w:sz w:val="22"/>
                <w:szCs w:val="22"/>
              </w:rPr>
              <w:t xml:space="preserve"> to the </w:t>
            </w:r>
            <w:proofErr w:type="spellStart"/>
            <w:r w:rsidRPr="00DE675A">
              <w:rPr>
                <w:sz w:val="22"/>
                <w:szCs w:val="22"/>
              </w:rPr>
              <w:t>collective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achievement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climate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neutrality</w:t>
            </w:r>
            <w:proofErr w:type="spellEnd"/>
            <w:r w:rsidRPr="00DE675A">
              <w:rPr>
                <w:sz w:val="22"/>
                <w:szCs w:val="22"/>
              </w:rPr>
              <w:t xml:space="preserve"> by 2035 in the land </w:t>
            </w:r>
            <w:proofErr w:type="spellStart"/>
            <w:r w:rsidRPr="00DE675A">
              <w:rPr>
                <w:sz w:val="22"/>
                <w:szCs w:val="22"/>
              </w:rPr>
              <w:t>use</w:t>
            </w:r>
            <w:proofErr w:type="spellEnd"/>
            <w:r w:rsidRPr="00DE675A">
              <w:rPr>
                <w:sz w:val="22"/>
                <w:szCs w:val="22"/>
              </w:rPr>
              <w:t xml:space="preserve">, </w:t>
            </w:r>
            <w:proofErr w:type="spellStart"/>
            <w:r w:rsidRPr="00DE675A">
              <w:rPr>
                <w:sz w:val="22"/>
                <w:szCs w:val="22"/>
              </w:rPr>
              <w:t>forestry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agriculture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sector</w:t>
            </w:r>
            <w:proofErr w:type="spellEnd"/>
            <w:r w:rsidRPr="00DE675A">
              <w:rPr>
                <w:sz w:val="22"/>
                <w:szCs w:val="22"/>
              </w:rPr>
              <w:t xml:space="preserve">, and (EU) 2018/1999 as </w:t>
            </w:r>
            <w:proofErr w:type="spellStart"/>
            <w:r w:rsidRPr="00DE675A">
              <w:rPr>
                <w:sz w:val="22"/>
                <w:szCs w:val="22"/>
              </w:rPr>
              <w:t>regards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improvement</w:t>
            </w:r>
            <w:proofErr w:type="spellEnd"/>
            <w:r w:rsidRPr="00DE675A">
              <w:rPr>
                <w:sz w:val="22"/>
                <w:szCs w:val="22"/>
              </w:rPr>
              <w:t xml:space="preserve"> in </w:t>
            </w:r>
            <w:proofErr w:type="spellStart"/>
            <w:r w:rsidRPr="00DE675A">
              <w:rPr>
                <w:sz w:val="22"/>
                <w:szCs w:val="22"/>
              </w:rPr>
              <w:t>monitoring</w:t>
            </w:r>
            <w:proofErr w:type="spellEnd"/>
            <w:r w:rsidRPr="00DE675A">
              <w:rPr>
                <w:sz w:val="22"/>
                <w:szCs w:val="22"/>
              </w:rPr>
              <w:t xml:space="preserve">, </w:t>
            </w:r>
            <w:proofErr w:type="spellStart"/>
            <w:r w:rsidRPr="00DE675A">
              <w:rPr>
                <w:sz w:val="22"/>
                <w:szCs w:val="22"/>
              </w:rPr>
              <w:t>reporting</w:t>
            </w:r>
            <w:proofErr w:type="spellEnd"/>
            <w:r w:rsidRPr="00DE675A">
              <w:rPr>
                <w:sz w:val="22"/>
                <w:szCs w:val="22"/>
              </w:rPr>
              <w:t xml:space="preserve">, </w:t>
            </w:r>
            <w:proofErr w:type="spellStart"/>
            <w:r w:rsidRPr="00DE675A">
              <w:rPr>
                <w:sz w:val="22"/>
                <w:szCs w:val="22"/>
              </w:rPr>
              <w:t>tracking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progress and </w:t>
            </w:r>
            <w:proofErr w:type="spellStart"/>
            <w:r w:rsidRPr="00DE675A">
              <w:rPr>
                <w:sz w:val="22"/>
                <w:szCs w:val="22"/>
              </w:rPr>
              <w:t>review</w:t>
            </w:r>
            <w:proofErr w:type="spellEnd"/>
            <w:r w:rsidRPr="00DE675A">
              <w:rPr>
                <w:sz w:val="22"/>
                <w:szCs w:val="22"/>
              </w:rPr>
              <w:t xml:space="preserve"> [10857/21 - COM (2021) 554] - Opinion on the </w:t>
            </w:r>
            <w:proofErr w:type="spellStart"/>
            <w:r w:rsidRPr="00DE675A">
              <w:rPr>
                <w:sz w:val="22"/>
                <w:szCs w:val="22"/>
              </w:rPr>
              <w:t>application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Principles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Subsidiarity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Proportionality</w:t>
            </w:r>
            <w:proofErr w:type="spellEnd"/>
            <w:r w:rsidRPr="00DE675A">
              <w:rPr>
                <w:sz w:val="22"/>
                <w:szCs w:val="22"/>
              </w:rPr>
              <w:t xml:space="preserve"> - The </w:t>
            </w:r>
            <w:proofErr w:type="spellStart"/>
            <w:r w:rsidRPr="00DE675A">
              <w:rPr>
                <w:sz w:val="22"/>
                <w:szCs w:val="22"/>
              </w:rPr>
              <w:t>Italian</w:t>
            </w:r>
            <w:proofErr w:type="spellEnd"/>
            <w:r w:rsidRPr="00DE675A">
              <w:rPr>
                <w:sz w:val="22"/>
                <w:szCs w:val="22"/>
              </w:rPr>
              <w:t xml:space="preserve"> Chamber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Deputies</w:t>
            </w:r>
            <w:proofErr w:type="spellEnd"/>
            <w:r w:rsidRPr="00DE675A">
              <w:rPr>
                <w:sz w:val="22"/>
                <w:szCs w:val="22"/>
              </w:rPr>
              <w:br/>
              <w:t>ST 9848/22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proofErr w:type="spellStart"/>
            <w:r w:rsidRPr="00DE675A">
              <w:rPr>
                <w:sz w:val="22"/>
                <w:szCs w:val="22"/>
              </w:rPr>
              <w:t>Proposal</w:t>
            </w:r>
            <w:proofErr w:type="spellEnd"/>
            <w:r w:rsidRPr="00DE675A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DE675A">
              <w:rPr>
                <w:sz w:val="22"/>
                <w:szCs w:val="22"/>
              </w:rPr>
              <w:t>establishing</w:t>
            </w:r>
            <w:proofErr w:type="spellEnd"/>
            <w:r w:rsidRPr="00DE675A">
              <w:rPr>
                <w:sz w:val="22"/>
                <w:szCs w:val="22"/>
              </w:rPr>
              <w:t xml:space="preserve"> a Social Climate </w:t>
            </w:r>
            <w:proofErr w:type="spellStart"/>
            <w:r w:rsidRPr="00DE675A">
              <w:rPr>
                <w:sz w:val="22"/>
                <w:szCs w:val="22"/>
              </w:rPr>
              <w:t>Fund</w:t>
            </w:r>
            <w:proofErr w:type="spellEnd"/>
            <w:r w:rsidRPr="00DE675A">
              <w:rPr>
                <w:sz w:val="22"/>
                <w:szCs w:val="22"/>
              </w:rPr>
              <w:t xml:space="preserve"> [</w:t>
            </w:r>
            <w:proofErr w:type="gramStart"/>
            <w:r w:rsidRPr="00DE675A">
              <w:rPr>
                <w:sz w:val="22"/>
                <w:szCs w:val="22"/>
              </w:rPr>
              <w:t>10920</w:t>
            </w:r>
            <w:proofErr w:type="gramEnd"/>
            <w:r w:rsidRPr="00DE675A">
              <w:rPr>
                <w:sz w:val="22"/>
                <w:szCs w:val="22"/>
              </w:rPr>
              <w:t xml:space="preserve">/21 - COM (2021) 568] - Opinion on the </w:t>
            </w:r>
            <w:proofErr w:type="spellStart"/>
            <w:r w:rsidRPr="00DE675A">
              <w:rPr>
                <w:sz w:val="22"/>
                <w:szCs w:val="22"/>
              </w:rPr>
              <w:t>application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Principles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Subsidiarity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Proportionality</w:t>
            </w:r>
            <w:proofErr w:type="spellEnd"/>
            <w:r w:rsidRPr="00DE675A">
              <w:rPr>
                <w:sz w:val="22"/>
                <w:szCs w:val="22"/>
              </w:rPr>
              <w:t xml:space="preserve"> - The </w:t>
            </w:r>
            <w:proofErr w:type="spellStart"/>
            <w:r w:rsidRPr="00DE675A">
              <w:rPr>
                <w:sz w:val="22"/>
                <w:szCs w:val="22"/>
              </w:rPr>
              <w:t>Italian</w:t>
            </w:r>
            <w:proofErr w:type="spellEnd"/>
            <w:r w:rsidRPr="00DE675A">
              <w:rPr>
                <w:sz w:val="22"/>
                <w:szCs w:val="22"/>
              </w:rPr>
              <w:t xml:space="preserve"> Chamber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Deputies</w:t>
            </w:r>
            <w:proofErr w:type="spellEnd"/>
            <w:r w:rsidRPr="00DE675A">
              <w:rPr>
                <w:sz w:val="22"/>
                <w:szCs w:val="22"/>
              </w:rPr>
              <w:br/>
              <w:t>ST 9850/22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proofErr w:type="spellStart"/>
            <w:r w:rsidRPr="00DE675A">
              <w:rPr>
                <w:sz w:val="22"/>
                <w:szCs w:val="22"/>
              </w:rPr>
              <w:t>Proposal</w:t>
            </w:r>
            <w:proofErr w:type="spellEnd"/>
            <w:r w:rsidRPr="00DE675A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DE675A">
              <w:rPr>
                <w:sz w:val="22"/>
                <w:szCs w:val="22"/>
              </w:rPr>
              <w:t>amending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Regulation</w:t>
            </w:r>
            <w:proofErr w:type="spellEnd"/>
            <w:r w:rsidRPr="00DE675A">
              <w:rPr>
                <w:sz w:val="22"/>
                <w:szCs w:val="22"/>
              </w:rPr>
              <w:t xml:space="preserve"> (EU) 2018/842 on </w:t>
            </w:r>
            <w:proofErr w:type="spellStart"/>
            <w:r w:rsidRPr="00DE675A">
              <w:rPr>
                <w:sz w:val="22"/>
                <w:szCs w:val="22"/>
              </w:rPr>
              <w:t>binding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annual</w:t>
            </w:r>
            <w:proofErr w:type="spellEnd"/>
            <w:r w:rsidRPr="00DE675A">
              <w:rPr>
                <w:sz w:val="22"/>
                <w:szCs w:val="22"/>
              </w:rPr>
              <w:t xml:space="preserve"> greenhouse </w:t>
            </w:r>
            <w:proofErr w:type="gramStart"/>
            <w:r w:rsidRPr="00DE675A">
              <w:rPr>
                <w:sz w:val="22"/>
                <w:szCs w:val="22"/>
              </w:rPr>
              <w:t>gas emission</w:t>
            </w:r>
            <w:proofErr w:type="gram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reductions</w:t>
            </w:r>
            <w:proofErr w:type="spellEnd"/>
            <w:r w:rsidRPr="00DE675A">
              <w:rPr>
                <w:sz w:val="22"/>
                <w:szCs w:val="22"/>
              </w:rPr>
              <w:t xml:space="preserve"> by </w:t>
            </w:r>
            <w:proofErr w:type="spellStart"/>
            <w:r w:rsidRPr="00DE675A">
              <w:rPr>
                <w:sz w:val="22"/>
                <w:szCs w:val="22"/>
              </w:rPr>
              <w:t>Member</w:t>
            </w:r>
            <w:proofErr w:type="spellEnd"/>
            <w:r w:rsidRPr="00DE675A">
              <w:rPr>
                <w:sz w:val="22"/>
                <w:szCs w:val="22"/>
              </w:rPr>
              <w:t xml:space="preserve"> States from 2021 to 2030 </w:t>
            </w:r>
            <w:proofErr w:type="spellStart"/>
            <w:r w:rsidRPr="00DE675A">
              <w:rPr>
                <w:sz w:val="22"/>
                <w:szCs w:val="22"/>
              </w:rPr>
              <w:t>contributing</w:t>
            </w:r>
            <w:proofErr w:type="spellEnd"/>
            <w:r w:rsidRPr="00DE675A">
              <w:rPr>
                <w:sz w:val="22"/>
                <w:szCs w:val="22"/>
              </w:rPr>
              <w:t xml:space="preserve"> to </w:t>
            </w:r>
            <w:proofErr w:type="spellStart"/>
            <w:r w:rsidRPr="00DE675A">
              <w:rPr>
                <w:sz w:val="22"/>
                <w:szCs w:val="22"/>
              </w:rPr>
              <w:t>climate</w:t>
            </w:r>
            <w:proofErr w:type="spellEnd"/>
            <w:r w:rsidRPr="00DE675A">
              <w:rPr>
                <w:sz w:val="22"/>
                <w:szCs w:val="22"/>
              </w:rPr>
              <w:t xml:space="preserve"> action to </w:t>
            </w:r>
            <w:proofErr w:type="spellStart"/>
            <w:r w:rsidRPr="00DE675A">
              <w:rPr>
                <w:sz w:val="22"/>
                <w:szCs w:val="22"/>
              </w:rPr>
              <w:t>meet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commitments</w:t>
            </w:r>
            <w:proofErr w:type="spellEnd"/>
            <w:r w:rsidRPr="00DE675A">
              <w:rPr>
                <w:sz w:val="22"/>
                <w:szCs w:val="22"/>
              </w:rPr>
              <w:t xml:space="preserve"> under the Paris </w:t>
            </w:r>
            <w:proofErr w:type="spellStart"/>
            <w:r w:rsidRPr="00DE675A">
              <w:rPr>
                <w:sz w:val="22"/>
                <w:szCs w:val="22"/>
              </w:rPr>
              <w:t>Agreement</w:t>
            </w:r>
            <w:proofErr w:type="spellEnd"/>
            <w:r w:rsidRPr="00DE675A">
              <w:rPr>
                <w:sz w:val="22"/>
                <w:szCs w:val="22"/>
              </w:rPr>
              <w:t xml:space="preserve"> [10867/21 - COM (2021) 555 final] - Opinion on the </w:t>
            </w:r>
            <w:proofErr w:type="spellStart"/>
            <w:r w:rsidRPr="00DE675A">
              <w:rPr>
                <w:sz w:val="22"/>
                <w:szCs w:val="22"/>
              </w:rPr>
              <w:t>application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the </w:t>
            </w:r>
            <w:proofErr w:type="spellStart"/>
            <w:r w:rsidRPr="00DE675A">
              <w:rPr>
                <w:sz w:val="22"/>
                <w:szCs w:val="22"/>
              </w:rPr>
              <w:t>Principles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Subsidiarity</w:t>
            </w:r>
            <w:proofErr w:type="spellEnd"/>
            <w:r w:rsidRPr="00DE675A">
              <w:rPr>
                <w:sz w:val="22"/>
                <w:szCs w:val="22"/>
              </w:rPr>
              <w:t xml:space="preserve"> and </w:t>
            </w:r>
            <w:proofErr w:type="spellStart"/>
            <w:r w:rsidRPr="00DE675A">
              <w:rPr>
                <w:sz w:val="22"/>
                <w:szCs w:val="22"/>
              </w:rPr>
              <w:t>Proportionality</w:t>
            </w:r>
            <w:proofErr w:type="spellEnd"/>
            <w:r w:rsidRPr="00DE675A">
              <w:rPr>
                <w:sz w:val="22"/>
                <w:szCs w:val="22"/>
              </w:rPr>
              <w:t xml:space="preserve"> - The </w:t>
            </w:r>
            <w:proofErr w:type="spellStart"/>
            <w:r w:rsidRPr="00DE675A">
              <w:rPr>
                <w:sz w:val="22"/>
                <w:szCs w:val="22"/>
              </w:rPr>
              <w:t>Italian</w:t>
            </w:r>
            <w:proofErr w:type="spellEnd"/>
            <w:r w:rsidRPr="00DE675A">
              <w:rPr>
                <w:sz w:val="22"/>
                <w:szCs w:val="22"/>
              </w:rPr>
              <w:t xml:space="preserve"> Chamber </w:t>
            </w:r>
            <w:proofErr w:type="spellStart"/>
            <w:r w:rsidRPr="00DE675A">
              <w:rPr>
                <w:sz w:val="22"/>
                <w:szCs w:val="22"/>
              </w:rPr>
              <w:t>of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Deputies</w:t>
            </w:r>
            <w:proofErr w:type="spellEnd"/>
            <w:r w:rsidRPr="00DE675A">
              <w:rPr>
                <w:sz w:val="22"/>
                <w:szCs w:val="22"/>
              </w:rPr>
              <w:br/>
              <w:t>ST 9903/22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>Övrigt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 xml:space="preserve">Dokument som antogs av Europaparlamentet under sammanträdesperioden </w:t>
            </w:r>
            <w:proofErr w:type="gramStart"/>
            <w:r w:rsidRPr="00DE675A">
              <w:rPr>
                <w:sz w:val="22"/>
                <w:szCs w:val="22"/>
              </w:rPr>
              <w:t>4-7</w:t>
            </w:r>
            <w:proofErr w:type="gramEnd"/>
            <w:r w:rsidRPr="00DE675A">
              <w:rPr>
                <w:sz w:val="22"/>
                <w:szCs w:val="22"/>
              </w:rPr>
              <w:t xml:space="preserve"> april 2022</w:t>
            </w:r>
            <w:r w:rsidRPr="00DE675A">
              <w:rPr>
                <w:sz w:val="22"/>
                <w:szCs w:val="22"/>
              </w:rPr>
              <w:br/>
              <w:t>Dokument antagna av Europaparlamentet 4-7 mars 2022</w:t>
            </w:r>
            <w:r w:rsidRPr="00DE675A">
              <w:rPr>
                <w:sz w:val="22"/>
                <w:szCs w:val="22"/>
              </w:rPr>
              <w:br/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CF3AB9" w:rsidP="00837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94CEC" w:rsidRPr="00DE675A">
              <w:rPr>
                <w:sz w:val="22"/>
                <w:szCs w:val="22"/>
              </w:rPr>
              <w:t xml:space="preserve">okument som antogs av Europaparlamentet under sammanträdesperioden </w:t>
            </w:r>
            <w:proofErr w:type="gramStart"/>
            <w:r w:rsidR="00894CEC" w:rsidRPr="00DE675A">
              <w:rPr>
                <w:sz w:val="22"/>
                <w:szCs w:val="22"/>
              </w:rPr>
              <w:t>2-5</w:t>
            </w:r>
            <w:proofErr w:type="gramEnd"/>
            <w:r w:rsidR="00894CEC" w:rsidRPr="00DE675A">
              <w:rPr>
                <w:sz w:val="22"/>
                <w:szCs w:val="22"/>
              </w:rPr>
              <w:t xml:space="preserve"> maj 2022 </w:t>
            </w:r>
            <w:r w:rsidR="00894CEC" w:rsidRPr="00DE675A">
              <w:rPr>
                <w:sz w:val="22"/>
                <w:szCs w:val="22"/>
              </w:rPr>
              <w:br/>
              <w:t>Dokument antagna av Europaparlamentet 2-5 maj 2022</w:t>
            </w:r>
          </w:p>
        </w:tc>
      </w:tr>
      <w:tr w:rsidR="00894CEC" w:rsidRPr="00DE675A" w:rsidTr="00894CEC">
        <w:trPr>
          <w:trHeight w:val="572"/>
        </w:trPr>
        <w:tc>
          <w:tcPr>
            <w:tcW w:w="1900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color w:val="0000FF"/>
                <w:sz w:val="22"/>
                <w:szCs w:val="22"/>
                <w:u w:val="single"/>
              </w:rPr>
            </w:pPr>
            <w:r w:rsidRPr="00DE675A">
              <w:rPr>
                <w:sz w:val="22"/>
                <w:szCs w:val="22"/>
              </w:rPr>
              <w:t>Kalendarium Tjeckiens ordförandeskap</w:t>
            </w:r>
          </w:p>
        </w:tc>
        <w:tc>
          <w:tcPr>
            <w:tcW w:w="8455" w:type="dxa"/>
            <w:shd w:val="clear" w:color="auto" w:fill="auto"/>
            <w:vAlign w:val="center"/>
          </w:tcPr>
          <w:p w:rsidR="00894CEC" w:rsidRPr="00DE675A" w:rsidRDefault="00894CEC" w:rsidP="00837926">
            <w:pPr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1 juli – 31 december 2022</w:t>
            </w:r>
            <w:r w:rsidRPr="00DE675A">
              <w:rPr>
                <w:sz w:val="22"/>
                <w:szCs w:val="22"/>
              </w:rPr>
              <w:br/>
            </w:r>
            <w:proofErr w:type="spellStart"/>
            <w:r w:rsidRPr="00DE675A">
              <w:rPr>
                <w:sz w:val="22"/>
                <w:szCs w:val="22"/>
              </w:rPr>
              <w:t>Czech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Presidency</w:t>
            </w:r>
            <w:proofErr w:type="spellEnd"/>
            <w:r w:rsidRPr="00DE675A">
              <w:rPr>
                <w:sz w:val="22"/>
                <w:szCs w:val="22"/>
              </w:rPr>
              <w:t xml:space="preserve"> </w:t>
            </w:r>
            <w:proofErr w:type="spellStart"/>
            <w:r w:rsidRPr="00DE675A">
              <w:rPr>
                <w:sz w:val="22"/>
                <w:szCs w:val="22"/>
              </w:rPr>
              <w:t>Calendar</w:t>
            </w:r>
            <w:proofErr w:type="spellEnd"/>
          </w:p>
        </w:tc>
      </w:tr>
    </w:tbl>
    <w:p w:rsidR="00894CEC" w:rsidRPr="00DE675A" w:rsidRDefault="00894CEC" w:rsidP="00894CEC">
      <w:pPr>
        <w:rPr>
          <w:sz w:val="22"/>
          <w:szCs w:val="22"/>
          <w:lang w:val="en-US"/>
        </w:rPr>
      </w:pPr>
    </w:p>
    <w:p w:rsidR="00894CEC" w:rsidRPr="00DE675A" w:rsidRDefault="00894CEC" w:rsidP="00894CEC">
      <w:pPr>
        <w:rPr>
          <w:sz w:val="22"/>
          <w:szCs w:val="22"/>
          <w:lang w:val="en-US"/>
        </w:rPr>
      </w:pPr>
    </w:p>
    <w:p w:rsidR="00894CEC" w:rsidRPr="00DE675A" w:rsidRDefault="00894CEC" w:rsidP="00894CEC">
      <w:pPr>
        <w:rPr>
          <w:sz w:val="22"/>
          <w:szCs w:val="22"/>
          <w:lang w:val="en-US"/>
        </w:rPr>
      </w:pPr>
    </w:p>
    <w:p w:rsidR="006D1D67" w:rsidRDefault="006D1D67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Default="00F66310">
      <w:pPr>
        <w:widowControl/>
        <w:rPr>
          <w:sz w:val="22"/>
          <w:szCs w:val="22"/>
        </w:rPr>
      </w:pPr>
    </w:p>
    <w:p w:rsidR="00F66310" w:rsidRPr="00DE675A" w:rsidRDefault="00F66310" w:rsidP="00F66310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F66310" w:rsidRPr="00DE675A" w:rsidTr="006D5FF3">
        <w:tc>
          <w:tcPr>
            <w:tcW w:w="6532" w:type="dxa"/>
          </w:tcPr>
          <w:p w:rsidR="00F66310" w:rsidRPr="00DE675A" w:rsidRDefault="00F66310" w:rsidP="006D5FF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lastRenderedPageBreak/>
              <w:t>MILJÖ- OCH JORDBRUKSUTSKOTTET</w:t>
            </w:r>
          </w:p>
        </w:tc>
        <w:tc>
          <w:tcPr>
            <w:tcW w:w="2206" w:type="dxa"/>
          </w:tcPr>
          <w:p w:rsidR="00F66310" w:rsidRPr="00DE675A" w:rsidRDefault="00F66310" w:rsidP="006D5FF3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:rsidR="00F66310" w:rsidRPr="00DE675A" w:rsidRDefault="00F66310" w:rsidP="006D5FF3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DE675A">
              <w:rPr>
                <w:b/>
                <w:sz w:val="22"/>
                <w:szCs w:val="22"/>
              </w:rPr>
              <w:t xml:space="preserve">Bilaga </w:t>
            </w:r>
            <w:r>
              <w:rPr>
                <w:b/>
                <w:sz w:val="22"/>
                <w:szCs w:val="22"/>
              </w:rPr>
              <w:t>3</w:t>
            </w:r>
          </w:p>
          <w:p w:rsidR="00F66310" w:rsidRPr="00DE675A" w:rsidRDefault="00F66310" w:rsidP="006D5FF3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till protokoll</w:t>
            </w:r>
          </w:p>
          <w:p w:rsidR="00F66310" w:rsidRPr="00DE675A" w:rsidRDefault="00F66310" w:rsidP="006D5FF3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DE675A">
              <w:rPr>
                <w:sz w:val="22"/>
                <w:szCs w:val="22"/>
              </w:rPr>
              <w:t>2021/22:56</w:t>
            </w:r>
          </w:p>
        </w:tc>
      </w:tr>
    </w:tbl>
    <w:p w:rsidR="00F66310" w:rsidRPr="00DE675A" w:rsidRDefault="00F66310">
      <w:pPr>
        <w:widowControl/>
        <w:rPr>
          <w:sz w:val="22"/>
          <w:szCs w:val="22"/>
        </w:rPr>
      </w:pPr>
      <w:bookmarkStart w:id="2" w:name="_GoBack"/>
      <w:bookmarkEnd w:id="2"/>
    </w:p>
    <w:sectPr w:rsidR="00F66310" w:rsidRPr="00DE675A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53763"/>
    <w:multiLevelType w:val="multilevel"/>
    <w:tmpl w:val="F2D0AAE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3CCD5031"/>
    <w:multiLevelType w:val="hybridMultilevel"/>
    <w:tmpl w:val="411E8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52477"/>
    <w:multiLevelType w:val="multilevel"/>
    <w:tmpl w:val="4E58FE8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6" w15:restartNumberingAfterBreak="0">
    <w:nsid w:val="6B8345B9"/>
    <w:multiLevelType w:val="multilevel"/>
    <w:tmpl w:val="D94821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2605"/>
    <w:rsid w:val="00007222"/>
    <w:rsid w:val="00022E0C"/>
    <w:rsid w:val="00030C31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67341"/>
    <w:rsid w:val="00070A5C"/>
    <w:rsid w:val="00071FBC"/>
    <w:rsid w:val="00076BDD"/>
    <w:rsid w:val="00077B94"/>
    <w:rsid w:val="00086A67"/>
    <w:rsid w:val="00087ADB"/>
    <w:rsid w:val="00091BED"/>
    <w:rsid w:val="00091EA6"/>
    <w:rsid w:val="000A29E4"/>
    <w:rsid w:val="000D138C"/>
    <w:rsid w:val="000D519E"/>
    <w:rsid w:val="000E349B"/>
    <w:rsid w:val="000E402E"/>
    <w:rsid w:val="000E6EB9"/>
    <w:rsid w:val="000E777E"/>
    <w:rsid w:val="000F6792"/>
    <w:rsid w:val="000F7D9B"/>
    <w:rsid w:val="00102D5B"/>
    <w:rsid w:val="00102F93"/>
    <w:rsid w:val="00107211"/>
    <w:rsid w:val="001107C9"/>
    <w:rsid w:val="00111773"/>
    <w:rsid w:val="001201A1"/>
    <w:rsid w:val="001238B9"/>
    <w:rsid w:val="0014421B"/>
    <w:rsid w:val="001456EA"/>
    <w:rsid w:val="00154537"/>
    <w:rsid w:val="001576B4"/>
    <w:rsid w:val="00157C48"/>
    <w:rsid w:val="00157E3A"/>
    <w:rsid w:val="00161710"/>
    <w:rsid w:val="00164491"/>
    <w:rsid w:val="001654A6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13D0"/>
    <w:rsid w:val="001D7100"/>
    <w:rsid w:val="001E1F27"/>
    <w:rsid w:val="001E7749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0FB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D66EA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877FF"/>
    <w:rsid w:val="003941CA"/>
    <w:rsid w:val="00395EBD"/>
    <w:rsid w:val="00396766"/>
    <w:rsid w:val="003A006F"/>
    <w:rsid w:val="003A2D61"/>
    <w:rsid w:val="003A65AD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1F4F"/>
    <w:rsid w:val="00451DB7"/>
    <w:rsid w:val="004557F4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3C92"/>
    <w:rsid w:val="004D5AFA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16F88"/>
    <w:rsid w:val="00523D80"/>
    <w:rsid w:val="005249C1"/>
    <w:rsid w:val="00530BD4"/>
    <w:rsid w:val="0055441A"/>
    <w:rsid w:val="00554CAB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83D"/>
    <w:rsid w:val="005D2E63"/>
    <w:rsid w:val="005D7C2B"/>
    <w:rsid w:val="005E6A1F"/>
    <w:rsid w:val="005F6C39"/>
    <w:rsid w:val="005F6E22"/>
    <w:rsid w:val="005F77D4"/>
    <w:rsid w:val="0060083A"/>
    <w:rsid w:val="006135A6"/>
    <w:rsid w:val="00616F25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75F6F"/>
    <w:rsid w:val="0069597E"/>
    <w:rsid w:val="006A5E95"/>
    <w:rsid w:val="006A63A7"/>
    <w:rsid w:val="006C1EB7"/>
    <w:rsid w:val="006D05CF"/>
    <w:rsid w:val="006D0FD8"/>
    <w:rsid w:val="006D1D67"/>
    <w:rsid w:val="006D312E"/>
    <w:rsid w:val="006D4530"/>
    <w:rsid w:val="006D5F8F"/>
    <w:rsid w:val="006E15D9"/>
    <w:rsid w:val="006E7281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20C25"/>
    <w:rsid w:val="00821792"/>
    <w:rsid w:val="00830FAC"/>
    <w:rsid w:val="00834E22"/>
    <w:rsid w:val="008353FB"/>
    <w:rsid w:val="0084464A"/>
    <w:rsid w:val="008458B4"/>
    <w:rsid w:val="008504EB"/>
    <w:rsid w:val="00856389"/>
    <w:rsid w:val="00865092"/>
    <w:rsid w:val="00865C85"/>
    <w:rsid w:val="0087141A"/>
    <w:rsid w:val="008856C5"/>
    <w:rsid w:val="00886349"/>
    <w:rsid w:val="00894936"/>
    <w:rsid w:val="00894CEC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32BFD"/>
    <w:rsid w:val="00940A4C"/>
    <w:rsid w:val="009442D4"/>
    <w:rsid w:val="00952893"/>
    <w:rsid w:val="00955CA2"/>
    <w:rsid w:val="0096261D"/>
    <w:rsid w:val="009653D4"/>
    <w:rsid w:val="009802CA"/>
    <w:rsid w:val="00980A86"/>
    <w:rsid w:val="009812CF"/>
    <w:rsid w:val="00981E11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B4F78"/>
    <w:rsid w:val="009C0C9D"/>
    <w:rsid w:val="009C7ECE"/>
    <w:rsid w:val="009D2985"/>
    <w:rsid w:val="009D392A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565B1"/>
    <w:rsid w:val="00A645AD"/>
    <w:rsid w:val="00A64CA0"/>
    <w:rsid w:val="00A6580E"/>
    <w:rsid w:val="00A65C53"/>
    <w:rsid w:val="00A65CBD"/>
    <w:rsid w:val="00A67622"/>
    <w:rsid w:val="00A702BD"/>
    <w:rsid w:val="00A707B7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C1C6A"/>
    <w:rsid w:val="00AD2143"/>
    <w:rsid w:val="00AD2B50"/>
    <w:rsid w:val="00AD4908"/>
    <w:rsid w:val="00AD4D95"/>
    <w:rsid w:val="00AE0071"/>
    <w:rsid w:val="00AE6FBC"/>
    <w:rsid w:val="00AF70B0"/>
    <w:rsid w:val="00AF75B9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45385"/>
    <w:rsid w:val="00B53A91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13F8"/>
    <w:rsid w:val="00BB34FC"/>
    <w:rsid w:val="00BB375E"/>
    <w:rsid w:val="00BB59A8"/>
    <w:rsid w:val="00BB5D88"/>
    <w:rsid w:val="00BB7941"/>
    <w:rsid w:val="00BC03D5"/>
    <w:rsid w:val="00BC1103"/>
    <w:rsid w:val="00BD374B"/>
    <w:rsid w:val="00BE1EBF"/>
    <w:rsid w:val="00BF0D09"/>
    <w:rsid w:val="00BF17F3"/>
    <w:rsid w:val="00C013F6"/>
    <w:rsid w:val="00C11E5F"/>
    <w:rsid w:val="00C133CB"/>
    <w:rsid w:val="00C20B9F"/>
    <w:rsid w:val="00C20F78"/>
    <w:rsid w:val="00C21BEB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17AB"/>
    <w:rsid w:val="00CE3494"/>
    <w:rsid w:val="00CE39E2"/>
    <w:rsid w:val="00CE6ED5"/>
    <w:rsid w:val="00CF0661"/>
    <w:rsid w:val="00CF0B50"/>
    <w:rsid w:val="00CF3AB9"/>
    <w:rsid w:val="00CF4403"/>
    <w:rsid w:val="00CF7EA9"/>
    <w:rsid w:val="00D021A2"/>
    <w:rsid w:val="00D0483C"/>
    <w:rsid w:val="00D048DB"/>
    <w:rsid w:val="00D06FDE"/>
    <w:rsid w:val="00D11582"/>
    <w:rsid w:val="00D11D2D"/>
    <w:rsid w:val="00D139CC"/>
    <w:rsid w:val="00D1794C"/>
    <w:rsid w:val="00D2732E"/>
    <w:rsid w:val="00D27454"/>
    <w:rsid w:val="00D27A57"/>
    <w:rsid w:val="00D27BCE"/>
    <w:rsid w:val="00D303F8"/>
    <w:rsid w:val="00D30A97"/>
    <w:rsid w:val="00D46465"/>
    <w:rsid w:val="00D5250E"/>
    <w:rsid w:val="00D55E2E"/>
    <w:rsid w:val="00D5643B"/>
    <w:rsid w:val="00D75A18"/>
    <w:rsid w:val="00D779F6"/>
    <w:rsid w:val="00D830E6"/>
    <w:rsid w:val="00D87D66"/>
    <w:rsid w:val="00D94F64"/>
    <w:rsid w:val="00D95C10"/>
    <w:rsid w:val="00DA2C47"/>
    <w:rsid w:val="00DA34F3"/>
    <w:rsid w:val="00DA5AAC"/>
    <w:rsid w:val="00DB097B"/>
    <w:rsid w:val="00DB1D54"/>
    <w:rsid w:val="00DB491C"/>
    <w:rsid w:val="00DC305F"/>
    <w:rsid w:val="00DC4631"/>
    <w:rsid w:val="00DC46BF"/>
    <w:rsid w:val="00DC48A8"/>
    <w:rsid w:val="00DC6BB9"/>
    <w:rsid w:val="00DC7CE4"/>
    <w:rsid w:val="00DD06D6"/>
    <w:rsid w:val="00DD7DD7"/>
    <w:rsid w:val="00DE04C3"/>
    <w:rsid w:val="00DE45E6"/>
    <w:rsid w:val="00DE675A"/>
    <w:rsid w:val="00DF1920"/>
    <w:rsid w:val="00DF2A5B"/>
    <w:rsid w:val="00DF4E44"/>
    <w:rsid w:val="00DF6184"/>
    <w:rsid w:val="00DF69C9"/>
    <w:rsid w:val="00E0771A"/>
    <w:rsid w:val="00E1579E"/>
    <w:rsid w:val="00E20F9E"/>
    <w:rsid w:val="00E2386B"/>
    <w:rsid w:val="00E25C87"/>
    <w:rsid w:val="00E32CDB"/>
    <w:rsid w:val="00E43C72"/>
    <w:rsid w:val="00E44E30"/>
    <w:rsid w:val="00E47577"/>
    <w:rsid w:val="00E53E73"/>
    <w:rsid w:val="00E5474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042F"/>
    <w:rsid w:val="00F143DB"/>
    <w:rsid w:val="00F25AFF"/>
    <w:rsid w:val="00F52E1E"/>
    <w:rsid w:val="00F54B7B"/>
    <w:rsid w:val="00F6549A"/>
    <w:rsid w:val="00F65F54"/>
    <w:rsid w:val="00F66310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D375C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0240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7B9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616F25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40C8-0F45-4362-AACE-AF5C780C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1549</Words>
  <Characters>10162</Characters>
  <Application>Microsoft Office Word</Application>
  <DocSecurity>0</DocSecurity>
  <Lines>1129</Lines>
  <Paragraphs>344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5</cp:revision>
  <cp:lastPrinted>2022-05-20T14:44:00Z</cp:lastPrinted>
  <dcterms:created xsi:type="dcterms:W3CDTF">2022-06-17T14:38:00Z</dcterms:created>
  <dcterms:modified xsi:type="dcterms:W3CDTF">2022-08-16T11:43:00Z</dcterms:modified>
</cp:coreProperties>
</file>