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369FF">
        <w:tblPrEx>
          <w:tblCellMar>
            <w:top w:w="0" w:type="dxa"/>
            <w:bottom w:w="0" w:type="dxa"/>
          </w:tblCellMar>
        </w:tblPrEx>
        <w:trPr>
          <w:cantSplit/>
          <w:trHeight w:hRule="exact" w:val="1260"/>
        </w:trPr>
        <w:tc>
          <w:tcPr>
            <w:tcW w:w="6024" w:type="dxa"/>
            <w:gridSpan w:val="2"/>
            <w:vMerge w:val="restart"/>
          </w:tcPr>
          <w:p w:rsidR="00993171" w:rsidRPr="00F369FF" w:rsidRDefault="00993171">
            <w:pPr>
              <w:pStyle w:val="HuvudRubrik"/>
            </w:pPr>
            <w:bookmarkStart w:id="0" w:name="BetänkandeRubrik"/>
            <w:bookmarkEnd w:id="0"/>
            <w:r w:rsidRPr="00F369FF">
              <w:t>Utrikesutskottets yttrande</w:t>
            </w:r>
            <w:r w:rsidR="00F369FF" w:rsidRPr="00F369F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20564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93171" w:rsidRPr="00F369FF" w:rsidRDefault="00993171">
                                  <w:pPr>
                                    <w:pStyle w:val="Logo"/>
                                  </w:pPr>
                                  <w:r w:rsidRPr="00F369F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7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93171" w:rsidRPr="00F369FF" w:rsidRDefault="00993171">
                            <w:pPr>
                              <w:pStyle w:val="Logo"/>
                            </w:pPr>
                            <w:r w:rsidRPr="00F369FF">
                              <w:object w:dxaOrig="840" w:dyaOrig="1545">
                                <v:shape id="_x0000_i1025" type="#_x0000_t75" style="width:90.45pt;height:77.15pt" fillcolor="window">
                                  <v:imagedata r:id="rId6" o:title="" cropright="-75835f"/>
                                </v:shape>
                                <o:OLEObject Type="Embed" ProgID="Word.Picture.8" ShapeID="_x0000_i1025" DrawAspect="Content" ObjectID="_1827347975" r:id="rId8"/>
                              </w:object>
                            </w:r>
                          </w:p>
                        </w:txbxContent>
                      </v:textbox>
                      <w10:wrap anchorx="page" anchory="page"/>
                    </v:shape>
                  </w:pict>
                </mc:Fallback>
              </mc:AlternateContent>
            </w:r>
          </w:p>
          <w:p w:rsidR="00993171" w:rsidRPr="00F369FF" w:rsidRDefault="00993171">
            <w:pPr>
              <w:pStyle w:val="HuvudRubrikRad2"/>
            </w:pPr>
            <w:bookmarkStart w:id="17" w:name="BetänkandeNr"/>
            <w:bookmarkEnd w:id="17"/>
            <w:r w:rsidRPr="00F369FF">
              <w:t>1999/2000:UU5y</w:t>
            </w:r>
          </w:p>
          <w:p w:rsidR="00993171" w:rsidRPr="00F369FF" w:rsidRDefault="00993171">
            <w:pPr>
              <w:pStyle w:val="BetnkandeRubrik"/>
            </w:pPr>
            <w:bookmarkStart w:id="18" w:name="Huvudrubrik"/>
            <w:bookmarkEnd w:id="18"/>
            <w:r w:rsidRPr="00F369FF">
              <w:t>Preliminära ramar för utgiftsområde 5 Utrikesfö</w:t>
            </w:r>
            <w:r w:rsidRPr="00F369FF">
              <w:t>r</w:t>
            </w:r>
            <w:r w:rsidRPr="00F369FF">
              <w:t>valtning och internationell samverkan samt utgift</w:t>
            </w:r>
            <w:r w:rsidRPr="00F369FF">
              <w:t>s</w:t>
            </w:r>
            <w:r w:rsidRPr="00F369FF">
              <w:t>område 7 Internationellt bistånd</w:t>
            </w:r>
          </w:p>
        </w:tc>
        <w:tc>
          <w:tcPr>
            <w:tcW w:w="1559" w:type="dxa"/>
            <w:tcBorders>
              <w:bottom w:val="nil"/>
            </w:tcBorders>
          </w:tcPr>
          <w:p w:rsidR="00993171" w:rsidRPr="00F369FF" w:rsidRDefault="00993171">
            <w:pPr>
              <w:spacing w:before="0" w:line="230" w:lineRule="auto"/>
              <w:rPr>
                <w:sz w:val="24"/>
              </w:rPr>
            </w:pPr>
          </w:p>
        </w:tc>
      </w:tr>
      <w:tr w:rsidR="00000000" w:rsidRPr="00F369FF">
        <w:tblPrEx>
          <w:tblCellMar>
            <w:top w:w="0" w:type="dxa"/>
            <w:bottom w:w="0" w:type="dxa"/>
          </w:tblCellMar>
        </w:tblPrEx>
        <w:trPr>
          <w:cantSplit/>
          <w:trHeight w:hRule="exact" w:val="240"/>
        </w:trPr>
        <w:tc>
          <w:tcPr>
            <w:tcW w:w="6024" w:type="dxa"/>
            <w:gridSpan w:val="2"/>
            <w:vMerge/>
            <w:tcBorders>
              <w:top w:val="nil"/>
              <w:bottom w:val="nil"/>
            </w:tcBorders>
          </w:tcPr>
          <w:p w:rsidR="00993171" w:rsidRPr="00F369FF" w:rsidRDefault="00993171">
            <w:pPr>
              <w:spacing w:before="40" w:after="900" w:line="280" w:lineRule="exact"/>
              <w:jc w:val="left"/>
              <w:rPr>
                <w:sz w:val="28"/>
              </w:rPr>
            </w:pPr>
          </w:p>
        </w:tc>
        <w:tc>
          <w:tcPr>
            <w:tcW w:w="1559" w:type="dxa"/>
          </w:tcPr>
          <w:p w:rsidR="00993171" w:rsidRPr="00F369FF" w:rsidRDefault="00993171">
            <w:pPr>
              <w:pStyle w:val="rtal"/>
            </w:pPr>
            <w:r w:rsidRPr="00F369FF">
              <w:t>1999/2000</w:t>
            </w:r>
          </w:p>
        </w:tc>
      </w:tr>
      <w:tr w:rsidR="00000000" w:rsidRPr="00F369FF">
        <w:tblPrEx>
          <w:tblCellMar>
            <w:top w:w="0" w:type="dxa"/>
            <w:bottom w:w="0" w:type="dxa"/>
          </w:tblCellMar>
        </w:tblPrEx>
        <w:trPr>
          <w:cantSplit/>
          <w:trHeight w:val="560"/>
        </w:trPr>
        <w:tc>
          <w:tcPr>
            <w:tcW w:w="6024" w:type="dxa"/>
            <w:gridSpan w:val="2"/>
            <w:vMerge/>
            <w:tcBorders>
              <w:top w:val="nil"/>
              <w:bottom w:val="single" w:sz="6" w:space="0" w:color="auto"/>
            </w:tcBorders>
          </w:tcPr>
          <w:p w:rsidR="00993171" w:rsidRPr="00F369FF" w:rsidRDefault="00993171">
            <w:pPr>
              <w:spacing w:before="40" w:after="900" w:line="280" w:lineRule="exact"/>
              <w:jc w:val="left"/>
              <w:rPr>
                <w:sz w:val="28"/>
              </w:rPr>
            </w:pPr>
          </w:p>
        </w:tc>
        <w:tc>
          <w:tcPr>
            <w:tcW w:w="1559" w:type="dxa"/>
            <w:tcBorders>
              <w:bottom w:val="single" w:sz="6" w:space="0" w:color="auto"/>
            </w:tcBorders>
          </w:tcPr>
          <w:p w:rsidR="00993171" w:rsidRPr="00F369FF" w:rsidRDefault="00993171">
            <w:pPr>
              <w:pStyle w:val="rtal"/>
            </w:pPr>
            <w:r w:rsidRPr="00F369FF">
              <w:t>UU5y</w:t>
            </w:r>
          </w:p>
        </w:tc>
      </w:tr>
      <w:tr w:rsidR="00000000" w:rsidRPr="00F369FF">
        <w:tblPrEx>
          <w:tblCellMar>
            <w:top w:w="0" w:type="dxa"/>
            <w:bottom w:w="0" w:type="dxa"/>
          </w:tblCellMar>
        </w:tblPrEx>
        <w:trPr>
          <w:cantSplit/>
          <w:trHeight w:hRule="exact" w:val="660"/>
        </w:trPr>
        <w:tc>
          <w:tcPr>
            <w:tcW w:w="3012" w:type="dxa"/>
          </w:tcPr>
          <w:p w:rsidR="00993171" w:rsidRPr="00F369FF" w:rsidRDefault="00993171">
            <w:pPr>
              <w:pStyle w:val="StatusSida1"/>
            </w:pPr>
          </w:p>
        </w:tc>
        <w:tc>
          <w:tcPr>
            <w:tcW w:w="3012" w:type="dxa"/>
          </w:tcPr>
          <w:p w:rsidR="00993171" w:rsidRPr="00F369FF" w:rsidRDefault="00993171">
            <w:pPr>
              <w:pStyle w:val="UtskriftsdatumSida1"/>
              <w:rPr>
                <w:b/>
                <w:sz w:val="28"/>
              </w:rPr>
            </w:pPr>
          </w:p>
        </w:tc>
        <w:tc>
          <w:tcPr>
            <w:tcW w:w="1559" w:type="dxa"/>
          </w:tcPr>
          <w:p w:rsidR="00993171" w:rsidRPr="00F369FF" w:rsidRDefault="00993171"/>
        </w:tc>
      </w:tr>
    </w:tbl>
    <w:p w:rsidR="00993171" w:rsidRPr="00F369FF" w:rsidRDefault="00993171">
      <w:pPr>
        <w:pStyle w:val="Rubrik1"/>
        <w:spacing w:before="0"/>
        <w:rPr>
          <w:b/>
        </w:rPr>
      </w:pPr>
      <w:bookmarkStart w:id="19" w:name="_Toc482160935"/>
    </w:p>
    <w:p w:rsidR="00993171" w:rsidRPr="00F369FF" w:rsidRDefault="00993171">
      <w:pPr>
        <w:pStyle w:val="Rubrik1"/>
        <w:spacing w:before="0"/>
      </w:pPr>
      <w:r w:rsidRPr="00F369FF">
        <w:t>Till finansutskottet</w:t>
      </w:r>
      <w:bookmarkEnd w:id="19"/>
    </w:p>
    <w:p w:rsidR="00993171" w:rsidRPr="00F369FF" w:rsidRDefault="00993171">
      <w:bookmarkStart w:id="20" w:name="Textstart"/>
      <w:bookmarkEnd w:id="20"/>
      <w:r w:rsidRPr="00F369FF">
        <w:t>Finansutskottet har genom beslut den 27 april 2000 (protokoll 1999/2000:24 § 6) berett övriga berörda utskott tillfälle att, i de delar som berör respektive utskotts beredningsområde, yttra sig över 2000 års ekonomiska vårpropos</w:t>
      </w:r>
      <w:r w:rsidRPr="00F369FF">
        <w:t>i</w:t>
      </w:r>
      <w:r w:rsidRPr="00F369FF">
        <w:t>tion (prop. 1999/2000:100) i vad avser den ekonomiska politiken och utgif</w:t>
      </w:r>
      <w:r w:rsidRPr="00F369FF">
        <w:t>t</w:t>
      </w:r>
      <w:r w:rsidRPr="00F369FF">
        <w:t>s-taket m.m. (yrkandena 1–6) och skattefrågor (yrkandena 40–42) jämte de motioner som kan komma att väckas. Kammaren beslöt den 3 maj 2000 att hänvisa de med anledning av propositionen väckta motionerna till finansu</w:t>
      </w:r>
      <w:r w:rsidRPr="00F369FF">
        <w:t>t</w:t>
      </w:r>
      <w:r w:rsidRPr="00F369FF">
        <w:t>skottet.</w:t>
      </w:r>
    </w:p>
    <w:p w:rsidR="00993171" w:rsidRPr="00F369FF" w:rsidRDefault="00993171">
      <w:r w:rsidRPr="00F369FF">
        <w:t xml:space="preserve">Utrikesutskottet väljer att i det följande yttra sig över propositionens yrkande 6 i berörd del samt över motionerna 1999/2000:Fi12 (m), 1999/2000:Fi13 (kd), 1999/2000:Fi14 (c) och 1999/2000:Fi15 (fp) i de delar </w:t>
      </w:r>
      <w:r w:rsidRPr="00F369FF">
        <w:t>som omfattas av utskottets beredning.</w:t>
      </w:r>
    </w:p>
    <w:p w:rsidR="00993171" w:rsidRPr="00F369FF" w:rsidRDefault="00993171">
      <w:pPr>
        <w:pStyle w:val="Rubrik2"/>
      </w:pPr>
      <w:bookmarkStart w:id="21" w:name="_Toc451078368"/>
      <w:r w:rsidRPr="00F369FF">
        <w:t>1 Propositionen</w:t>
      </w:r>
      <w:bookmarkEnd w:id="21"/>
    </w:p>
    <w:p w:rsidR="00993171" w:rsidRPr="00F369FF" w:rsidRDefault="00993171">
      <w:pPr>
        <w:pStyle w:val="Rubrik3"/>
        <w:spacing w:before="123"/>
      </w:pPr>
      <w:bookmarkStart w:id="22" w:name="_Toc451078369"/>
      <w:r w:rsidRPr="00F369FF">
        <w:t>1.1 Yrkandena</w:t>
      </w:r>
      <w:bookmarkEnd w:id="22"/>
    </w:p>
    <w:p w:rsidR="00993171" w:rsidRPr="00F369FF" w:rsidRDefault="00993171">
      <w:r w:rsidRPr="00F369FF">
        <w:t xml:space="preserve">Utrikesutskottets beredningsområde berörs, såvitt avser </w:t>
      </w:r>
      <w:r w:rsidRPr="00F369FF">
        <w:rPr>
          <w:i/>
        </w:rPr>
        <w:t>den ekonomiska politiken och utgiftstaket</w:t>
      </w:r>
      <w:r w:rsidRPr="00F369FF">
        <w:t xml:space="preserve">, primärt av propositionens </w:t>
      </w:r>
      <w:r w:rsidRPr="00F369FF">
        <w:rPr>
          <w:i/>
        </w:rPr>
        <w:t>yrkande 6</w:t>
      </w:r>
      <w:r w:rsidRPr="00F369FF">
        <w:t xml:space="preserve"> </w:t>
      </w:r>
      <w:r w:rsidRPr="00F369FF">
        <w:rPr>
          <w:i/>
        </w:rPr>
        <w:t>(delvis),</w:t>
      </w:r>
      <w:r w:rsidRPr="00F369FF">
        <w:t xml:space="preserve"> vari regeringen hemställer att riksdagen godkänner den preliminära fördelningen av utgifterna på utgiftsområden för åren 2001–2003 som riktlinje för reg</w:t>
      </w:r>
      <w:r w:rsidRPr="00F369FF">
        <w:t>e</w:t>
      </w:r>
      <w:r w:rsidRPr="00F369FF">
        <w:t xml:space="preserve">ringens budgetarbete (propositionens avsnitt 7.1). </w:t>
      </w:r>
    </w:p>
    <w:p w:rsidR="00993171" w:rsidRPr="00F369FF" w:rsidRDefault="00993171">
      <w:pPr>
        <w:pStyle w:val="Normaltindrag"/>
      </w:pPr>
    </w:p>
    <w:p w:rsidR="00993171" w:rsidRPr="00F369FF" w:rsidRDefault="00993171">
      <w:pPr>
        <w:pStyle w:val="Rubrik3"/>
        <w:spacing w:before="123"/>
      </w:pPr>
      <w:r w:rsidRPr="00F369FF">
        <w:t>1.2 Allmänna överväganden</w:t>
      </w:r>
    </w:p>
    <w:p w:rsidR="00993171" w:rsidRPr="00F369FF" w:rsidRDefault="00993171">
      <w:r w:rsidRPr="00F369FF">
        <w:t>Regeringen har ambitionen att Sverige åter skall uppnå enprocentsmålet för biståndet när de statsfinansiella förutsättningarna för detta föreligger. I pr</w:t>
      </w:r>
      <w:r w:rsidRPr="00F369FF">
        <w:t>o</w:t>
      </w:r>
      <w:r w:rsidRPr="00F369FF">
        <w:t>positionen föreslås att biståndet höjs med 1,6 miljarder kronor, från 0,74 % av BNI 2002 till 0,81 % 2003. Samarbetet med Central- och Östeuropa fö</w:t>
      </w:r>
      <w:r w:rsidRPr="00F369FF">
        <w:t>r</w:t>
      </w:r>
      <w:r w:rsidRPr="00F369FF">
        <w:t>längs.</w:t>
      </w:r>
    </w:p>
    <w:p w:rsidR="00993171" w:rsidRPr="00F369FF" w:rsidRDefault="00993171">
      <w:pPr>
        <w:pStyle w:val="Normaltindrag"/>
      </w:pPr>
      <w:r w:rsidRPr="00F369FF">
        <w:t xml:space="preserve">I nedanstående tabeller redovisas (jämfört med budgetpropositionen för 2000) de beräknade effekterna inom utrikesutskottets beredningsområde för </w:t>
      </w:r>
      <w:r w:rsidRPr="00F369FF">
        <w:lastRenderedPageBreak/>
        <w:t>de offentliga finanserna till följd av de förslag till nya satsningar och u</w:t>
      </w:r>
      <w:r w:rsidRPr="00F369FF">
        <w:t>t</w:t>
      </w:r>
      <w:r w:rsidRPr="00F369FF">
        <w:t>giftsminskningar som regeringen presenterar i propositionen. Budgeteffe</w:t>
      </w:r>
      <w:r w:rsidRPr="00F369FF">
        <w:t>k</w:t>
      </w:r>
      <w:r w:rsidRPr="00F369FF">
        <w:t>terna redovisas per kalenderår. Dessutom redovisas varaktiga budgeteffekter för den offentliga sektorn av de olika förslagen. Vid temporära åtgärder utgörs den varaktiga effekten av räntan på nuvärdet av framtida saldoförän</w:t>
      </w:r>
      <w:r w:rsidRPr="00F369FF">
        <w:t>d</w:t>
      </w:r>
      <w:r w:rsidRPr="00F369FF">
        <w:t>ringar. Ikraftträdandeårets volymer används i beräkningen av den varaktiga budgeteffekten. I den andra tabellen redovisas också budgeteffekt</w:t>
      </w:r>
      <w:r w:rsidRPr="00F369FF">
        <w:t>en av de förslag som berör budgetens inkomstsida. Samtliga åtgärder ingår i regerin</w:t>
      </w:r>
      <w:r w:rsidRPr="00F369FF">
        <w:t>g</w:t>
      </w:r>
      <w:r w:rsidRPr="00F369FF">
        <w:t>ens förslag i propositionen till utgiftsramar (se nedan) och i beräkningen av statsbudgetens och den offentliga sektorns inkomster.</w:t>
      </w:r>
    </w:p>
    <w:p w:rsidR="00993171" w:rsidRPr="00F369FF" w:rsidRDefault="00993171">
      <w:pPr>
        <w:pStyle w:val="Normaltindrag"/>
      </w:pPr>
    </w:p>
    <w:p w:rsidR="00993171" w:rsidRPr="00F369FF" w:rsidRDefault="00993171">
      <w:pPr>
        <w:pStyle w:val="R3"/>
        <w:spacing w:before="0"/>
      </w:pPr>
      <w:r w:rsidRPr="00F369FF">
        <w:t>Föreslagna utgifts- och inkomsförändringar 2001–2003</w:t>
      </w:r>
    </w:p>
    <w:p w:rsidR="00993171" w:rsidRPr="00F369FF" w:rsidRDefault="00993171">
      <w:pPr>
        <w:spacing w:before="0"/>
      </w:pPr>
    </w:p>
    <w:p w:rsidR="00993171" w:rsidRPr="00F369FF" w:rsidRDefault="00993171">
      <w:pPr>
        <w:pStyle w:val="TabellUnderrubrik"/>
      </w:pPr>
      <w:r w:rsidRPr="00F369FF">
        <w:t>Nettoförsvagning av offentliga finanser och effekter på takbegränsade utgifter i fö</w:t>
      </w:r>
      <w:r w:rsidRPr="00F369FF">
        <w:t>r</w:t>
      </w:r>
      <w:r w:rsidRPr="00F369FF">
        <w:t>hållande till budgetpropositionen för 2000.</w:t>
      </w:r>
    </w:p>
    <w:p w:rsidR="00993171" w:rsidRPr="00F369FF" w:rsidRDefault="00993171">
      <w:pPr>
        <w:pStyle w:val="TabellUnderrubrik"/>
      </w:pPr>
      <w:r w:rsidRPr="00F369FF">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731"/>
        <w:gridCol w:w="1701"/>
        <w:gridCol w:w="851"/>
        <w:gridCol w:w="850"/>
        <w:gridCol w:w="851"/>
        <w:gridCol w:w="992"/>
      </w:tblGrid>
      <w:tr w:rsidR="00000000" w:rsidRPr="00F369FF">
        <w:tblPrEx>
          <w:tblCellMar>
            <w:top w:w="0" w:type="dxa"/>
            <w:bottom w:w="0" w:type="dxa"/>
          </w:tblCellMar>
        </w:tblPrEx>
        <w:tc>
          <w:tcPr>
            <w:tcW w:w="731" w:type="dxa"/>
            <w:tcBorders>
              <w:top w:val="single" w:sz="2" w:space="0" w:color="auto"/>
              <w:left w:val="single" w:sz="2" w:space="0" w:color="auto"/>
              <w:bottom w:val="single" w:sz="12" w:space="0" w:color="auto"/>
              <w:right w:val="single" w:sz="2" w:space="0" w:color="auto"/>
            </w:tcBorders>
          </w:tcPr>
          <w:p w:rsidR="00993171" w:rsidRPr="00F369FF" w:rsidRDefault="00993171">
            <w:pPr>
              <w:spacing w:after="120"/>
            </w:pPr>
          </w:p>
        </w:tc>
        <w:tc>
          <w:tcPr>
            <w:tcW w:w="1701" w:type="dxa"/>
            <w:tcBorders>
              <w:top w:val="single" w:sz="2" w:space="0" w:color="auto"/>
              <w:left w:val="nil"/>
              <w:bottom w:val="single" w:sz="12" w:space="0" w:color="auto"/>
              <w:right w:val="single" w:sz="2" w:space="0" w:color="auto"/>
            </w:tcBorders>
          </w:tcPr>
          <w:p w:rsidR="00993171" w:rsidRPr="00F369FF" w:rsidRDefault="00993171">
            <w:pPr>
              <w:spacing w:after="120"/>
            </w:pPr>
          </w:p>
        </w:tc>
        <w:tc>
          <w:tcPr>
            <w:tcW w:w="851" w:type="dxa"/>
            <w:tcBorders>
              <w:top w:val="single" w:sz="2" w:space="0" w:color="auto"/>
              <w:left w:val="nil"/>
              <w:bottom w:val="single" w:sz="12" w:space="0" w:color="auto"/>
              <w:right w:val="single" w:sz="2" w:space="0" w:color="auto"/>
            </w:tcBorders>
          </w:tcPr>
          <w:p w:rsidR="00993171" w:rsidRPr="00F369FF" w:rsidRDefault="00993171">
            <w:pPr>
              <w:spacing w:after="120"/>
              <w:jc w:val="right"/>
            </w:pPr>
            <w:r w:rsidRPr="00F369FF">
              <w:t>2001</w:t>
            </w:r>
          </w:p>
        </w:tc>
        <w:tc>
          <w:tcPr>
            <w:tcW w:w="850" w:type="dxa"/>
            <w:tcBorders>
              <w:top w:val="single" w:sz="2" w:space="0" w:color="auto"/>
              <w:left w:val="nil"/>
              <w:bottom w:val="single" w:sz="12" w:space="0" w:color="auto"/>
              <w:right w:val="single" w:sz="2" w:space="0" w:color="auto"/>
            </w:tcBorders>
          </w:tcPr>
          <w:p w:rsidR="00993171" w:rsidRPr="00F369FF" w:rsidRDefault="00993171">
            <w:pPr>
              <w:spacing w:after="120"/>
              <w:jc w:val="right"/>
            </w:pPr>
            <w:r w:rsidRPr="00F369FF">
              <w:t>2002</w:t>
            </w:r>
          </w:p>
        </w:tc>
        <w:tc>
          <w:tcPr>
            <w:tcW w:w="851" w:type="dxa"/>
            <w:tcBorders>
              <w:top w:val="single" w:sz="2" w:space="0" w:color="auto"/>
              <w:left w:val="nil"/>
              <w:bottom w:val="single" w:sz="12" w:space="0" w:color="auto"/>
              <w:right w:val="single" w:sz="2" w:space="0" w:color="auto"/>
            </w:tcBorders>
          </w:tcPr>
          <w:p w:rsidR="00993171" w:rsidRPr="00F369FF" w:rsidRDefault="00993171">
            <w:pPr>
              <w:spacing w:after="120"/>
              <w:jc w:val="right"/>
            </w:pPr>
            <w:r w:rsidRPr="00F369FF">
              <w:t>2003</w:t>
            </w:r>
          </w:p>
        </w:tc>
        <w:tc>
          <w:tcPr>
            <w:tcW w:w="992" w:type="dxa"/>
            <w:tcBorders>
              <w:top w:val="single" w:sz="2" w:space="0" w:color="auto"/>
              <w:left w:val="nil"/>
              <w:bottom w:val="single" w:sz="12" w:space="0" w:color="auto"/>
              <w:right w:val="single" w:sz="2" w:space="0" w:color="auto"/>
            </w:tcBorders>
          </w:tcPr>
          <w:p w:rsidR="00993171" w:rsidRPr="00F369FF" w:rsidRDefault="00993171">
            <w:pPr>
              <w:spacing w:after="120"/>
            </w:pPr>
            <w:r w:rsidRPr="00F369FF">
              <w:t>Varaktig effekt</w:t>
            </w:r>
          </w:p>
        </w:tc>
      </w:tr>
      <w:tr w:rsidR="00000000" w:rsidRPr="00F369FF">
        <w:tblPrEx>
          <w:tblCellMar>
            <w:top w:w="0" w:type="dxa"/>
            <w:bottom w:w="0" w:type="dxa"/>
          </w:tblCellMar>
        </w:tblPrEx>
        <w:tc>
          <w:tcPr>
            <w:tcW w:w="731" w:type="dxa"/>
            <w:tcBorders>
              <w:left w:val="single" w:sz="2" w:space="0" w:color="auto"/>
              <w:right w:val="single" w:sz="2" w:space="0" w:color="auto"/>
            </w:tcBorders>
          </w:tcPr>
          <w:p w:rsidR="00993171" w:rsidRPr="00F369FF" w:rsidRDefault="00993171">
            <w:r w:rsidRPr="00F369FF">
              <w:t>UO 5</w:t>
            </w:r>
            <w:r w:rsidRPr="00F369FF">
              <w:tab/>
              <w:t xml:space="preserve"> </w:t>
            </w:r>
          </w:p>
        </w:tc>
        <w:tc>
          <w:tcPr>
            <w:tcW w:w="1701" w:type="dxa"/>
            <w:tcBorders>
              <w:left w:val="nil"/>
              <w:right w:val="single" w:sz="2" w:space="0" w:color="auto"/>
            </w:tcBorders>
          </w:tcPr>
          <w:p w:rsidR="00993171" w:rsidRPr="00F369FF" w:rsidRDefault="00993171">
            <w:r w:rsidRPr="00F369FF">
              <w:t>Utrikesförval</w:t>
            </w:r>
            <w:r w:rsidRPr="00F369FF">
              <w:t>t</w:t>
            </w:r>
            <w:r w:rsidRPr="00F369FF">
              <w:t>ningen</w:t>
            </w:r>
          </w:p>
        </w:tc>
        <w:tc>
          <w:tcPr>
            <w:tcW w:w="851" w:type="dxa"/>
            <w:tcBorders>
              <w:left w:val="nil"/>
              <w:right w:val="single" w:sz="2" w:space="0" w:color="auto"/>
            </w:tcBorders>
          </w:tcPr>
          <w:p w:rsidR="00993171" w:rsidRPr="00F369FF" w:rsidRDefault="00993171">
            <w:pPr>
              <w:jc w:val="right"/>
            </w:pPr>
            <w:r w:rsidRPr="00F369FF">
              <w:t>50</w:t>
            </w:r>
          </w:p>
        </w:tc>
        <w:tc>
          <w:tcPr>
            <w:tcW w:w="850" w:type="dxa"/>
            <w:tcBorders>
              <w:left w:val="nil"/>
              <w:right w:val="single" w:sz="2" w:space="0" w:color="auto"/>
            </w:tcBorders>
          </w:tcPr>
          <w:p w:rsidR="00993171" w:rsidRPr="00F369FF" w:rsidRDefault="00993171">
            <w:pPr>
              <w:jc w:val="right"/>
            </w:pPr>
          </w:p>
        </w:tc>
        <w:tc>
          <w:tcPr>
            <w:tcW w:w="851" w:type="dxa"/>
            <w:tcBorders>
              <w:left w:val="nil"/>
              <w:right w:val="single" w:sz="2" w:space="0" w:color="auto"/>
            </w:tcBorders>
          </w:tcPr>
          <w:p w:rsidR="00993171" w:rsidRPr="00F369FF" w:rsidRDefault="00993171">
            <w:pPr>
              <w:jc w:val="right"/>
            </w:pPr>
          </w:p>
        </w:tc>
        <w:tc>
          <w:tcPr>
            <w:tcW w:w="992" w:type="dxa"/>
            <w:tcBorders>
              <w:left w:val="nil"/>
              <w:right w:val="single" w:sz="2" w:space="0" w:color="auto"/>
            </w:tcBorders>
          </w:tcPr>
          <w:p w:rsidR="00993171" w:rsidRPr="00F369FF" w:rsidRDefault="00993171">
            <w:pPr>
              <w:jc w:val="right"/>
            </w:pPr>
            <w:r w:rsidRPr="00F369FF">
              <w:t>2</w:t>
            </w:r>
          </w:p>
        </w:tc>
      </w:tr>
      <w:tr w:rsidR="00000000" w:rsidRPr="00F369FF">
        <w:tblPrEx>
          <w:tblCellMar>
            <w:top w:w="0" w:type="dxa"/>
            <w:bottom w:w="0" w:type="dxa"/>
          </w:tblCellMar>
        </w:tblPrEx>
        <w:tc>
          <w:tcPr>
            <w:tcW w:w="731" w:type="dxa"/>
            <w:tcBorders>
              <w:top w:val="single" w:sz="6" w:space="0" w:color="auto"/>
              <w:left w:val="single" w:sz="2" w:space="0" w:color="auto"/>
              <w:right w:val="single" w:sz="2" w:space="0" w:color="auto"/>
            </w:tcBorders>
          </w:tcPr>
          <w:p w:rsidR="00993171" w:rsidRPr="00F369FF" w:rsidRDefault="00993171">
            <w:r w:rsidRPr="00F369FF">
              <w:t>UO 7</w:t>
            </w:r>
            <w:r w:rsidRPr="00F369FF">
              <w:tab/>
              <w:t xml:space="preserve"> </w:t>
            </w:r>
          </w:p>
        </w:tc>
        <w:tc>
          <w:tcPr>
            <w:tcW w:w="1701" w:type="dxa"/>
            <w:tcBorders>
              <w:top w:val="single" w:sz="6" w:space="0" w:color="auto"/>
              <w:left w:val="nil"/>
              <w:right w:val="single" w:sz="2" w:space="0" w:color="auto"/>
            </w:tcBorders>
          </w:tcPr>
          <w:p w:rsidR="00993171" w:rsidRPr="00F369FF" w:rsidRDefault="00993171">
            <w:r w:rsidRPr="00F369FF">
              <w:t>B</w:t>
            </w:r>
            <w:r w:rsidRPr="00F369FF">
              <w:t>i</w:t>
            </w:r>
            <w:r w:rsidRPr="00F369FF">
              <w:t>stånd</w:t>
            </w:r>
          </w:p>
        </w:tc>
        <w:tc>
          <w:tcPr>
            <w:tcW w:w="851" w:type="dxa"/>
            <w:tcBorders>
              <w:top w:val="single" w:sz="6" w:space="0" w:color="auto"/>
              <w:left w:val="nil"/>
              <w:right w:val="single" w:sz="2" w:space="0" w:color="auto"/>
            </w:tcBorders>
          </w:tcPr>
          <w:p w:rsidR="00993171" w:rsidRPr="00F369FF" w:rsidRDefault="00993171">
            <w:pPr>
              <w:jc w:val="right"/>
            </w:pPr>
          </w:p>
        </w:tc>
        <w:tc>
          <w:tcPr>
            <w:tcW w:w="850" w:type="dxa"/>
            <w:tcBorders>
              <w:top w:val="single" w:sz="6" w:space="0" w:color="auto"/>
              <w:left w:val="nil"/>
              <w:right w:val="single" w:sz="2" w:space="0" w:color="auto"/>
            </w:tcBorders>
          </w:tcPr>
          <w:p w:rsidR="00993171" w:rsidRPr="00F369FF" w:rsidRDefault="00993171">
            <w:pPr>
              <w:jc w:val="right"/>
            </w:pPr>
          </w:p>
        </w:tc>
        <w:tc>
          <w:tcPr>
            <w:tcW w:w="851" w:type="dxa"/>
            <w:tcBorders>
              <w:top w:val="single" w:sz="6" w:space="0" w:color="auto"/>
              <w:left w:val="nil"/>
              <w:right w:val="single" w:sz="2" w:space="0" w:color="auto"/>
            </w:tcBorders>
          </w:tcPr>
          <w:p w:rsidR="00993171" w:rsidRPr="00F369FF" w:rsidRDefault="00993171">
            <w:pPr>
              <w:jc w:val="right"/>
            </w:pPr>
            <w:r w:rsidRPr="00F369FF">
              <w:t>1 632</w:t>
            </w:r>
          </w:p>
        </w:tc>
        <w:tc>
          <w:tcPr>
            <w:tcW w:w="992" w:type="dxa"/>
            <w:tcBorders>
              <w:top w:val="single" w:sz="6" w:space="0" w:color="auto"/>
              <w:left w:val="nil"/>
              <w:right w:val="single" w:sz="2" w:space="0" w:color="auto"/>
            </w:tcBorders>
          </w:tcPr>
          <w:p w:rsidR="00993171" w:rsidRPr="00F369FF" w:rsidRDefault="00993171">
            <w:pPr>
              <w:jc w:val="right"/>
            </w:pPr>
            <w:r w:rsidRPr="00F369FF">
              <w:t>1 500</w:t>
            </w:r>
          </w:p>
        </w:tc>
      </w:tr>
      <w:tr w:rsidR="00000000" w:rsidRPr="00F369FF">
        <w:tblPrEx>
          <w:tblCellMar>
            <w:top w:w="0" w:type="dxa"/>
            <w:bottom w:w="0" w:type="dxa"/>
          </w:tblCellMar>
        </w:tblPrEx>
        <w:tc>
          <w:tcPr>
            <w:tcW w:w="731" w:type="dxa"/>
            <w:tcBorders>
              <w:top w:val="single" w:sz="6" w:space="0" w:color="auto"/>
              <w:left w:val="single" w:sz="2" w:space="0" w:color="auto"/>
              <w:bottom w:val="single" w:sz="2" w:space="0" w:color="auto"/>
              <w:right w:val="single" w:sz="2" w:space="0" w:color="auto"/>
            </w:tcBorders>
          </w:tcPr>
          <w:p w:rsidR="00993171" w:rsidRPr="00F369FF" w:rsidRDefault="00993171">
            <w:pPr>
              <w:spacing w:after="120"/>
            </w:pPr>
            <w:r w:rsidRPr="00F369FF">
              <w:t>UO 7</w:t>
            </w:r>
            <w:r w:rsidRPr="00F369FF">
              <w:tab/>
            </w:r>
          </w:p>
        </w:tc>
        <w:tc>
          <w:tcPr>
            <w:tcW w:w="1701" w:type="dxa"/>
            <w:tcBorders>
              <w:top w:val="single" w:sz="6" w:space="0" w:color="auto"/>
              <w:left w:val="nil"/>
              <w:bottom w:val="single" w:sz="2" w:space="0" w:color="auto"/>
              <w:right w:val="single" w:sz="2" w:space="0" w:color="auto"/>
            </w:tcBorders>
          </w:tcPr>
          <w:p w:rsidR="00993171" w:rsidRPr="00F369FF" w:rsidRDefault="00993171">
            <w:pPr>
              <w:spacing w:after="120"/>
              <w:jc w:val="left"/>
            </w:pPr>
            <w:r w:rsidRPr="00F369FF">
              <w:t>Samarbete med Central- och Ös</w:t>
            </w:r>
            <w:r w:rsidRPr="00F369FF">
              <w:t>t</w:t>
            </w:r>
            <w:r w:rsidRPr="00F369FF">
              <w:t>europa</w:t>
            </w:r>
          </w:p>
        </w:tc>
        <w:tc>
          <w:tcPr>
            <w:tcW w:w="851" w:type="dxa"/>
            <w:tcBorders>
              <w:top w:val="single" w:sz="6" w:space="0" w:color="auto"/>
              <w:left w:val="nil"/>
              <w:bottom w:val="single" w:sz="2" w:space="0" w:color="auto"/>
              <w:right w:val="single" w:sz="2" w:space="0" w:color="auto"/>
            </w:tcBorders>
          </w:tcPr>
          <w:p w:rsidR="00993171" w:rsidRPr="00F369FF" w:rsidRDefault="00993171">
            <w:pPr>
              <w:spacing w:after="120"/>
              <w:jc w:val="right"/>
            </w:pPr>
          </w:p>
        </w:tc>
        <w:tc>
          <w:tcPr>
            <w:tcW w:w="850" w:type="dxa"/>
            <w:tcBorders>
              <w:top w:val="single" w:sz="6" w:space="0" w:color="auto"/>
              <w:left w:val="nil"/>
              <w:bottom w:val="single" w:sz="2" w:space="0" w:color="auto"/>
              <w:right w:val="single" w:sz="2" w:space="0" w:color="auto"/>
            </w:tcBorders>
          </w:tcPr>
          <w:p w:rsidR="00993171" w:rsidRPr="00F369FF" w:rsidRDefault="00993171">
            <w:pPr>
              <w:spacing w:after="120"/>
              <w:jc w:val="right"/>
            </w:pPr>
            <w:r w:rsidRPr="00F369FF">
              <w:t>600</w:t>
            </w:r>
          </w:p>
        </w:tc>
        <w:tc>
          <w:tcPr>
            <w:tcW w:w="851" w:type="dxa"/>
            <w:tcBorders>
              <w:top w:val="single" w:sz="6" w:space="0" w:color="auto"/>
              <w:left w:val="nil"/>
              <w:bottom w:val="single" w:sz="2" w:space="0" w:color="auto"/>
              <w:right w:val="single" w:sz="2" w:space="0" w:color="auto"/>
            </w:tcBorders>
          </w:tcPr>
          <w:p w:rsidR="00993171" w:rsidRPr="00F369FF" w:rsidRDefault="00993171">
            <w:pPr>
              <w:spacing w:after="120"/>
              <w:jc w:val="right"/>
            </w:pPr>
            <w:r w:rsidRPr="00F369FF">
              <w:t>900</w:t>
            </w:r>
          </w:p>
        </w:tc>
        <w:tc>
          <w:tcPr>
            <w:tcW w:w="992" w:type="dxa"/>
            <w:tcBorders>
              <w:top w:val="single" w:sz="6" w:space="0" w:color="auto"/>
              <w:left w:val="nil"/>
              <w:bottom w:val="single" w:sz="2" w:space="0" w:color="auto"/>
              <w:right w:val="single" w:sz="2" w:space="0" w:color="auto"/>
            </w:tcBorders>
          </w:tcPr>
          <w:p w:rsidR="00993171" w:rsidRPr="00F369FF" w:rsidRDefault="00993171">
            <w:pPr>
              <w:spacing w:after="120"/>
              <w:jc w:val="right"/>
            </w:pPr>
            <w:r w:rsidRPr="00F369FF">
              <w:t>80</w:t>
            </w:r>
          </w:p>
        </w:tc>
      </w:tr>
    </w:tbl>
    <w:p w:rsidR="00993171" w:rsidRPr="00F369FF" w:rsidRDefault="00993171"/>
    <w:p w:rsidR="00993171" w:rsidRPr="00F369FF" w:rsidRDefault="00993171"/>
    <w:p w:rsidR="00993171" w:rsidRPr="00F369FF" w:rsidRDefault="00993171">
      <w:pPr>
        <w:pStyle w:val="R3"/>
        <w:spacing w:before="0"/>
      </w:pPr>
      <w:r w:rsidRPr="00F369FF">
        <w:t>Nu föreslagna utgifts- och  inkomstförändringar</w:t>
      </w:r>
    </w:p>
    <w:p w:rsidR="00993171" w:rsidRPr="00F369FF" w:rsidRDefault="00993171"/>
    <w:p w:rsidR="00993171" w:rsidRPr="00F369FF" w:rsidRDefault="00993171">
      <w:pPr>
        <w:pStyle w:val="TabellUnderrubrik"/>
        <w:spacing w:line="200" w:lineRule="exact"/>
      </w:pPr>
      <w:r w:rsidRPr="00F369FF">
        <w:t>Nettoförsvagning av offentliga finanser och effekter på takbegränsade utgifter i fö</w:t>
      </w:r>
      <w:r w:rsidRPr="00F369FF">
        <w:t>r</w:t>
      </w:r>
      <w:r w:rsidRPr="00F369FF">
        <w:t>hållande till budgetpropositionen för 2000.</w:t>
      </w:r>
    </w:p>
    <w:p w:rsidR="00993171" w:rsidRPr="00F369FF" w:rsidRDefault="00993171">
      <w:pPr>
        <w:pStyle w:val="TabellUnderrubrik"/>
      </w:pPr>
      <w:r w:rsidRPr="00F369FF">
        <w:t>Miljoner kronor</w:t>
      </w:r>
    </w:p>
    <w:tbl>
      <w:tblPr>
        <w:tblW w:w="0" w:type="auto"/>
        <w:tblInd w:w="-27" w:type="dxa"/>
        <w:tblBorders>
          <w:top w:val="single" w:sz="2" w:space="0" w:color="auto"/>
          <w:left w:val="single" w:sz="2" w:space="0" w:color="auto"/>
          <w:bottom w:val="single" w:sz="2" w:space="0" w:color="auto"/>
          <w:right w:val="single" w:sz="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2716"/>
        <w:gridCol w:w="708"/>
        <w:gridCol w:w="709"/>
        <w:gridCol w:w="709"/>
        <w:gridCol w:w="1134"/>
      </w:tblGrid>
      <w:tr w:rsidR="00000000" w:rsidRPr="00F369FF">
        <w:tblPrEx>
          <w:tblCellMar>
            <w:top w:w="0" w:type="dxa"/>
            <w:bottom w:w="0" w:type="dxa"/>
          </w:tblCellMar>
        </w:tblPrEx>
        <w:tc>
          <w:tcPr>
            <w:tcW w:w="2716" w:type="dxa"/>
            <w:tcBorders>
              <w:top w:val="single" w:sz="2" w:space="0" w:color="auto"/>
              <w:bottom w:val="single" w:sz="12" w:space="0" w:color="auto"/>
              <w:right w:val="single" w:sz="2" w:space="0" w:color="auto"/>
            </w:tcBorders>
          </w:tcPr>
          <w:p w:rsidR="00993171" w:rsidRPr="00F369FF" w:rsidRDefault="00993171">
            <w:pPr>
              <w:spacing w:after="120"/>
            </w:pPr>
          </w:p>
        </w:tc>
        <w:tc>
          <w:tcPr>
            <w:tcW w:w="708" w:type="dxa"/>
            <w:tcBorders>
              <w:top w:val="single" w:sz="2" w:space="0" w:color="auto"/>
              <w:left w:val="nil"/>
              <w:bottom w:val="single" w:sz="12" w:space="0" w:color="auto"/>
              <w:right w:val="single" w:sz="2" w:space="0" w:color="auto"/>
            </w:tcBorders>
          </w:tcPr>
          <w:p w:rsidR="00993171" w:rsidRPr="00F369FF" w:rsidRDefault="00993171">
            <w:pPr>
              <w:spacing w:after="120"/>
              <w:jc w:val="right"/>
            </w:pPr>
            <w:r w:rsidRPr="00F369FF">
              <w:t>2001</w:t>
            </w:r>
          </w:p>
        </w:tc>
        <w:tc>
          <w:tcPr>
            <w:tcW w:w="709" w:type="dxa"/>
            <w:tcBorders>
              <w:top w:val="single" w:sz="2" w:space="0" w:color="auto"/>
              <w:left w:val="nil"/>
              <w:bottom w:val="single" w:sz="12" w:space="0" w:color="auto"/>
              <w:right w:val="single" w:sz="2" w:space="0" w:color="auto"/>
            </w:tcBorders>
          </w:tcPr>
          <w:p w:rsidR="00993171" w:rsidRPr="00F369FF" w:rsidRDefault="00993171">
            <w:pPr>
              <w:spacing w:after="120"/>
              <w:jc w:val="right"/>
            </w:pPr>
            <w:r w:rsidRPr="00F369FF">
              <w:t>2002</w:t>
            </w:r>
          </w:p>
        </w:tc>
        <w:tc>
          <w:tcPr>
            <w:tcW w:w="709" w:type="dxa"/>
            <w:tcBorders>
              <w:top w:val="single" w:sz="2" w:space="0" w:color="auto"/>
              <w:left w:val="nil"/>
              <w:bottom w:val="single" w:sz="12" w:space="0" w:color="auto"/>
              <w:right w:val="single" w:sz="2" w:space="0" w:color="auto"/>
            </w:tcBorders>
          </w:tcPr>
          <w:p w:rsidR="00993171" w:rsidRPr="00F369FF" w:rsidRDefault="00993171">
            <w:pPr>
              <w:spacing w:after="120"/>
              <w:jc w:val="right"/>
            </w:pPr>
            <w:r w:rsidRPr="00F369FF">
              <w:t>2003</w:t>
            </w:r>
          </w:p>
        </w:tc>
        <w:tc>
          <w:tcPr>
            <w:tcW w:w="1134" w:type="dxa"/>
            <w:tcBorders>
              <w:left w:val="nil"/>
            </w:tcBorders>
          </w:tcPr>
          <w:p w:rsidR="00993171" w:rsidRPr="00F369FF" w:rsidRDefault="00993171">
            <w:pPr>
              <w:spacing w:after="120"/>
            </w:pPr>
            <w:r w:rsidRPr="00F369FF">
              <w:t>Varaktig effekt</w:t>
            </w:r>
          </w:p>
        </w:tc>
      </w:tr>
      <w:tr w:rsidR="00000000" w:rsidRPr="00F369FF">
        <w:tblPrEx>
          <w:tblCellMar>
            <w:top w:w="0" w:type="dxa"/>
            <w:bottom w:w="0" w:type="dxa"/>
          </w:tblCellMar>
        </w:tblPrEx>
        <w:tc>
          <w:tcPr>
            <w:tcW w:w="2716" w:type="dxa"/>
            <w:tcBorders>
              <w:top w:val="single" w:sz="12" w:space="0" w:color="auto"/>
              <w:bottom w:val="single" w:sz="2" w:space="0" w:color="auto"/>
              <w:right w:val="single" w:sz="2" w:space="0" w:color="auto"/>
            </w:tcBorders>
          </w:tcPr>
          <w:p w:rsidR="00993171" w:rsidRPr="00F369FF" w:rsidRDefault="00993171">
            <w:pPr>
              <w:spacing w:after="120"/>
            </w:pPr>
            <w:r w:rsidRPr="00F369FF">
              <w:t>Rättsväsendet och UD, a</w:t>
            </w:r>
            <w:r w:rsidRPr="00F369FF">
              <w:t>v</w:t>
            </w:r>
            <w:r w:rsidRPr="00F369FF">
              <w:t>giftsinkomster för pass, vis</w:t>
            </w:r>
            <w:r w:rsidRPr="00F369FF">
              <w:t>e</w:t>
            </w:r>
            <w:r w:rsidRPr="00F369FF">
              <w:t>ringar m.m.</w:t>
            </w:r>
          </w:p>
        </w:tc>
        <w:tc>
          <w:tcPr>
            <w:tcW w:w="708" w:type="dxa"/>
            <w:tcBorders>
              <w:top w:val="single" w:sz="12" w:space="0" w:color="auto"/>
              <w:left w:val="nil"/>
              <w:bottom w:val="single" w:sz="2" w:space="0" w:color="auto"/>
              <w:right w:val="single" w:sz="2" w:space="0" w:color="auto"/>
            </w:tcBorders>
          </w:tcPr>
          <w:p w:rsidR="00993171" w:rsidRPr="00F369FF" w:rsidRDefault="00993171">
            <w:pPr>
              <w:spacing w:after="120"/>
              <w:jc w:val="right"/>
            </w:pPr>
            <w:r w:rsidRPr="00F369FF">
              <w:t>205</w:t>
            </w:r>
          </w:p>
        </w:tc>
        <w:tc>
          <w:tcPr>
            <w:tcW w:w="709" w:type="dxa"/>
            <w:tcBorders>
              <w:top w:val="single" w:sz="12" w:space="0" w:color="auto"/>
              <w:left w:val="nil"/>
              <w:bottom w:val="single" w:sz="2" w:space="0" w:color="auto"/>
              <w:right w:val="single" w:sz="2" w:space="0" w:color="auto"/>
            </w:tcBorders>
          </w:tcPr>
          <w:p w:rsidR="00993171" w:rsidRPr="00F369FF" w:rsidRDefault="00993171">
            <w:pPr>
              <w:spacing w:after="120"/>
              <w:jc w:val="right"/>
            </w:pPr>
            <w:r w:rsidRPr="00F369FF">
              <w:t>205</w:t>
            </w:r>
          </w:p>
        </w:tc>
        <w:tc>
          <w:tcPr>
            <w:tcW w:w="709" w:type="dxa"/>
            <w:tcBorders>
              <w:top w:val="single" w:sz="12" w:space="0" w:color="auto"/>
              <w:left w:val="nil"/>
              <w:bottom w:val="single" w:sz="2" w:space="0" w:color="auto"/>
              <w:right w:val="single" w:sz="2" w:space="0" w:color="auto"/>
            </w:tcBorders>
          </w:tcPr>
          <w:p w:rsidR="00993171" w:rsidRPr="00F369FF" w:rsidRDefault="00993171">
            <w:pPr>
              <w:spacing w:after="120"/>
              <w:jc w:val="right"/>
            </w:pPr>
            <w:r w:rsidRPr="00F369FF">
              <w:t>205</w:t>
            </w:r>
          </w:p>
        </w:tc>
        <w:tc>
          <w:tcPr>
            <w:tcW w:w="1134" w:type="dxa"/>
            <w:tcBorders>
              <w:left w:val="nil"/>
            </w:tcBorders>
          </w:tcPr>
          <w:p w:rsidR="00993171" w:rsidRPr="00F369FF" w:rsidRDefault="00993171">
            <w:pPr>
              <w:spacing w:after="120"/>
              <w:jc w:val="right"/>
            </w:pPr>
            <w:r w:rsidRPr="00F369FF">
              <w:t>205</w:t>
            </w:r>
          </w:p>
        </w:tc>
      </w:tr>
    </w:tbl>
    <w:p w:rsidR="00993171" w:rsidRPr="00F369FF" w:rsidRDefault="00993171">
      <w:pPr>
        <w:pStyle w:val="Odefinierat"/>
      </w:pPr>
    </w:p>
    <w:p w:rsidR="00993171" w:rsidRPr="00F369FF" w:rsidRDefault="00993171">
      <w:pPr>
        <w:pStyle w:val="Rubrik3"/>
        <w:spacing w:before="123"/>
      </w:pPr>
      <w:r w:rsidRPr="00F369FF">
        <w:t>1.3 Den preliminära fördelningen av utgifterna på utgiftsområden åren 2001–2003</w:t>
      </w:r>
    </w:p>
    <w:p w:rsidR="00993171" w:rsidRPr="00F369FF" w:rsidRDefault="00993171">
      <w:r w:rsidRPr="00F369FF">
        <w:t xml:space="preserve">I budgetpropositionen för 2000 presenterades en preliminär fördelning av utgifterna på utgiftsområden för åren 2001 och 2002, vilken godkändes av riksdagen. Regeringen föreslår nu en reviderad preliminär fördelning av utgifterna för dessa år samt en preliminär fördelning för år 2003. Förslaget </w:t>
      </w:r>
      <w:r w:rsidRPr="00F369FF">
        <w:rPr>
          <w:i/>
        </w:rPr>
        <w:t>(propositionens yrkande 6, delvis)</w:t>
      </w:r>
      <w:r w:rsidRPr="00F369FF">
        <w:t xml:space="preserve"> till utgiftsramar för åren 2001–2003 samt differenser i förhållande till de preliminära ramarna i budgetpropositionen för 2000 redovisas vad avser utgiftsområdena 5 och 7 i tabellen nedan (utdrag ur tabell 7.1 i propositionen). </w:t>
      </w:r>
    </w:p>
    <w:p w:rsidR="00993171" w:rsidRPr="00F369FF" w:rsidRDefault="00993171">
      <w:pPr>
        <w:pStyle w:val="Normaltindrag"/>
      </w:pPr>
    </w:p>
    <w:p w:rsidR="00993171" w:rsidRPr="00F369FF" w:rsidRDefault="00993171">
      <w:pPr>
        <w:pStyle w:val="R3"/>
        <w:spacing w:before="0"/>
      </w:pPr>
      <w:r w:rsidRPr="00F369FF">
        <w:t>Tabell 7.1 Preliminär fördelning på utgiftsområden 2001–2003</w:t>
      </w:r>
    </w:p>
    <w:p w:rsidR="00993171" w:rsidRPr="00F369FF" w:rsidRDefault="00993171">
      <w:pPr>
        <w:pStyle w:val="TabellUnderrubrik"/>
      </w:pPr>
    </w:p>
    <w:p w:rsidR="00993171" w:rsidRPr="00F369FF" w:rsidRDefault="00993171">
      <w:pPr>
        <w:pStyle w:val="TabellUnderrubrik"/>
        <w:spacing w:line="200" w:lineRule="exact"/>
      </w:pPr>
      <w:r w:rsidRPr="00F369FF">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731"/>
        <w:gridCol w:w="3260"/>
        <w:gridCol w:w="993"/>
        <w:gridCol w:w="992"/>
      </w:tblGrid>
      <w:tr w:rsidR="00000000" w:rsidRPr="00F369FF">
        <w:tblPrEx>
          <w:tblCellMar>
            <w:top w:w="0" w:type="dxa"/>
            <w:bottom w:w="0" w:type="dxa"/>
          </w:tblCellMar>
        </w:tblPrEx>
        <w:tc>
          <w:tcPr>
            <w:tcW w:w="731" w:type="dxa"/>
            <w:tcBorders>
              <w:top w:val="single" w:sz="2" w:space="0" w:color="auto"/>
              <w:left w:val="single" w:sz="2" w:space="0" w:color="auto"/>
              <w:right w:val="single" w:sz="2" w:space="0" w:color="auto"/>
            </w:tcBorders>
          </w:tcPr>
          <w:p w:rsidR="00993171" w:rsidRPr="00F369FF" w:rsidRDefault="00993171">
            <w:pPr>
              <w:spacing w:before="240" w:after="120"/>
            </w:pPr>
          </w:p>
        </w:tc>
        <w:tc>
          <w:tcPr>
            <w:tcW w:w="3260" w:type="dxa"/>
            <w:tcBorders>
              <w:top w:val="single" w:sz="2" w:space="0" w:color="auto"/>
              <w:left w:val="nil"/>
              <w:right w:val="single" w:sz="2" w:space="0" w:color="auto"/>
            </w:tcBorders>
          </w:tcPr>
          <w:p w:rsidR="00993171" w:rsidRPr="00F369FF" w:rsidRDefault="00993171">
            <w:pPr>
              <w:spacing w:before="240" w:after="120"/>
            </w:pPr>
          </w:p>
        </w:tc>
        <w:tc>
          <w:tcPr>
            <w:tcW w:w="1985" w:type="dxa"/>
            <w:gridSpan w:val="2"/>
            <w:tcBorders>
              <w:top w:val="single" w:sz="2" w:space="0" w:color="auto"/>
              <w:left w:val="nil"/>
              <w:bottom w:val="single" w:sz="6" w:space="0" w:color="auto"/>
              <w:right w:val="single" w:sz="2" w:space="0" w:color="auto"/>
            </w:tcBorders>
          </w:tcPr>
          <w:p w:rsidR="00993171" w:rsidRPr="00F369FF" w:rsidRDefault="00993171">
            <w:pPr>
              <w:spacing w:before="240" w:after="120"/>
            </w:pPr>
            <w:r w:rsidRPr="00F369FF">
              <w:t>Differens mot budget</w:t>
            </w:r>
            <w:r w:rsidRPr="00F369FF">
              <w:softHyphen/>
              <w:t>propositionen för 2000</w:t>
            </w:r>
          </w:p>
        </w:tc>
      </w:tr>
      <w:tr w:rsidR="00000000" w:rsidRPr="00F369FF">
        <w:tblPrEx>
          <w:tblCellMar>
            <w:top w:w="0" w:type="dxa"/>
            <w:bottom w:w="0" w:type="dxa"/>
          </w:tblCellMar>
        </w:tblPrEx>
        <w:tc>
          <w:tcPr>
            <w:tcW w:w="731" w:type="dxa"/>
            <w:tcBorders>
              <w:top w:val="single" w:sz="2" w:space="0" w:color="auto"/>
              <w:left w:val="single" w:sz="2" w:space="0" w:color="auto"/>
              <w:bottom w:val="single" w:sz="12" w:space="0" w:color="auto"/>
              <w:right w:val="single" w:sz="2" w:space="0" w:color="auto"/>
            </w:tcBorders>
          </w:tcPr>
          <w:p w:rsidR="00993171" w:rsidRPr="00F369FF" w:rsidRDefault="00993171">
            <w:pPr>
              <w:spacing w:after="120"/>
            </w:pPr>
          </w:p>
        </w:tc>
        <w:tc>
          <w:tcPr>
            <w:tcW w:w="3260" w:type="dxa"/>
            <w:tcBorders>
              <w:top w:val="single" w:sz="2" w:space="0" w:color="auto"/>
              <w:left w:val="nil"/>
              <w:bottom w:val="single" w:sz="12" w:space="0" w:color="auto"/>
              <w:right w:val="single" w:sz="2" w:space="0" w:color="auto"/>
            </w:tcBorders>
          </w:tcPr>
          <w:p w:rsidR="00993171" w:rsidRPr="00F369FF" w:rsidRDefault="00993171">
            <w:pPr>
              <w:spacing w:after="120"/>
            </w:pPr>
          </w:p>
        </w:tc>
        <w:tc>
          <w:tcPr>
            <w:tcW w:w="993" w:type="dxa"/>
            <w:tcBorders>
              <w:left w:val="nil"/>
              <w:bottom w:val="single" w:sz="12" w:space="0" w:color="auto"/>
              <w:right w:val="single" w:sz="2" w:space="0" w:color="auto"/>
            </w:tcBorders>
          </w:tcPr>
          <w:p w:rsidR="00993171" w:rsidRPr="00F369FF" w:rsidRDefault="00993171">
            <w:pPr>
              <w:spacing w:after="120"/>
              <w:jc w:val="right"/>
            </w:pPr>
            <w:r w:rsidRPr="00F369FF">
              <w:t>2001</w:t>
            </w:r>
          </w:p>
        </w:tc>
        <w:tc>
          <w:tcPr>
            <w:tcW w:w="992" w:type="dxa"/>
            <w:tcBorders>
              <w:left w:val="nil"/>
              <w:bottom w:val="single" w:sz="12" w:space="0" w:color="auto"/>
              <w:right w:val="single" w:sz="2" w:space="0" w:color="auto"/>
            </w:tcBorders>
          </w:tcPr>
          <w:p w:rsidR="00993171" w:rsidRPr="00F369FF" w:rsidRDefault="00993171">
            <w:pPr>
              <w:spacing w:after="120"/>
              <w:jc w:val="right"/>
            </w:pPr>
            <w:r w:rsidRPr="00F369FF">
              <w:t>2002</w:t>
            </w:r>
          </w:p>
        </w:tc>
      </w:tr>
      <w:tr w:rsidR="00000000" w:rsidRPr="00F369FF">
        <w:tblPrEx>
          <w:tblCellMar>
            <w:top w:w="0" w:type="dxa"/>
            <w:bottom w:w="0" w:type="dxa"/>
          </w:tblCellMar>
        </w:tblPrEx>
        <w:tc>
          <w:tcPr>
            <w:tcW w:w="731" w:type="dxa"/>
            <w:tcBorders>
              <w:left w:val="single" w:sz="2" w:space="0" w:color="auto"/>
              <w:bottom w:val="single" w:sz="6" w:space="0" w:color="auto"/>
              <w:right w:val="single" w:sz="2" w:space="0" w:color="auto"/>
            </w:tcBorders>
          </w:tcPr>
          <w:p w:rsidR="00993171" w:rsidRPr="00F369FF" w:rsidRDefault="00993171">
            <w:r w:rsidRPr="00F369FF">
              <w:t>UO 5</w:t>
            </w:r>
          </w:p>
        </w:tc>
        <w:tc>
          <w:tcPr>
            <w:tcW w:w="3260" w:type="dxa"/>
            <w:tcBorders>
              <w:left w:val="nil"/>
              <w:bottom w:val="single" w:sz="6" w:space="0" w:color="auto"/>
              <w:right w:val="single" w:sz="2" w:space="0" w:color="auto"/>
            </w:tcBorders>
          </w:tcPr>
          <w:p w:rsidR="00993171" w:rsidRPr="00F369FF" w:rsidRDefault="00993171">
            <w:r w:rsidRPr="00F369FF">
              <w:t>Utrikesförvaltning och internationell samverkan</w:t>
            </w:r>
          </w:p>
        </w:tc>
        <w:tc>
          <w:tcPr>
            <w:tcW w:w="993" w:type="dxa"/>
            <w:tcBorders>
              <w:left w:val="nil"/>
              <w:bottom w:val="single" w:sz="6" w:space="0" w:color="auto"/>
              <w:right w:val="single" w:sz="2" w:space="0" w:color="auto"/>
            </w:tcBorders>
          </w:tcPr>
          <w:p w:rsidR="00993171" w:rsidRPr="00F369FF" w:rsidRDefault="00993171">
            <w:pPr>
              <w:jc w:val="right"/>
            </w:pPr>
            <w:r w:rsidRPr="00F369FF">
              <w:t>-138</w:t>
            </w:r>
          </w:p>
        </w:tc>
        <w:tc>
          <w:tcPr>
            <w:tcW w:w="992" w:type="dxa"/>
            <w:tcBorders>
              <w:left w:val="nil"/>
              <w:bottom w:val="single" w:sz="6" w:space="0" w:color="auto"/>
              <w:right w:val="single" w:sz="2" w:space="0" w:color="auto"/>
            </w:tcBorders>
          </w:tcPr>
          <w:p w:rsidR="00993171" w:rsidRPr="00F369FF" w:rsidRDefault="00993171">
            <w:pPr>
              <w:jc w:val="right"/>
            </w:pPr>
            <w:r w:rsidRPr="00F369FF">
              <w:t>-202</w:t>
            </w:r>
          </w:p>
        </w:tc>
      </w:tr>
      <w:tr w:rsidR="00000000" w:rsidRPr="00F369FF">
        <w:tblPrEx>
          <w:tblCellMar>
            <w:top w:w="0" w:type="dxa"/>
            <w:bottom w:w="0" w:type="dxa"/>
          </w:tblCellMar>
        </w:tblPrEx>
        <w:tc>
          <w:tcPr>
            <w:tcW w:w="731" w:type="dxa"/>
            <w:tcBorders>
              <w:left w:val="single" w:sz="2" w:space="0" w:color="auto"/>
              <w:bottom w:val="single" w:sz="2" w:space="0" w:color="auto"/>
              <w:right w:val="single" w:sz="2" w:space="0" w:color="auto"/>
            </w:tcBorders>
          </w:tcPr>
          <w:p w:rsidR="00993171" w:rsidRPr="00F369FF" w:rsidRDefault="00993171">
            <w:pPr>
              <w:spacing w:after="120"/>
            </w:pPr>
            <w:r w:rsidRPr="00F369FF">
              <w:t>UO 7</w:t>
            </w:r>
          </w:p>
        </w:tc>
        <w:tc>
          <w:tcPr>
            <w:tcW w:w="3260" w:type="dxa"/>
            <w:tcBorders>
              <w:left w:val="nil"/>
              <w:bottom w:val="single" w:sz="2" w:space="0" w:color="auto"/>
              <w:right w:val="single" w:sz="2" w:space="0" w:color="auto"/>
            </w:tcBorders>
          </w:tcPr>
          <w:p w:rsidR="00993171" w:rsidRPr="00F369FF" w:rsidRDefault="00993171">
            <w:pPr>
              <w:spacing w:after="120"/>
            </w:pPr>
            <w:r w:rsidRPr="00F369FF">
              <w:t>Internationellt bistånd</w:t>
            </w:r>
          </w:p>
        </w:tc>
        <w:tc>
          <w:tcPr>
            <w:tcW w:w="993" w:type="dxa"/>
            <w:tcBorders>
              <w:left w:val="nil"/>
              <w:bottom w:val="single" w:sz="2" w:space="0" w:color="auto"/>
              <w:right w:val="single" w:sz="2" w:space="0" w:color="auto"/>
            </w:tcBorders>
          </w:tcPr>
          <w:p w:rsidR="00993171" w:rsidRPr="00F369FF" w:rsidRDefault="00993171">
            <w:pPr>
              <w:spacing w:after="120"/>
              <w:jc w:val="right"/>
            </w:pPr>
            <w:r w:rsidRPr="00F369FF">
              <w:t>671</w:t>
            </w:r>
          </w:p>
        </w:tc>
        <w:tc>
          <w:tcPr>
            <w:tcW w:w="992" w:type="dxa"/>
            <w:tcBorders>
              <w:left w:val="nil"/>
              <w:bottom w:val="single" w:sz="2" w:space="0" w:color="auto"/>
              <w:right w:val="single" w:sz="2" w:space="0" w:color="auto"/>
            </w:tcBorders>
          </w:tcPr>
          <w:p w:rsidR="00993171" w:rsidRPr="00F369FF" w:rsidRDefault="00993171">
            <w:pPr>
              <w:spacing w:after="120"/>
              <w:jc w:val="right"/>
            </w:pPr>
            <w:r w:rsidRPr="00F369FF">
              <w:t>1 272</w:t>
            </w:r>
          </w:p>
        </w:tc>
      </w:tr>
    </w:tbl>
    <w:p w:rsidR="00993171" w:rsidRPr="00F369FF" w:rsidRDefault="00993171">
      <w:pPr>
        <w:pStyle w:val="Normaltindrag"/>
      </w:pPr>
    </w:p>
    <w:p w:rsidR="00993171" w:rsidRPr="00F369FF" w:rsidRDefault="00993171">
      <w:r w:rsidRPr="00F369FF">
        <w:t>De här presenterade beräkningarna av fördelningen på utgiftsområden för åren 2001–2003 är baserade på nu kända förut</w:t>
      </w:r>
      <w:r w:rsidRPr="00F369FF">
        <w:softHyphen/>
        <w:t>sättningar vad avser den ek</w:t>
      </w:r>
      <w:r w:rsidRPr="00F369FF">
        <w:t>o</w:t>
      </w:r>
      <w:r w:rsidRPr="00F369FF">
        <w:t>nomiska ut</w:t>
      </w:r>
      <w:r w:rsidRPr="00F369FF">
        <w:softHyphen/>
        <w:t>vecklingen och gällande regelsystem och skall betraktas som preliminära. Inför budget</w:t>
      </w:r>
      <w:r w:rsidRPr="00F369FF">
        <w:softHyphen/>
        <w:t>propo</w:t>
      </w:r>
      <w:r w:rsidRPr="00F369FF">
        <w:softHyphen/>
        <w:t>sitionen för 2001 kan utgiftsramarna komma att justeras, t.ex. beroende på att pris- och lönekänsliga anslag kan komma att ändras till följd av nya antaganden om den ekonomiska utvecklingen.</w:t>
      </w:r>
    </w:p>
    <w:p w:rsidR="00993171" w:rsidRPr="00F369FF" w:rsidRDefault="00993171">
      <w:pPr>
        <w:pStyle w:val="Normaltindrag"/>
      </w:pPr>
      <w:r w:rsidRPr="00F369FF">
        <w:t>Beträffande utgiftsområdena 5 och 7 föreslås (propositionens yrkande 6 i berörd del) följande som riktlinje för regeringens budgetarbete.</w:t>
      </w:r>
    </w:p>
    <w:p w:rsidR="00993171" w:rsidRPr="00F369FF" w:rsidRDefault="00993171">
      <w:pPr>
        <w:pStyle w:val="Rubrik3"/>
      </w:pPr>
      <w:r w:rsidRPr="00F369FF">
        <w:t xml:space="preserve">Utgiftsområde 5: </w:t>
      </w:r>
      <w:r w:rsidRPr="00F369FF">
        <w:br/>
        <w:t>Utrikesförvaltning och internationell samverkan</w:t>
      </w:r>
    </w:p>
    <w:p w:rsidR="00993171" w:rsidRPr="00F369FF" w:rsidRDefault="00993171">
      <w:pPr>
        <w:pStyle w:val="TabellUnderrubrik"/>
      </w:pPr>
    </w:p>
    <w:p w:rsidR="00993171" w:rsidRPr="00F369FF" w:rsidRDefault="00993171">
      <w:pPr>
        <w:pStyle w:val="TabellUnderrubrik"/>
        <w:spacing w:line="200" w:lineRule="exact"/>
      </w:pPr>
      <w:r w:rsidRPr="00F369FF">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873"/>
        <w:gridCol w:w="992"/>
        <w:gridCol w:w="992"/>
        <w:gridCol w:w="851"/>
        <w:gridCol w:w="850"/>
        <w:gridCol w:w="1134"/>
      </w:tblGrid>
      <w:tr w:rsidR="00000000" w:rsidRPr="00F369FF">
        <w:tblPrEx>
          <w:tblCellMar>
            <w:top w:w="0" w:type="dxa"/>
            <w:bottom w:w="0" w:type="dxa"/>
          </w:tblCellMar>
        </w:tblPrEx>
        <w:trPr>
          <w:cantSplit/>
        </w:trPr>
        <w:tc>
          <w:tcPr>
            <w:tcW w:w="873" w:type="dxa"/>
            <w:tcBorders>
              <w:top w:val="single" w:sz="2" w:space="0" w:color="auto"/>
              <w:left w:val="single" w:sz="2" w:space="0" w:color="auto"/>
              <w:bottom w:val="single" w:sz="2" w:space="0" w:color="auto"/>
              <w:right w:val="single" w:sz="2" w:space="0" w:color="auto"/>
            </w:tcBorders>
          </w:tcPr>
          <w:p w:rsidR="00993171" w:rsidRPr="00F369FF" w:rsidRDefault="00993171">
            <w:pPr>
              <w:spacing w:before="240" w:after="120"/>
              <w:jc w:val="right"/>
            </w:pPr>
            <w:r w:rsidRPr="00F369FF">
              <w:t>Utfall</w:t>
            </w:r>
          </w:p>
        </w:tc>
        <w:tc>
          <w:tcPr>
            <w:tcW w:w="992" w:type="dxa"/>
            <w:tcBorders>
              <w:top w:val="single" w:sz="2" w:space="0" w:color="auto"/>
              <w:left w:val="nil"/>
              <w:bottom w:val="single" w:sz="2" w:space="0" w:color="auto"/>
              <w:right w:val="single" w:sz="2" w:space="0" w:color="auto"/>
            </w:tcBorders>
          </w:tcPr>
          <w:p w:rsidR="00993171" w:rsidRPr="00F369FF" w:rsidRDefault="00993171">
            <w:pPr>
              <w:spacing w:before="240" w:after="120"/>
              <w:jc w:val="right"/>
            </w:pPr>
            <w:r w:rsidRPr="00F369FF">
              <w:t>A</w:t>
            </w:r>
            <w:r w:rsidRPr="00F369FF">
              <w:t>n</w:t>
            </w:r>
            <w:r w:rsidRPr="00F369FF">
              <w:t>slag</w:t>
            </w:r>
          </w:p>
        </w:tc>
        <w:tc>
          <w:tcPr>
            <w:tcW w:w="992" w:type="dxa"/>
            <w:tcBorders>
              <w:top w:val="single" w:sz="2" w:space="0" w:color="auto"/>
              <w:left w:val="nil"/>
              <w:bottom w:val="single" w:sz="2" w:space="0" w:color="auto"/>
              <w:right w:val="single" w:sz="2" w:space="0" w:color="auto"/>
            </w:tcBorders>
          </w:tcPr>
          <w:p w:rsidR="00993171" w:rsidRPr="00F369FF" w:rsidRDefault="00993171">
            <w:pPr>
              <w:spacing w:before="240" w:after="120"/>
              <w:jc w:val="right"/>
            </w:pPr>
            <w:r w:rsidRPr="00F369FF">
              <w:t>Pr</w:t>
            </w:r>
            <w:r w:rsidRPr="00F369FF">
              <w:t>o</w:t>
            </w:r>
            <w:r w:rsidRPr="00F369FF">
              <w:t>gnos</w:t>
            </w:r>
          </w:p>
        </w:tc>
        <w:tc>
          <w:tcPr>
            <w:tcW w:w="2835" w:type="dxa"/>
            <w:gridSpan w:val="3"/>
            <w:tcBorders>
              <w:top w:val="single" w:sz="2" w:space="0" w:color="auto"/>
              <w:left w:val="nil"/>
              <w:bottom w:val="single" w:sz="2" w:space="0" w:color="auto"/>
              <w:right w:val="single" w:sz="2" w:space="0" w:color="auto"/>
            </w:tcBorders>
          </w:tcPr>
          <w:p w:rsidR="00993171" w:rsidRPr="00F369FF" w:rsidRDefault="00993171">
            <w:pPr>
              <w:spacing w:before="240" w:after="120"/>
              <w:jc w:val="center"/>
            </w:pPr>
            <w:r w:rsidRPr="00F369FF">
              <w:t>Berä</w:t>
            </w:r>
            <w:r w:rsidRPr="00F369FF">
              <w:t>k</w:t>
            </w:r>
            <w:r w:rsidRPr="00F369FF">
              <w:t>nat</w:t>
            </w:r>
          </w:p>
        </w:tc>
      </w:tr>
      <w:tr w:rsidR="00000000" w:rsidRPr="00F369FF">
        <w:tblPrEx>
          <w:tblCellMar>
            <w:top w:w="0" w:type="dxa"/>
            <w:bottom w:w="0" w:type="dxa"/>
          </w:tblCellMar>
        </w:tblPrEx>
        <w:tc>
          <w:tcPr>
            <w:tcW w:w="873" w:type="dxa"/>
            <w:tcBorders>
              <w:left w:val="single" w:sz="2" w:space="0" w:color="auto"/>
              <w:bottom w:val="single" w:sz="12" w:space="0" w:color="auto"/>
              <w:right w:val="single" w:sz="2" w:space="0" w:color="auto"/>
            </w:tcBorders>
          </w:tcPr>
          <w:p w:rsidR="00993171" w:rsidRPr="00F369FF" w:rsidRDefault="00993171">
            <w:pPr>
              <w:spacing w:after="120"/>
              <w:jc w:val="right"/>
            </w:pPr>
            <w:r w:rsidRPr="00F369FF">
              <w:t>1999</w:t>
            </w:r>
          </w:p>
        </w:tc>
        <w:tc>
          <w:tcPr>
            <w:tcW w:w="992" w:type="dxa"/>
            <w:tcBorders>
              <w:left w:val="nil"/>
              <w:bottom w:val="single" w:sz="12" w:space="0" w:color="auto"/>
              <w:right w:val="single" w:sz="2" w:space="0" w:color="auto"/>
            </w:tcBorders>
          </w:tcPr>
          <w:p w:rsidR="00993171" w:rsidRPr="00F369FF" w:rsidRDefault="00993171">
            <w:pPr>
              <w:spacing w:after="120"/>
              <w:jc w:val="right"/>
            </w:pPr>
            <w:r w:rsidRPr="00F369FF">
              <w:t>2000</w:t>
            </w:r>
          </w:p>
        </w:tc>
        <w:tc>
          <w:tcPr>
            <w:tcW w:w="992" w:type="dxa"/>
            <w:tcBorders>
              <w:left w:val="nil"/>
              <w:bottom w:val="single" w:sz="12" w:space="0" w:color="auto"/>
              <w:right w:val="single" w:sz="2" w:space="0" w:color="auto"/>
            </w:tcBorders>
          </w:tcPr>
          <w:p w:rsidR="00993171" w:rsidRPr="00F369FF" w:rsidRDefault="00993171">
            <w:pPr>
              <w:spacing w:after="120"/>
              <w:jc w:val="right"/>
            </w:pPr>
            <w:r w:rsidRPr="00F369FF">
              <w:t>2000</w:t>
            </w:r>
          </w:p>
        </w:tc>
        <w:tc>
          <w:tcPr>
            <w:tcW w:w="851" w:type="dxa"/>
            <w:tcBorders>
              <w:left w:val="nil"/>
              <w:bottom w:val="single" w:sz="12" w:space="0" w:color="auto"/>
              <w:right w:val="single" w:sz="2" w:space="0" w:color="auto"/>
            </w:tcBorders>
          </w:tcPr>
          <w:p w:rsidR="00993171" w:rsidRPr="00F369FF" w:rsidRDefault="00993171">
            <w:pPr>
              <w:spacing w:after="120"/>
              <w:jc w:val="right"/>
            </w:pPr>
            <w:r w:rsidRPr="00F369FF">
              <w:t>2001</w:t>
            </w:r>
          </w:p>
        </w:tc>
        <w:tc>
          <w:tcPr>
            <w:tcW w:w="850" w:type="dxa"/>
            <w:tcBorders>
              <w:left w:val="nil"/>
              <w:bottom w:val="single" w:sz="12" w:space="0" w:color="auto"/>
              <w:right w:val="single" w:sz="2" w:space="0" w:color="auto"/>
            </w:tcBorders>
          </w:tcPr>
          <w:p w:rsidR="00993171" w:rsidRPr="00F369FF" w:rsidRDefault="00993171">
            <w:pPr>
              <w:spacing w:after="120"/>
              <w:jc w:val="right"/>
            </w:pPr>
            <w:r w:rsidRPr="00F369FF">
              <w:t>2002</w:t>
            </w:r>
          </w:p>
        </w:tc>
        <w:tc>
          <w:tcPr>
            <w:tcW w:w="1134" w:type="dxa"/>
            <w:tcBorders>
              <w:left w:val="nil"/>
              <w:bottom w:val="single" w:sz="12" w:space="0" w:color="auto"/>
              <w:right w:val="single" w:sz="2" w:space="0" w:color="auto"/>
            </w:tcBorders>
          </w:tcPr>
          <w:p w:rsidR="00993171" w:rsidRPr="00F369FF" w:rsidRDefault="00993171">
            <w:pPr>
              <w:spacing w:after="120"/>
              <w:jc w:val="right"/>
            </w:pPr>
            <w:r w:rsidRPr="00F369FF">
              <w:t>2003</w:t>
            </w:r>
          </w:p>
        </w:tc>
      </w:tr>
      <w:tr w:rsidR="00000000" w:rsidRPr="00F369FF">
        <w:tblPrEx>
          <w:tblCellMar>
            <w:top w:w="0" w:type="dxa"/>
            <w:bottom w:w="0" w:type="dxa"/>
          </w:tblCellMar>
        </w:tblPrEx>
        <w:tc>
          <w:tcPr>
            <w:tcW w:w="873" w:type="dxa"/>
            <w:tcBorders>
              <w:left w:val="single" w:sz="2" w:space="0" w:color="auto"/>
              <w:bottom w:val="single" w:sz="2" w:space="0" w:color="auto"/>
              <w:right w:val="single" w:sz="2" w:space="0" w:color="auto"/>
            </w:tcBorders>
          </w:tcPr>
          <w:p w:rsidR="00993171" w:rsidRPr="00F369FF" w:rsidRDefault="00993171">
            <w:pPr>
              <w:spacing w:before="240" w:after="120"/>
              <w:jc w:val="right"/>
            </w:pPr>
            <w:r w:rsidRPr="00F369FF">
              <w:t>2 877</w:t>
            </w:r>
          </w:p>
        </w:tc>
        <w:tc>
          <w:tcPr>
            <w:tcW w:w="992" w:type="dxa"/>
            <w:tcBorders>
              <w:left w:val="nil"/>
              <w:bottom w:val="single" w:sz="2" w:space="0" w:color="auto"/>
              <w:right w:val="single" w:sz="2" w:space="0" w:color="auto"/>
            </w:tcBorders>
          </w:tcPr>
          <w:p w:rsidR="00993171" w:rsidRPr="00F369FF" w:rsidRDefault="00993171">
            <w:pPr>
              <w:spacing w:before="240" w:after="120"/>
              <w:jc w:val="right"/>
            </w:pPr>
            <w:r w:rsidRPr="00F369FF">
              <w:t>2 983</w:t>
            </w:r>
          </w:p>
        </w:tc>
        <w:tc>
          <w:tcPr>
            <w:tcW w:w="992" w:type="dxa"/>
            <w:tcBorders>
              <w:left w:val="nil"/>
              <w:bottom w:val="single" w:sz="2" w:space="0" w:color="auto"/>
              <w:right w:val="single" w:sz="2" w:space="0" w:color="auto"/>
            </w:tcBorders>
          </w:tcPr>
          <w:p w:rsidR="00993171" w:rsidRPr="00F369FF" w:rsidRDefault="00993171">
            <w:pPr>
              <w:spacing w:before="240" w:after="120"/>
              <w:jc w:val="right"/>
            </w:pPr>
            <w:r w:rsidRPr="00F369FF">
              <w:t>3 096</w:t>
            </w:r>
          </w:p>
        </w:tc>
        <w:tc>
          <w:tcPr>
            <w:tcW w:w="851" w:type="dxa"/>
            <w:tcBorders>
              <w:left w:val="nil"/>
              <w:bottom w:val="single" w:sz="2" w:space="0" w:color="auto"/>
              <w:right w:val="single" w:sz="2" w:space="0" w:color="auto"/>
            </w:tcBorders>
          </w:tcPr>
          <w:p w:rsidR="00993171" w:rsidRPr="00F369FF" w:rsidRDefault="00993171">
            <w:pPr>
              <w:spacing w:before="240" w:after="120"/>
              <w:jc w:val="right"/>
              <w:rPr>
                <w:b/>
              </w:rPr>
            </w:pPr>
            <w:r w:rsidRPr="00F369FF">
              <w:rPr>
                <w:b/>
              </w:rPr>
              <w:t>2 889</w:t>
            </w:r>
          </w:p>
        </w:tc>
        <w:tc>
          <w:tcPr>
            <w:tcW w:w="850" w:type="dxa"/>
            <w:tcBorders>
              <w:left w:val="nil"/>
              <w:bottom w:val="single" w:sz="2" w:space="0" w:color="auto"/>
              <w:right w:val="single" w:sz="2" w:space="0" w:color="auto"/>
            </w:tcBorders>
          </w:tcPr>
          <w:p w:rsidR="00993171" w:rsidRPr="00F369FF" w:rsidRDefault="00993171">
            <w:pPr>
              <w:spacing w:before="240" w:after="120"/>
              <w:jc w:val="right"/>
            </w:pPr>
            <w:r w:rsidRPr="00F369FF">
              <w:t>2 863</w:t>
            </w:r>
          </w:p>
        </w:tc>
        <w:tc>
          <w:tcPr>
            <w:tcW w:w="1134" w:type="dxa"/>
            <w:tcBorders>
              <w:left w:val="nil"/>
              <w:bottom w:val="single" w:sz="2" w:space="0" w:color="auto"/>
              <w:right w:val="single" w:sz="2" w:space="0" w:color="auto"/>
            </w:tcBorders>
          </w:tcPr>
          <w:p w:rsidR="00993171" w:rsidRPr="00F369FF" w:rsidRDefault="00993171">
            <w:pPr>
              <w:spacing w:before="240" w:after="120"/>
              <w:jc w:val="right"/>
            </w:pPr>
            <w:r w:rsidRPr="00F369FF">
              <w:t>2 907</w:t>
            </w:r>
          </w:p>
        </w:tc>
      </w:tr>
    </w:tbl>
    <w:p w:rsidR="00993171" w:rsidRPr="00F369FF" w:rsidRDefault="00993171">
      <w:r w:rsidRPr="00F369FF">
        <w:t>Utgiftsområdet omfattar i huvudsak utrikes</w:t>
      </w:r>
      <w:r w:rsidRPr="00F369FF">
        <w:softHyphen/>
        <w:t>förvaltningen, dvs. Utrikesdepa</w:t>
      </w:r>
      <w:r w:rsidRPr="00F369FF">
        <w:t>r</w:t>
      </w:r>
      <w:r w:rsidRPr="00F369FF">
        <w:t>tementet och de 103 utlandsmyndigheterna, bidrag till vissa internationella organisationer, nedrustnings- och säkerhetspolitiska frågor, in</w:t>
      </w:r>
      <w:r w:rsidRPr="00F369FF">
        <w:softHyphen/>
        <w:t>formation om Sverige i utlandet samt Europa</w:t>
      </w:r>
      <w:r w:rsidRPr="00F369FF">
        <w:softHyphen/>
        <w:t>information. För 2000 uppgår de totala ansl</w:t>
      </w:r>
      <w:r w:rsidRPr="00F369FF">
        <w:t>a</w:t>
      </w:r>
      <w:r w:rsidRPr="00F369FF">
        <w:t>gen enligt stats</w:t>
      </w:r>
      <w:r w:rsidRPr="00F369FF">
        <w:softHyphen/>
        <w:t>budgeten till 2,9 miljarder kronor, varav anslaget till utrike</w:t>
      </w:r>
      <w:r w:rsidRPr="00F369FF">
        <w:t>s</w:t>
      </w:r>
      <w:r w:rsidRPr="00F369FF">
        <w:t>förvaltningen uppgår till 1,9 miljarder kronor och bidragen till internationella organ</w:t>
      </w:r>
      <w:r w:rsidRPr="00F369FF">
        <w:softHyphen/>
        <w:t>isationer till 1 miljard kronor.</w:t>
      </w:r>
    </w:p>
    <w:p w:rsidR="00993171" w:rsidRPr="00F369FF" w:rsidRDefault="00993171">
      <w:pPr>
        <w:pStyle w:val="Normaltindrag"/>
      </w:pPr>
      <w:r w:rsidRPr="00F369FF">
        <w:t>Till följd av sammanslagningen av Regerings</w:t>
      </w:r>
      <w:r w:rsidRPr="00F369FF">
        <w:softHyphen/>
        <w:t>kansliets två IT-organisationer, den inom UD och den för övriga Regeringskansliet, till en gemensam organisation från den 1 januari 2000 beräknas utgiftsområdet minska med 150 miljoner kronor fr.o.m.  2001.</w:t>
      </w:r>
    </w:p>
    <w:p w:rsidR="00993171" w:rsidRPr="00F369FF" w:rsidRDefault="00993171">
      <w:pPr>
        <w:pStyle w:val="Normaltindrag"/>
      </w:pPr>
      <w:r w:rsidRPr="00F369FF">
        <w:t>Utrikesförvaltningens verksamhet har de senaste åren inte till fullo kunnat finansieras inom ramen för det årliga anslaget. För att finansiera verksamh</w:t>
      </w:r>
      <w:r w:rsidRPr="00F369FF">
        <w:t>e</w:t>
      </w:r>
      <w:r w:rsidRPr="00F369FF">
        <w:t>ten har det tidigare ackumulerade anslagssparandet tagits i anspråk. Reg</w:t>
      </w:r>
      <w:r w:rsidRPr="00F369FF">
        <w:t>e</w:t>
      </w:r>
      <w:r w:rsidRPr="00F369FF">
        <w:t>ringen beräknar därför att utgiftsområdet engångsvis bör tillföras 50 miljoner kronor 2001 avseende utrikes</w:t>
      </w:r>
      <w:r w:rsidRPr="00F369FF">
        <w:softHyphen/>
        <w:t>förvaltningen i avvaktan på regeringens saml</w:t>
      </w:r>
      <w:r w:rsidRPr="00F369FF">
        <w:t>a</w:t>
      </w:r>
      <w:r w:rsidRPr="00F369FF">
        <w:t>de överväganden med an</w:t>
      </w:r>
      <w:r w:rsidRPr="00F369FF">
        <w:softHyphen/>
        <w:t>ledning av utredningen om Regeringskansliets d</w:t>
      </w:r>
      <w:r w:rsidRPr="00F369FF">
        <w:t>i</w:t>
      </w:r>
      <w:r w:rsidRPr="00F369FF">
        <w:t>mension</w:t>
      </w:r>
      <w:r w:rsidRPr="00F369FF">
        <w:softHyphen/>
        <w:t>ering och verksamhet.</w:t>
      </w:r>
    </w:p>
    <w:p w:rsidR="00993171" w:rsidRPr="00F369FF" w:rsidRDefault="00993171">
      <w:pPr>
        <w:pStyle w:val="Normaltindrag"/>
      </w:pPr>
      <w:r w:rsidRPr="00F369FF">
        <w:t>Från och med 2001 föreslås att utrikesförvaltningen får disponera 25 miljoner kronor per år av de offentligrättsliga avgifterna för pass, vis</w:t>
      </w:r>
      <w:r w:rsidRPr="00F369FF">
        <w:t>e</w:t>
      </w:r>
      <w:r w:rsidRPr="00F369FF">
        <w:t>ringar m.m.</w:t>
      </w:r>
    </w:p>
    <w:p w:rsidR="00993171" w:rsidRPr="00F369FF" w:rsidRDefault="00993171">
      <w:pPr>
        <w:pStyle w:val="Normaltindrag"/>
      </w:pPr>
      <w:r w:rsidRPr="00F369FF">
        <w:t>I budgetpropositionen för 2000 aviserade regeringen en sammanslagning av Regerings</w:t>
      </w:r>
      <w:r w:rsidRPr="00F369FF">
        <w:softHyphen/>
        <w:t>kansliets och Utrikesdepartementets för</w:t>
      </w:r>
      <w:r w:rsidRPr="00F369FF">
        <w:softHyphen/>
        <w:t>valtningsanslag från den 1 januari 2002. Anslagen handhas av två utskott och indelningen i utgifts</w:t>
      </w:r>
      <w:r w:rsidRPr="00F369FF">
        <w:softHyphen/>
        <w:t>områden är reglerad i riksdagsordningen. Med anledning av detta avser reg</w:t>
      </w:r>
      <w:r w:rsidRPr="00F369FF">
        <w:t>e</w:t>
      </w:r>
      <w:r w:rsidRPr="00F369FF">
        <w:t>ringen att återkomma med ett förslag till riksdagen om nödvändig lagän</w:t>
      </w:r>
      <w:r w:rsidRPr="00F369FF">
        <w:t>d</w:t>
      </w:r>
      <w:r w:rsidRPr="00F369FF">
        <w:t>ring, dock senast i 2001 års ekonomiska vårproposition.</w:t>
      </w:r>
    </w:p>
    <w:p w:rsidR="00993171" w:rsidRPr="00F369FF" w:rsidRDefault="00993171">
      <w:pPr>
        <w:pStyle w:val="Rubrik3"/>
      </w:pPr>
      <w:r w:rsidRPr="00F369FF">
        <w:t>Utgiftsområde 7:</w:t>
      </w:r>
      <w:r w:rsidRPr="00F369FF">
        <w:br/>
        <w:t>Internationellt bistånd</w:t>
      </w:r>
    </w:p>
    <w:p w:rsidR="00993171" w:rsidRPr="00F369FF" w:rsidRDefault="00993171">
      <w:pPr>
        <w:pStyle w:val="TabellUnderrubrik"/>
      </w:pPr>
    </w:p>
    <w:p w:rsidR="00993171" w:rsidRPr="00F369FF" w:rsidRDefault="00993171">
      <w:pPr>
        <w:pStyle w:val="TabellUnderrubrik"/>
        <w:spacing w:line="200" w:lineRule="exact"/>
        <w:rPr>
          <w:rFonts w:ascii="Times New Roman" w:hAnsi="Times New Roman"/>
        </w:rPr>
      </w:pPr>
      <w:r w:rsidRPr="00F369FF">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1015"/>
        <w:gridCol w:w="992"/>
        <w:gridCol w:w="992"/>
        <w:gridCol w:w="992"/>
        <w:gridCol w:w="851"/>
        <w:gridCol w:w="992"/>
      </w:tblGrid>
      <w:tr w:rsidR="00000000" w:rsidRPr="00F369FF">
        <w:tblPrEx>
          <w:tblCellMar>
            <w:top w:w="0" w:type="dxa"/>
            <w:bottom w:w="0" w:type="dxa"/>
          </w:tblCellMar>
        </w:tblPrEx>
        <w:trPr>
          <w:cantSplit/>
        </w:trPr>
        <w:tc>
          <w:tcPr>
            <w:tcW w:w="1015" w:type="dxa"/>
            <w:tcBorders>
              <w:top w:val="single" w:sz="2" w:space="0" w:color="auto"/>
              <w:left w:val="single" w:sz="2" w:space="0" w:color="auto"/>
              <w:bottom w:val="single" w:sz="2" w:space="0" w:color="auto"/>
              <w:right w:val="single" w:sz="2" w:space="0" w:color="auto"/>
            </w:tcBorders>
          </w:tcPr>
          <w:p w:rsidR="00993171" w:rsidRPr="00F369FF" w:rsidRDefault="00993171">
            <w:pPr>
              <w:spacing w:after="120"/>
              <w:jc w:val="right"/>
            </w:pPr>
            <w:r w:rsidRPr="00F369FF">
              <w:t>Utfall</w:t>
            </w:r>
          </w:p>
        </w:tc>
        <w:tc>
          <w:tcPr>
            <w:tcW w:w="992" w:type="dxa"/>
            <w:tcBorders>
              <w:top w:val="single" w:sz="2" w:space="0" w:color="auto"/>
              <w:left w:val="nil"/>
              <w:bottom w:val="single" w:sz="2" w:space="0" w:color="auto"/>
              <w:right w:val="single" w:sz="2" w:space="0" w:color="auto"/>
            </w:tcBorders>
          </w:tcPr>
          <w:p w:rsidR="00993171" w:rsidRPr="00F369FF" w:rsidRDefault="00993171">
            <w:pPr>
              <w:spacing w:after="120"/>
              <w:jc w:val="right"/>
            </w:pPr>
            <w:r w:rsidRPr="00F369FF">
              <w:t>Anslag</w:t>
            </w:r>
          </w:p>
        </w:tc>
        <w:tc>
          <w:tcPr>
            <w:tcW w:w="992" w:type="dxa"/>
            <w:tcBorders>
              <w:top w:val="single" w:sz="2" w:space="0" w:color="auto"/>
              <w:left w:val="nil"/>
              <w:bottom w:val="single" w:sz="2" w:space="0" w:color="auto"/>
              <w:right w:val="single" w:sz="2" w:space="0" w:color="auto"/>
            </w:tcBorders>
          </w:tcPr>
          <w:p w:rsidR="00993171" w:rsidRPr="00F369FF" w:rsidRDefault="00993171">
            <w:pPr>
              <w:spacing w:after="120"/>
              <w:jc w:val="right"/>
            </w:pPr>
            <w:r w:rsidRPr="00F369FF">
              <w:t>Pr</w:t>
            </w:r>
            <w:r w:rsidRPr="00F369FF">
              <w:t>o</w:t>
            </w:r>
            <w:r w:rsidRPr="00F369FF">
              <w:t>gnos</w:t>
            </w:r>
          </w:p>
        </w:tc>
        <w:tc>
          <w:tcPr>
            <w:tcW w:w="2835" w:type="dxa"/>
            <w:gridSpan w:val="3"/>
            <w:tcBorders>
              <w:top w:val="single" w:sz="2" w:space="0" w:color="auto"/>
              <w:left w:val="nil"/>
              <w:bottom w:val="single" w:sz="2" w:space="0" w:color="auto"/>
              <w:right w:val="single" w:sz="2" w:space="0" w:color="auto"/>
            </w:tcBorders>
          </w:tcPr>
          <w:p w:rsidR="00993171" w:rsidRPr="00F369FF" w:rsidRDefault="00993171">
            <w:pPr>
              <w:spacing w:after="120"/>
              <w:jc w:val="center"/>
            </w:pPr>
            <w:r w:rsidRPr="00F369FF">
              <w:t>Berä</w:t>
            </w:r>
            <w:r w:rsidRPr="00F369FF">
              <w:t>k</w:t>
            </w:r>
            <w:r w:rsidRPr="00F369FF">
              <w:t>nat</w:t>
            </w:r>
          </w:p>
        </w:tc>
      </w:tr>
      <w:tr w:rsidR="00000000" w:rsidRPr="00F369FF">
        <w:tblPrEx>
          <w:tblCellMar>
            <w:top w:w="0" w:type="dxa"/>
            <w:bottom w:w="0" w:type="dxa"/>
          </w:tblCellMar>
        </w:tblPrEx>
        <w:tc>
          <w:tcPr>
            <w:tcW w:w="1015" w:type="dxa"/>
            <w:tcBorders>
              <w:left w:val="single" w:sz="2" w:space="0" w:color="auto"/>
              <w:right w:val="single" w:sz="2" w:space="0" w:color="auto"/>
            </w:tcBorders>
          </w:tcPr>
          <w:p w:rsidR="00993171" w:rsidRPr="00F369FF" w:rsidRDefault="00993171">
            <w:pPr>
              <w:spacing w:after="120"/>
              <w:jc w:val="right"/>
            </w:pPr>
            <w:r w:rsidRPr="00F369FF">
              <w:t>1999</w:t>
            </w:r>
          </w:p>
        </w:tc>
        <w:tc>
          <w:tcPr>
            <w:tcW w:w="992" w:type="dxa"/>
            <w:tcBorders>
              <w:left w:val="nil"/>
              <w:right w:val="single" w:sz="2" w:space="0" w:color="auto"/>
            </w:tcBorders>
          </w:tcPr>
          <w:p w:rsidR="00993171" w:rsidRPr="00F369FF" w:rsidRDefault="00993171">
            <w:pPr>
              <w:spacing w:after="120"/>
              <w:jc w:val="right"/>
            </w:pPr>
            <w:r w:rsidRPr="00F369FF">
              <w:t>2000</w:t>
            </w:r>
          </w:p>
        </w:tc>
        <w:tc>
          <w:tcPr>
            <w:tcW w:w="992" w:type="dxa"/>
            <w:tcBorders>
              <w:left w:val="nil"/>
              <w:right w:val="single" w:sz="2" w:space="0" w:color="auto"/>
            </w:tcBorders>
          </w:tcPr>
          <w:p w:rsidR="00993171" w:rsidRPr="00F369FF" w:rsidRDefault="00993171">
            <w:pPr>
              <w:spacing w:after="120"/>
              <w:jc w:val="right"/>
            </w:pPr>
            <w:r w:rsidRPr="00F369FF">
              <w:t>2000</w:t>
            </w:r>
          </w:p>
        </w:tc>
        <w:tc>
          <w:tcPr>
            <w:tcW w:w="992" w:type="dxa"/>
            <w:tcBorders>
              <w:left w:val="nil"/>
              <w:bottom w:val="single" w:sz="18" w:space="0" w:color="auto"/>
              <w:right w:val="single" w:sz="2" w:space="0" w:color="auto"/>
            </w:tcBorders>
          </w:tcPr>
          <w:p w:rsidR="00993171" w:rsidRPr="00F369FF" w:rsidRDefault="00993171">
            <w:pPr>
              <w:spacing w:after="120"/>
              <w:jc w:val="right"/>
            </w:pPr>
            <w:r w:rsidRPr="00F369FF">
              <w:t>2001</w:t>
            </w:r>
          </w:p>
        </w:tc>
        <w:tc>
          <w:tcPr>
            <w:tcW w:w="851" w:type="dxa"/>
            <w:tcBorders>
              <w:left w:val="nil"/>
              <w:bottom w:val="single" w:sz="18" w:space="0" w:color="auto"/>
              <w:right w:val="single" w:sz="2" w:space="0" w:color="auto"/>
            </w:tcBorders>
          </w:tcPr>
          <w:p w:rsidR="00993171" w:rsidRPr="00F369FF" w:rsidRDefault="00993171">
            <w:pPr>
              <w:spacing w:after="120"/>
              <w:jc w:val="right"/>
            </w:pPr>
            <w:r w:rsidRPr="00F369FF">
              <w:t>2002</w:t>
            </w:r>
          </w:p>
        </w:tc>
        <w:tc>
          <w:tcPr>
            <w:tcW w:w="992" w:type="dxa"/>
            <w:tcBorders>
              <w:left w:val="nil"/>
              <w:bottom w:val="single" w:sz="18" w:space="0" w:color="auto"/>
              <w:right w:val="single" w:sz="2" w:space="0" w:color="auto"/>
            </w:tcBorders>
          </w:tcPr>
          <w:p w:rsidR="00993171" w:rsidRPr="00F369FF" w:rsidRDefault="00993171">
            <w:pPr>
              <w:spacing w:after="120"/>
              <w:jc w:val="right"/>
            </w:pPr>
            <w:r w:rsidRPr="00F369FF">
              <w:t>2003</w:t>
            </w:r>
          </w:p>
        </w:tc>
      </w:tr>
      <w:tr w:rsidR="00000000" w:rsidRPr="00F369FF">
        <w:tblPrEx>
          <w:tblCellMar>
            <w:top w:w="0" w:type="dxa"/>
            <w:bottom w:w="0" w:type="dxa"/>
          </w:tblCellMar>
        </w:tblPrEx>
        <w:tc>
          <w:tcPr>
            <w:tcW w:w="1015" w:type="dxa"/>
            <w:tcBorders>
              <w:top w:val="single" w:sz="18" w:space="0" w:color="auto"/>
              <w:left w:val="single" w:sz="2" w:space="0" w:color="auto"/>
              <w:bottom w:val="single" w:sz="2" w:space="0" w:color="auto"/>
              <w:right w:val="single" w:sz="2" w:space="0" w:color="auto"/>
            </w:tcBorders>
          </w:tcPr>
          <w:p w:rsidR="00993171" w:rsidRPr="00F369FF" w:rsidRDefault="00993171">
            <w:pPr>
              <w:spacing w:before="240" w:after="120"/>
              <w:jc w:val="right"/>
            </w:pPr>
            <w:r w:rsidRPr="00F369FF">
              <w:t>12 419</w:t>
            </w:r>
          </w:p>
        </w:tc>
        <w:tc>
          <w:tcPr>
            <w:tcW w:w="992" w:type="dxa"/>
            <w:tcBorders>
              <w:top w:val="single" w:sz="18" w:space="0" w:color="auto"/>
              <w:left w:val="nil"/>
              <w:bottom w:val="single" w:sz="2" w:space="0" w:color="auto"/>
              <w:right w:val="single" w:sz="2" w:space="0" w:color="auto"/>
            </w:tcBorders>
          </w:tcPr>
          <w:p w:rsidR="00993171" w:rsidRPr="00F369FF" w:rsidRDefault="00993171">
            <w:pPr>
              <w:spacing w:before="240" w:after="120"/>
              <w:jc w:val="right"/>
            </w:pPr>
            <w:r w:rsidRPr="00F369FF">
              <w:t>13 237</w:t>
            </w:r>
          </w:p>
        </w:tc>
        <w:tc>
          <w:tcPr>
            <w:tcW w:w="992" w:type="dxa"/>
            <w:tcBorders>
              <w:top w:val="single" w:sz="18" w:space="0" w:color="auto"/>
              <w:left w:val="nil"/>
              <w:bottom w:val="single" w:sz="2" w:space="0" w:color="auto"/>
              <w:right w:val="single" w:sz="2" w:space="0" w:color="auto"/>
            </w:tcBorders>
          </w:tcPr>
          <w:p w:rsidR="00993171" w:rsidRPr="00F369FF" w:rsidRDefault="00993171">
            <w:pPr>
              <w:spacing w:before="240" w:after="120"/>
              <w:jc w:val="right"/>
            </w:pPr>
            <w:r w:rsidRPr="00F369FF">
              <w:t>15 160</w:t>
            </w:r>
          </w:p>
        </w:tc>
        <w:tc>
          <w:tcPr>
            <w:tcW w:w="992" w:type="dxa"/>
            <w:tcBorders>
              <w:left w:val="nil"/>
              <w:bottom w:val="single" w:sz="2" w:space="0" w:color="auto"/>
              <w:right w:val="single" w:sz="2" w:space="0" w:color="auto"/>
            </w:tcBorders>
          </w:tcPr>
          <w:p w:rsidR="00993171" w:rsidRPr="00F369FF" w:rsidRDefault="00993171">
            <w:pPr>
              <w:spacing w:before="240" w:after="120"/>
              <w:jc w:val="right"/>
              <w:rPr>
                <w:b/>
              </w:rPr>
            </w:pPr>
            <w:r w:rsidRPr="00F369FF">
              <w:rPr>
                <w:b/>
              </w:rPr>
              <w:t>15 029</w:t>
            </w:r>
          </w:p>
        </w:tc>
        <w:tc>
          <w:tcPr>
            <w:tcW w:w="851" w:type="dxa"/>
            <w:tcBorders>
              <w:left w:val="nil"/>
              <w:bottom w:val="single" w:sz="2" w:space="0" w:color="auto"/>
              <w:right w:val="single" w:sz="2" w:space="0" w:color="auto"/>
            </w:tcBorders>
          </w:tcPr>
          <w:p w:rsidR="00993171" w:rsidRPr="00F369FF" w:rsidRDefault="00993171">
            <w:pPr>
              <w:spacing w:before="240" w:after="120"/>
              <w:jc w:val="right"/>
            </w:pPr>
            <w:r w:rsidRPr="00F369FF">
              <w:t>15 597</w:t>
            </w:r>
          </w:p>
        </w:tc>
        <w:tc>
          <w:tcPr>
            <w:tcW w:w="992" w:type="dxa"/>
            <w:tcBorders>
              <w:left w:val="nil"/>
              <w:bottom w:val="single" w:sz="2" w:space="0" w:color="auto"/>
              <w:right w:val="single" w:sz="2" w:space="0" w:color="auto"/>
            </w:tcBorders>
          </w:tcPr>
          <w:p w:rsidR="00993171" w:rsidRPr="00F369FF" w:rsidRDefault="00993171">
            <w:pPr>
              <w:spacing w:before="240" w:after="120"/>
              <w:jc w:val="right"/>
            </w:pPr>
            <w:r w:rsidRPr="00F369FF">
              <w:t>18 181</w:t>
            </w:r>
          </w:p>
        </w:tc>
      </w:tr>
    </w:tbl>
    <w:p w:rsidR="00993171" w:rsidRPr="00F369FF" w:rsidRDefault="00993171">
      <w:pPr>
        <w:pStyle w:val="Odefinierat"/>
      </w:pPr>
    </w:p>
    <w:p w:rsidR="00993171" w:rsidRPr="00F369FF" w:rsidRDefault="00993171">
      <w:r w:rsidRPr="00F369FF">
        <w:t>Utgiftsområdet omfattar verksamheterna inter</w:t>
      </w:r>
      <w:r w:rsidRPr="00F369FF">
        <w:softHyphen/>
        <w:t>nationellt utvecklingssama</w:t>
      </w:r>
      <w:r w:rsidRPr="00F369FF">
        <w:t>r</w:t>
      </w:r>
      <w:r w:rsidRPr="00F369FF">
        <w:t>bete samt samarbete med Central- och Östeuropa. För 2000 uppgår de totala anslagen enligt statsbudgeten till 13,2 miljarder kronor, varav 12,5 miljarder kronor till utvecklingssamarbetet med utveck</w:t>
      </w:r>
      <w:r w:rsidRPr="00F369FF">
        <w:softHyphen/>
        <w:t>lingsländerna och 0,7 miljarder kronor till sam</w:t>
      </w:r>
      <w:r w:rsidRPr="00F369FF">
        <w:softHyphen/>
        <w:t>arbete med Central- och Östeuropa.</w:t>
      </w:r>
    </w:p>
    <w:p w:rsidR="00993171" w:rsidRPr="00F369FF" w:rsidRDefault="00993171">
      <w:pPr>
        <w:pStyle w:val="Normaltindrag"/>
      </w:pPr>
      <w:r w:rsidRPr="00F369FF">
        <w:t>Den totala biståndsramen för 2000 uppgår till 14,3 miljarder kronor, vilket motsvarar 0,72 % av bruttonationalinkomsten (BNI). Ramen för 2001 uppgår till 0,73 % av BNI, vilket med nuvarande BNI-prognos b</w:t>
      </w:r>
      <w:r w:rsidRPr="00F369FF">
        <w:t>eräknas till 15,7 miljarder kronor. Ramen för 2002 uppgår till 0,74 % av BNI. För 2003 höjs biståndsramen kraftigt till 0,81 % av BNI. Regeringen har ambitionen att Sverige åter skall uppnå enprocentsmålet när de statsfinansiella förutsät</w:t>
      </w:r>
      <w:r w:rsidRPr="00F369FF">
        <w:t>t</w:t>
      </w:r>
      <w:r w:rsidRPr="00F369FF">
        <w:t>ningarna för detta föreligger. För att åstadkomma en jämn förbrukning av biståndsmedel beräknar regeringen att ca 1,7 miljarder kronor respektive 1,6 miljarder kronor av reserva</w:t>
      </w:r>
      <w:r w:rsidRPr="00F369FF">
        <w:softHyphen/>
        <w:t>tionerna förbrukas 2001 och 2002.</w:t>
      </w:r>
    </w:p>
    <w:p w:rsidR="00993171" w:rsidRPr="00F369FF" w:rsidRDefault="00993171">
      <w:pPr>
        <w:pStyle w:val="Normaltindrag"/>
      </w:pPr>
      <w:r w:rsidRPr="00F369FF">
        <w:t>Från biståndsramen avräknas vissa asyl</w:t>
      </w:r>
      <w:r w:rsidRPr="00F369FF">
        <w:softHyphen/>
        <w:t>kostnader, medel för EU:s geme</w:t>
      </w:r>
      <w:r w:rsidRPr="00F369FF">
        <w:t>n</w:t>
      </w:r>
      <w:r w:rsidRPr="00F369FF">
        <w:t>samma bistånd, vissa FN-bidrag samt administration. Av</w:t>
      </w:r>
      <w:r w:rsidRPr="00F369FF">
        <w:softHyphen/>
        <w:t>räkningens storlek för 2002 och 2003 beräknas utifrån vid budgeteringstillfället tillgängligt prognosunderlag.</w:t>
      </w:r>
    </w:p>
    <w:p w:rsidR="00993171" w:rsidRPr="00F369FF" w:rsidRDefault="00993171">
      <w:pPr>
        <w:pStyle w:val="Normaltindrag"/>
      </w:pPr>
      <w:r w:rsidRPr="00F369FF">
        <w:t xml:space="preserve">En parlamentariskt sammansatt kommitté är tillsatt med uppgift att utreda hur Sveriges politik för global utveckling bör vidareutvecklas. </w:t>
      </w:r>
    </w:p>
    <w:p w:rsidR="00993171" w:rsidRPr="00F369FF" w:rsidRDefault="00993171">
      <w:pPr>
        <w:pStyle w:val="Normaltindrag"/>
      </w:pPr>
      <w:r w:rsidRPr="00F369FF">
        <w:t>Ett program för samarbetet med Central- och Östeuropa har beslutats av riksdagen för perioden 1999–2001 som totalt omfattar 2,4 miljarder kronor. Regeringen kommer i 2001 års ekonomiska vårproposition att lämna förslag på omfattning och inriktning av samarbetet efter 2001. Regeringen bedömer dock att samarbetet med Central- och Östeuropa kommer att fortsätta efter 2001. I avvaktan härpå har regeringen preliminärt beräknat 600 miljoner kronor 2002 och 900 miljoner kronor 2003, dvs. ett program i samma o</w:t>
      </w:r>
      <w:r w:rsidRPr="00F369FF">
        <w:t>m</w:t>
      </w:r>
      <w:r w:rsidRPr="00F369FF">
        <w:t>fattning som nuvarande program. Innan medel anvisas för samarbetet med Central- och Östeuropa skall dock en oberoende utvärdering av verksamh</w:t>
      </w:r>
      <w:r w:rsidRPr="00F369FF">
        <w:t>e</w:t>
      </w:r>
      <w:r w:rsidRPr="00F369FF">
        <w:t>ten genomföras.</w:t>
      </w:r>
    </w:p>
    <w:p w:rsidR="00993171" w:rsidRPr="00F369FF" w:rsidRDefault="00993171">
      <w:pPr>
        <w:pStyle w:val="Rubrik2"/>
      </w:pPr>
      <w:r w:rsidRPr="00F369FF">
        <w:t>2 Motionerna</w:t>
      </w:r>
    </w:p>
    <w:p w:rsidR="00993171" w:rsidRPr="00F369FF" w:rsidRDefault="00993171">
      <w:r w:rsidRPr="00F369FF">
        <w:t>I samtliga här aktuella motioner yrkas fördelning av medel som på någon punkt avviker från regeringens förslag. Förslagen finns sammanfattade i tabeller i bilaga till detta yttrande.</w:t>
      </w:r>
    </w:p>
    <w:p w:rsidR="00993171" w:rsidRPr="00F369FF" w:rsidRDefault="00993171">
      <w:r w:rsidRPr="00F369FF">
        <w:rPr>
          <w:i/>
        </w:rPr>
        <w:t>Moderaterna</w:t>
      </w:r>
      <w:r w:rsidRPr="00F369FF">
        <w:t xml:space="preserve"> föreslår i sin partimotion </w:t>
      </w:r>
      <w:r w:rsidRPr="00F369FF">
        <w:rPr>
          <w:i/>
        </w:rPr>
        <w:t>Fi12 (m) yrkande 6 (delvis)</w:t>
      </w:r>
      <w:r w:rsidRPr="00F369FF">
        <w:t xml:space="preserve"> en prel</w:t>
      </w:r>
      <w:r w:rsidRPr="00F369FF">
        <w:t>i</w:t>
      </w:r>
      <w:r w:rsidRPr="00F369FF">
        <w:t>minär fördelning av utgifterna på utgiftsområden för åren 2001–2003 som framgår av nämnda tabell.</w:t>
      </w:r>
    </w:p>
    <w:p w:rsidR="00993171" w:rsidRPr="00F369FF" w:rsidRDefault="00993171">
      <w:pPr>
        <w:pStyle w:val="Normaltindrag"/>
      </w:pPr>
      <w:r w:rsidRPr="00F369FF">
        <w:t xml:space="preserve">Beträffande </w:t>
      </w:r>
      <w:r w:rsidRPr="00F369FF">
        <w:rPr>
          <w:i/>
        </w:rPr>
        <w:t>utgiftsområde 5</w:t>
      </w:r>
      <w:r w:rsidRPr="00F369FF">
        <w:t xml:space="preserve"> förespråkas svensk diplomatisk närvaro i princip i hela Europa (Minsk nämns särskilt) och Medelhavsområdet samt i de utomeuropeiska industriländerna. För detta föreslås en förstärkning av anslaget till utrikesförvaltningen med 50 miljoner kronor. Medlen skall också användas för främjande av svenskt näringsliv utomlands. Moderaterna anser att det inom utgiftsområde 5 bör skapas en samlad post för Sveriges fredsb</w:t>
      </w:r>
      <w:r w:rsidRPr="00F369FF">
        <w:t>e</w:t>
      </w:r>
      <w:r w:rsidRPr="00F369FF">
        <w:t>varande verksamhet. Med anledning av Sveriges ordförandeskap i EU tillförs Utrike</w:t>
      </w:r>
      <w:r w:rsidRPr="00F369FF">
        <w:t>s</w:t>
      </w:r>
      <w:r w:rsidRPr="00F369FF">
        <w:t>departementet för år 2001 20 miljoner kronor från utgiftsområde 7.</w:t>
      </w:r>
    </w:p>
    <w:p w:rsidR="00993171" w:rsidRPr="00F369FF" w:rsidRDefault="00993171">
      <w:pPr>
        <w:pStyle w:val="Normaltindrag"/>
      </w:pPr>
      <w:r w:rsidRPr="00F369FF">
        <w:t xml:space="preserve">Som motivering för sitt budgetförslag för </w:t>
      </w:r>
      <w:r w:rsidRPr="00F369FF">
        <w:rPr>
          <w:i/>
        </w:rPr>
        <w:t>utgiftsområde 7</w:t>
      </w:r>
      <w:r w:rsidRPr="00F369FF">
        <w:t xml:space="preserve"> anför Moder</w:t>
      </w:r>
      <w:r w:rsidRPr="00F369FF">
        <w:t>a</w:t>
      </w:r>
      <w:r w:rsidRPr="00F369FF">
        <w:t>terna bl.a. att utbetalade medel varit väsentligt under budget och att stora reservationer ackumulerats. I motionen föreslås vidare att den s.k. Östersj</w:t>
      </w:r>
      <w:r w:rsidRPr="00F369FF">
        <w:t>ö</w:t>
      </w:r>
      <w:r w:rsidRPr="00F369FF">
        <w:t>miljarden upplöses och att medlen tillförs det ordinarie anslaget för sama</w:t>
      </w:r>
      <w:r w:rsidRPr="00F369FF">
        <w:t>r</w:t>
      </w:r>
      <w:r w:rsidRPr="00F369FF">
        <w:t>bete med Central- och Östeuropa. 30 miljoner av den s.k. Östersjömiljarden bör avsättas för att inrätta dokumentationscentrum i Tallinn, Riga och Viln</w:t>
      </w:r>
      <w:r w:rsidRPr="00F369FF">
        <w:t>i</w:t>
      </w:r>
      <w:r w:rsidRPr="00F369FF">
        <w:t>us, vilka skall dokumentera kommunismens brott mot mänskligheten (försl</w:t>
      </w:r>
      <w:r w:rsidRPr="00F369FF">
        <w:t>a</w:t>
      </w:r>
      <w:r w:rsidRPr="00F369FF">
        <w:t>get b</w:t>
      </w:r>
      <w:r w:rsidRPr="00F369FF">
        <w:t>e</w:t>
      </w:r>
      <w:r w:rsidRPr="00F369FF">
        <w:t>handlas närmare i motion 19</w:t>
      </w:r>
      <w:r w:rsidRPr="00F369FF">
        <w:t>99/2000:Fi44).</w:t>
      </w:r>
    </w:p>
    <w:p w:rsidR="00993171" w:rsidRPr="00F369FF" w:rsidRDefault="00993171">
      <w:r w:rsidRPr="00F369FF">
        <w:t xml:space="preserve">I </w:t>
      </w:r>
      <w:r w:rsidRPr="00F369FF">
        <w:rPr>
          <w:i/>
        </w:rPr>
        <w:t xml:space="preserve">Kristdemokraternas </w:t>
      </w:r>
      <w:r w:rsidRPr="00F369FF">
        <w:t xml:space="preserve">partimotion </w:t>
      </w:r>
      <w:r w:rsidRPr="00F369FF">
        <w:rPr>
          <w:i/>
        </w:rPr>
        <w:t>Fi13 (kd) yrkande 3 (delvis)</w:t>
      </w:r>
      <w:r w:rsidRPr="00F369FF">
        <w:t xml:space="preserve"> framhålls beträffande </w:t>
      </w:r>
      <w:r w:rsidRPr="00F369FF">
        <w:rPr>
          <w:i/>
        </w:rPr>
        <w:t>utgiftsområde 5</w:t>
      </w:r>
      <w:r w:rsidRPr="00F369FF">
        <w:t xml:space="preserve"> att den diplomatiska närvaron i Öst- och Cen-traleuropa (Minsk nämns särskilt) bör förbättras samt att Sverige bör ha diplomatisk närvaro i alla stater som ansöker om medlemskap i EU.  På </w:t>
      </w:r>
      <w:r w:rsidRPr="00F369FF">
        <w:rPr>
          <w:i/>
        </w:rPr>
        <w:t>utgiftsområde 7</w:t>
      </w:r>
      <w:r w:rsidRPr="00F369FF">
        <w:t xml:space="preserve"> förespråkar partiet en femårsplan för återgång till 1-procentsnivån och föreslår inom den här aktuella perioden successiva hö</w:t>
      </w:r>
      <w:r w:rsidRPr="00F369FF">
        <w:t>j</w:t>
      </w:r>
      <w:r w:rsidRPr="00F369FF">
        <w:t>ningar upp till 0,9 % år 2003.</w:t>
      </w:r>
    </w:p>
    <w:p w:rsidR="00993171" w:rsidRPr="00F369FF" w:rsidRDefault="00993171">
      <w:r w:rsidRPr="00F369FF">
        <w:rPr>
          <w:i/>
        </w:rPr>
        <w:t>Centerns</w:t>
      </w:r>
      <w:r w:rsidRPr="00F369FF">
        <w:t xml:space="preserve"> förslag i partimotion </w:t>
      </w:r>
      <w:r w:rsidRPr="00F369FF">
        <w:rPr>
          <w:i/>
        </w:rPr>
        <w:t>Fi14 (c) yrkande 17 (delvis)</w:t>
      </w:r>
      <w:r w:rsidRPr="00F369FF">
        <w:t xml:space="preserve"> överensstämmer med regeringens vad avser </w:t>
      </w:r>
      <w:r w:rsidRPr="00F369FF">
        <w:rPr>
          <w:i/>
        </w:rPr>
        <w:t>utgiftsområde 5.</w:t>
      </w:r>
      <w:r w:rsidRPr="00F369FF">
        <w:t xml:space="preserve"> Beträffande medlens utnyttjande framhåller Centern att det är angeläget med svensk diplomatisk närvaro i Guinea-Bissau. Partiet anser vidare att regeringen snarast bör återkomma till riksdagen med besked om Regeringskansliets dimensionering och verksa</w:t>
      </w:r>
      <w:r w:rsidRPr="00F369FF">
        <w:t>m</w:t>
      </w:r>
      <w:r w:rsidRPr="00F369FF">
        <w:t>het samt att de brister rörande det svenska deltagandet i mellanstatliga org</w:t>
      </w:r>
      <w:r w:rsidRPr="00F369FF">
        <w:t>a</w:t>
      </w:r>
      <w:r w:rsidRPr="00F369FF">
        <w:t>nisationer som framkommer i Statskontorets rapport 2000:6 åtgärdas.</w:t>
      </w:r>
    </w:p>
    <w:p w:rsidR="00993171" w:rsidRPr="00F369FF" w:rsidRDefault="00993171">
      <w:pPr>
        <w:pStyle w:val="Normaltindrag"/>
      </w:pPr>
      <w:r w:rsidRPr="00F369FF">
        <w:t>Beträ</w:t>
      </w:r>
      <w:r w:rsidRPr="00F369FF">
        <w:t xml:space="preserve">ffande </w:t>
      </w:r>
      <w:r w:rsidRPr="00F369FF">
        <w:rPr>
          <w:i/>
        </w:rPr>
        <w:t>utgiftsområde 7</w:t>
      </w:r>
      <w:r w:rsidRPr="00F369FF">
        <w:t xml:space="preserve"> förespråkas i samma yrkande en återgång till enprocentsmålet inom en femårsperiod. Motionärerna menar också att rest</w:t>
      </w:r>
      <w:r w:rsidRPr="00F369FF">
        <w:t>e</w:t>
      </w:r>
      <w:r w:rsidRPr="00F369FF">
        <w:t>rande medel från den s.k. Östersjömiljarden bör överflyttas till utgiftsområde 7. Åberopande utrikesutskottets tidigare ställningstagande begär Centern att konsekvenserna för biståndet av utgiftsbegränsningarna under 1999 tydligt redovisas.</w:t>
      </w:r>
    </w:p>
    <w:p w:rsidR="00993171" w:rsidRPr="00F369FF" w:rsidRDefault="00993171">
      <w:pPr>
        <w:pStyle w:val="Normaltindrag"/>
      </w:pPr>
      <w:r w:rsidRPr="00F369FF">
        <w:t xml:space="preserve">I motionens </w:t>
      </w:r>
      <w:r w:rsidRPr="00F369FF">
        <w:rPr>
          <w:i/>
        </w:rPr>
        <w:t>yrkande 13</w:t>
      </w:r>
      <w:r w:rsidRPr="00F369FF">
        <w:t xml:space="preserve"> begärs ett tillkännagivande till regeringen om vad som i motionen anförs om inriktningen på biståndet. Härvid framhålls bl.a. att möjligheterna för biståndsmottagarna att själva utforma egna fattigdo</w:t>
      </w:r>
      <w:r w:rsidRPr="00F369FF">
        <w:t>m</w:t>
      </w:r>
      <w:r w:rsidRPr="00F369FF">
        <w:t>s-program bör ökas, att svenska insatser görs i informationsteknik för att fö</w:t>
      </w:r>
      <w:r w:rsidRPr="00F369FF">
        <w:t>r</w:t>
      </w:r>
      <w:r w:rsidRPr="00F369FF">
        <w:t>stärka effekterna i biståndet och att en än större vikt läggs vid att biståndet inriktas på stöd till ett miljömässigt hållbart jordbruk.</w:t>
      </w:r>
    </w:p>
    <w:p w:rsidR="00993171" w:rsidRPr="00F369FF" w:rsidRDefault="00993171">
      <w:r w:rsidRPr="00F369FF">
        <w:t xml:space="preserve">Folkpartiets förslag i partimotion </w:t>
      </w:r>
      <w:r w:rsidRPr="00F369FF">
        <w:rPr>
          <w:i/>
        </w:rPr>
        <w:t>Fi15 (fp) yrkande 6 (delvis)</w:t>
      </w:r>
      <w:r w:rsidRPr="00F369FF">
        <w:t xml:space="preserve"> överensstä</w:t>
      </w:r>
      <w:r w:rsidRPr="00F369FF">
        <w:t>m</w:t>
      </w:r>
      <w:r w:rsidRPr="00F369FF">
        <w:t xml:space="preserve">mer med propositionens vad avser </w:t>
      </w:r>
      <w:r w:rsidRPr="00F369FF">
        <w:rPr>
          <w:i/>
        </w:rPr>
        <w:t>utgiftsområde 5</w:t>
      </w:r>
      <w:r w:rsidRPr="00F369FF">
        <w:t xml:space="preserve">. Beträffande </w:t>
      </w:r>
      <w:r w:rsidRPr="00F369FF">
        <w:rPr>
          <w:i/>
        </w:rPr>
        <w:t>utgiftsomr</w:t>
      </w:r>
      <w:r w:rsidRPr="00F369FF">
        <w:rPr>
          <w:i/>
        </w:rPr>
        <w:t>å</w:t>
      </w:r>
      <w:r w:rsidRPr="00F369FF">
        <w:rPr>
          <w:i/>
        </w:rPr>
        <w:t>de 7</w:t>
      </w:r>
      <w:r w:rsidRPr="00F369FF">
        <w:t xml:space="preserve"> förespråkas genomgående högre belopp. Motionärerna förordar en snabbare upptrappning av det svenska biståndet, accepterar inte att biståndet drabbas av ytterligare begränsningsbelopp samt kräver att biståndspolitiken ges en tydligare demokratiprofil.</w:t>
      </w:r>
    </w:p>
    <w:p w:rsidR="00993171" w:rsidRPr="00F369FF" w:rsidRDefault="00993171">
      <w:pPr>
        <w:pStyle w:val="Rubrik2"/>
      </w:pPr>
      <w:r w:rsidRPr="00F369FF">
        <w:t>3 Utskottets överväganden</w:t>
      </w:r>
    </w:p>
    <w:p w:rsidR="00993171" w:rsidRPr="00F369FF" w:rsidRDefault="00993171">
      <w:pPr>
        <w:pStyle w:val="Rubrik3"/>
        <w:spacing w:before="123"/>
      </w:pPr>
      <w:r w:rsidRPr="00F369FF">
        <w:t>3.1 Fördelningen av utgifterna på utgiftsområden för åren 2001—2003, biståndsramen m.m.</w:t>
      </w:r>
    </w:p>
    <w:p w:rsidR="00993171" w:rsidRPr="00F369FF" w:rsidRDefault="00993171">
      <w:r w:rsidRPr="00F369FF">
        <w:t>Utrikesutskottet vill inledningsvis erinra om riksdagens tidigare överväga</w:t>
      </w:r>
      <w:r w:rsidRPr="00F369FF">
        <w:t>n</w:t>
      </w:r>
      <w:r w:rsidRPr="00F369FF">
        <w:t>den (senast i bet. 1999/2000:UU1) beträffande frågan om en eventuell sa</w:t>
      </w:r>
      <w:r w:rsidRPr="00F369FF">
        <w:t>m</w:t>
      </w:r>
      <w:r w:rsidRPr="00F369FF">
        <w:t>manslagning av Regerings</w:t>
      </w:r>
      <w:r w:rsidRPr="00F369FF">
        <w:softHyphen/>
        <w:t>kansliets och Utrikesdeparteme</w:t>
      </w:r>
      <w:r w:rsidRPr="00F369FF">
        <w:t>n</w:t>
      </w:r>
      <w:r w:rsidRPr="00F369FF">
        <w:t>tets för</w:t>
      </w:r>
      <w:r w:rsidRPr="00F369FF">
        <w:softHyphen/>
        <w:t>valtningsanslag från den 1 januari 2002. I propositionen aviserar regeringen att den, senast i 2001 års ekonomiska vårproposition, avser att återkomma till riksdagen med ett förslag till lagändring på denna punkt. Utskottet utgår från att riksdagens tidigare överväganden därvid beaktas.</w:t>
      </w:r>
    </w:p>
    <w:p w:rsidR="00993171" w:rsidRPr="00F369FF" w:rsidRDefault="00993171">
      <w:pPr>
        <w:pStyle w:val="Normaltindrag"/>
        <w:rPr>
          <w:b/>
        </w:rPr>
      </w:pPr>
      <w:r w:rsidRPr="00F369FF">
        <w:t>Utskottet har vid flera tillfällen tidigare, senast i betänkande 1999/2000:UU2, framhå</w:t>
      </w:r>
      <w:r w:rsidRPr="00F369FF">
        <w:t xml:space="preserve">llit att kunskapen om och stödet för enprocentsmålet är väl befäst i riksdagen och i den allmänna opinionen. Samtidigt är återgången till enprocentsnivån också en viktig symbolfråga, varför utskottet, även av det skälet, ansett att det bör prioriteras. Det är därför med tillfredsställelse som utskottet kan konstatera att regeringen föreslår en i procentmålstermer relativt kraftig höjning av biståndsramen för budgetåret 2003. Förslaget innebär ett viktigt steg för en snar återgång till enprocentsnivån. </w:t>
      </w:r>
    </w:p>
    <w:p w:rsidR="00993171" w:rsidRPr="00F369FF" w:rsidRDefault="00993171">
      <w:pPr>
        <w:pStyle w:val="Normaltindrag"/>
      </w:pPr>
      <w:r w:rsidRPr="00F369FF">
        <w:t xml:space="preserve">Ett </w:t>
      </w:r>
      <w:r w:rsidRPr="00F369FF">
        <w:t>program för samarbetet med Central- och Östeuropa, vilket totalt o</w:t>
      </w:r>
      <w:r w:rsidRPr="00F369FF">
        <w:t>m</w:t>
      </w:r>
      <w:r w:rsidRPr="00F369FF">
        <w:t>fattar 2,4 miljarder kronor, har beslutats av riksdagen för perioden 1999–2001. Enligt propositionen anser regeringen att samarbetet med Central- och Östeuropa bör fortsätta efter 2001. I avvaktan härpå har regeringen prelim</w:t>
      </w:r>
      <w:r w:rsidRPr="00F369FF">
        <w:t>i</w:t>
      </w:r>
      <w:r w:rsidRPr="00F369FF">
        <w:t>närt beräknat 600 miljoner kronor 2002 och 900 miljoner kronor 2003, dvs. ett program i samma omfattning som nuvarande program. Innan medel anv</w:t>
      </w:r>
      <w:r w:rsidRPr="00F369FF">
        <w:t>i</w:t>
      </w:r>
      <w:r w:rsidRPr="00F369FF">
        <w:t>sas för samarbetet med Central- och Östeuropa skall dock, sägs det i prop</w:t>
      </w:r>
      <w:r w:rsidRPr="00F369FF">
        <w:t>o</w:t>
      </w:r>
      <w:r w:rsidRPr="00F369FF">
        <w:t>si</w:t>
      </w:r>
      <w:r w:rsidRPr="00F369FF">
        <w:t>tionen, en oberoende utvärdering av verksamh</w:t>
      </w:r>
      <w:r w:rsidRPr="00F369FF">
        <w:t>e</w:t>
      </w:r>
      <w:r w:rsidRPr="00F369FF">
        <w:t>ten genomföras.</w:t>
      </w:r>
    </w:p>
    <w:p w:rsidR="00993171" w:rsidRPr="00F369FF" w:rsidRDefault="00993171">
      <w:pPr>
        <w:pStyle w:val="Normaltindrag"/>
      </w:pPr>
      <w:r w:rsidRPr="00F369FF">
        <w:t>Utskottet delar regeringens preliminära bedömning och anser att det valda förfaringssättet är välbetänkt.</w:t>
      </w:r>
    </w:p>
    <w:p w:rsidR="00993171" w:rsidRPr="00F369FF" w:rsidRDefault="00993171">
      <w:r w:rsidRPr="00F369FF">
        <w:t xml:space="preserve">Med de i propositionen angivna förutsättningarna anser utskottet att den av regeringen föreslagna fördelningen av utgifter på utgiftsområden för åren 2001–2003 är lämplig och väl avvägd vad avser utgiftsområdena 5 och 7. Utskottet delar inte de motionsvis framförda förslagen om omfördelningar mellan utgiftsområdena 5 och 7 samt om en överföring av medlen från den s.k. Östersjömiljarden till utgiftsområde 7. Utskottet kan således inte förorda de från propositionen avvikande beloppsförslagen som framläggs i </w:t>
      </w:r>
      <w:r w:rsidRPr="00F369FF">
        <w:t>moti</w:t>
      </w:r>
      <w:r w:rsidRPr="00F369FF">
        <w:t>o</w:t>
      </w:r>
      <w:r w:rsidRPr="00F369FF">
        <w:t>nerna Fi12 (m) yrkande 6 (delvis), Fi13 (kd) yrkande 3 (delvis), Fi14 (c) yrkande 17 (delvis) och Fi15 (fp) yrkande 6 (delvis).</w:t>
      </w:r>
    </w:p>
    <w:p w:rsidR="00993171" w:rsidRPr="00F369FF" w:rsidRDefault="00993171">
      <w:r w:rsidRPr="00F369FF">
        <w:t>I nämnda motioner förespråkas vissa prioriteringar inför det kommande budgetarbetet. Utskottet vill med anledning härav framhålla att den nu akt</w:t>
      </w:r>
      <w:r w:rsidRPr="00F369FF">
        <w:t>u</w:t>
      </w:r>
      <w:r w:rsidRPr="00F369FF">
        <w:t>ella delen av budgetprocessen avser en preliminär fördelning av utgifterna på utgiftsområden avsedd att utgöra riktlinjer för regeringens budgetarbete. Det beslutsunderlag riksdagen får genom den ekonomiska vårpropositionen är anpassad till denna ambitionsnivå. Enligt utskottets uppfattning är det mot denna bakgrund inte möjligt, annat än i undantagsfall, att uttala sig om a</w:t>
      </w:r>
      <w:r w:rsidRPr="00F369FF">
        <w:t>v</w:t>
      </w:r>
      <w:r w:rsidRPr="00F369FF">
        <w:t>vägningar eller enskildheter inom respektive utgiftsområde.</w:t>
      </w:r>
    </w:p>
    <w:p w:rsidR="00993171" w:rsidRPr="00F369FF" w:rsidRDefault="00993171">
      <w:r w:rsidRPr="00F369FF">
        <w:t>Utskottet anser med det anförda att propositionens yrkande 6 i här aktuel</w:t>
      </w:r>
      <w:r w:rsidRPr="00F369FF">
        <w:t>l del bör tillstyrkas samt att motionerna Fi12 (m) yrkande 6 (delvis), Fi13 (kd) yrkande 3 (delvis), Fi14 (c) yrkande 17 (delvis) och Fi15 (fp) yrkande 6 (delvis) bör avstyrkas i de delar som avviker från propositionens förslag.</w:t>
      </w:r>
    </w:p>
    <w:p w:rsidR="00993171" w:rsidRPr="00F369FF" w:rsidRDefault="00993171">
      <w:r w:rsidRPr="00F369FF">
        <w:t xml:space="preserve">I Centerpartiets motion </w:t>
      </w:r>
      <w:r w:rsidRPr="00F369FF">
        <w:rPr>
          <w:i/>
        </w:rPr>
        <w:t>Fi14 (c)</w:t>
      </w:r>
      <w:r w:rsidRPr="00F369FF">
        <w:t xml:space="preserve"> </w:t>
      </w:r>
      <w:r w:rsidRPr="00F369FF">
        <w:rPr>
          <w:i/>
        </w:rPr>
        <w:t>yrkande 13</w:t>
      </w:r>
      <w:r w:rsidRPr="00F369FF">
        <w:t xml:space="preserve"> begärs ett tillkännagivande till regeringen om vad som i motionen anförs om inriktningen på biståndet. </w:t>
      </w:r>
    </w:p>
    <w:p w:rsidR="00993171" w:rsidRPr="00F369FF" w:rsidRDefault="00993171">
      <w:pPr>
        <w:pStyle w:val="Normaltindrag"/>
      </w:pPr>
      <w:r w:rsidRPr="00F369FF">
        <w:t>Utskottet noterar att motionärernas uppfattning i denna fråga i betydande avseenden, dock inte helt, överensstämmer med den förda politiken på omr</w:t>
      </w:r>
      <w:r w:rsidRPr="00F369FF">
        <w:t>å</w:t>
      </w:r>
      <w:r w:rsidRPr="00F369FF">
        <w:t>det. Utskottet konstaterar vidare att en parlamentariskt sammansatt kommi</w:t>
      </w:r>
      <w:r w:rsidRPr="00F369FF">
        <w:t>t</w:t>
      </w:r>
      <w:r w:rsidRPr="00F369FF">
        <w:t>té, i vilken också Centerpartiet är representerat, för närvarande arbetar med att utreda hur Sveriges biståndspolitik bör vidareutvecklas. Riksdagen bör under pågående utredningsarbete inte fatta beslut av principiell art med den inrik</w:t>
      </w:r>
      <w:r w:rsidRPr="00F369FF">
        <w:t>t</w:t>
      </w:r>
      <w:r w:rsidRPr="00F369FF">
        <w:t>ning som föreslås i motionen.</w:t>
      </w:r>
    </w:p>
    <w:p w:rsidR="00993171" w:rsidRPr="00F369FF" w:rsidRDefault="00993171">
      <w:r w:rsidRPr="00F369FF">
        <w:t xml:space="preserve">Enligt utskottets uppfattning kan motion </w:t>
      </w:r>
      <w:r w:rsidRPr="00F369FF">
        <w:rPr>
          <w:i/>
        </w:rPr>
        <w:t>Fi14 (c)</w:t>
      </w:r>
      <w:r w:rsidRPr="00F369FF">
        <w:t xml:space="preserve"> </w:t>
      </w:r>
      <w:r w:rsidRPr="00F369FF">
        <w:rPr>
          <w:i/>
        </w:rPr>
        <w:t>yrkande 13</w:t>
      </w:r>
      <w:r w:rsidRPr="00F369FF">
        <w:t xml:space="preserve"> besvaras med vad som ovan anförts.</w:t>
      </w:r>
    </w:p>
    <w:p w:rsidR="00993171" w:rsidRPr="00F369FF" w:rsidRDefault="00993171">
      <w:pPr>
        <w:pStyle w:val="Rubrik3"/>
      </w:pPr>
      <w:r w:rsidRPr="00F369FF">
        <w:t>3.2 Vissa frågor rörande uppföljning</w:t>
      </w:r>
    </w:p>
    <w:p w:rsidR="00993171" w:rsidRPr="00F369FF" w:rsidRDefault="00993171">
      <w:r w:rsidRPr="00F369FF">
        <w:t>Utskottet, som vad avser sitt verksamhetsområde följer Europeiska revision</w:t>
      </w:r>
      <w:r w:rsidRPr="00F369FF">
        <w:t>s</w:t>
      </w:r>
      <w:r w:rsidRPr="00F369FF">
        <w:t>rättens rapporter och som genom föredragningar på såväl politisk som tjän</w:t>
      </w:r>
      <w:r w:rsidRPr="00F369FF">
        <w:t>s</w:t>
      </w:r>
      <w:r w:rsidRPr="00F369FF">
        <w:t>temannanivå från Utrikesdepartementet löpande informeras om olika aspe</w:t>
      </w:r>
      <w:r w:rsidRPr="00F369FF">
        <w:t>k</w:t>
      </w:r>
      <w:r w:rsidRPr="00F369FF">
        <w:t>ter av unionens biståndsverksamhet, önskar i sammanhanget understryka att det ser en effektiv och korrekt användning av gemenskapsmedel som en prioriterad fråga för Sverige i EU-samarbetet. De upplysningar som lämnas i propositionen och den information utskottet i övrigt inhämtat i här aktuella up</w:t>
      </w:r>
      <w:r w:rsidRPr="00F369FF">
        <w:t>p</w:t>
      </w:r>
      <w:r w:rsidRPr="00F369FF">
        <w:t>följningsfrågor föranleder inga synpunkter härutöver.</w:t>
      </w:r>
    </w:p>
    <w:p w:rsidR="00993171" w:rsidRPr="00F369FF" w:rsidRDefault="00993171">
      <w:pPr>
        <w:pStyle w:val="Stockholm"/>
      </w:pPr>
      <w:r w:rsidRPr="00F369FF">
        <w:t>Stockholm den</w:t>
      </w:r>
      <w:r w:rsidRPr="00F369FF">
        <w:t xml:space="preserve"> 11 maj 2000 </w:t>
      </w:r>
    </w:p>
    <w:p w:rsidR="00993171" w:rsidRPr="00F369FF" w:rsidRDefault="00993171">
      <w:pPr>
        <w:pStyle w:val="Vgnar0"/>
      </w:pPr>
      <w:r w:rsidRPr="00F369FF">
        <w:t>På utrikesutskottets vägnar</w:t>
      </w:r>
    </w:p>
    <w:p w:rsidR="00993171" w:rsidRPr="00F369FF" w:rsidRDefault="00993171">
      <w:pPr>
        <w:pStyle w:val="Ordfnamn"/>
      </w:pPr>
      <w:r w:rsidRPr="00F369FF">
        <w:t>Viola Furubjelke</w:t>
      </w:r>
    </w:p>
    <w:p w:rsidR="00993171" w:rsidRPr="00F369FF" w:rsidRDefault="00993171">
      <w:pPr>
        <w:pStyle w:val="Deltagare"/>
      </w:pPr>
      <w:bookmarkStart w:id="23" w:name="_Toc482160936"/>
      <w:bookmarkStart w:id="24" w:name="Ordfšrande"/>
      <w:bookmarkStart w:id="25" w:name="Ordförande"/>
      <w:bookmarkStart w:id="26" w:name="Deltagare"/>
      <w:bookmarkEnd w:id="24"/>
      <w:bookmarkEnd w:id="25"/>
      <w:bookmarkEnd w:id="26"/>
      <w:r w:rsidRPr="00F369FF">
        <w:t>I beslutet har deltagit: Viola Furubjelke (s), Göran Lennmarker (m), Sören Lekberg (s), Berndt Ekholm (s), Bertil Persson (m), Liselotte Wågö (m), Carina Hägg (s), Marianne Jönsson (s), Murad Artin (v), Jan Erik Ågren (kd), Sten Tolgfors (m), Marianne Samuelsson (mp), Marianne Andersson (c), Karl-Göran Biörsmark (fp), Birgitta Ahlqvist (s), Eva Zetterberg (v) och Rosita Runegrund (kd).</w:t>
      </w:r>
    </w:p>
    <w:p w:rsidR="00993171" w:rsidRPr="00F369FF" w:rsidRDefault="00993171">
      <w:pPr>
        <w:pStyle w:val="Rubrik1"/>
        <w:spacing w:before="123"/>
      </w:pPr>
    </w:p>
    <w:p w:rsidR="00993171" w:rsidRPr="00F369FF" w:rsidRDefault="00993171">
      <w:pPr>
        <w:pStyle w:val="Rubrik1"/>
      </w:pPr>
      <w:r w:rsidRPr="00F369FF">
        <w:t>Avvikande mening</w:t>
      </w:r>
      <w:bookmarkEnd w:id="23"/>
      <w:r w:rsidRPr="00F369FF">
        <w:t>ar</w:t>
      </w:r>
    </w:p>
    <w:p w:rsidR="00993171" w:rsidRPr="00F369FF" w:rsidRDefault="00993171">
      <w:pPr>
        <w:pStyle w:val="Rubrik2"/>
      </w:pPr>
      <w:bookmarkStart w:id="27" w:name="Nästa_Reservation"/>
      <w:bookmarkStart w:id="28" w:name="_Toc420317062"/>
      <w:bookmarkStart w:id="29" w:name="_Toc451078388"/>
      <w:bookmarkEnd w:id="27"/>
      <w:r w:rsidRPr="00F369FF">
        <w:t>1. Ramarna för utgiftsområdena 5 och 7</w:t>
      </w:r>
      <w:bookmarkEnd w:id="28"/>
      <w:bookmarkEnd w:id="29"/>
    </w:p>
    <w:p w:rsidR="00993171" w:rsidRPr="00F369FF" w:rsidRDefault="00993171">
      <w:r w:rsidRPr="00F369FF">
        <w:t>Göran Lennmarker, Bertil Persson, Liselotte Wågö och Sten Tolgfors (alla m) anför:</w:t>
      </w:r>
    </w:p>
    <w:p w:rsidR="00993171" w:rsidRPr="00F369FF" w:rsidRDefault="00993171">
      <w:r w:rsidRPr="00F369FF">
        <w:t>Utskottet förordar den preliminära fördelning av utgifterna för utgiftsomr</w:t>
      </w:r>
      <w:r w:rsidRPr="00F369FF">
        <w:t>å</w:t>
      </w:r>
      <w:r w:rsidRPr="00F369FF">
        <w:t>dena 5 och 7 för åren 2001–2002 som framgår av kolumnerna markerade (m) under rubriken Vårbudgeten 2000: förslag till preliminär fördelning på u</w:t>
      </w:r>
      <w:r w:rsidRPr="00F369FF">
        <w:t>t</w:t>
      </w:r>
      <w:r w:rsidRPr="00F369FF">
        <w:t>giftsområden m.m. i bilagan till föreliggande yttrande med de motiveringar som framgår av m</w:t>
      </w:r>
      <w:r w:rsidRPr="00F369FF">
        <w:t>o</w:t>
      </w:r>
      <w:r w:rsidRPr="00F369FF">
        <w:t>tion Fi12 (m) yrkande 6 (delvis).</w:t>
      </w:r>
    </w:p>
    <w:p w:rsidR="00993171" w:rsidRPr="00F369FF" w:rsidRDefault="00993171">
      <w:pPr>
        <w:pStyle w:val="Normaltindrag"/>
      </w:pPr>
      <w:r w:rsidRPr="00F369FF">
        <w:t>Utskottet anser sålunda att ramen för utgiftsområde 5 Utrikesförvaltning och internationell samverkan bör fastställas till 3 750 miljoner kronor för år 2001, 3 464 miljoner kronor för år 2002 och 3 509 miljoner kronor för år 2003 samt att r</w:t>
      </w:r>
      <w:r w:rsidRPr="00F369FF">
        <w:t>amen för utgiftsområde 7 Internationellt bistånd bör fastställas till 13 098 miljoner kronor för år 2001, 12 855 miljoner kronor för år 2002 och 14 843 miljoner kronor för år 2003.</w:t>
      </w:r>
    </w:p>
    <w:p w:rsidR="00993171" w:rsidRPr="00F369FF" w:rsidRDefault="00993171">
      <w:pPr>
        <w:pStyle w:val="Rubrik2"/>
      </w:pPr>
      <w:bookmarkStart w:id="30" w:name="_Toc420317067"/>
      <w:bookmarkStart w:id="31" w:name="_Toc451078389"/>
      <w:r w:rsidRPr="00F369FF">
        <w:t>2. Ramen för utgiftsområde 7</w:t>
      </w:r>
      <w:bookmarkEnd w:id="30"/>
      <w:bookmarkEnd w:id="31"/>
    </w:p>
    <w:p w:rsidR="00993171" w:rsidRPr="00F369FF" w:rsidRDefault="00993171">
      <w:r w:rsidRPr="00F369FF">
        <w:t>Jan Erik Ågren och Rosita Runegrund (båda kd) anför:</w:t>
      </w:r>
    </w:p>
    <w:p w:rsidR="00993171" w:rsidRPr="00F369FF" w:rsidRDefault="00993171">
      <w:r w:rsidRPr="00F369FF">
        <w:t>Utskottet förordar den preliminära fördelning av utgifterna för utgiftsområde 7 för åren 2000–2002 som framgår av kolumnerna markerade (kd) under rubriken Vårbudgeten 2000: förslag till preliminär fördelning på utgiftso</w:t>
      </w:r>
      <w:r w:rsidRPr="00F369FF">
        <w:t>m</w:t>
      </w:r>
      <w:r w:rsidRPr="00F369FF">
        <w:t>råden m.m. i bilagan till föreliggande yttrande med de motiveringar som framgår av motion Fi13 (kd) y</w:t>
      </w:r>
      <w:r w:rsidRPr="00F369FF">
        <w:t>r</w:t>
      </w:r>
      <w:r w:rsidRPr="00F369FF">
        <w:t>kande 3 (delvis).</w:t>
      </w:r>
    </w:p>
    <w:p w:rsidR="00993171" w:rsidRPr="00F369FF" w:rsidRDefault="00993171">
      <w:pPr>
        <w:pStyle w:val="Normaltindrag"/>
      </w:pPr>
      <w:r w:rsidRPr="00F369FF">
        <w:t>Utskottet anser sålunda att ramen för utgiftsområde 7 Internationellt b</w:t>
      </w:r>
      <w:r w:rsidRPr="00F369FF">
        <w:t>i</w:t>
      </w:r>
      <w:r w:rsidRPr="00F369FF">
        <w:t>stånd bör fastställas till 15 629 miljoner kronor för år 2001, 16 397 miljoner kronor för år 2002 och 20 181 miljoner kronor för år 2003.</w:t>
      </w:r>
    </w:p>
    <w:p w:rsidR="00993171" w:rsidRPr="00F369FF" w:rsidRDefault="00993171">
      <w:pPr>
        <w:pStyle w:val="Rubrik2"/>
      </w:pPr>
      <w:bookmarkStart w:id="32" w:name="_Toc420317063"/>
      <w:bookmarkStart w:id="33" w:name="_Toc451078390"/>
      <w:r w:rsidRPr="00F369FF">
        <w:t xml:space="preserve">3. Ramen för utgiftsområde </w:t>
      </w:r>
      <w:bookmarkEnd w:id="32"/>
      <w:r w:rsidRPr="00F369FF">
        <w:t>7</w:t>
      </w:r>
      <w:bookmarkEnd w:id="33"/>
    </w:p>
    <w:p w:rsidR="00993171" w:rsidRPr="00F369FF" w:rsidRDefault="00993171">
      <w:r w:rsidRPr="00F369FF">
        <w:t>Marianne Andersson (c) anför:</w:t>
      </w:r>
    </w:p>
    <w:p w:rsidR="00993171" w:rsidRPr="00F369FF" w:rsidRDefault="00993171">
      <w:bookmarkStart w:id="34" w:name="_Toc420317064"/>
      <w:r w:rsidRPr="00F369FF">
        <w:t>Utskottet förordar den preliminära fördelning av utgifterna för utgiftsområde 7 för åren 2000–2002 som framgår av kolumnerna markerade (c) under r</w:t>
      </w:r>
      <w:r w:rsidRPr="00F369FF">
        <w:t>u</w:t>
      </w:r>
      <w:r w:rsidRPr="00F369FF">
        <w:t>briken Vårbudgeten 2000: förslag till preliminär fördelning på utgiftsomr</w:t>
      </w:r>
      <w:r w:rsidRPr="00F369FF">
        <w:t>å</w:t>
      </w:r>
      <w:r w:rsidRPr="00F369FF">
        <w:t>den m.m. i bilagan till föreliggande yttrande med de motiveringar som fra</w:t>
      </w:r>
      <w:r w:rsidRPr="00F369FF">
        <w:t>m</w:t>
      </w:r>
      <w:r w:rsidRPr="00F369FF">
        <w:t>går av motion Fi14 (c) yrkande 17 (delvis).</w:t>
      </w:r>
    </w:p>
    <w:p w:rsidR="00993171" w:rsidRPr="00F369FF" w:rsidRDefault="00993171">
      <w:pPr>
        <w:pStyle w:val="Normaltindrag"/>
      </w:pPr>
      <w:r w:rsidRPr="00F369FF">
        <w:t>Utskottet anser sålunda att ramen för utgiftsområde 7 Internationellt b</w:t>
      </w:r>
      <w:r w:rsidRPr="00F369FF">
        <w:t>i</w:t>
      </w:r>
      <w:r w:rsidRPr="00F369FF">
        <w:t>stånd bör fastställas till 15 729 miljoner kronor för år 2001, 16 547 miljoner kronor för år 2002 och 18 406 miljoner kronor för år 2003.</w:t>
      </w:r>
    </w:p>
    <w:p w:rsidR="00993171" w:rsidRPr="00F369FF" w:rsidRDefault="00993171">
      <w:pPr>
        <w:pStyle w:val="Rubrik2"/>
      </w:pPr>
      <w:bookmarkStart w:id="35" w:name="_Toc451078391"/>
      <w:r w:rsidRPr="00F369FF">
        <w:t>4. Ramen för utgiftsområde 7</w:t>
      </w:r>
      <w:bookmarkEnd w:id="34"/>
      <w:bookmarkEnd w:id="35"/>
    </w:p>
    <w:p w:rsidR="00993171" w:rsidRPr="00F369FF" w:rsidRDefault="00993171">
      <w:r w:rsidRPr="00F369FF">
        <w:t>Karl-Göran Biörsmark (fp) anför:</w:t>
      </w:r>
    </w:p>
    <w:p w:rsidR="00993171" w:rsidRPr="00F369FF" w:rsidRDefault="00993171">
      <w:r w:rsidRPr="00F369FF">
        <w:t>Utskottet förordar den preliminära fördelning av utgifterna för utgiftsområde 7 för åren 2000–2002 som framgår av kolumnerna markerade (fp) under rubriken Vårbudgeten 2000: förslag till preliminär fördelning på utgiftso</w:t>
      </w:r>
      <w:r w:rsidRPr="00F369FF">
        <w:t>m</w:t>
      </w:r>
      <w:r w:rsidRPr="00F369FF">
        <w:t>råden m.m. i bilagan till föreliggande yttrande med de motiveringar som framgår av motion Fi15 (fp) yrka</w:t>
      </w:r>
      <w:r w:rsidRPr="00F369FF">
        <w:t>n</w:t>
      </w:r>
      <w:r w:rsidRPr="00F369FF">
        <w:t>de 6 (delvis).</w:t>
      </w:r>
    </w:p>
    <w:p w:rsidR="00993171" w:rsidRPr="00F369FF" w:rsidRDefault="00993171">
      <w:pPr>
        <w:pStyle w:val="Normaltindrag"/>
      </w:pPr>
      <w:r w:rsidRPr="00F369FF">
        <w:t>Utskottet anser sålunda att ramen för utgiftsområde 7 Internationellt b</w:t>
      </w:r>
      <w:r w:rsidRPr="00F369FF">
        <w:t>i</w:t>
      </w:r>
      <w:r w:rsidRPr="00F369FF">
        <w:t>stånd bör fastställas till 16 472 miljoner kronor för år 2001, 17 707 miljoner kronor för år 2002 och 19 307 miljoner kronor för år 2003.</w:t>
      </w:r>
    </w:p>
    <w:p w:rsidR="00993171" w:rsidRPr="00F369FF" w:rsidRDefault="00993171">
      <w:pPr>
        <w:pStyle w:val="Normaltindrag"/>
      </w:pPr>
    </w:p>
    <w:p w:rsidR="00993171" w:rsidRPr="00F369FF" w:rsidRDefault="00993171">
      <w:pPr>
        <w:pStyle w:val="Normaltindrag"/>
      </w:pPr>
    </w:p>
    <w:p w:rsidR="00993171" w:rsidRPr="00F369FF" w:rsidRDefault="00993171">
      <w:pPr>
        <w:pStyle w:val="Rubrik1"/>
      </w:pPr>
      <w:r w:rsidRPr="00F369FF">
        <w:t>Särskilda yttranden</w:t>
      </w:r>
    </w:p>
    <w:p w:rsidR="00993171" w:rsidRPr="00F369FF" w:rsidRDefault="00993171">
      <w:pPr>
        <w:pStyle w:val="Rubrik2"/>
      </w:pPr>
      <w:r w:rsidRPr="00F369FF">
        <w:t>1. Procentmål m.m.</w:t>
      </w:r>
    </w:p>
    <w:p w:rsidR="00993171" w:rsidRPr="00F369FF" w:rsidRDefault="00993171">
      <w:pPr>
        <w:spacing w:line="240" w:lineRule="atLeast"/>
        <w:rPr>
          <w:snapToGrid w:val="0"/>
          <w:color w:val="000000"/>
          <w:lang w:eastAsia="sv-SE"/>
        </w:rPr>
      </w:pPr>
      <w:r w:rsidRPr="00F369FF">
        <w:t>Göran Lennmarker, Bertil Persson, Liselotte Wågö och Sten Tolgfors (alla m)</w:t>
      </w:r>
      <w:r w:rsidRPr="00F369FF">
        <w:rPr>
          <w:snapToGrid w:val="0"/>
          <w:color w:val="000000"/>
          <w:lang w:eastAsia="sv-SE"/>
        </w:rPr>
        <w:t xml:space="preserve"> anför:</w:t>
      </w:r>
    </w:p>
    <w:p w:rsidR="00993171" w:rsidRPr="00F369FF" w:rsidRDefault="00993171">
      <w:pPr>
        <w:pStyle w:val="Brdtext3"/>
      </w:pPr>
      <w:r w:rsidRPr="00F369FF">
        <w:t>Tidigare utbetalningsmål bör ersättas med det övergripande målet att snabbt utrota fattigdomen i världen genom insatser för ökad tillväxt. Till detta bör fogas effektivitetsmål som gör det möjligt att mäta vad man gör – exempe</w:t>
      </w:r>
      <w:r w:rsidRPr="00F369FF">
        <w:t>l</w:t>
      </w:r>
      <w:r w:rsidRPr="00F369FF">
        <w:t>vis antal flickor som får basal utbildning eller hu</w:t>
      </w:r>
      <w:r w:rsidRPr="00F369FF">
        <w:t>s</w:t>
      </w:r>
      <w:r w:rsidRPr="00F369FF">
        <w:t>håll som får rent vatten.</w:t>
      </w:r>
    </w:p>
    <w:p w:rsidR="00993171" w:rsidRPr="00F369FF" w:rsidRDefault="00993171">
      <w:pPr>
        <w:pStyle w:val="Rubrik2"/>
      </w:pPr>
      <w:r w:rsidRPr="00F369FF">
        <w:t>2. Procentmål m.m.</w:t>
      </w:r>
    </w:p>
    <w:p w:rsidR="00993171" w:rsidRPr="00F369FF" w:rsidRDefault="00993171">
      <w:pPr>
        <w:spacing w:line="240" w:lineRule="atLeast"/>
        <w:rPr>
          <w:snapToGrid w:val="0"/>
          <w:color w:val="000000"/>
          <w:lang w:eastAsia="sv-SE"/>
        </w:rPr>
      </w:pPr>
      <w:r w:rsidRPr="00F369FF">
        <w:rPr>
          <w:snapToGrid w:val="0"/>
          <w:color w:val="000000"/>
          <w:lang w:eastAsia="sv-SE"/>
        </w:rPr>
        <w:t>Jan Erik Ågren och Rosita Runegrund (båda kd) anför:</w:t>
      </w:r>
    </w:p>
    <w:p w:rsidR="00993171" w:rsidRPr="00F369FF" w:rsidRDefault="00993171">
      <w:pPr>
        <w:rPr>
          <w:snapToGrid w:val="0"/>
          <w:lang w:eastAsia="sv-SE"/>
        </w:rPr>
      </w:pPr>
      <w:r w:rsidRPr="00F369FF">
        <w:rPr>
          <w:snapToGrid w:val="0"/>
          <w:lang w:eastAsia="sv-SE"/>
        </w:rPr>
        <w:t>I propositionen sägs att enprocentsmålet skall uppnås då de statsfinansiella förutsättningarna för detta föreligger. Kristdemokraterna anser att det nu finns ett gyllene läge för en ytterligare ökad biståndsnivå och föreslår därför att 3,4 miljarder utöver regeringens förslag anslås under treårsperioden som en del av en 5-årsplan att åter avsätta 1 % av BNI till biståndet. Detta skulle innebära en biståndsnivå på 0,9 % år 2003.</w:t>
      </w:r>
    </w:p>
    <w:p w:rsidR="00993171" w:rsidRPr="00F369FF" w:rsidRDefault="00993171">
      <w:pPr>
        <w:pStyle w:val="Rubrik2"/>
      </w:pPr>
      <w:r w:rsidRPr="00F369FF">
        <w:t>3. Procentmål m.m.</w:t>
      </w:r>
    </w:p>
    <w:p w:rsidR="00993171" w:rsidRPr="00F369FF" w:rsidRDefault="00993171">
      <w:r w:rsidRPr="00F369FF">
        <w:t>Marianne Andersson (c) anför:</w:t>
      </w:r>
    </w:p>
    <w:p w:rsidR="00993171" w:rsidRPr="00F369FF" w:rsidRDefault="00993171">
      <w:r w:rsidRPr="00F369FF">
        <w:t xml:space="preserve">I propositionen sägs att enprocentsmålet skall uppnås då de statsfinansiella förutsättningarna föreligger. Centerpartiet anser att de förutsättningarna är betydligt större än vad regeringen visar i siffror. Vi föreslår ett ökat bistånd på 1,875 miljarder under treårsperioden vilket skapar större förutsättningar för att inom en femårsperiod uppnå 1 % av BNI till biståndet.  Dessutom anser vi att resterande medel från den s.k. Östersjömiljarden bör överflyttas till utgiftsområde 7. </w:t>
      </w:r>
    </w:p>
    <w:p w:rsidR="00993171" w:rsidRPr="00F369FF" w:rsidRDefault="00993171">
      <w:pPr>
        <w:pStyle w:val="Rubrik2"/>
      </w:pPr>
      <w:r w:rsidRPr="00F369FF">
        <w:t>4. Procentmål m.m.</w:t>
      </w:r>
    </w:p>
    <w:p w:rsidR="00993171" w:rsidRPr="00F369FF" w:rsidRDefault="00993171">
      <w:pPr>
        <w:spacing w:line="240" w:lineRule="atLeast"/>
        <w:rPr>
          <w:snapToGrid w:val="0"/>
          <w:color w:val="000000"/>
          <w:lang w:eastAsia="sv-SE"/>
        </w:rPr>
      </w:pPr>
      <w:r w:rsidRPr="00F369FF">
        <w:t>Karl-Göran Biörsmark</w:t>
      </w:r>
      <w:r w:rsidRPr="00F369FF">
        <w:rPr>
          <w:snapToGrid w:val="0"/>
          <w:color w:val="000000"/>
          <w:lang w:eastAsia="sv-SE"/>
        </w:rPr>
        <w:t xml:space="preserve"> (fp) anför:</w:t>
      </w:r>
    </w:p>
    <w:p w:rsidR="00993171" w:rsidRPr="00F369FF" w:rsidRDefault="00993171">
      <w:pPr>
        <w:rPr>
          <w:snapToGrid w:val="0"/>
          <w:lang w:eastAsia="sv-SE"/>
        </w:rPr>
      </w:pPr>
      <w:r w:rsidRPr="00F369FF">
        <w:rPr>
          <w:snapToGrid w:val="0"/>
          <w:lang w:eastAsia="sv-SE"/>
        </w:rPr>
        <w:t>Folkpartiet liberalerna står inte bakom den nedprioritering av biståndet som skett de senaste åren och kan inte acceptera att biståndet enligt regeringens förslag endast skall uppgå till 0,73 respektive 0,74 % av BNI för åren 2001 och 2002.</w:t>
      </w:r>
    </w:p>
    <w:p w:rsidR="00993171" w:rsidRPr="00F369FF" w:rsidRDefault="00993171">
      <w:pPr>
        <w:pStyle w:val="Normaltindrag"/>
        <w:rPr>
          <w:snapToGrid w:val="0"/>
          <w:lang w:eastAsia="sv-SE"/>
        </w:rPr>
      </w:pPr>
      <w:r w:rsidRPr="00F369FF">
        <w:rPr>
          <w:snapToGrid w:val="0"/>
          <w:lang w:eastAsia="sv-SE"/>
        </w:rPr>
        <w:t>Folkpartiets förslag innebär att den totala biståndsramen för år 2001 up</w:t>
      </w:r>
      <w:r w:rsidRPr="00F369FF">
        <w:rPr>
          <w:snapToGrid w:val="0"/>
          <w:lang w:eastAsia="sv-SE"/>
        </w:rPr>
        <w:t>p</w:t>
      </w:r>
      <w:r w:rsidRPr="00F369FF">
        <w:rPr>
          <w:snapToGrid w:val="0"/>
          <w:lang w:eastAsia="sv-SE"/>
        </w:rPr>
        <w:t>går till 0,80 procent av BNI. Förslaget innebär vidare att den totala bistånd</w:t>
      </w:r>
      <w:r w:rsidRPr="00F369FF">
        <w:rPr>
          <w:snapToGrid w:val="0"/>
          <w:lang w:eastAsia="sv-SE"/>
        </w:rPr>
        <w:t>s</w:t>
      </w:r>
      <w:r w:rsidRPr="00F369FF">
        <w:rPr>
          <w:snapToGrid w:val="0"/>
          <w:lang w:eastAsia="sv-SE"/>
        </w:rPr>
        <w:t>ramen kommer att uppgå till 0,84 respektive 0,86 % av BNI för åren 2002 och 2003.</w:t>
      </w:r>
    </w:p>
    <w:p w:rsidR="00993171" w:rsidRPr="00F369FF" w:rsidRDefault="00993171">
      <w:pPr>
        <w:pStyle w:val="Normaltindrag"/>
      </w:pPr>
      <w:r w:rsidRPr="00F369FF">
        <w:rPr>
          <w:snapToGrid w:val="0"/>
          <w:lang w:eastAsia="sv-SE"/>
        </w:rPr>
        <w:t>Folkpartiet har ett klart utsatt mål för när det svenska biståndet, enligt rik</w:t>
      </w:r>
      <w:r w:rsidRPr="00F369FF">
        <w:rPr>
          <w:snapToGrid w:val="0"/>
          <w:lang w:eastAsia="sv-SE"/>
        </w:rPr>
        <w:t>s</w:t>
      </w:r>
      <w:r w:rsidRPr="00F369FF">
        <w:rPr>
          <w:snapToGrid w:val="0"/>
          <w:lang w:eastAsia="sv-SE"/>
        </w:rPr>
        <w:t>dagens uttalade ambition, åter skall nå 1 % av BNI. Målet innebär att det kommer att ske inom en tioårsperiod.</w:t>
      </w:r>
    </w:p>
    <w:p w:rsidR="00993171" w:rsidRPr="00F369FF" w:rsidRDefault="00993171">
      <w:pPr>
        <w:pStyle w:val="Rubrik2"/>
      </w:pPr>
      <w:r w:rsidRPr="00F369FF">
        <w:t>5. Utgiftsbegränsningar</w:t>
      </w:r>
    </w:p>
    <w:p w:rsidR="00993171" w:rsidRPr="00F369FF" w:rsidRDefault="00993171">
      <w:r w:rsidRPr="00F369FF">
        <w:t>Göran Lennmarker, Bertil Persson, Liselotte Wågö och Sten Tolgfors (alla m) anför:</w:t>
      </w:r>
    </w:p>
    <w:p w:rsidR="00993171" w:rsidRPr="00F369FF" w:rsidRDefault="00993171">
      <w:r w:rsidRPr="00F369FF">
        <w:t>Regeringens utgiftsbegränsningar har i stor utsträckning drabbat biståndet. Speciellt oroande är de negativa konsekvenser som drabbat svenska enskilda organisationer, vilkas betydelse för biståndsviljan inte nog kan understrykas.</w:t>
      </w:r>
    </w:p>
    <w:p w:rsidR="00993171" w:rsidRPr="00F369FF" w:rsidRDefault="00993171">
      <w:pPr>
        <w:pStyle w:val="Rubrik2"/>
        <w:sectPr w:rsidR="00000000" w:rsidRPr="00F369FF">
          <w:headerReference w:type="default" r:id="rId9"/>
          <w:footerReference w:type="default" r:id="rId10"/>
          <w:pgSz w:w="11906" w:h="16838" w:code="9"/>
          <w:pgMar w:top="567" w:right="4876" w:bottom="4508" w:left="1134" w:header="227" w:footer="227" w:gutter="0"/>
          <w:cols w:space="720"/>
        </w:sectPr>
      </w:pPr>
    </w:p>
    <w:p w:rsidR="00993171" w:rsidRPr="00F369FF" w:rsidRDefault="00993171">
      <w:pPr>
        <w:pStyle w:val="Rubrik2"/>
      </w:pPr>
      <w:r w:rsidRPr="00F369FF">
        <w:t>Vårbudgeten 2000: förslag till preliminär fördelning på utgiftsområden m.m.</w:t>
      </w:r>
    </w:p>
    <w:p w:rsidR="00993171" w:rsidRPr="00F369FF" w:rsidRDefault="00993171">
      <w:r w:rsidRPr="00F369FF">
        <w:t>(miljoner kronor, löpande priser; UO = utgiftsområde)</w:t>
      </w:r>
    </w:p>
    <w:p w:rsidR="00993171" w:rsidRPr="00F369FF" w:rsidRDefault="00993171">
      <w:pPr>
        <w:pStyle w:val="Odefinierat"/>
      </w:pPr>
    </w:p>
    <w:p w:rsidR="00993171" w:rsidRPr="00F369FF" w:rsidRDefault="00993171">
      <w:pPr>
        <w:pStyle w:val="Citat"/>
        <w:spacing w:before="122" w:line="480" w:lineRule="auto"/>
      </w:pPr>
      <w:r w:rsidRPr="00F369FF">
        <w:t>Absoluta tal</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876"/>
        <w:gridCol w:w="850"/>
        <w:gridCol w:w="851"/>
        <w:gridCol w:w="850"/>
        <w:gridCol w:w="851"/>
      </w:tblGrid>
      <w:tr w:rsidR="00000000" w:rsidRPr="00F369FF">
        <w:tblPrEx>
          <w:tblCellMar>
            <w:top w:w="0" w:type="dxa"/>
            <w:bottom w:w="0" w:type="dxa"/>
          </w:tblCellMar>
        </w:tblPrEx>
        <w:tc>
          <w:tcPr>
            <w:tcW w:w="754" w:type="dxa"/>
            <w:shd w:val="pct30" w:color="auto" w:fill="auto"/>
          </w:tcPr>
          <w:p w:rsidR="00993171" w:rsidRPr="00F369FF" w:rsidRDefault="00993171">
            <w:pPr>
              <w:pStyle w:val="Normaltindrag"/>
              <w:spacing w:before="120" w:line="480" w:lineRule="auto"/>
              <w:ind w:firstLine="0"/>
              <w:jc w:val="center"/>
              <w:rPr>
                <w:sz w:val="14"/>
              </w:rPr>
            </w:pPr>
          </w:p>
        </w:tc>
        <w:tc>
          <w:tcPr>
            <w:tcW w:w="876" w:type="dxa"/>
          </w:tcPr>
          <w:p w:rsidR="00993171" w:rsidRPr="00F369FF" w:rsidRDefault="00993171">
            <w:pPr>
              <w:pStyle w:val="Normaltindrag"/>
              <w:spacing w:before="120" w:line="480" w:lineRule="auto"/>
              <w:ind w:firstLine="0"/>
              <w:jc w:val="center"/>
            </w:pPr>
            <w:r w:rsidRPr="00F369FF">
              <w:t>Prop.</w:t>
            </w:r>
          </w:p>
        </w:tc>
        <w:tc>
          <w:tcPr>
            <w:tcW w:w="850" w:type="dxa"/>
          </w:tcPr>
          <w:p w:rsidR="00993171" w:rsidRPr="00F369FF" w:rsidRDefault="00993171">
            <w:pPr>
              <w:pStyle w:val="Normaltindrag"/>
              <w:spacing w:before="120" w:line="480" w:lineRule="auto"/>
              <w:ind w:firstLine="0"/>
              <w:jc w:val="center"/>
            </w:pPr>
            <w:r w:rsidRPr="00F369FF">
              <w:t>(m)</w:t>
            </w:r>
          </w:p>
        </w:tc>
        <w:tc>
          <w:tcPr>
            <w:tcW w:w="851" w:type="dxa"/>
          </w:tcPr>
          <w:p w:rsidR="00993171" w:rsidRPr="00F369FF" w:rsidRDefault="00993171">
            <w:pPr>
              <w:pStyle w:val="Normaltindrag"/>
              <w:spacing w:before="120" w:line="480" w:lineRule="auto"/>
              <w:ind w:firstLine="0"/>
              <w:jc w:val="center"/>
            </w:pPr>
            <w:r w:rsidRPr="00F369FF">
              <w:t>(kd)</w:t>
            </w:r>
          </w:p>
        </w:tc>
        <w:tc>
          <w:tcPr>
            <w:tcW w:w="850" w:type="dxa"/>
          </w:tcPr>
          <w:p w:rsidR="00993171" w:rsidRPr="00F369FF" w:rsidRDefault="00993171">
            <w:pPr>
              <w:pStyle w:val="Normaltindrag"/>
              <w:spacing w:before="120" w:line="480" w:lineRule="auto"/>
              <w:ind w:firstLine="0"/>
              <w:jc w:val="center"/>
            </w:pPr>
            <w:r w:rsidRPr="00F369FF">
              <w:t>(c)</w:t>
            </w:r>
          </w:p>
        </w:tc>
        <w:tc>
          <w:tcPr>
            <w:tcW w:w="851" w:type="dxa"/>
          </w:tcPr>
          <w:p w:rsidR="00993171" w:rsidRPr="00F369FF" w:rsidRDefault="00993171">
            <w:pPr>
              <w:pStyle w:val="Normaltindrag"/>
              <w:spacing w:before="120" w:line="480" w:lineRule="auto"/>
              <w:ind w:firstLine="0"/>
              <w:jc w:val="center"/>
            </w:pPr>
            <w:r w:rsidRPr="00F369FF">
              <w:t>(fp)</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UO5 2001</w:t>
            </w:r>
          </w:p>
        </w:tc>
        <w:tc>
          <w:tcPr>
            <w:tcW w:w="876" w:type="dxa"/>
          </w:tcPr>
          <w:p w:rsidR="00993171" w:rsidRPr="00F369FF" w:rsidRDefault="00993171">
            <w:pPr>
              <w:pStyle w:val="Normaltindrag"/>
              <w:spacing w:before="120" w:line="480" w:lineRule="auto"/>
              <w:ind w:firstLine="0"/>
              <w:jc w:val="right"/>
            </w:pPr>
            <w:r w:rsidRPr="00F369FF">
              <w:t>2 889</w:t>
            </w:r>
          </w:p>
        </w:tc>
        <w:tc>
          <w:tcPr>
            <w:tcW w:w="850" w:type="dxa"/>
          </w:tcPr>
          <w:p w:rsidR="00993171" w:rsidRPr="00F369FF" w:rsidRDefault="00993171">
            <w:pPr>
              <w:pStyle w:val="Normaltindrag"/>
              <w:spacing w:before="120" w:line="480" w:lineRule="auto"/>
              <w:ind w:firstLine="0"/>
              <w:jc w:val="right"/>
            </w:pPr>
            <w:r w:rsidRPr="00F369FF">
              <w:t>3 750</w:t>
            </w:r>
          </w:p>
        </w:tc>
        <w:tc>
          <w:tcPr>
            <w:tcW w:w="851" w:type="dxa"/>
          </w:tcPr>
          <w:p w:rsidR="00993171" w:rsidRPr="00F369FF" w:rsidRDefault="00993171">
            <w:pPr>
              <w:pStyle w:val="Normaltindrag"/>
              <w:spacing w:before="120" w:line="480" w:lineRule="auto"/>
              <w:ind w:firstLine="0"/>
              <w:jc w:val="right"/>
            </w:pPr>
            <w:r w:rsidRPr="00F369FF">
              <w:t>2 889</w:t>
            </w:r>
          </w:p>
        </w:tc>
        <w:tc>
          <w:tcPr>
            <w:tcW w:w="850" w:type="dxa"/>
          </w:tcPr>
          <w:p w:rsidR="00993171" w:rsidRPr="00F369FF" w:rsidRDefault="00993171">
            <w:pPr>
              <w:pStyle w:val="Normaltindrag"/>
              <w:spacing w:before="120" w:line="480" w:lineRule="auto"/>
              <w:ind w:firstLine="0"/>
              <w:jc w:val="right"/>
            </w:pPr>
            <w:r w:rsidRPr="00F369FF">
              <w:t>2 889</w:t>
            </w:r>
          </w:p>
        </w:tc>
        <w:tc>
          <w:tcPr>
            <w:tcW w:w="851" w:type="dxa"/>
          </w:tcPr>
          <w:p w:rsidR="00993171" w:rsidRPr="00F369FF" w:rsidRDefault="00993171">
            <w:pPr>
              <w:pStyle w:val="Normaltindrag"/>
              <w:spacing w:before="120" w:line="480" w:lineRule="auto"/>
              <w:ind w:firstLine="0"/>
              <w:jc w:val="right"/>
            </w:pPr>
            <w:r w:rsidRPr="00F369FF">
              <w:t>2 889</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UO5 2002</w:t>
            </w:r>
          </w:p>
        </w:tc>
        <w:tc>
          <w:tcPr>
            <w:tcW w:w="876" w:type="dxa"/>
          </w:tcPr>
          <w:p w:rsidR="00993171" w:rsidRPr="00F369FF" w:rsidRDefault="00993171">
            <w:pPr>
              <w:pStyle w:val="Normaltindrag"/>
              <w:spacing w:before="120" w:line="480" w:lineRule="auto"/>
              <w:ind w:firstLine="0"/>
              <w:jc w:val="right"/>
            </w:pPr>
            <w:r w:rsidRPr="00F369FF">
              <w:t>2 863</w:t>
            </w:r>
          </w:p>
        </w:tc>
        <w:tc>
          <w:tcPr>
            <w:tcW w:w="850" w:type="dxa"/>
          </w:tcPr>
          <w:p w:rsidR="00993171" w:rsidRPr="00F369FF" w:rsidRDefault="00993171">
            <w:pPr>
              <w:pStyle w:val="Normaltindrag"/>
              <w:spacing w:before="120" w:line="480" w:lineRule="auto"/>
              <w:ind w:firstLine="0"/>
              <w:jc w:val="right"/>
            </w:pPr>
            <w:r w:rsidRPr="00F369FF">
              <w:t>3 464</w:t>
            </w:r>
          </w:p>
        </w:tc>
        <w:tc>
          <w:tcPr>
            <w:tcW w:w="851" w:type="dxa"/>
          </w:tcPr>
          <w:p w:rsidR="00993171" w:rsidRPr="00F369FF" w:rsidRDefault="00993171">
            <w:pPr>
              <w:pStyle w:val="Normaltindrag"/>
              <w:spacing w:before="120" w:line="480" w:lineRule="auto"/>
              <w:ind w:firstLine="0"/>
              <w:jc w:val="right"/>
            </w:pPr>
            <w:r w:rsidRPr="00F369FF">
              <w:t>2 863</w:t>
            </w:r>
          </w:p>
        </w:tc>
        <w:tc>
          <w:tcPr>
            <w:tcW w:w="850" w:type="dxa"/>
          </w:tcPr>
          <w:p w:rsidR="00993171" w:rsidRPr="00F369FF" w:rsidRDefault="00993171">
            <w:pPr>
              <w:pStyle w:val="Normaltindrag"/>
              <w:spacing w:before="120" w:line="480" w:lineRule="auto"/>
              <w:ind w:firstLine="0"/>
              <w:jc w:val="right"/>
            </w:pPr>
            <w:r w:rsidRPr="00F369FF">
              <w:t>2 863</w:t>
            </w:r>
          </w:p>
        </w:tc>
        <w:tc>
          <w:tcPr>
            <w:tcW w:w="851" w:type="dxa"/>
          </w:tcPr>
          <w:p w:rsidR="00993171" w:rsidRPr="00F369FF" w:rsidRDefault="00993171">
            <w:pPr>
              <w:pStyle w:val="Normaltindrag"/>
              <w:spacing w:before="120" w:line="480" w:lineRule="auto"/>
              <w:ind w:firstLine="0"/>
              <w:jc w:val="right"/>
            </w:pPr>
            <w:r w:rsidRPr="00F369FF">
              <w:t>2 863</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UO5 2003</w:t>
            </w:r>
          </w:p>
        </w:tc>
        <w:tc>
          <w:tcPr>
            <w:tcW w:w="876" w:type="dxa"/>
          </w:tcPr>
          <w:p w:rsidR="00993171" w:rsidRPr="00F369FF" w:rsidRDefault="00993171">
            <w:pPr>
              <w:pStyle w:val="Normaltindrag"/>
              <w:spacing w:before="120" w:line="480" w:lineRule="auto"/>
              <w:ind w:firstLine="0"/>
              <w:jc w:val="right"/>
            </w:pPr>
            <w:r w:rsidRPr="00F369FF">
              <w:t>2 907</w:t>
            </w:r>
          </w:p>
        </w:tc>
        <w:tc>
          <w:tcPr>
            <w:tcW w:w="850" w:type="dxa"/>
          </w:tcPr>
          <w:p w:rsidR="00993171" w:rsidRPr="00F369FF" w:rsidRDefault="00993171">
            <w:pPr>
              <w:pStyle w:val="Normaltindrag"/>
              <w:spacing w:before="120" w:line="480" w:lineRule="auto"/>
              <w:ind w:firstLine="0"/>
              <w:jc w:val="right"/>
            </w:pPr>
            <w:r w:rsidRPr="00F369FF">
              <w:t>3 509</w:t>
            </w:r>
          </w:p>
        </w:tc>
        <w:tc>
          <w:tcPr>
            <w:tcW w:w="851" w:type="dxa"/>
          </w:tcPr>
          <w:p w:rsidR="00993171" w:rsidRPr="00F369FF" w:rsidRDefault="00993171">
            <w:pPr>
              <w:pStyle w:val="Normaltindrag"/>
              <w:spacing w:before="120" w:line="480" w:lineRule="auto"/>
              <w:ind w:firstLine="0"/>
              <w:jc w:val="right"/>
            </w:pPr>
            <w:r w:rsidRPr="00F369FF">
              <w:t>2 907</w:t>
            </w:r>
          </w:p>
        </w:tc>
        <w:tc>
          <w:tcPr>
            <w:tcW w:w="850" w:type="dxa"/>
          </w:tcPr>
          <w:p w:rsidR="00993171" w:rsidRPr="00F369FF" w:rsidRDefault="00993171">
            <w:pPr>
              <w:pStyle w:val="Normaltindrag"/>
              <w:spacing w:before="120" w:line="480" w:lineRule="auto"/>
              <w:ind w:firstLine="0"/>
              <w:jc w:val="right"/>
            </w:pPr>
            <w:r w:rsidRPr="00F369FF">
              <w:t>2 907</w:t>
            </w:r>
          </w:p>
        </w:tc>
        <w:tc>
          <w:tcPr>
            <w:tcW w:w="851" w:type="dxa"/>
          </w:tcPr>
          <w:p w:rsidR="00993171" w:rsidRPr="00F369FF" w:rsidRDefault="00993171">
            <w:pPr>
              <w:pStyle w:val="Normaltindrag"/>
              <w:spacing w:before="120" w:line="480" w:lineRule="auto"/>
              <w:ind w:firstLine="0"/>
              <w:jc w:val="right"/>
            </w:pPr>
            <w:r w:rsidRPr="00F369FF">
              <w:t>2 907</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UO7 2001</w:t>
            </w:r>
          </w:p>
        </w:tc>
        <w:tc>
          <w:tcPr>
            <w:tcW w:w="876" w:type="dxa"/>
          </w:tcPr>
          <w:p w:rsidR="00993171" w:rsidRPr="00F369FF" w:rsidRDefault="00993171">
            <w:pPr>
              <w:pStyle w:val="Normaltindrag"/>
              <w:spacing w:before="120" w:line="480" w:lineRule="auto"/>
              <w:ind w:firstLine="0"/>
              <w:jc w:val="right"/>
            </w:pPr>
            <w:r w:rsidRPr="00F369FF">
              <w:t>15 029</w:t>
            </w:r>
          </w:p>
        </w:tc>
        <w:tc>
          <w:tcPr>
            <w:tcW w:w="850" w:type="dxa"/>
          </w:tcPr>
          <w:p w:rsidR="00993171" w:rsidRPr="00F369FF" w:rsidRDefault="00993171">
            <w:pPr>
              <w:pStyle w:val="Normaltindrag"/>
              <w:spacing w:before="120" w:line="480" w:lineRule="auto"/>
              <w:ind w:firstLine="0"/>
              <w:jc w:val="right"/>
            </w:pPr>
            <w:r w:rsidRPr="00F369FF">
              <w:t>13 098</w:t>
            </w:r>
          </w:p>
        </w:tc>
        <w:tc>
          <w:tcPr>
            <w:tcW w:w="851" w:type="dxa"/>
          </w:tcPr>
          <w:p w:rsidR="00993171" w:rsidRPr="00F369FF" w:rsidRDefault="00993171">
            <w:pPr>
              <w:pStyle w:val="Normaltindrag"/>
              <w:spacing w:before="120" w:line="480" w:lineRule="auto"/>
              <w:ind w:firstLine="0"/>
              <w:jc w:val="right"/>
            </w:pPr>
            <w:r w:rsidRPr="00F369FF">
              <w:t>15 629</w:t>
            </w:r>
          </w:p>
        </w:tc>
        <w:tc>
          <w:tcPr>
            <w:tcW w:w="850" w:type="dxa"/>
          </w:tcPr>
          <w:p w:rsidR="00993171" w:rsidRPr="00F369FF" w:rsidRDefault="00993171">
            <w:pPr>
              <w:pStyle w:val="Normaltindrag"/>
              <w:spacing w:before="120" w:line="480" w:lineRule="auto"/>
              <w:ind w:firstLine="0"/>
              <w:jc w:val="right"/>
            </w:pPr>
            <w:r w:rsidRPr="00F369FF">
              <w:t>15 729</w:t>
            </w:r>
          </w:p>
        </w:tc>
        <w:tc>
          <w:tcPr>
            <w:tcW w:w="851" w:type="dxa"/>
          </w:tcPr>
          <w:p w:rsidR="00993171" w:rsidRPr="00F369FF" w:rsidRDefault="00993171">
            <w:pPr>
              <w:pStyle w:val="Normaltindrag"/>
              <w:spacing w:before="120" w:line="480" w:lineRule="auto"/>
              <w:ind w:firstLine="0"/>
              <w:jc w:val="right"/>
            </w:pPr>
            <w:r w:rsidRPr="00F369FF">
              <w:t>16 472</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UO7 2002</w:t>
            </w:r>
          </w:p>
        </w:tc>
        <w:tc>
          <w:tcPr>
            <w:tcW w:w="876" w:type="dxa"/>
          </w:tcPr>
          <w:p w:rsidR="00993171" w:rsidRPr="00F369FF" w:rsidRDefault="00993171">
            <w:pPr>
              <w:pStyle w:val="Normaltindrag"/>
              <w:spacing w:before="120" w:line="480" w:lineRule="auto"/>
              <w:ind w:firstLine="0"/>
              <w:jc w:val="right"/>
            </w:pPr>
            <w:r w:rsidRPr="00F369FF">
              <w:t>15 597</w:t>
            </w:r>
          </w:p>
        </w:tc>
        <w:tc>
          <w:tcPr>
            <w:tcW w:w="850" w:type="dxa"/>
          </w:tcPr>
          <w:p w:rsidR="00993171" w:rsidRPr="00F369FF" w:rsidRDefault="00993171">
            <w:pPr>
              <w:pStyle w:val="Normaltindrag"/>
              <w:spacing w:before="120" w:line="480" w:lineRule="auto"/>
              <w:ind w:firstLine="0"/>
              <w:jc w:val="right"/>
            </w:pPr>
            <w:r w:rsidRPr="00F369FF">
              <w:t>12 855</w:t>
            </w:r>
          </w:p>
        </w:tc>
        <w:tc>
          <w:tcPr>
            <w:tcW w:w="851" w:type="dxa"/>
          </w:tcPr>
          <w:p w:rsidR="00993171" w:rsidRPr="00F369FF" w:rsidRDefault="00993171">
            <w:pPr>
              <w:pStyle w:val="Normaltindrag"/>
              <w:spacing w:before="120" w:line="480" w:lineRule="auto"/>
              <w:ind w:firstLine="0"/>
              <w:jc w:val="right"/>
            </w:pPr>
            <w:r w:rsidRPr="00F369FF">
              <w:t>16 397</w:t>
            </w:r>
          </w:p>
        </w:tc>
        <w:tc>
          <w:tcPr>
            <w:tcW w:w="850" w:type="dxa"/>
          </w:tcPr>
          <w:p w:rsidR="00993171" w:rsidRPr="00F369FF" w:rsidRDefault="00993171">
            <w:pPr>
              <w:pStyle w:val="Normaltindrag"/>
              <w:spacing w:before="120" w:line="480" w:lineRule="auto"/>
              <w:ind w:firstLine="0"/>
              <w:jc w:val="right"/>
            </w:pPr>
            <w:r w:rsidRPr="00F369FF">
              <w:t>16 547</w:t>
            </w:r>
          </w:p>
        </w:tc>
        <w:tc>
          <w:tcPr>
            <w:tcW w:w="851" w:type="dxa"/>
          </w:tcPr>
          <w:p w:rsidR="00993171" w:rsidRPr="00F369FF" w:rsidRDefault="00993171">
            <w:pPr>
              <w:pStyle w:val="Normaltindrag"/>
              <w:spacing w:before="120" w:line="480" w:lineRule="auto"/>
              <w:ind w:firstLine="0"/>
              <w:jc w:val="right"/>
            </w:pPr>
            <w:r w:rsidRPr="00F369FF">
              <w:t>17 707</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UO7 2003</w:t>
            </w:r>
          </w:p>
        </w:tc>
        <w:tc>
          <w:tcPr>
            <w:tcW w:w="876" w:type="dxa"/>
          </w:tcPr>
          <w:p w:rsidR="00993171" w:rsidRPr="00F369FF" w:rsidRDefault="00993171">
            <w:pPr>
              <w:pStyle w:val="Normaltindrag"/>
              <w:spacing w:before="120" w:line="480" w:lineRule="auto"/>
              <w:ind w:firstLine="0"/>
              <w:jc w:val="right"/>
            </w:pPr>
            <w:r w:rsidRPr="00F369FF">
              <w:t>18 181</w:t>
            </w:r>
          </w:p>
        </w:tc>
        <w:tc>
          <w:tcPr>
            <w:tcW w:w="850" w:type="dxa"/>
          </w:tcPr>
          <w:p w:rsidR="00993171" w:rsidRPr="00F369FF" w:rsidRDefault="00993171">
            <w:pPr>
              <w:pStyle w:val="Normaltindrag"/>
              <w:spacing w:before="120" w:line="480" w:lineRule="auto"/>
              <w:ind w:firstLine="0"/>
              <w:jc w:val="right"/>
            </w:pPr>
            <w:r w:rsidRPr="00F369FF">
              <w:t>14 843</w:t>
            </w:r>
          </w:p>
        </w:tc>
        <w:tc>
          <w:tcPr>
            <w:tcW w:w="851" w:type="dxa"/>
          </w:tcPr>
          <w:p w:rsidR="00993171" w:rsidRPr="00F369FF" w:rsidRDefault="00993171">
            <w:pPr>
              <w:pStyle w:val="Normaltindrag"/>
              <w:spacing w:before="120" w:line="480" w:lineRule="auto"/>
              <w:ind w:firstLine="0"/>
              <w:jc w:val="right"/>
            </w:pPr>
            <w:r w:rsidRPr="00F369FF">
              <w:t>20 181</w:t>
            </w:r>
          </w:p>
        </w:tc>
        <w:tc>
          <w:tcPr>
            <w:tcW w:w="850" w:type="dxa"/>
          </w:tcPr>
          <w:p w:rsidR="00993171" w:rsidRPr="00F369FF" w:rsidRDefault="00993171">
            <w:pPr>
              <w:pStyle w:val="Normaltindrag"/>
              <w:spacing w:before="120" w:line="480" w:lineRule="auto"/>
              <w:ind w:firstLine="0"/>
              <w:jc w:val="right"/>
            </w:pPr>
            <w:r w:rsidRPr="00F369FF">
              <w:t>18  406</w:t>
            </w:r>
          </w:p>
        </w:tc>
        <w:tc>
          <w:tcPr>
            <w:tcW w:w="851" w:type="dxa"/>
          </w:tcPr>
          <w:p w:rsidR="00993171" w:rsidRPr="00F369FF" w:rsidRDefault="00993171">
            <w:pPr>
              <w:pStyle w:val="Normaltindrag"/>
              <w:spacing w:before="120" w:line="480" w:lineRule="auto"/>
              <w:ind w:firstLine="0"/>
              <w:jc w:val="right"/>
            </w:pPr>
            <w:r w:rsidRPr="00F369FF">
              <w:t>19 307</w:t>
            </w:r>
          </w:p>
        </w:tc>
      </w:tr>
    </w:tbl>
    <w:p w:rsidR="00993171" w:rsidRPr="00F369FF" w:rsidRDefault="00993171">
      <w:pPr>
        <w:spacing w:line="480" w:lineRule="auto"/>
      </w:pPr>
    </w:p>
    <w:p w:rsidR="00993171" w:rsidRPr="00F369FF" w:rsidRDefault="00993171">
      <w:pPr>
        <w:spacing w:line="480" w:lineRule="auto"/>
      </w:pPr>
      <w:r w:rsidRPr="00F369FF">
        <w:t>Relativt propositionen</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
        <w:gridCol w:w="876"/>
        <w:gridCol w:w="850"/>
        <w:gridCol w:w="851"/>
        <w:gridCol w:w="850"/>
        <w:gridCol w:w="851"/>
      </w:tblGrid>
      <w:tr w:rsidR="00000000" w:rsidRPr="00F369FF">
        <w:tblPrEx>
          <w:tblCellMar>
            <w:top w:w="0" w:type="dxa"/>
            <w:bottom w:w="0" w:type="dxa"/>
          </w:tblCellMar>
        </w:tblPrEx>
        <w:tc>
          <w:tcPr>
            <w:tcW w:w="754" w:type="dxa"/>
            <w:shd w:val="pct30" w:color="auto" w:fill="auto"/>
          </w:tcPr>
          <w:p w:rsidR="00993171" w:rsidRPr="00F369FF" w:rsidRDefault="00993171">
            <w:pPr>
              <w:pStyle w:val="Normaltindrag"/>
              <w:spacing w:before="120" w:line="480" w:lineRule="auto"/>
              <w:ind w:firstLine="0"/>
              <w:jc w:val="center"/>
              <w:rPr>
                <w:sz w:val="14"/>
              </w:rPr>
            </w:pPr>
          </w:p>
        </w:tc>
        <w:tc>
          <w:tcPr>
            <w:tcW w:w="876" w:type="dxa"/>
          </w:tcPr>
          <w:p w:rsidR="00993171" w:rsidRPr="00F369FF" w:rsidRDefault="00993171">
            <w:pPr>
              <w:pStyle w:val="Normaltindrag"/>
              <w:spacing w:before="120" w:line="480" w:lineRule="auto"/>
              <w:ind w:firstLine="0"/>
              <w:jc w:val="center"/>
            </w:pPr>
            <w:r w:rsidRPr="00F369FF">
              <w:t>Prop.</w:t>
            </w:r>
          </w:p>
        </w:tc>
        <w:tc>
          <w:tcPr>
            <w:tcW w:w="850" w:type="dxa"/>
          </w:tcPr>
          <w:p w:rsidR="00993171" w:rsidRPr="00F369FF" w:rsidRDefault="00993171">
            <w:pPr>
              <w:pStyle w:val="Normaltindrag"/>
              <w:spacing w:before="120" w:line="480" w:lineRule="auto"/>
              <w:ind w:firstLine="0"/>
              <w:jc w:val="center"/>
            </w:pPr>
            <w:r w:rsidRPr="00F369FF">
              <w:t>(m)</w:t>
            </w:r>
          </w:p>
        </w:tc>
        <w:tc>
          <w:tcPr>
            <w:tcW w:w="851" w:type="dxa"/>
          </w:tcPr>
          <w:p w:rsidR="00993171" w:rsidRPr="00F369FF" w:rsidRDefault="00993171">
            <w:pPr>
              <w:pStyle w:val="Normaltindrag"/>
              <w:spacing w:before="120" w:line="480" w:lineRule="auto"/>
              <w:ind w:firstLine="0"/>
              <w:jc w:val="center"/>
            </w:pPr>
            <w:r w:rsidRPr="00F369FF">
              <w:t>(kd)</w:t>
            </w:r>
          </w:p>
        </w:tc>
        <w:tc>
          <w:tcPr>
            <w:tcW w:w="850" w:type="dxa"/>
          </w:tcPr>
          <w:p w:rsidR="00993171" w:rsidRPr="00F369FF" w:rsidRDefault="00993171">
            <w:pPr>
              <w:pStyle w:val="Normaltindrag"/>
              <w:spacing w:before="120" w:line="480" w:lineRule="auto"/>
              <w:ind w:firstLine="0"/>
              <w:jc w:val="center"/>
            </w:pPr>
            <w:r w:rsidRPr="00F369FF">
              <w:t>(c)</w:t>
            </w:r>
          </w:p>
        </w:tc>
        <w:tc>
          <w:tcPr>
            <w:tcW w:w="851" w:type="dxa"/>
          </w:tcPr>
          <w:p w:rsidR="00993171" w:rsidRPr="00F369FF" w:rsidRDefault="00993171">
            <w:pPr>
              <w:pStyle w:val="Normaltindrag"/>
              <w:spacing w:before="120" w:line="480" w:lineRule="auto"/>
              <w:ind w:firstLine="0"/>
              <w:jc w:val="center"/>
            </w:pPr>
            <w:r w:rsidRPr="00F369FF">
              <w:t>(fp)</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UO5 2001</w:t>
            </w:r>
          </w:p>
        </w:tc>
        <w:tc>
          <w:tcPr>
            <w:tcW w:w="876" w:type="dxa"/>
          </w:tcPr>
          <w:p w:rsidR="00993171" w:rsidRPr="00F369FF" w:rsidRDefault="00993171">
            <w:pPr>
              <w:pStyle w:val="Normaltindrag"/>
              <w:spacing w:before="120" w:line="480" w:lineRule="auto"/>
              <w:ind w:firstLine="0"/>
              <w:jc w:val="right"/>
            </w:pPr>
            <w:r w:rsidRPr="00F369FF">
              <w:t>2 889</w:t>
            </w:r>
          </w:p>
        </w:tc>
        <w:tc>
          <w:tcPr>
            <w:tcW w:w="850" w:type="dxa"/>
          </w:tcPr>
          <w:p w:rsidR="00993171" w:rsidRPr="00F369FF" w:rsidRDefault="00993171">
            <w:pPr>
              <w:pStyle w:val="Normaltindrag"/>
              <w:spacing w:before="120" w:line="480" w:lineRule="auto"/>
              <w:ind w:firstLine="0"/>
              <w:jc w:val="right"/>
            </w:pPr>
            <w:r w:rsidRPr="00F369FF">
              <w:t>+861</w:t>
            </w:r>
          </w:p>
        </w:tc>
        <w:tc>
          <w:tcPr>
            <w:tcW w:w="851" w:type="dxa"/>
          </w:tcPr>
          <w:p w:rsidR="00993171" w:rsidRPr="00F369FF" w:rsidRDefault="00993171">
            <w:pPr>
              <w:pStyle w:val="Normaltindrag"/>
              <w:spacing w:before="120" w:line="480" w:lineRule="auto"/>
              <w:ind w:firstLine="0"/>
              <w:jc w:val="center"/>
            </w:pPr>
            <w:r w:rsidRPr="00F369FF">
              <w:t>=</w:t>
            </w:r>
          </w:p>
        </w:tc>
        <w:tc>
          <w:tcPr>
            <w:tcW w:w="850" w:type="dxa"/>
          </w:tcPr>
          <w:p w:rsidR="00993171" w:rsidRPr="00F369FF" w:rsidRDefault="00993171">
            <w:pPr>
              <w:pStyle w:val="Normaltindrag"/>
              <w:spacing w:before="120" w:line="480" w:lineRule="auto"/>
              <w:ind w:firstLine="0"/>
              <w:jc w:val="center"/>
            </w:pPr>
            <w:r w:rsidRPr="00F369FF">
              <w:t>=</w:t>
            </w:r>
          </w:p>
        </w:tc>
        <w:tc>
          <w:tcPr>
            <w:tcW w:w="851" w:type="dxa"/>
          </w:tcPr>
          <w:p w:rsidR="00993171" w:rsidRPr="00F369FF" w:rsidRDefault="00993171">
            <w:pPr>
              <w:pStyle w:val="Normaltindrag"/>
              <w:spacing w:before="120" w:line="480" w:lineRule="auto"/>
              <w:ind w:firstLine="0"/>
              <w:jc w:val="center"/>
            </w:pPr>
            <w:r w:rsidRPr="00F369FF">
              <w:t>=</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UO5 2002</w:t>
            </w:r>
          </w:p>
        </w:tc>
        <w:tc>
          <w:tcPr>
            <w:tcW w:w="876" w:type="dxa"/>
          </w:tcPr>
          <w:p w:rsidR="00993171" w:rsidRPr="00F369FF" w:rsidRDefault="00993171">
            <w:pPr>
              <w:pStyle w:val="Normaltindrag"/>
              <w:spacing w:before="120" w:line="480" w:lineRule="auto"/>
              <w:ind w:firstLine="0"/>
              <w:jc w:val="right"/>
            </w:pPr>
            <w:r w:rsidRPr="00F369FF">
              <w:t>2 863</w:t>
            </w:r>
          </w:p>
        </w:tc>
        <w:tc>
          <w:tcPr>
            <w:tcW w:w="850" w:type="dxa"/>
          </w:tcPr>
          <w:p w:rsidR="00993171" w:rsidRPr="00F369FF" w:rsidRDefault="00993171">
            <w:pPr>
              <w:pStyle w:val="Normaltindrag"/>
              <w:spacing w:before="120" w:line="480" w:lineRule="auto"/>
              <w:ind w:firstLine="0"/>
              <w:jc w:val="right"/>
            </w:pPr>
            <w:r w:rsidRPr="00F369FF">
              <w:t>+601</w:t>
            </w:r>
          </w:p>
        </w:tc>
        <w:tc>
          <w:tcPr>
            <w:tcW w:w="851" w:type="dxa"/>
          </w:tcPr>
          <w:p w:rsidR="00993171" w:rsidRPr="00F369FF" w:rsidRDefault="00993171">
            <w:pPr>
              <w:pStyle w:val="Normaltindrag"/>
              <w:spacing w:before="120" w:line="480" w:lineRule="auto"/>
              <w:ind w:firstLine="0"/>
              <w:jc w:val="center"/>
            </w:pPr>
            <w:r w:rsidRPr="00F369FF">
              <w:t>=</w:t>
            </w:r>
          </w:p>
        </w:tc>
        <w:tc>
          <w:tcPr>
            <w:tcW w:w="850" w:type="dxa"/>
          </w:tcPr>
          <w:p w:rsidR="00993171" w:rsidRPr="00F369FF" w:rsidRDefault="00993171">
            <w:pPr>
              <w:pStyle w:val="Normaltindrag"/>
              <w:spacing w:before="120" w:line="480" w:lineRule="auto"/>
              <w:ind w:firstLine="0"/>
              <w:jc w:val="center"/>
            </w:pPr>
            <w:r w:rsidRPr="00F369FF">
              <w:t>=</w:t>
            </w:r>
          </w:p>
        </w:tc>
        <w:tc>
          <w:tcPr>
            <w:tcW w:w="851" w:type="dxa"/>
          </w:tcPr>
          <w:p w:rsidR="00993171" w:rsidRPr="00F369FF" w:rsidRDefault="00993171">
            <w:pPr>
              <w:pStyle w:val="Normaltindrag"/>
              <w:spacing w:before="120" w:line="480" w:lineRule="auto"/>
              <w:ind w:firstLine="0"/>
              <w:jc w:val="center"/>
            </w:pPr>
            <w:r w:rsidRPr="00F369FF">
              <w:t>=</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UO5 2003</w:t>
            </w:r>
          </w:p>
        </w:tc>
        <w:tc>
          <w:tcPr>
            <w:tcW w:w="876" w:type="dxa"/>
          </w:tcPr>
          <w:p w:rsidR="00993171" w:rsidRPr="00F369FF" w:rsidRDefault="00993171">
            <w:pPr>
              <w:pStyle w:val="Normaltindrag"/>
              <w:spacing w:before="120" w:line="480" w:lineRule="auto"/>
              <w:ind w:firstLine="0"/>
              <w:jc w:val="right"/>
            </w:pPr>
            <w:r w:rsidRPr="00F369FF">
              <w:t>2 907</w:t>
            </w:r>
          </w:p>
        </w:tc>
        <w:tc>
          <w:tcPr>
            <w:tcW w:w="850" w:type="dxa"/>
          </w:tcPr>
          <w:p w:rsidR="00993171" w:rsidRPr="00F369FF" w:rsidRDefault="00993171">
            <w:pPr>
              <w:pStyle w:val="Normaltindrag"/>
              <w:spacing w:before="120" w:line="480" w:lineRule="auto"/>
              <w:ind w:firstLine="0"/>
              <w:jc w:val="right"/>
            </w:pPr>
            <w:r w:rsidRPr="00F369FF">
              <w:t>+602</w:t>
            </w:r>
          </w:p>
        </w:tc>
        <w:tc>
          <w:tcPr>
            <w:tcW w:w="851" w:type="dxa"/>
          </w:tcPr>
          <w:p w:rsidR="00993171" w:rsidRPr="00F369FF" w:rsidRDefault="00993171">
            <w:pPr>
              <w:pStyle w:val="Normaltindrag"/>
              <w:spacing w:before="120" w:line="480" w:lineRule="auto"/>
              <w:ind w:firstLine="0"/>
              <w:jc w:val="center"/>
            </w:pPr>
            <w:r w:rsidRPr="00F369FF">
              <w:t>=</w:t>
            </w:r>
          </w:p>
        </w:tc>
        <w:tc>
          <w:tcPr>
            <w:tcW w:w="850" w:type="dxa"/>
          </w:tcPr>
          <w:p w:rsidR="00993171" w:rsidRPr="00F369FF" w:rsidRDefault="00993171">
            <w:pPr>
              <w:pStyle w:val="Normaltindrag"/>
              <w:spacing w:before="120" w:line="480" w:lineRule="auto"/>
              <w:ind w:firstLine="0"/>
              <w:jc w:val="center"/>
            </w:pPr>
            <w:r w:rsidRPr="00F369FF">
              <w:t>=</w:t>
            </w:r>
          </w:p>
        </w:tc>
        <w:tc>
          <w:tcPr>
            <w:tcW w:w="851" w:type="dxa"/>
          </w:tcPr>
          <w:p w:rsidR="00993171" w:rsidRPr="00F369FF" w:rsidRDefault="00993171">
            <w:pPr>
              <w:pStyle w:val="Normaltindrag"/>
              <w:spacing w:before="120" w:line="480" w:lineRule="auto"/>
              <w:ind w:firstLine="0"/>
              <w:jc w:val="center"/>
            </w:pPr>
            <w:r w:rsidRPr="00F369FF">
              <w:t>=</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UO7 2001</w:t>
            </w:r>
          </w:p>
        </w:tc>
        <w:tc>
          <w:tcPr>
            <w:tcW w:w="876" w:type="dxa"/>
          </w:tcPr>
          <w:p w:rsidR="00993171" w:rsidRPr="00F369FF" w:rsidRDefault="00993171">
            <w:pPr>
              <w:pStyle w:val="Normaltindrag"/>
              <w:spacing w:before="120" w:line="480" w:lineRule="auto"/>
              <w:ind w:firstLine="0"/>
              <w:jc w:val="right"/>
            </w:pPr>
            <w:r w:rsidRPr="00F369FF">
              <w:t>15 029</w:t>
            </w:r>
          </w:p>
        </w:tc>
        <w:tc>
          <w:tcPr>
            <w:tcW w:w="850" w:type="dxa"/>
          </w:tcPr>
          <w:p w:rsidR="00993171" w:rsidRPr="00F369FF" w:rsidRDefault="00993171">
            <w:pPr>
              <w:pStyle w:val="Normaltindrag"/>
              <w:spacing w:before="120" w:line="480" w:lineRule="auto"/>
              <w:ind w:firstLine="0"/>
              <w:jc w:val="right"/>
            </w:pPr>
            <w:r w:rsidRPr="00F369FF">
              <w:t>-1 931</w:t>
            </w:r>
          </w:p>
        </w:tc>
        <w:tc>
          <w:tcPr>
            <w:tcW w:w="851" w:type="dxa"/>
          </w:tcPr>
          <w:p w:rsidR="00993171" w:rsidRPr="00F369FF" w:rsidRDefault="00993171">
            <w:pPr>
              <w:pStyle w:val="Normaltindrag"/>
              <w:spacing w:before="120" w:line="480" w:lineRule="auto"/>
              <w:ind w:firstLine="0"/>
              <w:jc w:val="right"/>
            </w:pPr>
            <w:r w:rsidRPr="00F369FF">
              <w:t>+600</w:t>
            </w:r>
          </w:p>
        </w:tc>
        <w:tc>
          <w:tcPr>
            <w:tcW w:w="850" w:type="dxa"/>
          </w:tcPr>
          <w:p w:rsidR="00993171" w:rsidRPr="00F369FF" w:rsidRDefault="00993171">
            <w:pPr>
              <w:pStyle w:val="Normaltindrag"/>
              <w:spacing w:before="120" w:line="480" w:lineRule="auto"/>
              <w:ind w:firstLine="0"/>
              <w:jc w:val="right"/>
            </w:pPr>
            <w:r w:rsidRPr="00F369FF">
              <w:t>+700</w:t>
            </w:r>
          </w:p>
        </w:tc>
        <w:tc>
          <w:tcPr>
            <w:tcW w:w="851" w:type="dxa"/>
          </w:tcPr>
          <w:p w:rsidR="00993171" w:rsidRPr="00F369FF" w:rsidRDefault="00993171">
            <w:pPr>
              <w:pStyle w:val="Normaltindrag"/>
              <w:spacing w:before="120" w:line="480" w:lineRule="auto"/>
              <w:ind w:firstLine="0"/>
              <w:jc w:val="right"/>
            </w:pPr>
            <w:r w:rsidRPr="00F369FF">
              <w:t>+1 443</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UO7 2002</w:t>
            </w:r>
          </w:p>
        </w:tc>
        <w:tc>
          <w:tcPr>
            <w:tcW w:w="876" w:type="dxa"/>
          </w:tcPr>
          <w:p w:rsidR="00993171" w:rsidRPr="00F369FF" w:rsidRDefault="00993171">
            <w:pPr>
              <w:pStyle w:val="Normaltindrag"/>
              <w:spacing w:before="120" w:line="480" w:lineRule="auto"/>
              <w:ind w:firstLine="0"/>
              <w:jc w:val="right"/>
            </w:pPr>
            <w:r w:rsidRPr="00F369FF">
              <w:t>15 597</w:t>
            </w:r>
          </w:p>
        </w:tc>
        <w:tc>
          <w:tcPr>
            <w:tcW w:w="850" w:type="dxa"/>
          </w:tcPr>
          <w:p w:rsidR="00993171" w:rsidRPr="00F369FF" w:rsidRDefault="00993171">
            <w:pPr>
              <w:pStyle w:val="Normaltindrag"/>
              <w:spacing w:before="120" w:line="480" w:lineRule="auto"/>
              <w:ind w:firstLine="0"/>
              <w:jc w:val="right"/>
            </w:pPr>
            <w:r w:rsidRPr="00F369FF">
              <w:t>-2 742</w:t>
            </w:r>
          </w:p>
        </w:tc>
        <w:tc>
          <w:tcPr>
            <w:tcW w:w="851" w:type="dxa"/>
          </w:tcPr>
          <w:p w:rsidR="00993171" w:rsidRPr="00F369FF" w:rsidRDefault="00993171">
            <w:pPr>
              <w:pStyle w:val="Normaltindrag"/>
              <w:spacing w:before="120" w:line="480" w:lineRule="auto"/>
              <w:ind w:firstLine="0"/>
              <w:jc w:val="right"/>
            </w:pPr>
            <w:r w:rsidRPr="00F369FF">
              <w:t>+800</w:t>
            </w:r>
          </w:p>
        </w:tc>
        <w:tc>
          <w:tcPr>
            <w:tcW w:w="850" w:type="dxa"/>
          </w:tcPr>
          <w:p w:rsidR="00993171" w:rsidRPr="00F369FF" w:rsidRDefault="00993171">
            <w:pPr>
              <w:pStyle w:val="Normaltindrag"/>
              <w:spacing w:before="120" w:line="480" w:lineRule="auto"/>
              <w:ind w:firstLine="0"/>
              <w:jc w:val="right"/>
            </w:pPr>
            <w:r w:rsidRPr="00F369FF">
              <w:t>+950</w:t>
            </w:r>
          </w:p>
        </w:tc>
        <w:tc>
          <w:tcPr>
            <w:tcW w:w="851" w:type="dxa"/>
          </w:tcPr>
          <w:p w:rsidR="00993171" w:rsidRPr="00F369FF" w:rsidRDefault="00993171">
            <w:pPr>
              <w:pStyle w:val="Normaltindrag"/>
              <w:spacing w:before="120" w:line="480" w:lineRule="auto"/>
              <w:ind w:firstLine="0"/>
              <w:jc w:val="right"/>
            </w:pPr>
            <w:r w:rsidRPr="00F369FF">
              <w:t>+2 110</w:t>
            </w:r>
          </w:p>
        </w:tc>
      </w:tr>
      <w:tr w:rsidR="00000000" w:rsidRPr="00F369FF">
        <w:tblPrEx>
          <w:tblCellMar>
            <w:top w:w="0" w:type="dxa"/>
            <w:bottom w:w="0" w:type="dxa"/>
          </w:tblCellMar>
        </w:tblPrEx>
        <w:tc>
          <w:tcPr>
            <w:tcW w:w="754" w:type="dxa"/>
          </w:tcPr>
          <w:p w:rsidR="00993171" w:rsidRPr="00F369FF" w:rsidRDefault="00993171">
            <w:pPr>
              <w:pStyle w:val="Normaltindrag"/>
              <w:spacing w:before="120" w:line="480" w:lineRule="auto"/>
              <w:ind w:firstLine="0"/>
              <w:rPr>
                <w:sz w:val="14"/>
              </w:rPr>
            </w:pPr>
            <w:r w:rsidRPr="00F369FF">
              <w:rPr>
                <w:sz w:val="14"/>
              </w:rPr>
              <w:t>UO7 2003</w:t>
            </w:r>
          </w:p>
        </w:tc>
        <w:tc>
          <w:tcPr>
            <w:tcW w:w="876" w:type="dxa"/>
          </w:tcPr>
          <w:p w:rsidR="00993171" w:rsidRPr="00F369FF" w:rsidRDefault="00993171">
            <w:pPr>
              <w:pStyle w:val="Normaltindrag"/>
              <w:spacing w:before="120" w:line="480" w:lineRule="auto"/>
              <w:ind w:firstLine="0"/>
              <w:jc w:val="right"/>
            </w:pPr>
            <w:r w:rsidRPr="00F369FF">
              <w:t>18 181</w:t>
            </w:r>
          </w:p>
        </w:tc>
        <w:tc>
          <w:tcPr>
            <w:tcW w:w="850" w:type="dxa"/>
          </w:tcPr>
          <w:p w:rsidR="00993171" w:rsidRPr="00F369FF" w:rsidRDefault="00993171">
            <w:pPr>
              <w:pStyle w:val="Normaltindrag"/>
              <w:spacing w:before="120" w:line="480" w:lineRule="auto"/>
              <w:ind w:firstLine="0"/>
              <w:jc w:val="right"/>
            </w:pPr>
            <w:r w:rsidRPr="00F369FF">
              <w:t>-3 338</w:t>
            </w:r>
          </w:p>
        </w:tc>
        <w:tc>
          <w:tcPr>
            <w:tcW w:w="851" w:type="dxa"/>
          </w:tcPr>
          <w:p w:rsidR="00993171" w:rsidRPr="00F369FF" w:rsidRDefault="00993171">
            <w:pPr>
              <w:pStyle w:val="Normaltindrag"/>
              <w:spacing w:before="120" w:line="480" w:lineRule="auto"/>
              <w:ind w:firstLine="0"/>
              <w:jc w:val="right"/>
            </w:pPr>
            <w:r w:rsidRPr="00F369FF">
              <w:t>+2 000</w:t>
            </w:r>
          </w:p>
        </w:tc>
        <w:tc>
          <w:tcPr>
            <w:tcW w:w="850" w:type="dxa"/>
          </w:tcPr>
          <w:p w:rsidR="00993171" w:rsidRPr="00F369FF" w:rsidRDefault="00993171">
            <w:pPr>
              <w:pStyle w:val="Normaltindrag"/>
              <w:spacing w:before="120" w:line="480" w:lineRule="auto"/>
              <w:ind w:firstLine="0"/>
              <w:jc w:val="right"/>
            </w:pPr>
            <w:r w:rsidRPr="00F369FF">
              <w:t>+225</w:t>
            </w:r>
          </w:p>
        </w:tc>
        <w:tc>
          <w:tcPr>
            <w:tcW w:w="851" w:type="dxa"/>
          </w:tcPr>
          <w:p w:rsidR="00993171" w:rsidRPr="00F369FF" w:rsidRDefault="00993171">
            <w:pPr>
              <w:pStyle w:val="Normaltindrag"/>
              <w:spacing w:before="120" w:line="480" w:lineRule="auto"/>
              <w:ind w:firstLine="0"/>
              <w:jc w:val="right"/>
            </w:pPr>
            <w:r w:rsidRPr="00F369FF">
              <w:t>+1 126</w:t>
            </w:r>
          </w:p>
        </w:tc>
      </w:tr>
    </w:tbl>
    <w:p w:rsidR="00993171" w:rsidRPr="00F369FF" w:rsidRDefault="00993171">
      <w:pPr>
        <w:pStyle w:val="Odefinierat"/>
      </w:pPr>
    </w:p>
    <w:p w:rsidR="00993171" w:rsidRPr="00F369FF" w:rsidRDefault="00993171">
      <w:pPr>
        <w:pStyle w:val="Tryckort"/>
        <w:framePr w:wrap="around"/>
      </w:pPr>
      <w:r w:rsidRPr="00F369FF">
        <w:t>Elanders Gotab, Stockholm  2000</w:t>
      </w:r>
    </w:p>
    <w:p w:rsidR="00993171" w:rsidRPr="00F369FF" w:rsidRDefault="00993171">
      <w:pPr>
        <w:pStyle w:val="Odefinierat"/>
        <w:spacing w:before="0" w:line="20" w:lineRule="exact"/>
      </w:pPr>
    </w:p>
    <w:sectPr w:rsidR="00993171" w:rsidRPr="00F369FF">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171" w:rsidRPr="00F369FF" w:rsidRDefault="00993171">
      <w:pPr>
        <w:spacing w:before="0" w:line="240" w:lineRule="auto"/>
      </w:pPr>
      <w:r w:rsidRPr="00F369FF">
        <w:separator/>
      </w:r>
    </w:p>
  </w:endnote>
  <w:endnote w:type="continuationSeparator" w:id="0">
    <w:p w:rsidR="00993171" w:rsidRPr="00F369FF" w:rsidRDefault="00993171">
      <w:pPr>
        <w:spacing w:before="0" w:line="240" w:lineRule="auto"/>
      </w:pPr>
      <w:r w:rsidRPr="00F36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171" w:rsidRPr="00F369FF" w:rsidRDefault="00993171">
    <w:pPr>
      <w:pStyle w:val="SidfotH"/>
      <w:framePr w:wrap="around"/>
    </w:pPr>
    <w:r w:rsidRPr="00F369FF">
      <w:fldChar w:fldCharType="begin" w:fldLock="1"/>
    </w:r>
    <w:r w:rsidRPr="00F369FF">
      <w:instrText xml:space="preserve"> P</w:instrText>
    </w:r>
    <w:r w:rsidRPr="00F369FF">
      <w:instrText>A</w:instrText>
    </w:r>
    <w:r w:rsidRPr="00F369FF">
      <w:instrText xml:space="preserve">GE </w:instrText>
    </w:r>
    <w:r w:rsidRPr="00F369FF">
      <w:fldChar w:fldCharType="separate"/>
    </w:r>
    <w:r w:rsidRPr="00F369FF">
      <w:t>1</w:t>
    </w:r>
    <w:r w:rsidRPr="00F369FF">
      <w:fldChar w:fldCharType="end"/>
    </w:r>
  </w:p>
  <w:p w:rsidR="00993171" w:rsidRPr="00F369FF" w:rsidRDefault="009931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171" w:rsidRPr="00F369FF" w:rsidRDefault="00993171">
    <w:pPr>
      <w:pStyle w:val="SidfotH"/>
      <w:framePr w:wrap="around"/>
    </w:pPr>
    <w:r w:rsidRPr="00F369FF">
      <w:fldChar w:fldCharType="begin" w:fldLock="1"/>
    </w:r>
    <w:r w:rsidRPr="00F369FF">
      <w:instrText xml:space="preserve"> PAGE </w:instrText>
    </w:r>
    <w:r w:rsidRPr="00F369FF">
      <w:fldChar w:fldCharType="separate"/>
    </w:r>
    <w:r w:rsidRPr="00F369FF">
      <w:t>12</w:t>
    </w:r>
    <w:r w:rsidRPr="00F369FF">
      <w:fldChar w:fldCharType="end"/>
    </w:r>
  </w:p>
  <w:p w:rsidR="00993171" w:rsidRPr="00F369FF" w:rsidRDefault="009931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171" w:rsidRPr="00F369FF" w:rsidRDefault="00993171">
      <w:pPr>
        <w:pStyle w:val="Sidfot"/>
      </w:pPr>
    </w:p>
  </w:footnote>
  <w:footnote w:type="continuationSeparator" w:id="0">
    <w:p w:rsidR="00993171" w:rsidRPr="00F369FF" w:rsidRDefault="00993171">
      <w:pPr>
        <w:spacing w:before="0" w:line="240" w:lineRule="auto"/>
      </w:pPr>
      <w:r w:rsidRPr="00F369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171" w:rsidRPr="00F369FF" w:rsidRDefault="00993171">
    <w:pPr>
      <w:pStyle w:val="SidhuvudKant"/>
      <w:framePr w:w="1758" w:h="2744" w:hRule="exact" w:wrap="around" w:vAnchor="page" w:hAnchor="page" w:x="7372" w:y="568" w:anchorLock="0"/>
    </w:pPr>
    <w:r w:rsidRPr="00F369FF">
      <w:t>1999/2000:UU5y</w:t>
    </w:r>
  </w:p>
  <w:p w:rsidR="00993171" w:rsidRPr="00F369FF" w:rsidRDefault="00993171">
    <w:pPr>
      <w:pStyle w:val="SidhuvudKantBilaga"/>
      <w:framePr w:w="1758" w:h="2744" w:hRule="exact" w:wrap="around" w:vAnchor="page" w:hAnchor="page" w:x="7372" w:y="568" w:anchorLock="0"/>
    </w:pPr>
  </w:p>
  <w:p w:rsidR="00993171" w:rsidRPr="00F369FF" w:rsidRDefault="00993171">
    <w:pPr>
      <w:pStyle w:val="SidhuvudKant"/>
      <w:framePr w:w="1758" w:h="2744" w:hRule="exact" w:wrap="around" w:vAnchor="page" w:hAnchor="page" w:x="7372" w:y="568" w:anchorLock="0"/>
    </w:pPr>
  </w:p>
  <w:p w:rsidR="00993171" w:rsidRPr="00F369FF" w:rsidRDefault="009931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171" w:rsidRPr="00F369FF" w:rsidRDefault="00993171">
    <w:pPr>
      <w:pStyle w:val="SidhuvudKant"/>
      <w:framePr w:w="1758" w:h="2744" w:hRule="exact" w:wrap="around" w:vAnchor="page" w:hAnchor="page" w:x="7372" w:y="568" w:anchorLock="0"/>
    </w:pPr>
    <w:r w:rsidRPr="00F369FF">
      <w:t>1999/2000:UU5y</w:t>
    </w:r>
  </w:p>
  <w:p w:rsidR="00993171" w:rsidRPr="00F369FF" w:rsidRDefault="00993171">
    <w:pPr>
      <w:pStyle w:val="SidhuvudKantBilaga"/>
      <w:framePr w:w="1758" w:h="2744" w:hRule="exact" w:wrap="around" w:vAnchor="page" w:hAnchor="page" w:x="7372" w:y="568" w:anchorLock="0"/>
    </w:pPr>
  </w:p>
  <w:p w:rsidR="00993171" w:rsidRPr="00F369FF" w:rsidRDefault="00993171">
    <w:pPr>
      <w:pStyle w:val="SidhuvudKant"/>
      <w:framePr w:w="1758" w:h="2744" w:hRule="exact" w:wrap="around" w:vAnchor="page" w:hAnchor="page" w:x="7372" w:y="568" w:anchorLock="0"/>
    </w:pPr>
  </w:p>
  <w:p w:rsidR="00993171" w:rsidRPr="00F369FF" w:rsidRDefault="0099317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CE39A0"/>
    <w:rsid w:val="00993171"/>
    <w:rsid w:val="00CE39A0"/>
    <w:rsid w:val="00F369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B30E97-830E-4A44-B87F-22460A2D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Rubrik0">
    <w:name w:val="Tabell Rubrik"/>
    <w:basedOn w:val="Tabell"/>
    <w:next w:val="Brdtext"/>
    <w:pPr>
      <w:keepNext/>
      <w:shd w:val="solid" w:color="auto" w:fill="auto"/>
      <w:spacing w:after="40" w:line="-200" w:lineRule="auto"/>
      <w:jc w:val="left"/>
    </w:pPr>
    <w:rPr>
      <w:rFonts w:ascii="TradeGothic" w:hAnsi="TradeGothic"/>
      <w:b/>
      <w:color w:val="FFFFFF"/>
      <w:spacing w:val="2"/>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Huvud">
    <w:name w:val="Tabell Huvud"/>
    <w:basedOn w:val="Tabell"/>
    <w:pPr>
      <w:spacing w:line="-160" w:lineRule="auto"/>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auto"/>
      <w:jc w:val="right"/>
    </w:pPr>
    <w:rPr>
      <w:rFonts w:ascii="TradeGothic CondEighteen" w:hAnsi="TradeGothic CondEighteen"/>
      <w:spacing w:val="4"/>
      <w:sz w:val="16"/>
    </w:rPr>
  </w:style>
  <w:style w:type="paragraph" w:customStyle="1" w:styleId="Vgnar0">
    <w:name w:val="VŠgnar"/>
    <w:basedOn w:val="Normal"/>
    <w:next w:val="Normal"/>
    <w:pPr>
      <w:spacing w:before="183" w:line="-245" w:lineRule="auto"/>
    </w:pPr>
  </w:style>
  <w:style w:type="paragraph" w:styleId="Brdtext2">
    <w:name w:val="Body Text 2"/>
    <w:basedOn w:val="Normal"/>
    <w:semiHidden/>
    <w:rPr>
      <w:b/>
      <w:noProof/>
    </w:rPr>
  </w:style>
  <w:style w:type="paragraph" w:styleId="Brdtext3">
    <w:name w:val="Body Text 3"/>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3367</Words>
  <Characters>20508</Characters>
  <Application>Microsoft Office Word</Application>
  <DocSecurity>4</DocSecurity>
  <Lines>585</Lines>
  <Paragraphs>302</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Utrikesutskottets yttrande</vt:lpstr>
      <vt:lpstr/>
      <vt:lpstr>Till finansutskottet</vt:lpstr>
      <vt:lpstr>    1 Propositionen</vt:lpstr>
      <vt:lpstr>        1.1 Yrkandena</vt:lpstr>
      <vt:lpstr>        1.2 Allmänna överväganden</vt:lpstr>
      <vt:lpstr>        1.3 Den preliminära fördelningen av utgifterna på utgiftsområden åren 2001–2003</vt:lpstr>
      <vt:lpstr>        Utgiftsområde 5:  Utrikesförvaltning och internationell samverkan</vt:lpstr>
      <vt:lpstr>        Utgiftsområde 7: Internationellt bistånd</vt:lpstr>
      <vt:lpstr>    2 Motionerna</vt:lpstr>
      <vt:lpstr>    3 Utskottets överväganden</vt:lpstr>
      <vt:lpstr>        3.1 Fördelningen av utgifterna på utgiftsområden för åren 2001—2003, biståndsram</vt:lpstr>
      <vt:lpstr>        3.2 Vissa frågor rörande uppföljning</vt:lpstr>
      <vt:lpstr/>
      <vt:lpstr>Avvikande meningar</vt:lpstr>
      <vt:lpstr>    1. Ramarna för utgiftsområdena 5 och 7</vt:lpstr>
      <vt:lpstr>    2. Ramen för utgiftsområde 7</vt:lpstr>
      <vt:lpstr>    3. Ramen för utgiftsområde 7</vt:lpstr>
      <vt:lpstr>    4. Ramen för utgiftsområde 7</vt:lpstr>
      <vt:lpstr>Särskilda yttranden</vt:lpstr>
      <vt:lpstr>    1. Procentmål m.m.</vt:lpstr>
      <vt:lpstr>    2. Procentmål m.m.</vt:lpstr>
      <vt:lpstr>    3. Procentmål m.m.</vt:lpstr>
      <vt:lpstr>    4. Procentmål m.m.</vt:lpstr>
      <vt:lpstr>    5. Utgiftsbegränsningar</vt:lpstr>
      <vt:lpstr>    </vt:lpstr>
      <vt:lpstr>    Vårbudgeten 2000: förslag till preliminär fördelning på utgiftsområden m.m.</vt:lpstr>
    </vt:vector>
  </TitlesOfParts>
  <Company>Riksdagen</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2000-05-23T14:10:00Z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