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608" w:rsidRPr="003A7608" w:rsidRDefault="003A7608">
      <w:pPr>
        <w:pStyle w:val="Frslagsrubrik"/>
      </w:pPr>
      <w:r w:rsidRPr="003A7608">
        <w:t>Förslag till riksdagsbeslut</w:t>
      </w:r>
    </w:p>
    <w:p w:rsidR="003A7608" w:rsidRPr="003A7608" w:rsidRDefault="003A7608">
      <w:pPr>
        <w:pStyle w:val="Hemstlatt"/>
      </w:pPr>
      <w:r w:rsidRPr="003A7608">
        <w:t>Riksdagen tillkännager för regeringen som sin mening vad som anförs i motionen om att regeringen bör påskynda beredningen av frågan om beskattning av EU-parlamentariker.</w:t>
      </w:r>
    </w:p>
    <w:p w:rsidR="003A7608" w:rsidRPr="003A7608" w:rsidRDefault="003A7608">
      <w:pPr>
        <w:pStyle w:val="Rubrik1"/>
      </w:pPr>
      <w:r w:rsidRPr="003A7608">
        <w:t>Bakgrund</w:t>
      </w:r>
    </w:p>
    <w:p w:rsidR="003A7608" w:rsidRPr="003A7608" w:rsidRDefault="003A7608">
      <w:r w:rsidRPr="003A7608">
        <w:t>Under våren har riksdagen beslutat om att anpassa den svenska lagstiftningen till EU-parlamentets ledamotsstadga. Det innebär att EU-parlamentarikerna får betydande inkomstökningar.</w:t>
      </w:r>
    </w:p>
    <w:p w:rsidR="003A7608" w:rsidRPr="003A7608" w:rsidRDefault="003A7608">
      <w:pPr>
        <w:pStyle w:val="Normaltindrag"/>
      </w:pPr>
      <w:r w:rsidRPr="003A7608">
        <w:t xml:space="preserve">Ledamotsstadgan innebär att arvodet för EU-parlamentarikerna höjs från dagens 54 500 kronor, dvs. samma </w:t>
      </w:r>
      <w:r w:rsidRPr="003A7608">
        <w:rPr>
          <w:spacing w:val="-2"/>
        </w:rPr>
        <w:t>som riksdagsledamöternas, till 38,5 pro</w:t>
      </w:r>
      <w:r w:rsidRPr="003A7608">
        <w:rPr>
          <w:spacing w:val="-2"/>
        </w:rPr>
        <w:softHyphen/>
        <w:t>cent</w:t>
      </w:r>
      <w:r w:rsidRPr="003A7608">
        <w:t xml:space="preserve"> av grundlönen för en domare i EG-domstolen, vilket i dagsläget betyder ett arvode på 7 665 euro. Det innebär att de svenska ledamöterna kommer att få ett månadsarvode på ca 80 700 kronor, vilket är en höjning på ca 48 pro</w:t>
      </w:r>
      <w:r w:rsidRPr="003A7608">
        <w:softHyphen/>
        <w:t>cent. Vänsterpartiet anser att det är en orimlig höjning av arvodena för EU-parlamentarikerna, och att den riskerar att skapa en förtroendeklyfta mellan de folkvalda ledamöterna och det folk de representerar.</w:t>
      </w:r>
    </w:p>
    <w:p w:rsidR="003A7608" w:rsidRPr="003A7608" w:rsidRDefault="003A7608">
      <w:pPr>
        <w:pStyle w:val="Rubrik1"/>
      </w:pPr>
      <w:r w:rsidRPr="003A7608">
        <w:t>EU-parlamentariker ska inte vara ett</w:t>
      </w:r>
      <w:r w:rsidRPr="003A7608">
        <w:t xml:space="preserve"> skattefrälse</w:t>
      </w:r>
    </w:p>
    <w:p w:rsidR="003A7608" w:rsidRPr="003A7608" w:rsidRDefault="003A7608">
      <w:r w:rsidRPr="003A7608">
        <w:t>Enligt artikel 20 i ledamotsstadgan ska EU-parlamentet ersätta de faktiska kostnaderna för tjänsteresor, inklusive resorna mellan arbetsorterna, medan övriga kostnader kan ersättas i from av ett schablonbelopp. EU-parlamentet fastställer villkoren för hur denna rättighet ska utövas. EU-parlamentarikerna kommer alltså även fortsättningsvis att få schablonersättningar för traktame</w:t>
      </w:r>
      <w:r w:rsidRPr="003A7608">
        <w:t>n</w:t>
      </w:r>
      <w:r w:rsidRPr="003A7608">
        <w:lastRenderedPageBreak/>
        <w:t>ten,”allmänna utgifter” och den ”årliga reseersättningen”. Schablonersät</w:t>
      </w:r>
      <w:r w:rsidRPr="003A7608">
        <w:t>t</w:t>
      </w:r>
      <w:r w:rsidRPr="003A7608">
        <w:t>ningen för ”allmänna utgifter” är 4 202 euro per månad för 2009</w:t>
      </w:r>
      <w:r w:rsidRPr="003A7608">
        <w:rPr>
          <w:rStyle w:val="Fotnotstecken"/>
        </w:rPr>
        <w:footnoteReference w:id="1"/>
      </w:r>
      <w:r w:rsidRPr="003A7608">
        <w:t>, dvs. ca 44 000 kronor per månad; den ”årliga reseersättningen” är 4 148 euro per år för 2009</w:t>
      </w:r>
      <w:r w:rsidRPr="003A7608">
        <w:rPr>
          <w:rStyle w:val="Fotnotstecken"/>
        </w:rPr>
        <w:footnoteReference w:id="2"/>
      </w:r>
      <w:r w:rsidRPr="003A7608">
        <w:t>, dvs. nästan 44 000 per år, och traktamenten 298 euro per närvar</w:t>
      </w:r>
      <w:r w:rsidRPr="003A7608">
        <w:t>o</w:t>
      </w:r>
      <w:r w:rsidRPr="003A7608">
        <w:t>dag vid EU-parlamentet för 2009</w:t>
      </w:r>
      <w:r w:rsidRPr="003A7608">
        <w:rPr>
          <w:rStyle w:val="Fotnotstecken"/>
        </w:rPr>
        <w:footnoteReference w:id="3"/>
      </w:r>
      <w:r w:rsidRPr="003A7608">
        <w:t>, dvs. ca 3 100 per dag. Dessa schablon</w:t>
      </w:r>
      <w:r w:rsidRPr="003A7608">
        <w:softHyphen/>
        <w:t>belopp är oskäligt höga.</w:t>
      </w:r>
    </w:p>
    <w:p w:rsidR="003A7608" w:rsidRPr="003A7608" w:rsidRDefault="003A7608">
      <w:pPr>
        <w:pStyle w:val="Normaltindrag"/>
      </w:pPr>
      <w:r w:rsidRPr="003A7608">
        <w:t>Vidare anges det i ledamotsstadgan att reseersättningarna och ”övriga e</w:t>
      </w:r>
      <w:r w:rsidRPr="003A7608">
        <w:t>r</w:t>
      </w:r>
      <w:r w:rsidRPr="003A7608">
        <w:t>sättningar för utövande av uppdraget” ska vara skattefria. I regeringens tol</w:t>
      </w:r>
      <w:r w:rsidRPr="003A7608">
        <w:t>k</w:t>
      </w:r>
      <w:r w:rsidRPr="003A7608">
        <w:t>ning utgörs dessa övriga ersättningar som ska befrias från skatt bl.a. av inb</w:t>
      </w:r>
      <w:r w:rsidRPr="003A7608">
        <w:t>e</w:t>
      </w:r>
      <w:r w:rsidRPr="003A7608">
        <w:t>talningar till den frivilliga pensionsfond som EU-parlamentet har inrättat för sina ledamöter och ovan nämnda traktamentsersättningar</w:t>
      </w:r>
      <w:r w:rsidRPr="003A7608">
        <w:rPr>
          <w:rStyle w:val="Fotnotsreferens"/>
        </w:rPr>
        <w:footnoteReference w:id="4"/>
      </w:r>
      <w:r w:rsidRPr="003A7608">
        <w:t>. Förutom att vara oskäligt höga befrias alltså dessa schablonersättningar från skatt. Vänsterpa</w:t>
      </w:r>
      <w:r w:rsidRPr="003A7608">
        <w:t>r</w:t>
      </w:r>
      <w:r w:rsidRPr="003A7608">
        <w:t>tiet tar kraftigt avstånd ifrån en ordning där EU-parlamentariker tillåts vara ett skattefrälse. Vi menar att en sådan ordning riskerar att skada människors tilltro inte bara för politiker utan även för vårt skattesystem. Kostnadsersät</w:t>
      </w:r>
      <w:r w:rsidRPr="003A7608">
        <w:t>t</w:t>
      </w:r>
      <w:r w:rsidRPr="003A7608">
        <w:t>ningar till EU-parlamentariker som inte motsvaras av de utgifter de är avse</w:t>
      </w:r>
      <w:r w:rsidRPr="003A7608">
        <w:t>d</w:t>
      </w:r>
      <w:r w:rsidRPr="003A7608">
        <w:t>da att täcka bör därför enligt vår mening vara skattepliktiga. Bakom denna uppfattning står också ett e</w:t>
      </w:r>
      <w:r w:rsidRPr="003A7608">
        <w:t>nigt skatteutskott. Vänsterpartiet har i skatteutsko</w:t>
      </w:r>
      <w:r w:rsidRPr="003A7608">
        <w:t>t</w:t>
      </w:r>
      <w:r w:rsidRPr="003A7608">
        <w:t>tet medverkat till att sätta press på regeringen för att få en förändring.</w:t>
      </w:r>
    </w:p>
    <w:p w:rsidR="003A7608" w:rsidRPr="003A7608" w:rsidRDefault="003A7608">
      <w:pPr>
        <w:pStyle w:val="Normaltindrag"/>
      </w:pPr>
      <w:r w:rsidRPr="003A7608">
        <w:t>Skatteutskottet är också överens i frågan om utbetalningar till EU-parlamentets frivilliga pensionsfond. Bakgrunden till detta är Skatteverkets synpunkter på att då inbetalningar till EU-parlamentets frivilliga pensionsfond inte är skattepliktiga, bör utbetalningarna vara det enligt inkomstskattelagen (IL). Vänsterpartiet instämmer i detta och menar att det inte finns någon a</w:t>
      </w:r>
      <w:r w:rsidRPr="003A7608">
        <w:t>n</w:t>
      </w:r>
      <w:r w:rsidRPr="003A7608">
        <w:t>ledning till att EU-parlamentarikers pensionssparande ska omfattas av fö</w:t>
      </w:r>
      <w:r w:rsidRPr="003A7608">
        <w:t>r</w:t>
      </w:r>
      <w:r w:rsidRPr="003A7608">
        <w:t>månligare regler än övriga medborgares.</w:t>
      </w:r>
    </w:p>
    <w:p w:rsidR="003A7608" w:rsidRPr="003A7608" w:rsidRDefault="003A7608">
      <w:pPr>
        <w:pStyle w:val="Normaltindrag"/>
      </w:pPr>
      <w:r w:rsidRPr="003A7608">
        <w:t>Vi menar att frågan om EU-parlamentarikers beskattning är angelägen, och ett enigt skatteutskott har bett regeringen att återkomma i frågan. Vi menar att regeringen bör påskynda beredningen av frågan.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7608">
        <w:trPr>
          <w:cantSplit/>
        </w:trPr>
        <w:tc>
          <w:tcPr>
            <w:tcW w:w="3046" w:type="dxa"/>
          </w:tcPr>
          <w:p w:rsidR="003A7608" w:rsidRPr="003A7608" w:rsidRDefault="003A7608">
            <w:pPr>
              <w:pStyle w:val="UnderskriftDatum"/>
              <w:spacing w:before="240"/>
            </w:pPr>
            <w:r w:rsidRPr="003A7608">
              <w:t>Stockholm den 22 september 2009</w:t>
            </w:r>
          </w:p>
        </w:tc>
        <w:tc>
          <w:tcPr>
            <w:tcW w:w="3047" w:type="dxa"/>
          </w:tcPr>
          <w:p w:rsidR="003A7608" w:rsidRPr="003A7608" w:rsidRDefault="003A7608">
            <w:pPr>
              <w:pStyle w:val="Underskrifter"/>
              <w:spacing w:before="240"/>
            </w:pPr>
          </w:p>
        </w:tc>
      </w:tr>
      <w:tr w:rsidR="00000000" w:rsidRPr="003A7608">
        <w:trPr>
          <w:cantSplit/>
        </w:trPr>
        <w:tc>
          <w:tcPr>
            <w:tcW w:w="3046" w:type="dxa"/>
          </w:tcPr>
          <w:p w:rsidR="003A7608" w:rsidRPr="003A7608" w:rsidRDefault="003A7608">
            <w:pPr>
              <w:pStyle w:val="Underskrifter"/>
            </w:pPr>
            <w:r w:rsidRPr="003A7608">
              <w:t>Marie Engström (v)</w:t>
            </w:r>
          </w:p>
        </w:tc>
        <w:tc>
          <w:tcPr>
            <w:tcW w:w="3046" w:type="dxa"/>
          </w:tcPr>
          <w:p w:rsidR="003A7608" w:rsidRPr="003A7608" w:rsidRDefault="003A7608">
            <w:pPr>
              <w:pStyle w:val="Underskrifter"/>
            </w:pPr>
          </w:p>
        </w:tc>
      </w:tr>
      <w:tr w:rsidR="00000000" w:rsidRPr="003A7608">
        <w:trPr>
          <w:cantSplit/>
        </w:trPr>
        <w:tc>
          <w:tcPr>
            <w:tcW w:w="3046" w:type="dxa"/>
          </w:tcPr>
          <w:p w:rsidR="003A7608" w:rsidRPr="003A7608" w:rsidRDefault="003A7608">
            <w:pPr>
              <w:pStyle w:val="Underskrifter"/>
            </w:pPr>
            <w:r w:rsidRPr="003A7608">
              <w:t>Ulla Andersson (v)</w:t>
            </w:r>
          </w:p>
        </w:tc>
        <w:tc>
          <w:tcPr>
            <w:tcW w:w="3046" w:type="dxa"/>
          </w:tcPr>
          <w:p w:rsidR="003A7608" w:rsidRPr="003A7608" w:rsidRDefault="003A7608">
            <w:pPr>
              <w:pStyle w:val="Underskrifter"/>
            </w:pPr>
            <w:r w:rsidRPr="003A7608">
              <w:t>Jacob Johnson (v)</w:t>
            </w:r>
          </w:p>
        </w:tc>
      </w:tr>
      <w:tr w:rsidR="00000000" w:rsidRPr="003A7608">
        <w:trPr>
          <w:cantSplit/>
        </w:trPr>
        <w:tc>
          <w:tcPr>
            <w:tcW w:w="3046" w:type="dxa"/>
          </w:tcPr>
          <w:p w:rsidR="003A7608" w:rsidRPr="003A7608" w:rsidRDefault="003A7608">
            <w:pPr>
              <w:pStyle w:val="Underskrifter"/>
            </w:pPr>
            <w:r w:rsidRPr="003A7608">
              <w:t>Hans Linde (v)</w:t>
            </w:r>
          </w:p>
        </w:tc>
        <w:tc>
          <w:tcPr>
            <w:tcW w:w="3046" w:type="dxa"/>
          </w:tcPr>
          <w:p w:rsidR="003A7608" w:rsidRPr="003A7608" w:rsidRDefault="003A7608">
            <w:pPr>
              <w:pStyle w:val="Underskrifter"/>
            </w:pPr>
          </w:p>
        </w:tc>
      </w:tr>
    </w:tbl>
    <w:p w:rsidR="003A7608" w:rsidRPr="003A7608" w:rsidRDefault="003A7608">
      <w:pPr>
        <w:pStyle w:val="Normaltindrag"/>
      </w:pPr>
    </w:p>
    <w:sectPr w:rsidR="00000000" w:rsidRPr="003A7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7608" w:rsidRPr="003A7608" w:rsidRDefault="003A7608">
      <w:r w:rsidRPr="003A7608">
        <w:separator/>
      </w:r>
    </w:p>
  </w:endnote>
  <w:endnote w:type="continuationSeparator" w:id="0">
    <w:p w:rsidR="003A7608" w:rsidRPr="003A7608" w:rsidRDefault="003A7608">
      <w:r w:rsidRPr="003A76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608" w:rsidRPr="003A7608" w:rsidRDefault="003A7608">
    <w:pPr>
      <w:pStyle w:val="Sidfot"/>
    </w:pPr>
    <w:r w:rsidRPr="003A76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52113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608" w:rsidRDefault="003A76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7608" w:rsidRDefault="003A76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608" w:rsidRPr="003A7608" w:rsidRDefault="003A7608">
    <w:pPr>
      <w:pStyle w:val="Sidfot"/>
    </w:pPr>
    <w:r w:rsidRPr="003A76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54197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608" w:rsidRDefault="003A76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7608" w:rsidRDefault="003A76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608" w:rsidRPr="003A7608" w:rsidRDefault="003A7608">
    <w:pPr>
      <w:pStyle w:val="Sidfot"/>
    </w:pPr>
    <w:r w:rsidRPr="003A76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1075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608" w:rsidRDefault="003A76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7608" w:rsidRDefault="003A76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7608" w:rsidRPr="003A7608" w:rsidRDefault="003A7608">
      <w:pPr>
        <w:pStyle w:val="Sidfot"/>
      </w:pPr>
    </w:p>
  </w:footnote>
  <w:footnote w:type="continuationSeparator" w:id="0">
    <w:p w:rsidR="003A7608" w:rsidRPr="003A7608" w:rsidRDefault="003A7608">
      <w:r w:rsidRPr="003A7608">
        <w:continuationSeparator/>
      </w:r>
    </w:p>
  </w:footnote>
  <w:footnote w:id="1">
    <w:p w:rsidR="003A7608" w:rsidRPr="003A7608" w:rsidRDefault="003A7608">
      <w:pPr>
        <w:pStyle w:val="Fotnotstext"/>
      </w:pPr>
      <w:r w:rsidRPr="003A7608">
        <w:rPr>
          <w:rStyle w:val="Fotnotstecken"/>
        </w:rPr>
        <w:footnoteRef/>
      </w:r>
      <w:r w:rsidRPr="003A7608">
        <w:t>EU-parlamentets hemsida: www.europarl.europa.eu.</w:t>
      </w:r>
    </w:p>
  </w:footnote>
  <w:footnote w:id="2">
    <w:p w:rsidR="003A7608" w:rsidRPr="003A7608" w:rsidRDefault="003A7608">
      <w:pPr>
        <w:pStyle w:val="Fotnotstext"/>
      </w:pPr>
      <w:r w:rsidRPr="003A7608">
        <w:rPr>
          <w:rStyle w:val="Fotnotstecken"/>
        </w:rPr>
        <w:footnoteRef/>
      </w:r>
      <w:r w:rsidRPr="003A7608">
        <w:t>EU-parlamentets hemsida: www.europarl.europa.eu.</w:t>
      </w:r>
    </w:p>
  </w:footnote>
  <w:footnote w:id="3">
    <w:p w:rsidR="003A7608" w:rsidRPr="003A7608" w:rsidRDefault="003A7608">
      <w:pPr>
        <w:pStyle w:val="Fotnotstext"/>
      </w:pPr>
      <w:r w:rsidRPr="003A7608">
        <w:rPr>
          <w:rStyle w:val="Fotnotstecken"/>
        </w:rPr>
        <w:footnoteRef/>
      </w:r>
      <w:r w:rsidRPr="003A7608">
        <w:t xml:space="preserve">EU-parlamentets hemsida: www.europarl.europa.eu. </w:t>
      </w:r>
    </w:p>
  </w:footnote>
  <w:footnote w:id="4">
    <w:p w:rsidR="003A7608" w:rsidRPr="003A7608" w:rsidRDefault="003A7608">
      <w:pPr>
        <w:pStyle w:val="Fotnotstext"/>
      </w:pPr>
      <w:r w:rsidRPr="003A7608">
        <w:rPr>
          <w:rStyle w:val="Fotnotstecken"/>
        </w:rPr>
        <w:footnoteRef/>
      </w:r>
      <w:r w:rsidRPr="003A7608">
        <w:t>Proposition 2008/09:136 s. 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608" w:rsidRPr="003A7608" w:rsidRDefault="003A7608">
    <w:pPr>
      <w:pStyle w:val="Sidhuvud"/>
    </w:pPr>
    <w:r w:rsidRPr="003A76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25000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608" w:rsidRDefault="003A76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7608" w:rsidRDefault="003A76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608" w:rsidRPr="003A7608" w:rsidRDefault="003A7608">
    <w:pPr>
      <w:pStyle w:val="Sidhuvud"/>
    </w:pPr>
    <w:r w:rsidRPr="003A76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56981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608" w:rsidRDefault="003A76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7608" w:rsidRDefault="003A76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608" w:rsidRPr="003A7608" w:rsidRDefault="003A7608">
    <w:pPr>
      <w:pStyle w:val="FSHNormal"/>
      <w:tabs>
        <w:tab w:val="right" w:pos="5840"/>
      </w:tabs>
    </w:pPr>
    <w:r w:rsidRPr="003A7608">
      <w:br/>
    </w:r>
    <w:r w:rsidRPr="003A7608">
      <w:fldChar w:fldCharType="begin" w:fldLock="1"/>
    </w:r>
    <w:r w:rsidRPr="003A7608">
      <w:instrText xml:space="preserve"> DOCPROPERTY</w:instrText>
    </w:r>
    <w:r w:rsidRPr="003A7608">
      <w:rPr>
        <w:sz w:val="18"/>
      </w:rPr>
      <w:instrText xml:space="preserve"> "YearUser" *\charformat </w:instrText>
    </w:r>
    <w:r w:rsidRPr="003A7608">
      <w:fldChar w:fldCharType="separate"/>
    </w:r>
    <w:r w:rsidRPr="003A7608">
      <w:t>2009/10</w:t>
    </w:r>
    <w:r w:rsidRPr="003A7608">
      <w:fldChar w:fldCharType="end"/>
    </w:r>
    <w:r w:rsidRPr="003A7608">
      <w:t xml:space="preserve"> </w:t>
    </w:r>
    <w:r w:rsidRPr="003A7608">
      <w:tab/>
      <w:t xml:space="preserve">mnr: </w:t>
    </w:r>
    <w:r w:rsidRPr="003A7608">
      <w:fldChar w:fldCharType="begin" w:fldLock="1"/>
    </w:r>
    <w:r w:rsidRPr="003A7608">
      <w:instrText xml:space="preserve"> DOCPROPERTY</w:instrText>
    </w:r>
    <w:r w:rsidRPr="003A7608">
      <w:rPr>
        <w:sz w:val="18"/>
      </w:rPr>
      <w:instrText xml:space="preserve"> "Motionsnummer" *\charformat </w:instrText>
    </w:r>
    <w:r w:rsidRPr="003A7608">
      <w:fldChar w:fldCharType="separate"/>
    </w:r>
    <w:r w:rsidRPr="003A7608">
      <w:t>Sk207</w:t>
    </w:r>
    <w:r w:rsidRPr="003A7608">
      <w:fldChar w:fldCharType="end"/>
    </w:r>
    <w:r w:rsidRPr="003A7608">
      <w:br/>
    </w:r>
    <w:r w:rsidRPr="003A7608">
      <w:fldChar w:fldCharType="begin" w:fldLock="1"/>
    </w:r>
    <w:r w:rsidRPr="003A7608">
      <w:instrText xml:space="preserve"> DOCPROPERTY</w:instrText>
    </w:r>
    <w:r w:rsidRPr="003A7608">
      <w:rPr>
        <w:sz w:val="18"/>
      </w:rPr>
      <w:instrText xml:space="preserve"> "Samling" *\charformat </w:instrText>
    </w:r>
    <w:r w:rsidRPr="003A7608">
      <w:fldChar w:fldCharType="end"/>
    </w:r>
    <w:r w:rsidRPr="003A7608">
      <w:tab/>
      <w:t xml:space="preserve">pnr: </w:t>
    </w:r>
    <w:r w:rsidRPr="003A7608">
      <w:fldChar w:fldCharType="begin" w:fldLock="1"/>
    </w:r>
    <w:r w:rsidRPr="003A7608">
      <w:instrText xml:space="preserve"> DOCPROPERTY</w:instrText>
    </w:r>
    <w:r w:rsidRPr="003A7608">
      <w:rPr>
        <w:sz w:val="18"/>
      </w:rPr>
      <w:instrText xml:space="preserve"> "Partinummer" *\charformat </w:instrText>
    </w:r>
    <w:r w:rsidRPr="003A7608">
      <w:fldChar w:fldCharType="separate"/>
    </w:r>
    <w:r w:rsidRPr="003A7608">
      <w:t>v543</w:t>
    </w:r>
    <w:r w:rsidRPr="003A7608">
      <w:fldChar w:fldCharType="end"/>
    </w:r>
  </w:p>
  <w:p w:rsidR="003A7608" w:rsidRPr="003A7608" w:rsidRDefault="003A7608">
    <w:pPr>
      <w:pStyle w:val="FSHRub1"/>
    </w:pPr>
    <w:r w:rsidRPr="003A7608">
      <w:t>Motion till riksdagen</w:t>
    </w:r>
    <w:r w:rsidRPr="003A7608">
      <w:br/>
    </w:r>
    <w:r w:rsidRPr="003A7608">
      <w:fldChar w:fldCharType="begin" w:fldLock="1"/>
    </w:r>
    <w:r w:rsidRPr="003A7608">
      <w:instrText xml:space="preserve"> DOCPROPERTY "YearUser" *\charformat </w:instrText>
    </w:r>
    <w:r w:rsidRPr="003A7608">
      <w:fldChar w:fldCharType="separate"/>
    </w:r>
    <w:r w:rsidRPr="003A7608">
      <w:t>2009/10</w:t>
    </w:r>
    <w:r w:rsidRPr="003A7608">
      <w:fldChar w:fldCharType="end"/>
    </w:r>
    <w:r w:rsidRPr="003A7608">
      <w:t>:</w:t>
    </w:r>
    <w:r w:rsidRPr="003A7608">
      <w:fldChar w:fldCharType="begin" w:fldLock="1"/>
    </w:r>
    <w:r w:rsidRPr="003A7608">
      <w:instrText xml:space="preserve"> DOCPROPERTY "Motionsnummer" *\charformat </w:instrText>
    </w:r>
    <w:r w:rsidRPr="003A7608">
      <w:fldChar w:fldCharType="separate"/>
    </w:r>
    <w:r w:rsidRPr="003A7608">
      <w:t>Sk207</w:t>
    </w:r>
    <w:r w:rsidRPr="003A7608">
      <w:fldChar w:fldCharType="end"/>
    </w:r>
  </w:p>
  <w:p w:rsidR="003A7608" w:rsidRPr="003A7608" w:rsidRDefault="003A7608">
    <w:pPr>
      <w:pStyle w:val="FSHNormalS5"/>
    </w:pPr>
    <w:r w:rsidRPr="003A7608">
      <w:fldChar w:fldCharType="begin" w:fldLock="1"/>
    </w:r>
    <w:r w:rsidRPr="003A7608">
      <w:instrText xml:space="preserve"> DOCPROPERTY "MotionarText" *\charformat </w:instrText>
    </w:r>
    <w:r w:rsidRPr="003A7608">
      <w:fldChar w:fldCharType="separate"/>
    </w:r>
    <w:r w:rsidRPr="003A7608">
      <w:t>av Marie Engström m.fl. (v)</w:t>
    </w:r>
    <w:r w:rsidRPr="003A7608">
      <w:fldChar w:fldCharType="end"/>
    </w:r>
    <w:r w:rsidRPr="003A7608">
      <w:br/>
    </w:r>
    <w:r w:rsidRPr="003A7608">
      <w:fldChar w:fldCharType="begin" w:fldLock="1"/>
    </w:r>
    <w:r w:rsidRPr="003A7608">
      <w:instrText xml:space="preserve"> DOCPROPERTY "SvarFrasKort" *\charformat </w:instrText>
    </w:r>
    <w:r w:rsidRPr="003A7608">
      <w:fldChar w:fldCharType="end"/>
    </w:r>
  </w:p>
  <w:p w:rsidR="003A7608" w:rsidRPr="003A7608" w:rsidRDefault="003A7608">
    <w:pPr>
      <w:pStyle w:val="FSHTitel"/>
    </w:pPr>
    <w:r w:rsidRPr="003A7608">
      <w:fldChar w:fldCharType="begin" w:fldLock="1"/>
    </w:r>
    <w:r w:rsidRPr="003A7608">
      <w:instrText xml:space="preserve"> DOCPROPERTY</w:instrText>
    </w:r>
    <w:r w:rsidRPr="003A7608">
      <w:rPr>
        <w:sz w:val="18"/>
      </w:rPr>
      <w:instrText xml:space="preserve"> "RubrikSvar" *\charformat </w:instrText>
    </w:r>
    <w:r w:rsidRPr="003A7608">
      <w:fldChar w:fldCharType="separate"/>
    </w:r>
    <w:r w:rsidRPr="003A7608">
      <w:t>Beskattning av EU-parlamentariker</w:t>
    </w:r>
    <w:r w:rsidRPr="003A7608">
      <w:fldChar w:fldCharType="end"/>
    </w:r>
  </w:p>
  <w:p w:rsidR="003A7608" w:rsidRPr="003A7608" w:rsidRDefault="003A7608">
    <w:pPr>
      <w:pStyle w:val="Normal00"/>
    </w:pPr>
  </w:p>
  <w:p w:rsidR="003A7608" w:rsidRPr="003A7608" w:rsidRDefault="003A76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84615378">
    <w:abstractNumId w:val="8"/>
  </w:num>
  <w:num w:numId="2" w16cid:durableId="2016492432">
    <w:abstractNumId w:val="9"/>
  </w:num>
  <w:num w:numId="3" w16cid:durableId="1255433867">
    <w:abstractNumId w:val="8"/>
  </w:num>
  <w:num w:numId="4" w16cid:durableId="581112127">
    <w:abstractNumId w:val="9"/>
  </w:num>
  <w:num w:numId="5" w16cid:durableId="1549604704">
    <w:abstractNumId w:val="13"/>
  </w:num>
  <w:num w:numId="6" w16cid:durableId="1876307077">
    <w:abstractNumId w:val="10"/>
  </w:num>
  <w:num w:numId="7" w16cid:durableId="661540316">
    <w:abstractNumId w:val="11"/>
  </w:num>
  <w:num w:numId="8" w16cid:durableId="1102186075">
    <w:abstractNumId w:val="12"/>
  </w:num>
  <w:num w:numId="9" w16cid:durableId="1965424661">
    <w:abstractNumId w:val="8"/>
  </w:num>
  <w:num w:numId="10" w16cid:durableId="1664238470">
    <w:abstractNumId w:val="3"/>
  </w:num>
  <w:num w:numId="11" w16cid:durableId="1020160200">
    <w:abstractNumId w:val="2"/>
  </w:num>
  <w:num w:numId="12" w16cid:durableId="92367065">
    <w:abstractNumId w:val="1"/>
  </w:num>
  <w:num w:numId="13" w16cid:durableId="506793193">
    <w:abstractNumId w:val="0"/>
  </w:num>
  <w:num w:numId="14" w16cid:durableId="1960138110">
    <w:abstractNumId w:val="9"/>
  </w:num>
  <w:num w:numId="15" w16cid:durableId="246697367">
    <w:abstractNumId w:val="7"/>
  </w:num>
  <w:num w:numId="16" w16cid:durableId="1307206320">
    <w:abstractNumId w:val="6"/>
  </w:num>
  <w:num w:numId="17" w16cid:durableId="1489900733">
    <w:abstractNumId w:val="5"/>
  </w:num>
  <w:num w:numId="18" w16cid:durableId="1181554496">
    <w:abstractNumId w:val="4"/>
  </w:num>
  <w:num w:numId="19" w16cid:durableId="456804539">
    <w:abstractNumId w:val="11"/>
  </w:num>
  <w:num w:numId="20" w16cid:durableId="2117359355">
    <w:abstractNumId w:val="10"/>
  </w:num>
  <w:num w:numId="21" w16cid:durableId="779758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03"/>
    <w:docVar w:name="PersonGUIDs" w:val="{494960E9-BA36-4AC1-BBDB-126FB51B6387},{23C4D0E2-C6F4-49DA-B9C4-BE7D1928143F},{70ED92E7-062B-44F5-98C0-1732E6D079B7},{88576935-7337-4AFA-923F-6E59D33EEBED}"/>
  </w:docVars>
  <w:rsids>
    <w:rsidRoot w:val="000107EE"/>
    <w:rsid w:val="000107EE"/>
    <w:rsid w:val="003A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196F2D3-67E5-46B4-926D-E3CCD38E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  <w:spacing w:before="0" w:line="360" w:lineRule="auto"/>
      <w:jc w:val="left"/>
    </w:pPr>
    <w:rPr>
      <w:sz w:val="24"/>
    </w:r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  <w:spacing w:before="0" w:line="360" w:lineRule="auto"/>
      <w:jc w:val="left"/>
    </w:pPr>
    <w:rPr>
      <w:sz w:val="24"/>
    </w:r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tindrag1">
    <w:name w:val="Normalt indrag1"/>
    <w:basedOn w:val="Normal"/>
    <w:pPr>
      <w:suppressAutoHyphens/>
      <w:ind w:firstLine="227"/>
    </w:pPr>
    <w:rPr>
      <w:lang w:eastAsia="ar-SA"/>
    </w:rPr>
  </w:style>
  <w:style w:type="character" w:customStyle="1" w:styleId="Fotnotstecken">
    <w:name w:val="Fotnotstecken"/>
    <w:basedOn w:val="Standardstycketeckensnitt"/>
    <w:rPr>
      <w:vertAlign w:val="superscript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before="0" w:line="18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3153</Characters>
  <Application>Microsoft Office Word</Application>
  <DocSecurity>4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v543</vt:lpstr>
    </vt:vector>
  </TitlesOfParts>
  <Company>Riksdagen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v543</dc:title>
  <dc:subject>v543</dc:subject>
  <dc:creator>Riksdagen</dc:creator>
  <cp:keywords>Riksdagen</cp:keywords>
  <dc:description/>
  <cp:lastModifiedBy>Lars Brink</cp:lastModifiedBy>
  <cp:revision>2</cp:revision>
  <cp:lastPrinted>2009-11-05T09:59:00Z</cp:lastPrinted>
  <dcterms:created xsi:type="dcterms:W3CDTF">2025-12-17T21:04:00Z</dcterms:created>
  <dcterms:modified xsi:type="dcterms:W3CDTF">2025-12-17T21:04:00Z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mot2000_514_2009-11-03</vt:lpwstr>
  </property>
  <property fmtid="{D5CDD505-2E9C-101B-9397-08002B2CF9AE}" pid="3" name="version">
    <vt:lpwstr>mot2000_505_2009-09-21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Beskattning av EU-parlamentariker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Beskattning av EU-parlamentariker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v543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Marie Engström m.fl. (v)</vt:lpwstr>
  </property>
  <property fmtid="{D5CDD505-2E9C-101B-9397-08002B2CF9AE}" pid="26" name="MotionarLista">
    <vt:lpwstr>Engström, Marie (v)\Andersson, Ulla (v)\Johnson, Jacob (v)\Linde, Hans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Engström (v), Ulla Andersson (v), Jacob Johnson (v), Hans Linde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2009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20092010000000000118000005430075</vt:lpwstr>
  </property>
  <property fmtid="{D5CDD505-2E9C-101B-9397-08002B2CF9AE}" pid="47" name="datum">
    <vt:lpwstr>090922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20092010000000000118000005430075</vt:lpwstr>
  </property>
  <property fmtid="{D5CDD505-2E9C-101B-9397-08002B2CF9AE}" pid="50" name="nummer">
    <vt:lpwstr>207</vt:lpwstr>
  </property>
  <property fmtid="{D5CDD505-2E9C-101B-9397-08002B2CF9AE}" pid="51" name="utskottsbeteckning">
    <vt:lpwstr>Sk</vt:lpwstr>
  </property>
  <property fmtid="{D5CDD505-2E9C-101B-9397-08002B2CF9AE}" pid="52" name="GlobalUID">
    <vt:lpwstr>{B866E872-742F-43F1-A668-EFE72FFCA8EB}</vt:lpwstr>
  </property>
  <property fmtid="{D5CDD505-2E9C-101B-9397-08002B2CF9AE}" pid="53" name="Överföringar">
    <vt:i4>0</vt:i4>
  </property>
  <property fmtid="{D5CDD505-2E9C-101B-9397-08002B2CF9AE}" pid="54" name="Checksum">
    <vt:lpwstr>*0012323945173*</vt:lpwstr>
  </property>
  <property fmtid="{D5CDD505-2E9C-101B-9397-08002B2CF9AE}" pid="55" name="skuggnummer">
    <vt:lpwstr>98</vt:lpwstr>
  </property>
  <property fmtid="{D5CDD505-2E9C-101B-9397-08002B2CF9AE}" pid="56" name="urixVersion">
    <vt:lpwstr>4.0.0.9</vt:lpwstr>
  </property>
  <property fmtid="{D5CDD505-2E9C-101B-9397-08002B2CF9AE}" pid="57" name="urixOrigin">
    <vt:lpwstr>091105 12:24:09.125</vt:lpwstr>
  </property>
  <property fmtid="{D5CDD505-2E9C-101B-9397-08002B2CF9AE}" pid="58" name="urixGuid">
    <vt:lpwstr>{9993B54D-72E8-4696-8145-78B29AD79298}</vt:lpwstr>
  </property>
</Properties>
</file>