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77E9A">
        <w:tblPrEx>
          <w:tblCellMar>
            <w:top w:w="0" w:type="dxa"/>
            <w:bottom w:w="0" w:type="dxa"/>
          </w:tblCellMar>
        </w:tblPrEx>
        <w:trPr>
          <w:cantSplit/>
          <w:trHeight w:hRule="exact" w:val="1260"/>
        </w:trPr>
        <w:tc>
          <w:tcPr>
            <w:tcW w:w="6024" w:type="dxa"/>
            <w:gridSpan w:val="2"/>
            <w:vMerge w:val="restart"/>
          </w:tcPr>
          <w:p w:rsidR="0079680C" w:rsidRPr="00977E9A" w:rsidRDefault="0079680C">
            <w:pPr>
              <w:pStyle w:val="HuvudRubrik"/>
            </w:pPr>
            <w:bookmarkStart w:id="0" w:name="BetänkandeRubrik"/>
            <w:bookmarkEnd w:id="0"/>
            <w:r w:rsidRPr="00977E9A">
              <w:t>Konstitutionsutskottets betänkande</w:t>
            </w:r>
            <w:r w:rsidR="00977E9A" w:rsidRPr="00977E9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464610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79680C" w:rsidRPr="00977E9A" w:rsidRDefault="0079680C">
                                  <w:pPr>
                                    <w:pStyle w:val="Logo"/>
                                  </w:pPr>
                                  <w:r w:rsidRPr="00977E9A">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4516"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79680C" w:rsidRPr="00977E9A" w:rsidRDefault="0079680C">
                            <w:pPr>
                              <w:pStyle w:val="Logo"/>
                            </w:pPr>
                            <w:r w:rsidRPr="00977E9A">
                              <w:object w:dxaOrig="840" w:dyaOrig="1545">
                                <v:shape id="_x0000_i1025" type="#_x0000_t75" style="width:90.45pt;height:77.15pt" fillcolor="window">
                                  <v:imagedata r:id="rId6" o:title="" cropright="-75835f"/>
                                </v:shape>
                                <o:OLEObject Type="Embed" ProgID="Word.Picture.8" ShapeID="_x0000_i1025" DrawAspect="Content" ObjectID="_1827344516" r:id="rId8"/>
                              </w:object>
                            </w:r>
                          </w:p>
                        </w:txbxContent>
                      </v:textbox>
                      <w10:wrap anchorx="page" anchory="page"/>
                    </v:shape>
                  </w:pict>
                </mc:Fallback>
              </mc:AlternateContent>
            </w:r>
          </w:p>
          <w:p w:rsidR="0079680C" w:rsidRPr="00977E9A" w:rsidRDefault="0079680C">
            <w:pPr>
              <w:pStyle w:val="HuvudRubrikRad2"/>
            </w:pPr>
            <w:bookmarkStart w:id="17" w:name="BetänkandeNr"/>
            <w:bookmarkEnd w:id="17"/>
            <w:r w:rsidRPr="00977E9A">
              <w:t>1999/2000:KU16</w:t>
            </w:r>
          </w:p>
          <w:p w:rsidR="0079680C" w:rsidRPr="00977E9A" w:rsidRDefault="0079680C">
            <w:pPr>
              <w:pStyle w:val="BetnkandeRubrik"/>
            </w:pPr>
            <w:bookmarkStart w:id="18" w:name="Huvudrubrik"/>
            <w:bookmarkEnd w:id="18"/>
            <w:r w:rsidRPr="00977E9A">
              <w:t>Utökat skydd för kodade tjänster</w:t>
            </w:r>
          </w:p>
        </w:tc>
        <w:tc>
          <w:tcPr>
            <w:tcW w:w="1559" w:type="dxa"/>
            <w:tcBorders>
              <w:bottom w:val="nil"/>
            </w:tcBorders>
          </w:tcPr>
          <w:p w:rsidR="0079680C" w:rsidRPr="00977E9A" w:rsidRDefault="0079680C">
            <w:pPr>
              <w:spacing w:before="0" w:line="230" w:lineRule="auto"/>
              <w:rPr>
                <w:sz w:val="24"/>
              </w:rPr>
            </w:pPr>
          </w:p>
        </w:tc>
      </w:tr>
      <w:tr w:rsidR="00000000" w:rsidRPr="00977E9A">
        <w:tblPrEx>
          <w:tblCellMar>
            <w:top w:w="0" w:type="dxa"/>
            <w:bottom w:w="0" w:type="dxa"/>
          </w:tblCellMar>
        </w:tblPrEx>
        <w:trPr>
          <w:cantSplit/>
          <w:trHeight w:hRule="exact" w:val="240"/>
        </w:trPr>
        <w:tc>
          <w:tcPr>
            <w:tcW w:w="6024" w:type="dxa"/>
            <w:gridSpan w:val="2"/>
            <w:vMerge/>
            <w:tcBorders>
              <w:top w:val="nil"/>
              <w:bottom w:val="nil"/>
            </w:tcBorders>
          </w:tcPr>
          <w:p w:rsidR="0079680C" w:rsidRPr="00977E9A" w:rsidRDefault="0079680C">
            <w:pPr>
              <w:spacing w:before="40" w:after="900" w:line="280" w:lineRule="exact"/>
              <w:jc w:val="left"/>
              <w:rPr>
                <w:sz w:val="28"/>
              </w:rPr>
            </w:pPr>
          </w:p>
        </w:tc>
        <w:tc>
          <w:tcPr>
            <w:tcW w:w="1559" w:type="dxa"/>
          </w:tcPr>
          <w:p w:rsidR="0079680C" w:rsidRPr="00977E9A" w:rsidRDefault="0079680C">
            <w:pPr>
              <w:pStyle w:val="rtal"/>
            </w:pPr>
            <w:r w:rsidRPr="00977E9A">
              <w:t>1999/2000</w:t>
            </w:r>
          </w:p>
        </w:tc>
      </w:tr>
      <w:tr w:rsidR="00000000" w:rsidRPr="00977E9A">
        <w:tblPrEx>
          <w:tblCellMar>
            <w:top w:w="0" w:type="dxa"/>
            <w:bottom w:w="0" w:type="dxa"/>
          </w:tblCellMar>
        </w:tblPrEx>
        <w:trPr>
          <w:cantSplit/>
          <w:trHeight w:val="560"/>
        </w:trPr>
        <w:tc>
          <w:tcPr>
            <w:tcW w:w="6024" w:type="dxa"/>
            <w:gridSpan w:val="2"/>
            <w:vMerge/>
            <w:tcBorders>
              <w:top w:val="nil"/>
              <w:bottom w:val="single" w:sz="6" w:space="0" w:color="auto"/>
            </w:tcBorders>
          </w:tcPr>
          <w:p w:rsidR="0079680C" w:rsidRPr="00977E9A" w:rsidRDefault="0079680C">
            <w:pPr>
              <w:spacing w:before="40" w:after="900" w:line="280" w:lineRule="exact"/>
              <w:jc w:val="left"/>
              <w:rPr>
                <w:sz w:val="28"/>
              </w:rPr>
            </w:pPr>
          </w:p>
        </w:tc>
        <w:tc>
          <w:tcPr>
            <w:tcW w:w="1559" w:type="dxa"/>
            <w:tcBorders>
              <w:bottom w:val="single" w:sz="6" w:space="0" w:color="auto"/>
            </w:tcBorders>
          </w:tcPr>
          <w:p w:rsidR="0079680C" w:rsidRPr="00977E9A" w:rsidRDefault="0079680C">
            <w:pPr>
              <w:pStyle w:val="rtal"/>
            </w:pPr>
            <w:r w:rsidRPr="00977E9A">
              <w:t>KU16</w:t>
            </w:r>
          </w:p>
        </w:tc>
      </w:tr>
      <w:tr w:rsidR="00000000" w:rsidRPr="00977E9A">
        <w:tblPrEx>
          <w:tblCellMar>
            <w:top w:w="0" w:type="dxa"/>
            <w:bottom w:w="0" w:type="dxa"/>
          </w:tblCellMar>
        </w:tblPrEx>
        <w:trPr>
          <w:cantSplit/>
          <w:trHeight w:hRule="exact" w:val="660"/>
        </w:trPr>
        <w:tc>
          <w:tcPr>
            <w:tcW w:w="3012" w:type="dxa"/>
          </w:tcPr>
          <w:p w:rsidR="0079680C" w:rsidRPr="00977E9A" w:rsidRDefault="0079680C">
            <w:pPr>
              <w:pStyle w:val="StatusSida1"/>
            </w:pPr>
            <w:r w:rsidRPr="00977E9A">
              <w:t xml:space="preserve"> </w:t>
            </w:r>
          </w:p>
        </w:tc>
        <w:tc>
          <w:tcPr>
            <w:tcW w:w="3012" w:type="dxa"/>
          </w:tcPr>
          <w:p w:rsidR="0079680C" w:rsidRPr="00977E9A" w:rsidRDefault="0079680C">
            <w:pPr>
              <w:pStyle w:val="UtskriftsdatumSida1"/>
              <w:rPr>
                <w:b/>
                <w:sz w:val="28"/>
              </w:rPr>
            </w:pPr>
          </w:p>
        </w:tc>
        <w:tc>
          <w:tcPr>
            <w:tcW w:w="1559" w:type="dxa"/>
          </w:tcPr>
          <w:p w:rsidR="0079680C" w:rsidRPr="00977E9A" w:rsidRDefault="0079680C"/>
        </w:tc>
      </w:tr>
    </w:tbl>
    <w:p w:rsidR="0079680C" w:rsidRPr="00977E9A" w:rsidRDefault="0079680C">
      <w:pPr>
        <w:pStyle w:val="Rubrik1"/>
        <w:spacing w:before="0"/>
      </w:pPr>
      <w:bookmarkStart w:id="19" w:name="_Toc477326695"/>
      <w:r w:rsidRPr="00977E9A">
        <w:t>Sammanfattning</w:t>
      </w:r>
      <w:bookmarkEnd w:id="19"/>
    </w:p>
    <w:p w:rsidR="0079680C" w:rsidRPr="00977E9A" w:rsidRDefault="0079680C">
      <w:r w:rsidRPr="00977E9A">
        <w:t xml:space="preserve">I betänkandet behandlas regeringens förslag om en ny lag om förbud mot viss avkodningsutrustning, som lagts fram i proposition 1999/2000:49, samt tre motioner som väckts med anledning av propositionen. </w:t>
      </w:r>
    </w:p>
    <w:p w:rsidR="0079680C" w:rsidRPr="00977E9A" w:rsidRDefault="0079680C">
      <w:pPr>
        <w:pStyle w:val="Normaltindrag"/>
      </w:pPr>
      <w:bookmarkStart w:id="20" w:name="Textstart"/>
      <w:bookmarkEnd w:id="20"/>
      <w:r w:rsidRPr="00977E9A">
        <w:t>Förslaget, som bl.a. innebär en anpassning till Europaparlamentets och r</w:t>
      </w:r>
      <w:r w:rsidRPr="00977E9A">
        <w:t>å</w:t>
      </w:r>
      <w:r w:rsidRPr="00977E9A">
        <w:t>dets direktiv 98/84/EG av den 20 november 1998 om det rättsliga skyddet för tjänster som bygger på eller utgörs av villkorad tillgång, innebär att reglerna om avkodningsutrustning som ger obehörig tillgång till radio- och TV-sändningar skärps. Även informationssamhällets tjänster föreslås omfattas av den nya lagen. Med avkodningsutrustning avses all utrustning eller progra</w:t>
      </w:r>
      <w:r w:rsidRPr="00977E9A">
        <w:t>m</w:t>
      </w:r>
      <w:r w:rsidRPr="00977E9A">
        <w:t xml:space="preserve">vara som utformats eller anpassats för att göra en tjänst som omfattas av lagen tillgänglig i tolkningsbar form. Förslaget innebär att </w:t>
      </w:r>
      <w:r w:rsidRPr="00977E9A">
        <w:t>i stort sett all kommersiell hantering av sådan utrustning utan tjänsteleverantörens godkä</w:t>
      </w:r>
      <w:r w:rsidRPr="00977E9A">
        <w:t>n</w:t>
      </w:r>
      <w:r w:rsidRPr="00977E9A">
        <w:t>nande krim</w:t>
      </w:r>
      <w:r w:rsidRPr="00977E9A">
        <w:t>i</w:t>
      </w:r>
      <w:r w:rsidRPr="00977E9A">
        <w:t xml:space="preserve">naliseras. </w:t>
      </w:r>
    </w:p>
    <w:p w:rsidR="0079680C" w:rsidRPr="00977E9A" w:rsidRDefault="0079680C">
      <w:pPr>
        <w:pStyle w:val="Normaltindrag"/>
      </w:pPr>
      <w:r w:rsidRPr="00977E9A">
        <w:t>Vidare föreslås att den som begår brott mot lagen skall betala skälig ersät</w:t>
      </w:r>
      <w:r w:rsidRPr="00977E9A">
        <w:t>t</w:t>
      </w:r>
      <w:r w:rsidRPr="00977E9A">
        <w:t xml:space="preserve">ning för att den tjänst som gjorts tillgänglig genom brottet har utnyttjats samt ersättning för den ytterligare ekonomiska skada som brottet har medfört. </w:t>
      </w:r>
    </w:p>
    <w:p w:rsidR="0079680C" w:rsidRPr="00977E9A" w:rsidRDefault="0079680C">
      <w:pPr>
        <w:pStyle w:val="Normaltindrag"/>
      </w:pPr>
      <w:r w:rsidRPr="00977E9A">
        <w:t xml:space="preserve">Maximistraffet för brott mot lagen föreslås höjt till fängelse i två år, och förutsättningarna för åtal föreslås vidgade. </w:t>
      </w:r>
    </w:p>
    <w:p w:rsidR="0079680C" w:rsidRPr="00977E9A" w:rsidRDefault="0079680C">
      <w:pPr>
        <w:pStyle w:val="Normaltindrag"/>
      </w:pPr>
      <w:r w:rsidRPr="00977E9A">
        <w:t>Den nya lagen föreslås träda i kraft den 1 maj 2000.</w:t>
      </w:r>
    </w:p>
    <w:p w:rsidR="0079680C" w:rsidRPr="00977E9A" w:rsidRDefault="0079680C">
      <w:pPr>
        <w:pStyle w:val="Normaltindrag"/>
      </w:pPr>
      <w:r w:rsidRPr="00977E9A">
        <w:t>Motionerna gäller i huvudsak definitionen av avkodningsutrustning och frågan om privat innehav av sådan u</w:t>
      </w:r>
      <w:r w:rsidRPr="00977E9A">
        <w:t>t</w:t>
      </w:r>
      <w:r w:rsidRPr="00977E9A">
        <w:t xml:space="preserve">rustning. </w:t>
      </w:r>
    </w:p>
    <w:p w:rsidR="0079680C" w:rsidRPr="00977E9A" w:rsidRDefault="0079680C">
      <w:pPr>
        <w:pStyle w:val="Normaltindrag"/>
      </w:pPr>
      <w:r w:rsidRPr="00977E9A">
        <w:t>Utskottet tillstyrker regeringens förslag och avstyrker motionerna. Milj</w:t>
      </w:r>
      <w:r w:rsidRPr="00977E9A">
        <w:t>ö</w:t>
      </w:r>
      <w:r w:rsidRPr="00977E9A">
        <w:t xml:space="preserve">partiets företrädare har reserverat sig på två punkter. </w:t>
      </w:r>
    </w:p>
    <w:p w:rsidR="0079680C" w:rsidRPr="00977E9A" w:rsidRDefault="0079680C">
      <w:pPr>
        <w:pStyle w:val="Rubrik1"/>
      </w:pPr>
      <w:bookmarkStart w:id="21" w:name="_Toc477326696"/>
      <w:r w:rsidRPr="00977E9A">
        <w:t>Propositionen</w:t>
      </w:r>
      <w:bookmarkEnd w:id="21"/>
    </w:p>
    <w:p w:rsidR="0079680C" w:rsidRPr="00977E9A" w:rsidRDefault="0079680C">
      <w:r w:rsidRPr="00977E9A">
        <w:t>Regeringen föreslår i proposition 1999/2000:49 att riksdagen antar regerin</w:t>
      </w:r>
      <w:r w:rsidRPr="00977E9A">
        <w:t>g</w:t>
      </w:r>
      <w:r w:rsidRPr="00977E9A">
        <w:t xml:space="preserve">ens förslag till lag om förbud beträffande viss avkodningsutrustning. </w:t>
      </w:r>
    </w:p>
    <w:p w:rsidR="0079680C" w:rsidRPr="00977E9A" w:rsidRDefault="0079680C">
      <w:pPr>
        <w:pStyle w:val="Rubrik1"/>
      </w:pPr>
      <w:bookmarkStart w:id="22" w:name="_Toc477326697"/>
      <w:r w:rsidRPr="00977E9A">
        <w:t>Motionerna</w:t>
      </w:r>
      <w:bookmarkEnd w:id="22"/>
    </w:p>
    <w:p w:rsidR="0079680C" w:rsidRPr="00977E9A" w:rsidRDefault="0079680C">
      <w:r w:rsidRPr="00977E9A">
        <w:t>1999/2000:K22 av Per Unckel m.fl. (m) vari yrkas att riksdagen beslutar om sådan ändring av lagen om förbud beträffande viss avkodningsutrustning som anförts i motionen.</w:t>
      </w:r>
    </w:p>
    <w:p w:rsidR="0079680C" w:rsidRPr="00977E9A" w:rsidRDefault="0079680C">
      <w:r w:rsidRPr="00977E9A">
        <w:lastRenderedPageBreak/>
        <w:t>1999/2000:K23 av Ewa Larsson (mp) vari yrkas</w:t>
      </w:r>
    </w:p>
    <w:p w:rsidR="0079680C" w:rsidRPr="00977E9A" w:rsidRDefault="0079680C">
      <w:pPr>
        <w:pStyle w:val="Normaltindrag"/>
      </w:pPr>
      <w:r w:rsidRPr="00977E9A">
        <w:t>1. att riksdagen begär att regeringen kompletterar sitt förslag till utökat skydd för kodade tjänster till att även omfatta förbud mot innehav av olovligt kopierat kort,</w:t>
      </w:r>
    </w:p>
    <w:p w:rsidR="0079680C" w:rsidRPr="00977E9A" w:rsidRDefault="0079680C">
      <w:pPr>
        <w:pStyle w:val="Normaltindrag"/>
      </w:pPr>
      <w:r w:rsidRPr="00977E9A">
        <w:t>2. att riksdagen begär att regeringen – om inte ett innehavsförbud föreslås nu – återkommer till riksdagen med en utvärdering om tre år för att visa om piratkopieringen minskat i Sverige,</w:t>
      </w:r>
    </w:p>
    <w:p w:rsidR="0079680C" w:rsidRPr="00977E9A" w:rsidRDefault="0079680C">
      <w:pPr>
        <w:pStyle w:val="Normaltindrag"/>
      </w:pPr>
      <w:r w:rsidRPr="00977E9A">
        <w:t>3. att riksdagen beslutar om följande ändring i föreslagen lagtext: ”Med avkodningsutrustning avses utrustning eller programvara som utformats, är avsedd eller anpassats för en tjänst – – –”.</w:t>
      </w:r>
    </w:p>
    <w:p w:rsidR="0079680C" w:rsidRPr="00977E9A" w:rsidRDefault="0079680C">
      <w:r w:rsidRPr="00977E9A">
        <w:t>1999/2000:K24 av Margareta Andersson (c) vari yrkas att riksdagen som sin mening ger regeringen till känna vad i motionen anförts om ett förtydligande av förhållandet mellan den föreslagna lagen om förbud beträffande viss avkodningsutrustning och tryckfrihetsförordningen.</w:t>
      </w:r>
    </w:p>
    <w:p w:rsidR="0079680C" w:rsidRPr="00977E9A" w:rsidRDefault="0079680C">
      <w:pPr>
        <w:pStyle w:val="Rubrik1"/>
      </w:pPr>
      <w:bookmarkStart w:id="23" w:name="_Toc477326698"/>
      <w:r w:rsidRPr="00977E9A">
        <w:t>Utskottet</w:t>
      </w:r>
      <w:bookmarkEnd w:id="23"/>
    </w:p>
    <w:p w:rsidR="0079680C" w:rsidRPr="00977E9A" w:rsidRDefault="0079680C">
      <w:pPr>
        <w:pStyle w:val="Rubrik2"/>
        <w:spacing w:before="123"/>
      </w:pPr>
      <w:bookmarkStart w:id="24" w:name="_Toc477326699"/>
      <w:r w:rsidRPr="00977E9A">
        <w:t>Bakgrund</w:t>
      </w:r>
      <w:bookmarkEnd w:id="24"/>
      <w:r w:rsidRPr="00977E9A">
        <w:t xml:space="preserve"> </w:t>
      </w:r>
    </w:p>
    <w:p w:rsidR="0079680C" w:rsidRPr="00977E9A" w:rsidRDefault="0079680C">
      <w:pPr>
        <w:pStyle w:val="Rubrik3"/>
        <w:spacing w:before="123"/>
      </w:pPr>
      <w:bookmarkStart w:id="25" w:name="_Toc477326700"/>
      <w:r w:rsidRPr="00977E9A">
        <w:t>Gällande bestämmelser</w:t>
      </w:r>
      <w:bookmarkEnd w:id="25"/>
      <w:r w:rsidRPr="00977E9A">
        <w:t xml:space="preserve"> </w:t>
      </w:r>
    </w:p>
    <w:p w:rsidR="0079680C" w:rsidRPr="00977E9A" w:rsidRDefault="0079680C">
      <w:r w:rsidRPr="00977E9A">
        <w:t>Bestämmelser om avkodningsutrustning finns i lagen (1993:1367) om förbud beträffande viss avkodningsutrustning (avkodningslagen). Lagen, som trädde i kraft den 1 januari 1994, skall förhindra att någon yrkesmässigt eller annars i förvärvssyfte olovligen tillverkar, överlåter, hyr ut, installerar eller unde</w:t>
      </w:r>
      <w:r w:rsidRPr="00977E9A">
        <w:t>r</w:t>
      </w:r>
      <w:r w:rsidRPr="00977E9A">
        <w:t>håller avkodningsutrustning i avsikt att bereda någon utanför abonnentkre</w:t>
      </w:r>
      <w:r w:rsidRPr="00977E9A">
        <w:t>t</w:t>
      </w:r>
      <w:r w:rsidRPr="00977E9A">
        <w:t>sen tillgång till innehållet i en kodad sändning som erbjuds mot betalning. Innehav av utrustning för olovlig avkodning liksom import av sådan utrus</w:t>
      </w:r>
      <w:r w:rsidRPr="00977E9A">
        <w:t>t</w:t>
      </w:r>
      <w:r w:rsidRPr="00977E9A">
        <w:t xml:space="preserve">ning omfattas inte av lagen. </w:t>
      </w:r>
    </w:p>
    <w:p w:rsidR="0079680C" w:rsidRPr="00977E9A" w:rsidRDefault="0079680C">
      <w:pPr>
        <w:pStyle w:val="Normaltindrag"/>
      </w:pPr>
      <w:r w:rsidRPr="00977E9A">
        <w:t>Maximistraffet för brott mot lagen är fängelse i sex månader. Åtal får väckas e</w:t>
      </w:r>
      <w:r w:rsidRPr="00977E9A">
        <w:t>n</w:t>
      </w:r>
      <w:r w:rsidRPr="00977E9A">
        <w:t>dast om det av särskilda skäl är påkallat från allmän synpunkt.</w:t>
      </w:r>
    </w:p>
    <w:p w:rsidR="0079680C" w:rsidRPr="00977E9A" w:rsidRDefault="0079680C">
      <w:pPr>
        <w:pStyle w:val="Rubrik3"/>
      </w:pPr>
      <w:bookmarkStart w:id="26" w:name="_Toc477326701"/>
      <w:r w:rsidRPr="00977E9A">
        <w:t>EG-direktiv</w:t>
      </w:r>
      <w:bookmarkEnd w:id="26"/>
    </w:p>
    <w:p w:rsidR="0079680C" w:rsidRPr="00977E9A" w:rsidRDefault="0079680C">
      <w:r w:rsidRPr="00977E9A">
        <w:t>Europaparlamentet och rådet har antagit direktiv 98/84/EG av den 20 n</w:t>
      </w:r>
      <w:r w:rsidRPr="00977E9A">
        <w:t>o</w:t>
      </w:r>
      <w:r w:rsidRPr="00977E9A">
        <w:t>vember 1998 om det rättsliga skyddet för tjänster som bygger på eller utgörs av villkorad tillgång. Direktivets tillämpningsområde täcker alla radio- och TV-program samt informationssamhällets tjänster där den villkorade til</w:t>
      </w:r>
      <w:r w:rsidRPr="00977E9A">
        <w:t>l</w:t>
      </w:r>
      <w:r w:rsidRPr="00977E9A">
        <w:t>gången används för att säke</w:t>
      </w:r>
      <w:r w:rsidRPr="00977E9A">
        <w:t>r</w:t>
      </w:r>
      <w:r w:rsidRPr="00977E9A">
        <w:t xml:space="preserve">ställa betalning av tjänsten. </w:t>
      </w:r>
    </w:p>
    <w:p w:rsidR="0079680C" w:rsidRPr="00977E9A" w:rsidRDefault="0079680C">
      <w:pPr>
        <w:pStyle w:val="Normaltindrag"/>
      </w:pPr>
      <w:r w:rsidRPr="00977E9A">
        <w:t>Direktivet ställer krav på medlemsstaterna att förbjuda och tillgripa läm</w:t>
      </w:r>
      <w:r w:rsidRPr="00977E9A">
        <w:t>p</w:t>
      </w:r>
      <w:r w:rsidRPr="00977E9A">
        <w:t>liga sanktioner mot ett brett spektrum av kommersiella verksamheter som gäller illegala avkodare (dekodrar), s.k. smarta kort och programvara som gör det möjligt att kringgå system med villkorad tillgång och erhålla tjänsten kostnadsfritt. Syftet med direktivet är att tillnärma medlemsstaternas b</w:t>
      </w:r>
      <w:r w:rsidRPr="00977E9A">
        <w:t>e</w:t>
      </w:r>
      <w:r w:rsidRPr="00977E9A">
        <w:t xml:space="preserve">stämmelser om åtgärder mot olaglig utrustning som ger obehörig tillgång till skyddade tjänster. Skyddet är begränsat till tjänster som utnyttjar tekniker med villkorad tillgång för att säkerställa ersättning. Det </w:t>
      </w:r>
      <w:r w:rsidRPr="00977E9A">
        <w:t>är vidare begränsat till kommersiell hantering av olaglig utrustning. Ansvaret för att vidta åtgä</w:t>
      </w:r>
      <w:r w:rsidRPr="00977E9A">
        <w:t>r</w:t>
      </w:r>
      <w:r w:rsidRPr="00977E9A">
        <w:t xml:space="preserve">der mot privat innehav eller användning av olaglig utrustning har av främst proportionalitets- och subsidiaritetsskäl ansetts få vila på medlemsstaterna. </w:t>
      </w:r>
    </w:p>
    <w:p w:rsidR="0079680C" w:rsidRPr="00977E9A" w:rsidRDefault="0079680C">
      <w:pPr>
        <w:pStyle w:val="Normaltindrag"/>
      </w:pPr>
      <w:r w:rsidRPr="00977E9A">
        <w:t>De tjänster som skyddas av direktivet är TV-sändningar enligt definitionen i artikel 1 a i det s.k. TV-direktivet (direktiv 89/552/EEG), radiosändningar i betydelsen all överföring av radioprogram till allmänheten, via tråd eller via etern, vilket även omfatt</w:t>
      </w:r>
      <w:r w:rsidRPr="00977E9A">
        <w:t>ar satellitsändningar, samt informationssamhällets tjänster i den betydelse som avses i artikel 1.2 i Europaparlamentets och rådets direktiv 98/34/EG av den 22 juli 1998 om ett informationsförfarande beträffande tekniska standarder och föreskrifter och beträffande föreskrifter för informationssamhällets tjänster. En förutsättning för att berörda tjänster skall omfattas av direktivet är att de tillhandahålls mot ersättning och är föremål för villkorad tillgång. Även själva tillhandahållandet av villkorad til</w:t>
      </w:r>
      <w:r w:rsidRPr="00977E9A">
        <w:t xml:space="preserve">lgång för ovannämnda tjänster betraktas enligt direktivet som en skyddad tjänst i sig. </w:t>
      </w:r>
    </w:p>
    <w:p w:rsidR="0079680C" w:rsidRPr="00977E9A" w:rsidRDefault="0079680C">
      <w:pPr>
        <w:pStyle w:val="Normaltindrag"/>
      </w:pPr>
      <w:r w:rsidRPr="00977E9A">
        <w:t xml:space="preserve">Direktivet definierar begreppen villkorad tillgång, utrustning för villkorad tillgång, anknuten tjänst, olaglig utrustning och området som samordnas av direktivet. </w:t>
      </w:r>
    </w:p>
    <w:p w:rsidR="0079680C" w:rsidRPr="00977E9A" w:rsidRDefault="0079680C">
      <w:pPr>
        <w:pStyle w:val="Normaltindrag"/>
      </w:pPr>
      <w:r w:rsidRPr="00977E9A">
        <w:t>Varje medlemsstat skall vidta de åtgärder som är nödvändiga för att fö</w:t>
      </w:r>
      <w:r w:rsidRPr="00977E9A">
        <w:t>r</w:t>
      </w:r>
      <w:r w:rsidRPr="00977E9A">
        <w:t>bjuda de enligt direktivet otillåtna åtgärderna och införa de sanktioner och de möjligheter till rättelse som anges i direktivet. De verksamheter som me</w:t>
      </w:r>
      <w:r w:rsidRPr="00977E9A">
        <w:t>d</w:t>
      </w:r>
      <w:r w:rsidRPr="00977E9A">
        <w:t>lemsstaterna skall förbjuda räknas upp i direktivet. Det skall enligt direktivet vara förbjudet att tillverka, importera, distribuera, försälja, hyra ut, inneha, installera, underhålla eller byta ut olaglig utrustning i kommersiellt syfte liksom att marknadsföra olaglig utrustning genom kommersiella meddela</w:t>
      </w:r>
      <w:r w:rsidRPr="00977E9A">
        <w:t>n</w:t>
      </w:r>
      <w:r w:rsidRPr="00977E9A">
        <w:t>den. Sanktionerna skall vara verkningsfulla, avsk</w:t>
      </w:r>
      <w:r w:rsidRPr="00977E9A">
        <w:t>räckande och proportione</w:t>
      </w:r>
      <w:r w:rsidRPr="00977E9A">
        <w:t>r</w:t>
      </w:r>
      <w:r w:rsidRPr="00977E9A">
        <w:t>liga. Leverantörer av skyddade tjänster skall ha tillgång till lämpliga möjli</w:t>
      </w:r>
      <w:r w:rsidRPr="00977E9A">
        <w:t>g</w:t>
      </w:r>
      <w:r w:rsidRPr="00977E9A">
        <w:t xml:space="preserve">heter till rättelse. </w:t>
      </w:r>
    </w:p>
    <w:p w:rsidR="0079680C" w:rsidRPr="00977E9A" w:rsidRDefault="0079680C">
      <w:pPr>
        <w:pStyle w:val="Normaltindrag"/>
      </w:pPr>
      <w:r w:rsidRPr="00977E9A">
        <w:t>Huvudsyftet bakom direktivet  98/84/EG är att förbättra skyddet för lev</w:t>
      </w:r>
      <w:r w:rsidRPr="00977E9A">
        <w:t>e</w:t>
      </w:r>
      <w:r w:rsidRPr="00977E9A">
        <w:t>rantörerna av de tjänster som bygger på eller utgörs av villkorad tillgång och som omfattas av direktivet. Direktivet syftar inte till en fullständig harmon</w:t>
      </w:r>
      <w:r w:rsidRPr="00977E9A">
        <w:t>i</w:t>
      </w:r>
      <w:r w:rsidRPr="00977E9A">
        <w:t xml:space="preserve">sering av medlemsstaternas regler på området. Medlemsstaterna får besluta om ett starkare skydd än det som direktivet ger. </w:t>
      </w:r>
    </w:p>
    <w:p w:rsidR="0079680C" w:rsidRPr="00977E9A" w:rsidRDefault="0079680C">
      <w:pPr>
        <w:pStyle w:val="Normaltindrag"/>
      </w:pPr>
      <w:r w:rsidRPr="00977E9A">
        <w:t xml:space="preserve">De lagar och andra författningar som är nödvändiga för att följa direktivet skall sättas i kraft senast den 28 maj 2000. </w:t>
      </w:r>
    </w:p>
    <w:p w:rsidR="0079680C" w:rsidRPr="00977E9A" w:rsidRDefault="0079680C">
      <w:pPr>
        <w:pStyle w:val="Rubrik2"/>
      </w:pPr>
      <w:bookmarkStart w:id="27" w:name="_Toc477326702"/>
      <w:r w:rsidRPr="00977E9A">
        <w:t>Regeringens förslag i korthet</w:t>
      </w:r>
      <w:bookmarkEnd w:id="27"/>
    </w:p>
    <w:p w:rsidR="0079680C" w:rsidRPr="00977E9A" w:rsidRDefault="0079680C">
      <w:r w:rsidRPr="00977E9A">
        <w:t>Regeringen föreslår en ny lag om förbud beträffande viss avkodningsutrus</w:t>
      </w:r>
      <w:r w:rsidRPr="00977E9A">
        <w:t>t</w:t>
      </w:r>
      <w:r w:rsidRPr="00977E9A">
        <w:t xml:space="preserve">ning bl.a. för att i svensk rätt genomföra Europaparlamentets och rådets nämnda direktiv om det rättsliga skyddet för tjänster som bygger på eller utgörs av villkorad tillgång. </w:t>
      </w:r>
    </w:p>
    <w:p w:rsidR="0079680C" w:rsidRPr="00977E9A" w:rsidRDefault="0079680C">
      <w:pPr>
        <w:pStyle w:val="Normaltindrag"/>
      </w:pPr>
      <w:r w:rsidRPr="00977E9A">
        <w:t>Förslaget innebär att reglerna om avkodningsutrustning som ger obehörig tillgång till radio- och TV-sändningar skärps. Även informationssamhällets tjänster föreslås omfattas av den nya lagen. Med avkodningsutrustning avses all utrustning eller programvara som utformats eller anpassats för att göra en tjänst som omfattas av lagen ti</w:t>
      </w:r>
      <w:r w:rsidRPr="00977E9A">
        <w:t>llgänglig i tolkningsbar form. Förslaget inn</w:t>
      </w:r>
      <w:r w:rsidRPr="00977E9A">
        <w:t>e</w:t>
      </w:r>
      <w:r w:rsidRPr="00977E9A">
        <w:t>bär att i stort sett all kommersiell hantering av sådan utrustning utan tjänst</w:t>
      </w:r>
      <w:r w:rsidRPr="00977E9A">
        <w:t>e</w:t>
      </w:r>
      <w:r w:rsidRPr="00977E9A">
        <w:t xml:space="preserve">leverantörens godkännande kriminaliseras. </w:t>
      </w:r>
    </w:p>
    <w:p w:rsidR="0079680C" w:rsidRPr="00977E9A" w:rsidRDefault="0079680C">
      <w:pPr>
        <w:pStyle w:val="Normaltindrag"/>
      </w:pPr>
      <w:r w:rsidRPr="00977E9A">
        <w:t>Det föreslås vidare att den som begår brott mot lagen skall betala skälig ersättning för att den tjänst som gjorts tillgänglig genom brottet har utnyttjats samt ersättning för den ytterligare ekonomiska skada som brottet har me</w:t>
      </w:r>
      <w:r w:rsidRPr="00977E9A">
        <w:t>d</w:t>
      </w:r>
      <w:r w:rsidRPr="00977E9A">
        <w:t xml:space="preserve">fört. </w:t>
      </w:r>
    </w:p>
    <w:p w:rsidR="0079680C" w:rsidRPr="00977E9A" w:rsidRDefault="0079680C">
      <w:pPr>
        <w:pStyle w:val="Normaltindrag"/>
      </w:pPr>
      <w:r w:rsidRPr="00977E9A">
        <w:t>Maximistraffet för brott mot lagen föreslås höjt från nuvarande fängelse i sex månader till fängelse i två år. Förutsättningarna för åtal föreslås vidgade. Åtal skall få väckas om målsäganden anger brottet till åtal eller åtal är mot</w:t>
      </w:r>
      <w:r w:rsidRPr="00977E9A">
        <w:t>i</w:t>
      </w:r>
      <w:r w:rsidRPr="00977E9A">
        <w:t xml:space="preserve">verat från allmän synpunkt. </w:t>
      </w:r>
    </w:p>
    <w:p w:rsidR="0079680C" w:rsidRPr="00977E9A" w:rsidRDefault="0079680C">
      <w:pPr>
        <w:pStyle w:val="Normaltindrag"/>
      </w:pPr>
      <w:r w:rsidRPr="00977E9A">
        <w:t>Den nya lagen skall enligt förslaget träda i kraft den 1 maj 2000.</w:t>
      </w:r>
    </w:p>
    <w:p w:rsidR="0079680C" w:rsidRPr="00977E9A" w:rsidRDefault="0079680C">
      <w:pPr>
        <w:pStyle w:val="Rubrik2"/>
      </w:pPr>
      <w:bookmarkStart w:id="28" w:name="_Toc477326703"/>
      <w:r w:rsidRPr="00977E9A">
        <w:t>Särskilda frågor</w:t>
      </w:r>
      <w:bookmarkEnd w:id="28"/>
      <w:r w:rsidRPr="00977E9A">
        <w:t xml:space="preserve"> </w:t>
      </w:r>
    </w:p>
    <w:p w:rsidR="0079680C" w:rsidRPr="00977E9A" w:rsidRDefault="0079680C">
      <w:pPr>
        <w:pStyle w:val="Rubrik3"/>
        <w:spacing w:before="123"/>
      </w:pPr>
      <w:bookmarkStart w:id="29" w:name="_Toc477326704"/>
      <w:r w:rsidRPr="00977E9A">
        <w:t>Privat innehav av utrustning</w:t>
      </w:r>
      <w:bookmarkEnd w:id="29"/>
    </w:p>
    <w:p w:rsidR="0079680C" w:rsidRPr="00977E9A" w:rsidRDefault="0079680C">
      <w:pPr>
        <w:pStyle w:val="Rubrik4"/>
        <w:spacing w:before="123"/>
      </w:pPr>
      <w:bookmarkStart w:id="30" w:name="_Toc477326705"/>
      <w:r w:rsidRPr="00977E9A">
        <w:t>Propositionen</w:t>
      </w:r>
      <w:bookmarkEnd w:id="30"/>
    </w:p>
    <w:p w:rsidR="0079680C" w:rsidRPr="00977E9A" w:rsidRDefault="0079680C">
      <w:r w:rsidRPr="00977E9A">
        <w:t>Regeringen föreslår att det skall vara straffbart att yrkesmässigt eller annars i förvärvssyfte tillverka, importera, distribuera, sälja, hyra ut, inneha, install</w:t>
      </w:r>
      <w:r w:rsidRPr="00977E9A">
        <w:t>e</w:t>
      </w:r>
      <w:r w:rsidRPr="00977E9A">
        <w:t xml:space="preserve">ra, underhålla eller byta ut avkodningsutrustning i syfte att göra en skyddad tjänst tillgänglig i tolkningsbar form utan tjänsteleverantörens godkännande (5 §). </w:t>
      </w:r>
    </w:p>
    <w:p w:rsidR="0079680C" w:rsidRPr="00977E9A" w:rsidRDefault="0079680C">
      <w:pPr>
        <w:pStyle w:val="Normaltindrag"/>
      </w:pPr>
      <w:r w:rsidRPr="00977E9A">
        <w:t>Regeringen föreslår däremot inte att någon straffrättslig sanktion skall i</w:t>
      </w:r>
      <w:r w:rsidRPr="00977E9A">
        <w:t>n</w:t>
      </w:r>
      <w:r w:rsidRPr="00977E9A">
        <w:t xml:space="preserve">föras för privat bruk eller innehav av olovlig avkodningsutrustning. </w:t>
      </w:r>
    </w:p>
    <w:p w:rsidR="0079680C" w:rsidRPr="00977E9A" w:rsidRDefault="0079680C">
      <w:pPr>
        <w:pStyle w:val="Rubrik4"/>
      </w:pPr>
      <w:bookmarkStart w:id="31" w:name="_Toc477326706"/>
      <w:r w:rsidRPr="00977E9A">
        <w:t>Motion</w:t>
      </w:r>
      <w:bookmarkEnd w:id="31"/>
      <w:r w:rsidRPr="00977E9A">
        <w:t xml:space="preserve"> </w:t>
      </w:r>
    </w:p>
    <w:p w:rsidR="0079680C" w:rsidRPr="00977E9A" w:rsidRDefault="0079680C">
      <w:r w:rsidRPr="00977E9A">
        <w:t xml:space="preserve">I </w:t>
      </w:r>
      <w:r w:rsidRPr="00977E9A">
        <w:rPr>
          <w:i/>
        </w:rPr>
        <w:t>motion 1999/2000:K23 av Ewa Larsson (mp)</w:t>
      </w:r>
      <w:r w:rsidRPr="00977E9A">
        <w:t xml:space="preserve"> anför motionären att den föreslagna lagen bör kompletteras så att även innehav av olovligt kopierat kort förbjuds, och hon begär i </w:t>
      </w:r>
      <w:r w:rsidRPr="00977E9A">
        <w:rPr>
          <w:i/>
        </w:rPr>
        <w:t>yrkande 1</w:t>
      </w:r>
      <w:r w:rsidRPr="00977E9A">
        <w:t xml:space="preserve"> att riksdagen skall ge regeringen till känna att den bör lägga fram förslag även om detta. I </w:t>
      </w:r>
      <w:r w:rsidRPr="00977E9A">
        <w:rPr>
          <w:i/>
        </w:rPr>
        <w:t>yrkande 2</w:t>
      </w:r>
      <w:r w:rsidRPr="00977E9A">
        <w:t xml:space="preserve"> begär hon i andra hand att – om inte ett innehavsförbud föreslås nu – regeringen om tre år skall återkomma till riksdagen med en utvärdering för att visa om piratk</w:t>
      </w:r>
      <w:r w:rsidRPr="00977E9A">
        <w:t>o</w:t>
      </w:r>
      <w:r w:rsidRPr="00977E9A">
        <w:t xml:space="preserve">pieringen minskat i Sverige. </w:t>
      </w:r>
    </w:p>
    <w:p w:rsidR="0079680C" w:rsidRPr="00977E9A" w:rsidRDefault="0079680C">
      <w:pPr>
        <w:pStyle w:val="Normaltindrag"/>
      </w:pPr>
      <w:r w:rsidRPr="00977E9A">
        <w:t>Motionären anför att enligt nordi</w:t>
      </w:r>
      <w:r w:rsidRPr="00977E9A">
        <w:t xml:space="preserve">ska sonderingar som gjorts av föreningen STOP uppskattas det i Sverige finnas 200 000 piratkort på marknaden, i Danmark 250 000, i Norge 60 000 och i Finland 30 000. Norge och Finland har innehavsförbud, medan Danmark enligt motionären planerar att införa sådant förbud. </w:t>
      </w:r>
    </w:p>
    <w:p w:rsidR="0079680C" w:rsidRPr="00977E9A" w:rsidRDefault="0079680C">
      <w:pPr>
        <w:pStyle w:val="Rubrik4"/>
      </w:pPr>
      <w:bookmarkStart w:id="32" w:name="_Toc477326707"/>
      <w:r w:rsidRPr="00977E9A">
        <w:t>Regeringens motiv</w:t>
      </w:r>
      <w:bookmarkEnd w:id="32"/>
      <w:r w:rsidRPr="00977E9A">
        <w:t xml:space="preserve"> </w:t>
      </w:r>
    </w:p>
    <w:p w:rsidR="0079680C" w:rsidRPr="00977E9A" w:rsidRDefault="0079680C">
      <w:r w:rsidRPr="00977E9A">
        <w:t>Regeringen erinrar om att EG-direktivet endast avser verksamheter för kommersiella ändamål, och att det av främst proportionalitets- och subsidi</w:t>
      </w:r>
      <w:r w:rsidRPr="00977E9A">
        <w:t>a</w:t>
      </w:r>
      <w:r w:rsidRPr="00977E9A">
        <w:t>ritetsskäl inte ansetts befogat att föreskriva gemensamma regler i fråga om privat innehav eller användning av olovlig utrustning.</w:t>
      </w:r>
    </w:p>
    <w:p w:rsidR="0079680C" w:rsidRPr="00977E9A" w:rsidRDefault="0079680C">
      <w:pPr>
        <w:pStyle w:val="Normaltindrag"/>
      </w:pPr>
      <w:r w:rsidRPr="00977E9A">
        <w:t>Regeringen har förståelse för vissa remissinstansers invändningar mot att privat innehav inte föreslås bli omfattat av förbudet. Regeringen påminner dock om att frågan om ett förbud mot privata innehav av olaglig utrustning togs upp redan i samband med tillkomsten av den nuvarande lagen. Då gjo</w:t>
      </w:r>
      <w:r w:rsidRPr="00977E9A">
        <w:t>r</w:t>
      </w:r>
      <w:r w:rsidRPr="00977E9A">
        <w:t xml:space="preserve">des bedömningen att rättsväsendets resurser borde koncentreras på sådan verksamhet som genom omfattning, regelbundenhet m.m. kan leda till mer allvarliga skadeverkningar. Detta ställningstagande har enligt regeringen alltjämt bärighet. Till detta kommer att efterlevnaden av ett sådant förbud i praktiken skulle bli omöjlig att kontrollera, och regeringen anser att det finns risk att ett sådant förbud inte skulle få något genomslag utan tvärtom bidra till att minska respekten för lagstiftningen i allmänhet. </w:t>
      </w:r>
      <w:r w:rsidRPr="00977E9A">
        <w:t>För att en kriminalis</w:t>
      </w:r>
      <w:r w:rsidRPr="00977E9A">
        <w:t>e</w:t>
      </w:r>
      <w:r w:rsidRPr="00977E9A">
        <w:t xml:space="preserve">ring av privat innehav skall komma i fråga bör det även enligt regeringen finnas ett starkt samhälleligt intresse av ett förbud av sådant slag. Uppgifter från de nordiska länder (Finland och Norge) som har infört förbud mot privat innehav visar enligt regeringen inte på ett tillförlitligt sätt att just denna re-glering har haft en påtaglig effekt på tillgången till olaglig utrustning. </w:t>
      </w:r>
    </w:p>
    <w:p w:rsidR="0079680C" w:rsidRPr="00977E9A" w:rsidRDefault="0079680C">
      <w:pPr>
        <w:pStyle w:val="Normaltindrag"/>
      </w:pPr>
      <w:r w:rsidRPr="00977E9A">
        <w:t xml:space="preserve">Regeringen påminner vidare om att åtgärder mot ”piratverksamhet” har vidtagits inom EU och anser att </w:t>
      </w:r>
      <w:r w:rsidRPr="00977E9A">
        <w:t xml:space="preserve">den utvidgade skadeståndsskyldighet som föreslås i propositionen innebär att skadeverkningarna kan begränsas. </w:t>
      </w:r>
    </w:p>
    <w:p w:rsidR="0079680C" w:rsidRPr="00977E9A" w:rsidRDefault="0079680C">
      <w:pPr>
        <w:pStyle w:val="Rubrik4"/>
      </w:pPr>
      <w:bookmarkStart w:id="33" w:name="_Toc477326708"/>
      <w:r w:rsidRPr="00977E9A">
        <w:t>Utskottets bedömning</w:t>
      </w:r>
      <w:bookmarkEnd w:id="33"/>
      <w:r w:rsidRPr="00977E9A">
        <w:t xml:space="preserve"> </w:t>
      </w:r>
    </w:p>
    <w:p w:rsidR="0079680C" w:rsidRPr="00977E9A" w:rsidRDefault="0079680C">
      <w:r w:rsidRPr="00977E9A">
        <w:t>Utskottet konstaterar till en början att regeringens förslag redan i sig innebär en utvidgning av det hittills gällande förbudet mot hantering av avkodning</w:t>
      </w:r>
      <w:r w:rsidRPr="00977E9A">
        <w:t>s</w:t>
      </w:r>
      <w:r w:rsidRPr="00977E9A">
        <w:t>utrustning. Till straffbara förfaranden skall således utöver tillverkning, öve</w:t>
      </w:r>
      <w:r w:rsidRPr="00977E9A">
        <w:t>r</w:t>
      </w:r>
      <w:r w:rsidRPr="00977E9A">
        <w:t>låtelse, uthyrning, installation och underhåll av utrustning i fortsättningen även räknas import, distribution, innehav och utbyte av utrustning, allt under förutsättning att förfarandet sker yrkesmässigt eller annars i förvärvssyfte. Maximistraffet höjs, och förutsättningarna för åtal vidgas. En särskild skad</w:t>
      </w:r>
      <w:r w:rsidRPr="00977E9A">
        <w:t>e</w:t>
      </w:r>
      <w:r w:rsidRPr="00977E9A">
        <w:t xml:space="preserve">ståndsregel införs. </w:t>
      </w:r>
    </w:p>
    <w:p w:rsidR="0079680C" w:rsidRPr="00977E9A" w:rsidRDefault="0079680C">
      <w:pPr>
        <w:pStyle w:val="Normaltindrag"/>
      </w:pPr>
      <w:r w:rsidRPr="00977E9A">
        <w:t>I frågan om att därutöver kriminalisera privat innehav av utrustning delar utskottet regeringens be</w:t>
      </w:r>
      <w:r w:rsidRPr="00977E9A">
        <w:t>dömning. Särskilt vill utskottet framhålla svårigh</w:t>
      </w:r>
      <w:r w:rsidRPr="00977E9A">
        <w:t>e</w:t>
      </w:r>
      <w:r w:rsidRPr="00977E9A">
        <w:t xml:space="preserve">terna att kontrollera efterlevnaden av ett förbud. </w:t>
      </w:r>
    </w:p>
    <w:p w:rsidR="0079680C" w:rsidRPr="00977E9A" w:rsidRDefault="0079680C">
      <w:pPr>
        <w:pStyle w:val="Normaltindrag"/>
      </w:pPr>
      <w:r w:rsidRPr="00977E9A">
        <w:t>Utskottet avstyrker således motion 1999/2000:K23 såvitt avser yrkande 1 och tillstyrker prop</w:t>
      </w:r>
      <w:r w:rsidRPr="00977E9A">
        <w:t>o</w:t>
      </w:r>
      <w:r w:rsidRPr="00977E9A">
        <w:t xml:space="preserve">sitionen i denna del. </w:t>
      </w:r>
    </w:p>
    <w:p w:rsidR="0079680C" w:rsidRPr="00977E9A" w:rsidRDefault="0079680C">
      <w:pPr>
        <w:pStyle w:val="Normaltindrag"/>
      </w:pPr>
      <w:r w:rsidRPr="00977E9A">
        <w:t>Utskottets ställningstagande innebär emellertid inte att utskottet vill fö</w:t>
      </w:r>
      <w:r w:rsidRPr="00977E9A">
        <w:t>r</w:t>
      </w:r>
      <w:r w:rsidRPr="00977E9A">
        <w:t>ringa den ekonomiska skada som privat innehav av avkodningsutrustning kan medföra. Det finns därför anledning för regeringen att noga följa u</w:t>
      </w:r>
      <w:r w:rsidRPr="00977E9A">
        <w:t>t</w:t>
      </w:r>
      <w:r w:rsidRPr="00977E9A">
        <w:t>vecklingen inom området och effekterna av den nya lagen. Utskottet föru</w:t>
      </w:r>
      <w:r w:rsidRPr="00977E9A">
        <w:t>t</w:t>
      </w:r>
      <w:r w:rsidRPr="00977E9A">
        <w:t xml:space="preserve">sätter att så sker och anser därför att något tillkännagivande med anledning av yrkande 2 i motionen inte behövs. </w:t>
      </w:r>
    </w:p>
    <w:p w:rsidR="0079680C" w:rsidRPr="00977E9A" w:rsidRDefault="0079680C">
      <w:pPr>
        <w:pStyle w:val="Rubrik3"/>
      </w:pPr>
      <w:bookmarkStart w:id="34" w:name="_Toc477326709"/>
      <w:r w:rsidRPr="00977E9A">
        <w:t>Definitionen av avkodningsutrustning</w:t>
      </w:r>
      <w:bookmarkEnd w:id="34"/>
      <w:r w:rsidRPr="00977E9A">
        <w:t xml:space="preserve"> </w:t>
      </w:r>
    </w:p>
    <w:p w:rsidR="0079680C" w:rsidRPr="00977E9A" w:rsidRDefault="0079680C">
      <w:pPr>
        <w:pStyle w:val="Rubrik4"/>
        <w:spacing w:before="123"/>
      </w:pPr>
      <w:bookmarkStart w:id="35" w:name="_Toc477326710"/>
      <w:r w:rsidRPr="00977E9A">
        <w:t>Propositionen</w:t>
      </w:r>
      <w:bookmarkEnd w:id="35"/>
      <w:r w:rsidRPr="00977E9A">
        <w:t xml:space="preserve"> </w:t>
      </w:r>
    </w:p>
    <w:p w:rsidR="0079680C" w:rsidRPr="00977E9A" w:rsidRDefault="0079680C">
      <w:r w:rsidRPr="00977E9A">
        <w:t xml:space="preserve">Regeringen föreslår att med avkodningsutrustning skall avses ”utrustning eller programvara som utformats eller anpassats för att göra en tjänst som omfattas av lagen tillgänglig i tolkningsbar form” (4 §). </w:t>
      </w:r>
    </w:p>
    <w:p w:rsidR="0079680C" w:rsidRPr="00977E9A" w:rsidRDefault="0079680C">
      <w:pPr>
        <w:pStyle w:val="Normaltindrag"/>
      </w:pPr>
      <w:r w:rsidRPr="00977E9A">
        <w:t>I EG-direktivet definieras som ”utrustning för villkorad tillgång: all utrus</w:t>
      </w:r>
      <w:r w:rsidRPr="00977E9A">
        <w:t>t</w:t>
      </w:r>
      <w:r w:rsidRPr="00977E9A">
        <w:t xml:space="preserve">ning eller programvara som utformats eller anpassats för att göra en skyddad tjänst tillgänglig i tolkningsbar form”. </w:t>
      </w:r>
    </w:p>
    <w:p w:rsidR="0079680C" w:rsidRPr="00977E9A" w:rsidRDefault="0079680C">
      <w:pPr>
        <w:pStyle w:val="Normaltindrag"/>
      </w:pPr>
      <w:r w:rsidRPr="00977E9A">
        <w:t>Som redovisats i föregående avsnitt innebär förslaget förbud mot vissa fö</w:t>
      </w:r>
      <w:r w:rsidRPr="00977E9A">
        <w:t>r</w:t>
      </w:r>
      <w:r w:rsidRPr="00977E9A">
        <w:t>faranden som sker yrkesmässigt eller annars i förvärvssyfte, om syftet är att göra ”en tjänst som omfattas av lagen tillgänglig i tolkningsbar form utan tjänstelev</w:t>
      </w:r>
      <w:r w:rsidRPr="00977E9A">
        <w:t>e</w:t>
      </w:r>
      <w:r w:rsidRPr="00977E9A">
        <w:t xml:space="preserve">rantörens godkännande”. </w:t>
      </w:r>
    </w:p>
    <w:p w:rsidR="0079680C" w:rsidRPr="00977E9A" w:rsidRDefault="0079680C">
      <w:pPr>
        <w:pStyle w:val="Rubrik4"/>
      </w:pPr>
      <w:bookmarkStart w:id="36" w:name="_Toc477326711"/>
      <w:r w:rsidRPr="00977E9A">
        <w:t>Motioner</w:t>
      </w:r>
      <w:bookmarkEnd w:id="36"/>
      <w:r w:rsidRPr="00977E9A">
        <w:t xml:space="preserve"> </w:t>
      </w:r>
    </w:p>
    <w:p w:rsidR="0079680C" w:rsidRPr="00977E9A" w:rsidRDefault="0079680C">
      <w:r w:rsidRPr="00977E9A">
        <w:t>Frågan om definitionen av uttrycket avkodningsutrustning tas upp i två m</w:t>
      </w:r>
      <w:r w:rsidRPr="00977E9A">
        <w:t>o</w:t>
      </w:r>
      <w:r w:rsidRPr="00977E9A">
        <w:t xml:space="preserve">tioner. </w:t>
      </w:r>
    </w:p>
    <w:p w:rsidR="0079680C" w:rsidRPr="00977E9A" w:rsidRDefault="0079680C">
      <w:pPr>
        <w:pStyle w:val="Normaltindrag"/>
      </w:pPr>
      <w:r w:rsidRPr="00977E9A">
        <w:t xml:space="preserve">I </w:t>
      </w:r>
      <w:r w:rsidRPr="00977E9A">
        <w:rPr>
          <w:i/>
        </w:rPr>
        <w:t>motion 1999/2000:K22 av Per Unckel m.fl. (m)</w:t>
      </w:r>
      <w:r w:rsidRPr="00977E9A">
        <w:t xml:space="preserve"> och </w:t>
      </w:r>
      <w:r w:rsidRPr="00977E9A">
        <w:rPr>
          <w:i/>
        </w:rPr>
        <w:t>motion 1999/2000:K23 av Ewa Larsson (mp) yrkande 3</w:t>
      </w:r>
      <w:r w:rsidRPr="00977E9A">
        <w:t xml:space="preserve"> begär motionärerna att riksdagen beslutar att med avkodningsutrustning skall avses ”utrustning eller programvara som utformats, </w:t>
      </w:r>
      <w:r w:rsidRPr="00977E9A">
        <w:rPr>
          <w:i/>
        </w:rPr>
        <w:t>är avsedd</w:t>
      </w:r>
      <w:r w:rsidRPr="00977E9A">
        <w:t xml:space="preserve"> eller anpassats för att göra en tjänst som omfattas av lagen tillgänglig i tolkningsbar form”. Motionärerna påtalar det förhållandet att olika delar som erfordras för olovlig avkodning kan säljas var för sig för att sedan sammanställas till fungerande utrustning av använd</w:t>
      </w:r>
      <w:r w:rsidRPr="00977E9A">
        <w:t>a</w:t>
      </w:r>
      <w:r w:rsidRPr="00977E9A">
        <w:t>r</w:t>
      </w:r>
      <w:r w:rsidRPr="00977E9A">
        <w:t>en själv. Sådana delar är tomma kort, programmerare och kodningsnycklar. Medan det är svårt att visa att tomma kort eller programmerare skulle vara särskilt utformade eller anpassade för olovlig avkodning, är det enligt moti</w:t>
      </w:r>
      <w:r w:rsidRPr="00977E9A">
        <w:t>o</w:t>
      </w:r>
      <w:r w:rsidRPr="00977E9A">
        <w:t>närerna i motion K22 lätt att konstatera att olovlig avkodning är avsi</w:t>
      </w:r>
      <w:r w:rsidRPr="00977E9A">
        <w:t>k</w:t>
      </w:r>
      <w:r w:rsidRPr="00977E9A">
        <w:t xml:space="preserve">ten. </w:t>
      </w:r>
    </w:p>
    <w:p w:rsidR="0079680C" w:rsidRPr="00977E9A" w:rsidRDefault="0079680C">
      <w:pPr>
        <w:pStyle w:val="Rubrik4"/>
      </w:pPr>
      <w:bookmarkStart w:id="37" w:name="_Toc477326712"/>
      <w:r w:rsidRPr="00977E9A">
        <w:t>Regeringens motiv</w:t>
      </w:r>
      <w:bookmarkEnd w:id="37"/>
      <w:r w:rsidRPr="00977E9A">
        <w:t xml:space="preserve"> </w:t>
      </w:r>
    </w:p>
    <w:p w:rsidR="0079680C" w:rsidRPr="00977E9A" w:rsidRDefault="0079680C">
      <w:r w:rsidRPr="00977E9A">
        <w:t>Regeringen erinrar om att utformningen av direktivet i detta avseende inte inriktats på vissa tydligt avgränsade former av utrustning eller att peka ut vissa tekniska lösningar. En sådan teknik baserad på en eller flera konkreta tillämpningar har undvikits för att minska riskerna för att t.ex. modifieringar av programvara leder till att bestämmelsen lätt kan kringgås. En så teknik-oberoende reglering som möjligt har eftersträvats. Av dessa skäl föreslås inte någon närmare definition av vilken utrustning d</w:t>
      </w:r>
      <w:r w:rsidRPr="00977E9A">
        <w:t>et kan bli fråga om. Detta hänger också samman med att det är EG-domstolen som har ensam befoge</w:t>
      </w:r>
      <w:r w:rsidRPr="00977E9A">
        <w:t>n</w:t>
      </w:r>
      <w:r w:rsidRPr="00977E9A">
        <w:t>het att slutligt tolka gemenskapsrättens innebörd. Det bör enligt regeringen i sammanhanget noteras att EG-kommissionen har framhållit att nivån på det tekniska skyddet inte är avgörande för skyddsvärdet eftersom även de lev</w:t>
      </w:r>
      <w:r w:rsidRPr="00977E9A">
        <w:t>e</w:t>
      </w:r>
      <w:r w:rsidRPr="00977E9A">
        <w:t>rantörer som inte har ekonomiska möjligheter att t.ex. utnyttja de absolut säkraste och effektivaste krypteringsmetoderna fö</w:t>
      </w:r>
      <w:r w:rsidRPr="00977E9A">
        <w:t>r</w:t>
      </w:r>
      <w:r w:rsidRPr="00977E9A">
        <w:t xml:space="preserve">tjänar ett rättsligt skydd. </w:t>
      </w:r>
    </w:p>
    <w:p w:rsidR="0079680C" w:rsidRPr="00977E9A" w:rsidRDefault="0079680C">
      <w:pPr>
        <w:pStyle w:val="Normaltindrag"/>
      </w:pPr>
      <w:r w:rsidRPr="00977E9A">
        <w:t>Det otillåtna ligger i det sätt på vi</w:t>
      </w:r>
      <w:r w:rsidRPr="00977E9A">
        <w:t>lket avkodningsutrustningen är avsedd att användas, nämligen att möjliggöra otillåten tillgång till en skyddad tjänst. Det är således inte avkodningsutrustningen i sig som är otillåten utan olika slag av kommersiell ver</w:t>
      </w:r>
      <w:r w:rsidRPr="00977E9A">
        <w:t>k</w:t>
      </w:r>
      <w:r w:rsidRPr="00977E9A">
        <w:t xml:space="preserve">samhet med sådan utrustning. </w:t>
      </w:r>
    </w:p>
    <w:p w:rsidR="0079680C" w:rsidRPr="00977E9A" w:rsidRDefault="0079680C">
      <w:pPr>
        <w:pStyle w:val="Normaltindrag"/>
      </w:pPr>
      <w:r w:rsidRPr="00977E9A">
        <w:t>Regeringen redovisar att flera av remissinstanserna har framställt önsk</w:t>
      </w:r>
      <w:r w:rsidRPr="00977E9A">
        <w:t>e</w:t>
      </w:r>
      <w:r w:rsidRPr="00977E9A">
        <w:t>mål om ett klarläggande av att s.k. tomma eller delade kort omfattas av la</w:t>
      </w:r>
      <w:r w:rsidRPr="00977E9A">
        <w:t>g</w:t>
      </w:r>
      <w:r w:rsidRPr="00977E9A">
        <w:t>stiftningen och att Riksåklagaren därutöver anfört att bevissvårigheter kan uppkomma t.ex. på grund av att olika delar säljs separat. Till bemötande av detta hänvisar regeringen till att – som återgivits ovan – en så teknikober</w:t>
      </w:r>
      <w:r w:rsidRPr="00977E9A">
        <w:t>o</w:t>
      </w:r>
      <w:r w:rsidRPr="00977E9A">
        <w:t>ende reglering som möjligt eftersträvats vid utformningen av direktivet. Vad som anförts av remissinstanserna utgör enligt regeringen inte tillräckligt starka skäl för att avvika från direktivets definition a</w:t>
      </w:r>
      <w:r w:rsidRPr="00977E9A">
        <w:t>v avkodningsutrustning. Det bör dock enligt regeringen framhållas att det i varje enskilt fall måste avgöras vad för slags utrustning som utgör avkodningsu</w:t>
      </w:r>
      <w:r w:rsidRPr="00977E9A">
        <w:t>t</w:t>
      </w:r>
      <w:r w:rsidRPr="00977E9A">
        <w:t xml:space="preserve">rustning. </w:t>
      </w:r>
    </w:p>
    <w:p w:rsidR="0079680C" w:rsidRPr="00977E9A" w:rsidRDefault="0079680C">
      <w:pPr>
        <w:pStyle w:val="Rubrik4"/>
      </w:pPr>
      <w:bookmarkStart w:id="38" w:name="_Toc477326713"/>
      <w:r w:rsidRPr="00977E9A">
        <w:t>Utskottets bedömning</w:t>
      </w:r>
      <w:bookmarkEnd w:id="38"/>
      <w:r w:rsidRPr="00977E9A">
        <w:t xml:space="preserve"> </w:t>
      </w:r>
    </w:p>
    <w:p w:rsidR="0079680C" w:rsidRPr="00977E9A" w:rsidRDefault="0079680C">
      <w:r w:rsidRPr="00977E9A">
        <w:t>Regeringen framhåller att det inte är avkodningsutrustningen i sig som är otillåten utan olika slag av kommersiell verksamhet med sådan utrustning och att det otillåtna ligger i det sätt på vilket avkodningsutrustningen är a</w:t>
      </w:r>
      <w:r w:rsidRPr="00977E9A">
        <w:t>v</w:t>
      </w:r>
      <w:r w:rsidRPr="00977E9A">
        <w:t>sedd att användas, nämligen att möjliggöra otillåten tillgång till en skyddad tjänst. Som motionärerna anför torde det kunna vara svårt att visa att ”tomma kort” är särskilt utformade eller anpassade för olovlig avkodning. Enligt utskottets uppfattning är det emellertid tveksamt om den av motionärerna föreslagna formuleringen skulle innebära någon större skillnad i bevishäns</w:t>
      </w:r>
      <w:r w:rsidRPr="00977E9A">
        <w:t>e</w:t>
      </w:r>
      <w:r w:rsidRPr="00977E9A">
        <w:t>ende. Som regeringen betonar måste det i varje enskilt fall avgöras vad för slags utrustning som är avkodningsutrus</w:t>
      </w:r>
      <w:r w:rsidRPr="00977E9A">
        <w:t>t</w:t>
      </w:r>
      <w:r w:rsidRPr="00977E9A">
        <w:t xml:space="preserve">ning. </w:t>
      </w:r>
    </w:p>
    <w:p w:rsidR="0079680C" w:rsidRPr="00977E9A" w:rsidRDefault="0079680C">
      <w:pPr>
        <w:pStyle w:val="Normaltindrag"/>
      </w:pPr>
      <w:r w:rsidRPr="00977E9A">
        <w:t xml:space="preserve">Utskottet </w:t>
      </w:r>
      <w:r w:rsidRPr="00977E9A">
        <w:t>anser således att den av regeringen föreslagna definitionen av avkodningsutrustning, som också stämmer överens med lydelsen i EG-direktivet, bör antas. Med detta avstyrks motionerna 1999/2000:K22 och 1999/2000:K23 yrkande 3.</w:t>
      </w:r>
    </w:p>
    <w:p w:rsidR="0079680C" w:rsidRPr="00977E9A" w:rsidRDefault="0079680C">
      <w:pPr>
        <w:pStyle w:val="Rubrik3"/>
      </w:pPr>
      <w:bookmarkStart w:id="39" w:name="_Toc477326714"/>
      <w:r w:rsidRPr="00977E9A">
        <w:t>Förslagets förhållande till tryckfrihetsförordningen</w:t>
      </w:r>
      <w:bookmarkEnd w:id="39"/>
      <w:r w:rsidRPr="00977E9A">
        <w:t xml:space="preserve"> </w:t>
      </w:r>
    </w:p>
    <w:p w:rsidR="0079680C" w:rsidRPr="00977E9A" w:rsidRDefault="0079680C">
      <w:pPr>
        <w:pStyle w:val="Rubrik4"/>
        <w:spacing w:before="123"/>
      </w:pPr>
      <w:bookmarkStart w:id="40" w:name="_Toc477326715"/>
      <w:r w:rsidRPr="00977E9A">
        <w:t>Motion</w:t>
      </w:r>
      <w:bookmarkEnd w:id="40"/>
      <w:r w:rsidRPr="00977E9A">
        <w:t xml:space="preserve"> </w:t>
      </w:r>
    </w:p>
    <w:p w:rsidR="0079680C" w:rsidRPr="00977E9A" w:rsidRDefault="0079680C">
      <w:r w:rsidRPr="00977E9A">
        <w:t xml:space="preserve">I </w:t>
      </w:r>
      <w:r w:rsidRPr="00977E9A">
        <w:rPr>
          <w:i/>
        </w:rPr>
        <w:t>motion 1999/2000:K24 av Margareta Andersson (c)</w:t>
      </w:r>
      <w:r w:rsidRPr="00977E9A">
        <w:t xml:space="preserve"> önskas ett förtydliga</w:t>
      </w:r>
      <w:r w:rsidRPr="00977E9A">
        <w:t>n</w:t>
      </w:r>
      <w:r w:rsidRPr="00977E9A">
        <w:t>de av lagen i förhållande till tryckfrihetsförordningen (TF). Motionären hänvisar till att regeringen i propositionen konstaterar att förbud mot distr</w:t>
      </w:r>
      <w:r w:rsidRPr="00977E9A">
        <w:t>i</w:t>
      </w:r>
      <w:r w:rsidRPr="00977E9A">
        <w:t>bution av programvara inte strider mot yttrandefrihetsgrundlagen (YGL), eftersom programkod inte utgör ett meddelande eller en uppgift i den bemä</w:t>
      </w:r>
      <w:r w:rsidRPr="00977E9A">
        <w:t>r</w:t>
      </w:r>
      <w:r w:rsidRPr="00977E9A">
        <w:t>kelse som avses i YGL. Normalt är förutsättningen att både teknisk utrus</w:t>
      </w:r>
      <w:r w:rsidRPr="00977E9A">
        <w:t>t</w:t>
      </w:r>
      <w:r w:rsidRPr="00977E9A">
        <w:t xml:space="preserve">ning och programvara behöver distribueras för att avkodning skall kunna </w:t>
      </w:r>
      <w:r w:rsidRPr="00977E9A">
        <w:t>ske, men det kan enligt motionären tänkas att den som innehar teknisk utrustning (t.ex. tomma kort) vill ha uppdaterade versioner av programvaran, som kan distribueras i tryckt form. Motionären anser det oklart i vilken utsträckning det föreliggande lagförslaget tar sikte på distribution i tryckt form och anser det påkallat med ett förtydligande som klargör att programkod som distribu</w:t>
      </w:r>
      <w:r w:rsidRPr="00977E9A">
        <w:t>e</w:t>
      </w:r>
      <w:r w:rsidRPr="00977E9A">
        <w:t xml:space="preserve">rats i en form som omfattas av TF inte träffas av förbudet. </w:t>
      </w:r>
    </w:p>
    <w:p w:rsidR="0079680C" w:rsidRPr="00977E9A" w:rsidRDefault="0079680C">
      <w:pPr>
        <w:pStyle w:val="Rubrik4"/>
      </w:pPr>
      <w:bookmarkStart w:id="41" w:name="_Toc477326716"/>
      <w:r w:rsidRPr="00977E9A">
        <w:t>Förhållandet till yttrandefrihetsgrundlagen enligt propositione</w:t>
      </w:r>
      <w:r w:rsidRPr="00977E9A">
        <w:t>n</w:t>
      </w:r>
      <w:bookmarkEnd w:id="41"/>
      <w:r w:rsidRPr="00977E9A">
        <w:t xml:space="preserve"> </w:t>
      </w:r>
    </w:p>
    <w:p w:rsidR="0079680C" w:rsidRPr="00977E9A" w:rsidRDefault="0079680C">
      <w:r w:rsidRPr="00977E9A">
        <w:t>Regeringen påpekar att programvara som utformats eller anpassats för att göra en skyddad tjänst åtkomlig utan tjänsteleverantörens godkännande vanligtvis lär tillhandahållas på cd-romskiva, diskett eller online via t.ex. Inte</w:t>
      </w:r>
      <w:r w:rsidRPr="00977E9A">
        <w:t>r</w:t>
      </w:r>
      <w:r w:rsidRPr="00977E9A">
        <w:t>net.</w:t>
      </w:r>
    </w:p>
    <w:p w:rsidR="0079680C" w:rsidRPr="00977E9A" w:rsidRDefault="0079680C">
      <w:pPr>
        <w:pStyle w:val="Normaltindrag"/>
      </w:pPr>
      <w:r w:rsidRPr="00977E9A">
        <w:t>Regeringen erinrar om att termen ”tekniska upptagningar” fördes in i yt</w:t>
      </w:r>
      <w:r w:rsidRPr="00977E9A">
        <w:t>t</w:t>
      </w:r>
      <w:r w:rsidRPr="00977E9A">
        <w:t>randefrihetsgrundlagen (YGL) den 1 januari 1999. Nyheten har stor betyde</w:t>
      </w:r>
      <w:r w:rsidRPr="00977E9A">
        <w:t>l</w:t>
      </w:r>
      <w:r w:rsidRPr="00977E9A">
        <w:t>se för YGL:s tillämplighet på nya former av upptagningar av information (nya fysiska databärare). Tekniska upptagningar utgör i detta sammanhang en samlingsterm för upptagningar som innehåller text, stillbilder, rörliga bilder eller ljud och som kan läsas, avlyssnas eller på annat sätt uppfattas endast med tekniska hjälpmedel. Ändringen medför att även t.ex. cd-romskivor och datordisketter med endast text eller stillbilder omfattas av</w:t>
      </w:r>
      <w:r w:rsidRPr="00977E9A">
        <w:t xml:space="preserve"> YGL. Regeringen diskuterar frågan om YGL, som bl.a. skyddar produktion, spridning och innehav av informationsbärare, utgör ett hinder mot lagb</w:t>
      </w:r>
      <w:r w:rsidRPr="00977E9A">
        <w:t>e</w:t>
      </w:r>
      <w:r w:rsidRPr="00977E9A">
        <w:t>stämmelser som förbjuder de nu aktuella förfarandena med avkodningsu</w:t>
      </w:r>
      <w:r w:rsidRPr="00977E9A">
        <w:t>t</w:t>
      </w:r>
      <w:r w:rsidRPr="00977E9A">
        <w:t>rustning.</w:t>
      </w:r>
    </w:p>
    <w:p w:rsidR="0079680C" w:rsidRPr="00977E9A" w:rsidRDefault="0079680C">
      <w:pPr>
        <w:pStyle w:val="Normaltindrag"/>
      </w:pPr>
      <w:r w:rsidRPr="00977E9A">
        <w:t>Huvudsyftet med YGL är att säkerställa friheten att yttra sig i massmedier som ett medel för den fria åsiktsbildningen i samhället. Det är alltså mas</w:t>
      </w:r>
      <w:r w:rsidRPr="00977E9A">
        <w:t>s</w:t>
      </w:r>
      <w:r w:rsidRPr="00977E9A">
        <w:t xml:space="preserve">medial användning av de angivna teknikerna som omfattas av YGL. </w:t>
      </w:r>
    </w:p>
    <w:p w:rsidR="0079680C" w:rsidRPr="00977E9A" w:rsidRDefault="0079680C">
      <w:pPr>
        <w:pStyle w:val="Normaltindrag"/>
      </w:pPr>
      <w:r w:rsidRPr="00977E9A">
        <w:t>Grunden i programvaran är programkoden. Den kan knappast anses utgöra ett meddelande eller en uppgift som är avsedd för spridning till andra i den bemärkelse som avses i YGL. En teknisk upptagning som innehåller pr</w:t>
      </w:r>
      <w:r w:rsidRPr="00977E9A">
        <w:t>o</w:t>
      </w:r>
      <w:r w:rsidRPr="00977E9A">
        <w:t>gramvara avsedd för olaglig avkodning kan därför inte anses vara en sådan teknisk upptagning som omfattas av yttrandefrihetsgrundlagen. I den mån en sådan teknisk upptagning innehåller också uppgifter som kan omfattas av grundlagsskydd torde det vara möjligt att göra en åtskillnad i straffrättsligt hänseende som leder till att olika straff- och processrättsliga regler kan komma att gälla för olika ”sekvenser” i tekniska upptagningar av nu aktuellt slag.</w:t>
      </w:r>
    </w:p>
    <w:p w:rsidR="0079680C" w:rsidRPr="00977E9A" w:rsidRDefault="0079680C">
      <w:pPr>
        <w:pStyle w:val="Normaltindrag"/>
      </w:pPr>
      <w:r w:rsidRPr="00977E9A">
        <w:t>Det bör slutligen noteras att frågan om huruvida åtgä</w:t>
      </w:r>
      <w:r w:rsidRPr="00977E9A">
        <w:t>rder mot olovlig a</w:t>
      </w:r>
      <w:r w:rsidRPr="00977E9A">
        <w:t>v</w:t>
      </w:r>
      <w:r w:rsidRPr="00977E9A">
        <w:t>kodning är förenliga med skyddet för yttrande- och informationsfrihet aktu</w:t>
      </w:r>
      <w:r w:rsidRPr="00977E9A">
        <w:t>a</w:t>
      </w:r>
      <w:r w:rsidRPr="00977E9A">
        <w:t>liserades även i samband med avkodningslagens tillkomst (prop. 1993/94:53 s. 12 f.). Då konstaterades bl.a. att yttrandefrihetsgrundlagen medgav att restriktioner infördes mot s.k. piratdekodrar eftersom grundlagen inte sky</w:t>
      </w:r>
      <w:r w:rsidRPr="00977E9A">
        <w:t>d</w:t>
      </w:r>
      <w:r w:rsidRPr="00977E9A">
        <w:t>dar den som kringgår ett villkor om betalning för att få tillgång till ett radi</w:t>
      </w:r>
      <w:r w:rsidRPr="00977E9A">
        <w:t>o</w:t>
      </w:r>
      <w:r w:rsidRPr="00977E9A">
        <w:t>pr</w:t>
      </w:r>
      <w:r w:rsidRPr="00977E9A">
        <w:t>o</w:t>
      </w:r>
      <w:r w:rsidRPr="00977E9A">
        <w:t xml:space="preserve">gram. </w:t>
      </w:r>
    </w:p>
    <w:p w:rsidR="0079680C" w:rsidRPr="00977E9A" w:rsidRDefault="0079680C">
      <w:pPr>
        <w:pStyle w:val="Rubrik4"/>
      </w:pPr>
      <w:bookmarkStart w:id="42" w:name="_Toc477326717"/>
      <w:r w:rsidRPr="00977E9A">
        <w:t>Om tryckfrihets- och yttrandefrihetsbrott</w:t>
      </w:r>
      <w:bookmarkEnd w:id="42"/>
      <w:r w:rsidRPr="00977E9A">
        <w:t xml:space="preserve"> </w:t>
      </w:r>
    </w:p>
    <w:p w:rsidR="0079680C" w:rsidRPr="00977E9A" w:rsidRDefault="0079680C">
      <w:r w:rsidRPr="00977E9A">
        <w:t>Tryckfrihet avser den i tryckfrihetsförordningen föreskrivna rätten att utge skrifter. Den som ansvarar för innehållet i en tryckt skrift får inte åtalas och straffas för det annat än om innehållet strider mot tydlig lag, given att bevara allmänt lugn, utan att återhålla allmän upplysning. För att säkerställa ett fritt meningsutbyte och en allsidig upplysning skall det stå varje svensk medbo</w:t>
      </w:r>
      <w:r w:rsidRPr="00977E9A">
        <w:t>r</w:t>
      </w:r>
      <w:r w:rsidRPr="00977E9A">
        <w:t>gare fritt att, med iakttagande av de bestämmelser som har meddelats i fö</w:t>
      </w:r>
      <w:r w:rsidRPr="00977E9A">
        <w:t>r</w:t>
      </w:r>
      <w:r w:rsidRPr="00977E9A">
        <w:t xml:space="preserve">ordningen till skydd för enskild rätt och allmän säkerhet, i tryckt skrift yttra sina tankar och åsikter, offentliggöra allmänna handlingar samt meddela uppgifter och underrättelser i vad ämne som helst. Utlänningar är i detta hänseende likställda med svenska medborgare. </w:t>
      </w:r>
    </w:p>
    <w:p w:rsidR="0079680C" w:rsidRPr="00977E9A" w:rsidRDefault="0079680C">
      <w:pPr>
        <w:pStyle w:val="Normaltindrag"/>
      </w:pPr>
      <w:r w:rsidRPr="00977E9A">
        <w:t>Vad som skall förstås med tryckfrihetsbrott regleras också i tryckfrihet</w:t>
      </w:r>
      <w:r w:rsidRPr="00977E9A">
        <w:t>s</w:t>
      </w:r>
      <w:r w:rsidRPr="00977E9A">
        <w:t>förordningen. Med beaktande av det i 1 kap. angivna syftet med en allmän tryckfrihet skall såsom tryckfrihetsbrott anses vissa särskilt angivna gärnin</w:t>
      </w:r>
      <w:r w:rsidRPr="00977E9A">
        <w:t>g</w:t>
      </w:r>
      <w:r w:rsidRPr="00977E9A">
        <w:t xml:space="preserve">ar, om de begås genom tryckt skrift och är straffbara enligt lag. Ett av de brott som anges i 7 kap. 4 § TF är uppvigling, varigenom någon uppmanar eller eljest söker förleda till brottslig gärning, svikande av medborgerlig skyldighet eller ohörsamhet mot myndighet eller åsidosättande av vad som åligger krigsman i tjänsten. </w:t>
      </w:r>
    </w:p>
    <w:p w:rsidR="0079680C" w:rsidRPr="00977E9A" w:rsidRDefault="0079680C">
      <w:pPr>
        <w:pStyle w:val="Normaltindrag"/>
      </w:pPr>
      <w:r w:rsidRPr="00977E9A">
        <w:t xml:space="preserve">Motsvarande bestämmelser finns i </w:t>
      </w:r>
      <w:r w:rsidRPr="00977E9A">
        <w:t>yttrandefrihetsgrundlagen. Yttrandefr</w:t>
      </w:r>
      <w:r w:rsidRPr="00977E9A">
        <w:t>i</w:t>
      </w:r>
      <w:r w:rsidRPr="00977E9A">
        <w:t xml:space="preserve">heten enligt YGL har till ändamål att säkra ett fritt meningsutbyte, en fri och allsidig upplysning och ett fritt konstnärligt skapande. I den får inga andra begränsningar göras än de som följer av YGL. De brott som definieras som tryckfrihetsbrott i bl.a. 7 kap. 4 § TF skall anses som yttrandefrihetsbrott, om de begås i ett radioprogram eller en teknisk upptagning och är straffbara enligt lag. </w:t>
      </w:r>
    </w:p>
    <w:p w:rsidR="0079680C" w:rsidRPr="00977E9A" w:rsidRDefault="0079680C">
      <w:pPr>
        <w:pStyle w:val="Normaltindrag"/>
      </w:pPr>
      <w:r w:rsidRPr="00977E9A">
        <w:t>Ett rent ”tekniskt” förledande till brott torde normalt inte kunna bestraff</w:t>
      </w:r>
      <w:r w:rsidRPr="00977E9A">
        <w:t>as som uppvigling. I ett beslut från 1981 beslöt Justitiekanslern (JK) att inte väcka tryckfrihetsåtal för uppvigling mot Nya hembränningsboken, en skrift vari mycket utförligt beskrevs hur s.k. hembränning går till. Trots att JK fann att boken knappast hade något annat syfte än att göra det möjligt för läsaren att begå brott fann han, ehuru med tvekan, att åtal inte skulle väckas. JK vägde in i bedömningen som en förmildrande omständighet att det i fra</w:t>
      </w:r>
      <w:r w:rsidRPr="00977E9A">
        <w:t>m</w:t>
      </w:r>
      <w:r w:rsidRPr="00977E9A">
        <w:t>ställningen på flera ställen hade angivits, att det be</w:t>
      </w:r>
      <w:r w:rsidRPr="00977E9A">
        <w:t>skrivna förfarandet var olagligt. Hans-Gunnar Axberger har redovisat beslutet i sin avhandling Tryckfrihetens gränser (s. 195) och gör bedömningen att framställningar som förenar tekniskt beskrivande och förledande däremot torde löpa uppenbar risk att åtalas som uppvigling, försåvitt inte sådana omständigheter föreligger att 1 kap. 4 § TF kan åberopas. Som ett särskilt fall av förledande kan man enligt Axberger också tänka sig att ett straffbart förfarande beskrivs som straffritt; ett dylikt vilseledande bö</w:t>
      </w:r>
      <w:r w:rsidRPr="00977E9A">
        <w:t xml:space="preserve">r stundom kunna anses synonymt med förledande. </w:t>
      </w:r>
    </w:p>
    <w:p w:rsidR="0079680C" w:rsidRPr="00977E9A" w:rsidRDefault="0079680C">
      <w:pPr>
        <w:pStyle w:val="Rubrik4"/>
      </w:pPr>
      <w:bookmarkStart w:id="43" w:name="_Toc477326718"/>
      <w:r w:rsidRPr="00977E9A">
        <w:t>Utskottets bedömning</w:t>
      </w:r>
      <w:bookmarkEnd w:id="43"/>
      <w:r w:rsidRPr="00977E9A">
        <w:t xml:space="preserve"> </w:t>
      </w:r>
    </w:p>
    <w:p w:rsidR="0079680C" w:rsidRPr="00977E9A" w:rsidRDefault="0079680C">
      <w:r w:rsidRPr="00977E9A">
        <w:t>Som framgår ovan regleras de brott som begås genom tryckt skrift – dvs. vad som skall förstås med tryckfrihetsbrott – exklusivt i tryckfrihetsförordningen. Enligt utskottets uppfattning finns inte behov av några särskilda regler i den fråga som aktu</w:t>
      </w:r>
      <w:r w:rsidRPr="00977E9A">
        <w:t>a</w:t>
      </w:r>
      <w:r w:rsidRPr="00977E9A">
        <w:t xml:space="preserve">liseras i motion 1999/2000:K24. Motionen avstyrks. </w:t>
      </w:r>
    </w:p>
    <w:p w:rsidR="0079680C" w:rsidRPr="00977E9A" w:rsidRDefault="0079680C">
      <w:pPr>
        <w:pStyle w:val="Rubrik2"/>
      </w:pPr>
      <w:bookmarkStart w:id="44" w:name="_Toc477326719"/>
      <w:r w:rsidRPr="00977E9A">
        <w:t>Hemställan</w:t>
      </w:r>
      <w:bookmarkEnd w:id="44"/>
    </w:p>
    <w:p w:rsidR="0079680C" w:rsidRPr="00977E9A" w:rsidRDefault="0079680C">
      <w:r w:rsidRPr="00977E9A">
        <w:t>Utskottet hemställer</w:t>
      </w:r>
    </w:p>
    <w:p w:rsidR="0079680C" w:rsidRPr="00977E9A" w:rsidRDefault="0079680C">
      <w:pPr>
        <w:pStyle w:val="hembetr"/>
      </w:pPr>
      <w:r w:rsidRPr="00977E9A">
        <w:t xml:space="preserve">1. beträffande </w:t>
      </w:r>
      <w:r w:rsidRPr="00977E9A">
        <w:rPr>
          <w:i/>
        </w:rPr>
        <w:t>privat innehav av avkodningsutrustning</w:t>
      </w:r>
    </w:p>
    <w:p w:rsidR="0079680C" w:rsidRPr="00977E9A" w:rsidRDefault="0079680C">
      <w:pPr>
        <w:pStyle w:val="hemtext"/>
      </w:pPr>
      <w:r w:rsidRPr="00977E9A">
        <w:t xml:space="preserve">att riksdagen avslår motion  1999/2000:K23 yrkande 1,       </w:t>
      </w:r>
      <w:bookmarkStart w:id="45" w:name="RESPARTI001"/>
      <w:bookmarkEnd w:id="45"/>
    </w:p>
    <w:p w:rsidR="0079680C" w:rsidRPr="00977E9A" w:rsidRDefault="0079680C">
      <w:pPr>
        <w:pStyle w:val="hembetr"/>
      </w:pPr>
      <w:r w:rsidRPr="00977E9A">
        <w:t xml:space="preserve">2. beträffande </w:t>
      </w:r>
      <w:r w:rsidRPr="00977E9A">
        <w:rPr>
          <w:i/>
        </w:rPr>
        <w:t>utvärdering</w:t>
      </w:r>
    </w:p>
    <w:p w:rsidR="0079680C" w:rsidRPr="00977E9A" w:rsidRDefault="0079680C">
      <w:pPr>
        <w:pStyle w:val="hemtext"/>
      </w:pPr>
      <w:r w:rsidRPr="00977E9A">
        <w:t xml:space="preserve">att riksdagen avslår motion  1999/2000:K23 yrkande 2,       </w:t>
      </w:r>
    </w:p>
    <w:p w:rsidR="0079680C" w:rsidRPr="00977E9A" w:rsidRDefault="0079680C">
      <w:pPr>
        <w:pStyle w:val="Reseftermom"/>
      </w:pPr>
      <w:r w:rsidRPr="00977E9A">
        <w:t>res. 1 (mp)</w:t>
      </w:r>
      <w:bookmarkStart w:id="46" w:name="RESPARTI002"/>
      <w:bookmarkEnd w:id="46"/>
    </w:p>
    <w:p w:rsidR="0079680C" w:rsidRPr="00977E9A" w:rsidRDefault="0079680C">
      <w:pPr>
        <w:pStyle w:val="hembetr"/>
      </w:pPr>
      <w:r w:rsidRPr="00977E9A">
        <w:t xml:space="preserve">3. beträffande </w:t>
      </w:r>
      <w:r w:rsidRPr="00977E9A">
        <w:rPr>
          <w:i/>
        </w:rPr>
        <w:t>definitionen av avkodningsutrustning</w:t>
      </w:r>
    </w:p>
    <w:p w:rsidR="0079680C" w:rsidRPr="00977E9A" w:rsidRDefault="0079680C">
      <w:pPr>
        <w:pStyle w:val="hemtext"/>
      </w:pPr>
      <w:r w:rsidRPr="00977E9A">
        <w:t>att riksdagen med bifall till proposition 1999/2000:49 samt med a</w:t>
      </w:r>
      <w:r w:rsidRPr="00977E9A">
        <w:t>v</w:t>
      </w:r>
      <w:r w:rsidRPr="00977E9A">
        <w:t>slag på motionerna 1999/2000:K22 och 1999/2000:K23 yrkande 3 antar regeringens förslag till lag om förbud beträffande viss avko</w:t>
      </w:r>
      <w:r w:rsidRPr="00977E9A">
        <w:t>d</w:t>
      </w:r>
      <w:r w:rsidRPr="00977E9A">
        <w:t>ningsu</w:t>
      </w:r>
      <w:r w:rsidRPr="00977E9A">
        <w:t>t</w:t>
      </w:r>
      <w:r w:rsidRPr="00977E9A">
        <w:t xml:space="preserve">rustning såvitt avser 4 §,       </w:t>
      </w:r>
    </w:p>
    <w:p w:rsidR="0079680C" w:rsidRPr="00977E9A" w:rsidRDefault="0079680C">
      <w:pPr>
        <w:pStyle w:val="Reseftermom"/>
      </w:pPr>
      <w:r w:rsidRPr="00977E9A">
        <w:t>res. 2 (mp)</w:t>
      </w:r>
      <w:bookmarkStart w:id="47" w:name="RESPARTI003"/>
      <w:bookmarkEnd w:id="47"/>
    </w:p>
    <w:p w:rsidR="0079680C" w:rsidRPr="00977E9A" w:rsidRDefault="0079680C">
      <w:pPr>
        <w:pStyle w:val="hembetr"/>
      </w:pPr>
      <w:r w:rsidRPr="00977E9A">
        <w:br w:type="page"/>
        <w:t xml:space="preserve">4. beträffande </w:t>
      </w:r>
      <w:r w:rsidRPr="00977E9A">
        <w:rPr>
          <w:i/>
        </w:rPr>
        <w:t>förhållande till tryckfrihet och yttrandefrihet</w:t>
      </w:r>
    </w:p>
    <w:p w:rsidR="0079680C" w:rsidRPr="00977E9A" w:rsidRDefault="0079680C">
      <w:pPr>
        <w:pStyle w:val="hemtext"/>
      </w:pPr>
      <w:r w:rsidRPr="00977E9A">
        <w:t xml:space="preserve">att riksdagen avslår motion 1999/2000:K24,       </w:t>
      </w:r>
      <w:bookmarkStart w:id="48" w:name="RESPARTI004"/>
      <w:bookmarkEnd w:id="48"/>
    </w:p>
    <w:p w:rsidR="0079680C" w:rsidRPr="00977E9A" w:rsidRDefault="0079680C">
      <w:pPr>
        <w:pStyle w:val="hembetr"/>
      </w:pPr>
      <w:r w:rsidRPr="00977E9A">
        <w:t xml:space="preserve">5. beträffande </w:t>
      </w:r>
      <w:r w:rsidRPr="00977E9A">
        <w:rPr>
          <w:i/>
        </w:rPr>
        <w:t>lagförslaget i övrigt</w:t>
      </w:r>
      <w:bookmarkStart w:id="49" w:name="RESPARTI005"/>
      <w:bookmarkEnd w:id="49"/>
    </w:p>
    <w:p w:rsidR="0079680C" w:rsidRPr="00977E9A" w:rsidRDefault="0079680C">
      <w:pPr>
        <w:pStyle w:val="hemtext"/>
      </w:pPr>
      <w:r w:rsidRPr="00977E9A">
        <w:t>att riksdagen med bifall till propositionen antar regeringens förslag till lag om förbud beträffande viss avkodningsutrustning i den mån fö</w:t>
      </w:r>
      <w:r w:rsidRPr="00977E9A">
        <w:t>r</w:t>
      </w:r>
      <w:r w:rsidRPr="00977E9A">
        <w:t>slaget inte berörts ovan under moment 3.</w:t>
      </w:r>
    </w:p>
    <w:p w:rsidR="0079680C" w:rsidRPr="00977E9A" w:rsidRDefault="0079680C">
      <w:pPr>
        <w:pStyle w:val="hemtext"/>
      </w:pPr>
    </w:p>
    <w:p w:rsidR="0079680C" w:rsidRPr="00977E9A" w:rsidRDefault="0079680C">
      <w:pPr>
        <w:pStyle w:val="Stockholm"/>
      </w:pPr>
      <w:bookmarkStart w:id="50" w:name="Nästa_Hpunkt"/>
      <w:bookmarkEnd w:id="50"/>
      <w:r w:rsidRPr="00977E9A">
        <w:t xml:space="preserve">Stockholm den 7 mars 2000 </w:t>
      </w:r>
    </w:p>
    <w:p w:rsidR="0079680C" w:rsidRPr="00977E9A" w:rsidRDefault="0079680C">
      <w:pPr>
        <w:pStyle w:val="Vgnar"/>
      </w:pPr>
      <w:r w:rsidRPr="00977E9A">
        <w:t>På konstitutionsutskottets vägnar</w:t>
      </w:r>
    </w:p>
    <w:p w:rsidR="0079680C" w:rsidRPr="00977E9A" w:rsidRDefault="0079680C">
      <w:pPr>
        <w:pStyle w:val="Ordfnamn"/>
      </w:pPr>
      <w:bookmarkStart w:id="51" w:name="Ordförande"/>
      <w:bookmarkEnd w:id="51"/>
      <w:r w:rsidRPr="00977E9A">
        <w:t xml:space="preserve">Per Unckel </w:t>
      </w:r>
    </w:p>
    <w:p w:rsidR="0079680C" w:rsidRPr="00977E9A" w:rsidRDefault="0079680C">
      <w:pPr>
        <w:pStyle w:val="Deltagare"/>
      </w:pPr>
      <w:bookmarkStart w:id="52" w:name="Deltagare"/>
      <w:bookmarkEnd w:id="52"/>
      <w:r w:rsidRPr="00977E9A">
        <w:t>I beslutet har deltagit: Per Unckel (m), Göran Magnusson (s), Barbro Hietala Nordlund (s), Kenneth Kvist (v), Ingvar Svensson (kd), Mats Berglind (s), Inger René (m), Tommy Waidelich (s), Björn von der Esch (kd), Nils Fredrik Aurelius (m), Per Lager (mp), Åsa Torstensson (c), Helena Bargholtz (fp), Kenth Högström (s), Per-Samuel Nisser (m) och Britt-Marie Lindkvist (s).</w:t>
      </w:r>
    </w:p>
    <w:p w:rsidR="0079680C" w:rsidRPr="00977E9A" w:rsidRDefault="0079680C">
      <w:pPr>
        <w:pStyle w:val="Normaltindrag"/>
      </w:pPr>
    </w:p>
    <w:p w:rsidR="0079680C" w:rsidRPr="00977E9A" w:rsidRDefault="0079680C">
      <w:pPr>
        <w:pStyle w:val="Rubrik1"/>
      </w:pPr>
      <w:bookmarkStart w:id="53" w:name="_Toc477326720"/>
      <w:r w:rsidRPr="00977E9A">
        <w:t>Reservationer</w:t>
      </w:r>
      <w:bookmarkEnd w:id="53"/>
    </w:p>
    <w:p w:rsidR="0079680C" w:rsidRPr="00977E9A" w:rsidRDefault="0079680C">
      <w:pPr>
        <w:pStyle w:val="Rubrik2"/>
        <w:spacing w:before="123"/>
      </w:pPr>
      <w:bookmarkStart w:id="54" w:name="_Toc477326721"/>
      <w:r w:rsidRPr="00977E9A">
        <w:t>1. Utvärdering (mom. 2)</w:t>
      </w:r>
      <w:bookmarkEnd w:id="54"/>
    </w:p>
    <w:p w:rsidR="0079680C" w:rsidRPr="00977E9A" w:rsidRDefault="0079680C">
      <w:r w:rsidRPr="00977E9A">
        <w:t xml:space="preserve">Per Lager (mp) anser </w:t>
      </w:r>
    </w:p>
    <w:p w:rsidR="0079680C" w:rsidRPr="00977E9A" w:rsidRDefault="0079680C">
      <w:r w:rsidRPr="00977E9A">
        <w:rPr>
          <w:i/>
        </w:rPr>
        <w:t>dels</w:t>
      </w:r>
      <w:r w:rsidRPr="00977E9A">
        <w:t xml:space="preserve"> att den del av utskottets yttrande som på s. 5 börjar med ”Utskottets ställningstagande” och slutar med ”inte behövs.” bort ha följande lyde</w:t>
      </w:r>
      <w:r w:rsidRPr="00977E9A">
        <w:t>l</w:t>
      </w:r>
      <w:r w:rsidRPr="00977E9A">
        <w:t>se:</w:t>
      </w:r>
    </w:p>
    <w:p w:rsidR="0079680C" w:rsidRPr="00977E9A" w:rsidRDefault="0079680C">
      <w:pPr>
        <w:pStyle w:val="Normaltindrag"/>
      </w:pPr>
      <w:r w:rsidRPr="00977E9A">
        <w:t>Som anförs i motion 1999/2000:K23 kan det uppskattas att det i de nordi</w:t>
      </w:r>
      <w:r w:rsidRPr="00977E9A">
        <w:t>s</w:t>
      </w:r>
      <w:r w:rsidRPr="00977E9A">
        <w:t xml:space="preserve">ka länderna finns betydligt fler s.k. piratkort på marknaden i de länder som inte har innehavsförbud – Sverige och Danmark – än i de länder som har sådant förbud – Norge och Finland. I Danmark planerar man att införa ett sådant förbud, medan något sådant förbud inte föreslås här. </w:t>
      </w:r>
    </w:p>
    <w:p w:rsidR="0079680C" w:rsidRPr="00977E9A" w:rsidRDefault="0079680C">
      <w:pPr>
        <w:pStyle w:val="Normaltindrag"/>
      </w:pPr>
      <w:r w:rsidRPr="00977E9A">
        <w:t xml:space="preserve">Utskottet delar uppfattningen i motionen att regeringen om tre år skall återkomma till riksdagen och redovisa en utvärdering av om piratkopieringen i Sverige har minskat efter det att den nya lagen införts. Utskottet förutsätter </w:t>
      </w:r>
      <w:r w:rsidRPr="00977E9A">
        <w:t>att regeringen också föreslår ändring i lagen på denna punkt, om utvärd</w:t>
      </w:r>
      <w:r w:rsidRPr="00977E9A">
        <w:t>e</w:t>
      </w:r>
      <w:r w:rsidRPr="00977E9A">
        <w:t xml:space="preserve">ringen ger anledning till det. </w:t>
      </w:r>
    </w:p>
    <w:p w:rsidR="0079680C" w:rsidRPr="00977E9A" w:rsidRDefault="0079680C">
      <w:r w:rsidRPr="00977E9A">
        <w:rPr>
          <w:i/>
        </w:rPr>
        <w:t>dels</w:t>
      </w:r>
      <w:r w:rsidRPr="00977E9A">
        <w:t xml:space="preserve"> att utskottets hemställan under 2 bort ha följande lydelse:</w:t>
      </w:r>
    </w:p>
    <w:p w:rsidR="0079680C" w:rsidRPr="00977E9A" w:rsidRDefault="0079680C">
      <w:pPr>
        <w:pStyle w:val="Resklmb"/>
      </w:pPr>
      <w:r w:rsidRPr="00977E9A">
        <w:t xml:space="preserve">2. beträffande </w:t>
      </w:r>
      <w:r w:rsidRPr="00977E9A">
        <w:rPr>
          <w:i/>
        </w:rPr>
        <w:t>utvärdering</w:t>
      </w:r>
    </w:p>
    <w:p w:rsidR="0079680C" w:rsidRPr="00977E9A" w:rsidRDefault="0079680C">
      <w:pPr>
        <w:pStyle w:val="Resklm"/>
      </w:pPr>
      <w:r w:rsidRPr="00977E9A">
        <w:t xml:space="preserve">att riksdagen med bifall till motion 1999/2000:K23 yrkande 2 som sin mening ger regeringen till känna vad utskottet anfört, </w:t>
      </w:r>
    </w:p>
    <w:p w:rsidR="0079680C" w:rsidRPr="00977E9A" w:rsidRDefault="0079680C">
      <w:pPr>
        <w:pStyle w:val="Rubrik2"/>
      </w:pPr>
      <w:bookmarkStart w:id="55" w:name="_Toc477326722"/>
      <w:r w:rsidRPr="00977E9A">
        <w:t>2. Definitionen av avkodningsutrustning (mom. 3)</w:t>
      </w:r>
      <w:bookmarkEnd w:id="55"/>
    </w:p>
    <w:p w:rsidR="0079680C" w:rsidRPr="00977E9A" w:rsidRDefault="0079680C">
      <w:r w:rsidRPr="00977E9A">
        <w:t xml:space="preserve">Per Lager (mp) anser </w:t>
      </w:r>
    </w:p>
    <w:p w:rsidR="0079680C" w:rsidRPr="00977E9A" w:rsidRDefault="0079680C">
      <w:r w:rsidRPr="00977E9A">
        <w:rPr>
          <w:i/>
        </w:rPr>
        <w:t>dels</w:t>
      </w:r>
      <w:r w:rsidRPr="00977E9A">
        <w:t xml:space="preserve"> att den del av utskottets yttrande som på s. 7 börjar med ”Regeringen framhåller” och slutar med ”yrkande 3.” bort ha följande lydelse: </w:t>
      </w:r>
    </w:p>
    <w:p w:rsidR="0079680C" w:rsidRPr="00977E9A" w:rsidRDefault="0079680C">
      <w:pPr>
        <w:pStyle w:val="Normaltindrag"/>
      </w:pPr>
      <w:r w:rsidRPr="00977E9A">
        <w:t>Medan det är svårt att visa att tomma kort eller programmerare skulle vara särskilt utformade eller anpassade för olovlig avkodning, är det lätt att ko</w:t>
      </w:r>
      <w:r w:rsidRPr="00977E9A">
        <w:t>n</w:t>
      </w:r>
      <w:r w:rsidRPr="00977E9A">
        <w:t>statera att olovlig avkodning är avsikten. Enligt utskottets uppfattning skulle därför ett bättre skydd uppnås mot olovlig avkodning om definitionen i 4 § kompletteras med orden ”är avsedd” mellan orden ”utformats” och ”eller anpa</w:t>
      </w:r>
      <w:r w:rsidRPr="00977E9A">
        <w:t>s</w:t>
      </w:r>
      <w:r w:rsidRPr="00977E9A">
        <w:t>sats”.</w:t>
      </w:r>
    </w:p>
    <w:p w:rsidR="0079680C" w:rsidRPr="00977E9A" w:rsidRDefault="0079680C">
      <w:r w:rsidRPr="00977E9A">
        <w:rPr>
          <w:i/>
        </w:rPr>
        <w:t>dels</w:t>
      </w:r>
      <w:r w:rsidRPr="00977E9A">
        <w:t xml:space="preserve"> att utskottets hemställan under 3 bort ha följande lydelse:</w:t>
      </w:r>
    </w:p>
    <w:p w:rsidR="0079680C" w:rsidRPr="00977E9A" w:rsidRDefault="0079680C">
      <w:pPr>
        <w:pStyle w:val="Resklmb"/>
      </w:pPr>
      <w:r w:rsidRPr="00977E9A">
        <w:t xml:space="preserve">3. beträffande </w:t>
      </w:r>
      <w:r w:rsidRPr="00977E9A">
        <w:rPr>
          <w:i/>
        </w:rPr>
        <w:t>definitionen av avkodningsutrustning</w:t>
      </w:r>
    </w:p>
    <w:p w:rsidR="0079680C" w:rsidRPr="00977E9A" w:rsidRDefault="0079680C">
      <w:pPr>
        <w:pStyle w:val="Resklm"/>
      </w:pPr>
      <w:r w:rsidRPr="00977E9A">
        <w:t>att riksdagen med bifall till motionerna 1999/2000:K22 och 1999/2000:K23 yrkande 3 antar regeringens förslag till lag om förbud beträffande viss avkodningsutrustning såvitt avser 4 § med den än</w:t>
      </w:r>
      <w:r w:rsidRPr="00977E9A">
        <w:t>d</w:t>
      </w:r>
      <w:r w:rsidRPr="00977E9A">
        <w:t xml:space="preserve">ringen att mellan orden ”utformats” och ”eller anpassats” skall infogas orden ”är avsedd”, </w:t>
      </w:r>
    </w:p>
    <w:p w:rsidR="0079680C" w:rsidRPr="00977E9A" w:rsidRDefault="0079680C">
      <w:pPr>
        <w:pStyle w:val="Resklm"/>
      </w:pPr>
      <w:bookmarkStart w:id="56" w:name="Nästa_Reservation"/>
      <w:bookmarkEnd w:id="56"/>
    </w:p>
    <w:p w:rsidR="0079680C" w:rsidRPr="00977E9A" w:rsidRDefault="0079680C"/>
    <w:p w:rsidR="0079680C" w:rsidRPr="00977E9A" w:rsidRDefault="0079680C"/>
    <w:p w:rsidR="0079680C" w:rsidRPr="00977E9A" w:rsidRDefault="0079680C">
      <w:pPr>
        <w:pStyle w:val="Normaltindrag"/>
        <w:sectPr w:rsidR="00000000" w:rsidRPr="00977E9A">
          <w:headerReference w:type="default" r:id="rId9"/>
          <w:footerReference w:type="default" r:id="rId10"/>
          <w:pgSz w:w="11906" w:h="16838" w:code="9"/>
          <w:pgMar w:top="567" w:right="4876" w:bottom="4508" w:left="1134" w:header="227" w:footer="227" w:gutter="0"/>
          <w:cols w:space="720"/>
        </w:sectPr>
      </w:pPr>
    </w:p>
    <w:p w:rsidR="0079680C" w:rsidRPr="00977E9A" w:rsidRDefault="0079680C">
      <w:pPr>
        <w:pStyle w:val="Innehll"/>
        <w:outlineLvl w:val="0"/>
      </w:pPr>
      <w:r w:rsidRPr="00977E9A">
        <w:t>Innehållsförteckning</w:t>
      </w:r>
    </w:p>
    <w:p w:rsidR="0079680C" w:rsidRPr="00977E9A" w:rsidRDefault="0079680C">
      <w:pPr>
        <w:pStyle w:val="Innehll1"/>
        <w:rPr>
          <w:noProof w:val="0"/>
        </w:rPr>
      </w:pPr>
      <w:r w:rsidRPr="00977E9A">
        <w:rPr>
          <w:noProof w:val="0"/>
        </w:rPr>
        <w:t>Sammanfattning</w:t>
      </w:r>
      <w:r w:rsidRPr="00977E9A">
        <w:rPr>
          <w:noProof w:val="0"/>
        </w:rPr>
        <w:tab/>
        <w:t>1</w:t>
      </w:r>
    </w:p>
    <w:p w:rsidR="0079680C" w:rsidRPr="00977E9A" w:rsidRDefault="0079680C">
      <w:pPr>
        <w:pStyle w:val="Innehll1"/>
        <w:rPr>
          <w:noProof w:val="0"/>
        </w:rPr>
      </w:pPr>
      <w:r w:rsidRPr="00977E9A">
        <w:rPr>
          <w:noProof w:val="0"/>
        </w:rPr>
        <w:t>Propositionen</w:t>
      </w:r>
      <w:r w:rsidRPr="00977E9A">
        <w:rPr>
          <w:noProof w:val="0"/>
        </w:rPr>
        <w:tab/>
        <w:t>1</w:t>
      </w:r>
    </w:p>
    <w:p w:rsidR="0079680C" w:rsidRPr="00977E9A" w:rsidRDefault="0079680C">
      <w:pPr>
        <w:pStyle w:val="Innehll1"/>
        <w:rPr>
          <w:noProof w:val="0"/>
        </w:rPr>
      </w:pPr>
      <w:r w:rsidRPr="00977E9A">
        <w:rPr>
          <w:noProof w:val="0"/>
        </w:rPr>
        <w:t>Motionerna</w:t>
      </w:r>
      <w:r w:rsidRPr="00977E9A">
        <w:rPr>
          <w:noProof w:val="0"/>
        </w:rPr>
        <w:tab/>
        <w:t>1</w:t>
      </w:r>
    </w:p>
    <w:p w:rsidR="0079680C" w:rsidRPr="00977E9A" w:rsidRDefault="0079680C">
      <w:pPr>
        <w:pStyle w:val="Innehll1"/>
        <w:rPr>
          <w:noProof w:val="0"/>
        </w:rPr>
      </w:pPr>
      <w:r w:rsidRPr="00977E9A">
        <w:rPr>
          <w:noProof w:val="0"/>
        </w:rPr>
        <w:t>Utskottet</w:t>
      </w:r>
      <w:r w:rsidRPr="00977E9A">
        <w:rPr>
          <w:noProof w:val="0"/>
        </w:rPr>
        <w:tab/>
        <w:t>2</w:t>
      </w:r>
    </w:p>
    <w:p w:rsidR="0079680C" w:rsidRPr="00977E9A" w:rsidRDefault="0079680C">
      <w:pPr>
        <w:pStyle w:val="Innehll2"/>
        <w:rPr>
          <w:noProof w:val="0"/>
        </w:rPr>
      </w:pPr>
      <w:r w:rsidRPr="00977E9A">
        <w:rPr>
          <w:noProof w:val="0"/>
        </w:rPr>
        <w:t>Bakgrund</w:t>
      </w:r>
      <w:r w:rsidRPr="00977E9A">
        <w:rPr>
          <w:noProof w:val="0"/>
        </w:rPr>
        <w:tab/>
        <w:t>2</w:t>
      </w:r>
    </w:p>
    <w:p w:rsidR="0079680C" w:rsidRPr="00977E9A" w:rsidRDefault="0079680C">
      <w:pPr>
        <w:pStyle w:val="Innehll3"/>
        <w:rPr>
          <w:noProof w:val="0"/>
        </w:rPr>
      </w:pPr>
      <w:r w:rsidRPr="00977E9A">
        <w:rPr>
          <w:noProof w:val="0"/>
        </w:rPr>
        <w:t>Gällande bestämmelser</w:t>
      </w:r>
      <w:r w:rsidRPr="00977E9A">
        <w:rPr>
          <w:noProof w:val="0"/>
        </w:rPr>
        <w:tab/>
        <w:t>2</w:t>
      </w:r>
    </w:p>
    <w:p w:rsidR="0079680C" w:rsidRPr="00977E9A" w:rsidRDefault="0079680C">
      <w:pPr>
        <w:pStyle w:val="Innehll3"/>
        <w:rPr>
          <w:noProof w:val="0"/>
        </w:rPr>
      </w:pPr>
      <w:r w:rsidRPr="00977E9A">
        <w:rPr>
          <w:noProof w:val="0"/>
        </w:rPr>
        <w:t>EG-direktiv</w:t>
      </w:r>
      <w:r w:rsidRPr="00977E9A">
        <w:rPr>
          <w:noProof w:val="0"/>
        </w:rPr>
        <w:tab/>
        <w:t>2</w:t>
      </w:r>
    </w:p>
    <w:p w:rsidR="0079680C" w:rsidRPr="00977E9A" w:rsidRDefault="0079680C">
      <w:pPr>
        <w:pStyle w:val="Innehll2"/>
        <w:rPr>
          <w:noProof w:val="0"/>
        </w:rPr>
      </w:pPr>
      <w:r w:rsidRPr="00977E9A">
        <w:rPr>
          <w:noProof w:val="0"/>
        </w:rPr>
        <w:t>Regeringens förslag i korthet</w:t>
      </w:r>
      <w:r w:rsidRPr="00977E9A">
        <w:rPr>
          <w:noProof w:val="0"/>
        </w:rPr>
        <w:tab/>
        <w:t>3</w:t>
      </w:r>
    </w:p>
    <w:p w:rsidR="0079680C" w:rsidRPr="00977E9A" w:rsidRDefault="0079680C">
      <w:pPr>
        <w:pStyle w:val="Innehll2"/>
        <w:rPr>
          <w:noProof w:val="0"/>
        </w:rPr>
      </w:pPr>
      <w:r w:rsidRPr="00977E9A">
        <w:rPr>
          <w:noProof w:val="0"/>
        </w:rPr>
        <w:t>Särskilda frågor</w:t>
      </w:r>
      <w:r w:rsidRPr="00977E9A">
        <w:rPr>
          <w:noProof w:val="0"/>
        </w:rPr>
        <w:tab/>
        <w:t>4</w:t>
      </w:r>
    </w:p>
    <w:p w:rsidR="0079680C" w:rsidRPr="00977E9A" w:rsidRDefault="0079680C">
      <w:pPr>
        <w:pStyle w:val="Innehll3"/>
        <w:rPr>
          <w:noProof w:val="0"/>
        </w:rPr>
      </w:pPr>
      <w:r w:rsidRPr="00977E9A">
        <w:rPr>
          <w:noProof w:val="0"/>
        </w:rPr>
        <w:t>Privat innehav av utrustning</w:t>
      </w:r>
      <w:r w:rsidRPr="00977E9A">
        <w:rPr>
          <w:noProof w:val="0"/>
        </w:rPr>
        <w:tab/>
        <w:t>4</w:t>
      </w:r>
    </w:p>
    <w:p w:rsidR="0079680C" w:rsidRPr="00977E9A" w:rsidRDefault="0079680C">
      <w:pPr>
        <w:pStyle w:val="Innehll4"/>
        <w:rPr>
          <w:noProof w:val="0"/>
        </w:rPr>
      </w:pPr>
      <w:r w:rsidRPr="00977E9A">
        <w:rPr>
          <w:noProof w:val="0"/>
        </w:rPr>
        <w:t>Propositionen</w:t>
      </w:r>
      <w:r w:rsidRPr="00977E9A">
        <w:rPr>
          <w:noProof w:val="0"/>
        </w:rPr>
        <w:tab/>
        <w:t>4</w:t>
      </w:r>
    </w:p>
    <w:p w:rsidR="0079680C" w:rsidRPr="00977E9A" w:rsidRDefault="0079680C">
      <w:pPr>
        <w:pStyle w:val="Innehll4"/>
        <w:rPr>
          <w:noProof w:val="0"/>
        </w:rPr>
      </w:pPr>
      <w:r w:rsidRPr="00977E9A">
        <w:rPr>
          <w:noProof w:val="0"/>
        </w:rPr>
        <w:t>Motion</w:t>
      </w:r>
      <w:r w:rsidRPr="00977E9A">
        <w:rPr>
          <w:noProof w:val="0"/>
        </w:rPr>
        <w:tab/>
        <w:t>4</w:t>
      </w:r>
    </w:p>
    <w:p w:rsidR="0079680C" w:rsidRPr="00977E9A" w:rsidRDefault="0079680C">
      <w:pPr>
        <w:pStyle w:val="Innehll4"/>
        <w:rPr>
          <w:noProof w:val="0"/>
        </w:rPr>
      </w:pPr>
      <w:r w:rsidRPr="00977E9A">
        <w:rPr>
          <w:noProof w:val="0"/>
        </w:rPr>
        <w:t>Regeringens motiv</w:t>
      </w:r>
      <w:r w:rsidRPr="00977E9A">
        <w:rPr>
          <w:noProof w:val="0"/>
        </w:rPr>
        <w:tab/>
        <w:t>4</w:t>
      </w:r>
    </w:p>
    <w:p w:rsidR="0079680C" w:rsidRPr="00977E9A" w:rsidRDefault="0079680C">
      <w:pPr>
        <w:pStyle w:val="Innehll4"/>
        <w:rPr>
          <w:noProof w:val="0"/>
        </w:rPr>
      </w:pPr>
      <w:r w:rsidRPr="00977E9A">
        <w:rPr>
          <w:noProof w:val="0"/>
        </w:rPr>
        <w:t>Utskottets bedömning</w:t>
      </w:r>
      <w:r w:rsidRPr="00977E9A">
        <w:rPr>
          <w:noProof w:val="0"/>
        </w:rPr>
        <w:tab/>
        <w:t>5</w:t>
      </w:r>
    </w:p>
    <w:p w:rsidR="0079680C" w:rsidRPr="00977E9A" w:rsidRDefault="0079680C">
      <w:pPr>
        <w:pStyle w:val="Innehll3"/>
        <w:rPr>
          <w:noProof w:val="0"/>
        </w:rPr>
      </w:pPr>
      <w:r w:rsidRPr="00977E9A">
        <w:rPr>
          <w:noProof w:val="0"/>
        </w:rPr>
        <w:t>Definitionen av avkodningsutrustning</w:t>
      </w:r>
      <w:r w:rsidRPr="00977E9A">
        <w:rPr>
          <w:noProof w:val="0"/>
        </w:rPr>
        <w:tab/>
        <w:t>5</w:t>
      </w:r>
    </w:p>
    <w:p w:rsidR="0079680C" w:rsidRPr="00977E9A" w:rsidRDefault="0079680C">
      <w:pPr>
        <w:pStyle w:val="Innehll4"/>
        <w:rPr>
          <w:noProof w:val="0"/>
        </w:rPr>
      </w:pPr>
      <w:r w:rsidRPr="00977E9A">
        <w:rPr>
          <w:noProof w:val="0"/>
        </w:rPr>
        <w:t>Propositionen</w:t>
      </w:r>
      <w:r w:rsidRPr="00977E9A">
        <w:rPr>
          <w:noProof w:val="0"/>
        </w:rPr>
        <w:tab/>
        <w:t>5</w:t>
      </w:r>
    </w:p>
    <w:p w:rsidR="0079680C" w:rsidRPr="00977E9A" w:rsidRDefault="0079680C">
      <w:pPr>
        <w:pStyle w:val="Innehll4"/>
        <w:rPr>
          <w:noProof w:val="0"/>
        </w:rPr>
      </w:pPr>
      <w:r w:rsidRPr="00977E9A">
        <w:rPr>
          <w:noProof w:val="0"/>
        </w:rPr>
        <w:t>Motioner</w:t>
      </w:r>
      <w:r w:rsidRPr="00977E9A">
        <w:rPr>
          <w:noProof w:val="0"/>
        </w:rPr>
        <w:tab/>
        <w:t>6</w:t>
      </w:r>
    </w:p>
    <w:p w:rsidR="0079680C" w:rsidRPr="00977E9A" w:rsidRDefault="0079680C">
      <w:pPr>
        <w:pStyle w:val="Innehll4"/>
        <w:rPr>
          <w:noProof w:val="0"/>
        </w:rPr>
      </w:pPr>
      <w:r w:rsidRPr="00977E9A">
        <w:rPr>
          <w:noProof w:val="0"/>
        </w:rPr>
        <w:t>Regeringens motiv</w:t>
      </w:r>
      <w:r w:rsidRPr="00977E9A">
        <w:rPr>
          <w:noProof w:val="0"/>
        </w:rPr>
        <w:tab/>
        <w:t>6</w:t>
      </w:r>
    </w:p>
    <w:p w:rsidR="0079680C" w:rsidRPr="00977E9A" w:rsidRDefault="0079680C">
      <w:pPr>
        <w:pStyle w:val="Innehll4"/>
        <w:rPr>
          <w:noProof w:val="0"/>
        </w:rPr>
      </w:pPr>
      <w:r w:rsidRPr="00977E9A">
        <w:rPr>
          <w:noProof w:val="0"/>
        </w:rPr>
        <w:t>Utskottets bedömning</w:t>
      </w:r>
      <w:r w:rsidRPr="00977E9A">
        <w:rPr>
          <w:noProof w:val="0"/>
        </w:rPr>
        <w:tab/>
        <w:t>7</w:t>
      </w:r>
    </w:p>
    <w:p w:rsidR="0079680C" w:rsidRPr="00977E9A" w:rsidRDefault="0079680C">
      <w:pPr>
        <w:pStyle w:val="Innehll3"/>
        <w:rPr>
          <w:noProof w:val="0"/>
        </w:rPr>
      </w:pPr>
      <w:r w:rsidRPr="00977E9A">
        <w:rPr>
          <w:noProof w:val="0"/>
        </w:rPr>
        <w:t>Förslagets förhållande till tryckfrihetsförordningen</w:t>
      </w:r>
      <w:r w:rsidRPr="00977E9A">
        <w:rPr>
          <w:noProof w:val="0"/>
        </w:rPr>
        <w:tab/>
        <w:t>7</w:t>
      </w:r>
    </w:p>
    <w:p w:rsidR="0079680C" w:rsidRPr="00977E9A" w:rsidRDefault="0079680C">
      <w:pPr>
        <w:pStyle w:val="Innehll4"/>
        <w:rPr>
          <w:noProof w:val="0"/>
        </w:rPr>
      </w:pPr>
      <w:r w:rsidRPr="00977E9A">
        <w:rPr>
          <w:noProof w:val="0"/>
        </w:rPr>
        <w:t>Motion</w:t>
      </w:r>
      <w:r w:rsidRPr="00977E9A">
        <w:rPr>
          <w:noProof w:val="0"/>
        </w:rPr>
        <w:tab/>
        <w:t>7</w:t>
      </w:r>
    </w:p>
    <w:p w:rsidR="0079680C" w:rsidRPr="00977E9A" w:rsidRDefault="0079680C">
      <w:pPr>
        <w:pStyle w:val="Innehll4"/>
        <w:rPr>
          <w:noProof w:val="0"/>
        </w:rPr>
      </w:pPr>
      <w:r w:rsidRPr="00977E9A">
        <w:rPr>
          <w:noProof w:val="0"/>
        </w:rPr>
        <w:t>Förhållandet till yttrandefrihetsgrundlagen enligt propositionen</w:t>
      </w:r>
      <w:r w:rsidRPr="00977E9A">
        <w:rPr>
          <w:noProof w:val="0"/>
        </w:rPr>
        <w:tab/>
        <w:t>7</w:t>
      </w:r>
    </w:p>
    <w:p w:rsidR="0079680C" w:rsidRPr="00977E9A" w:rsidRDefault="0079680C">
      <w:pPr>
        <w:pStyle w:val="Innehll4"/>
        <w:rPr>
          <w:noProof w:val="0"/>
        </w:rPr>
      </w:pPr>
      <w:r w:rsidRPr="00977E9A">
        <w:rPr>
          <w:noProof w:val="0"/>
        </w:rPr>
        <w:t>Om tryckfrihets- och yttrandefrihetsbrott</w:t>
      </w:r>
      <w:r w:rsidRPr="00977E9A">
        <w:rPr>
          <w:noProof w:val="0"/>
        </w:rPr>
        <w:tab/>
        <w:t>8</w:t>
      </w:r>
    </w:p>
    <w:p w:rsidR="0079680C" w:rsidRPr="00977E9A" w:rsidRDefault="0079680C">
      <w:pPr>
        <w:pStyle w:val="Innehll4"/>
        <w:rPr>
          <w:noProof w:val="0"/>
        </w:rPr>
      </w:pPr>
      <w:r w:rsidRPr="00977E9A">
        <w:rPr>
          <w:noProof w:val="0"/>
        </w:rPr>
        <w:t>Utskottets bedömning</w:t>
      </w:r>
      <w:r w:rsidRPr="00977E9A">
        <w:rPr>
          <w:noProof w:val="0"/>
        </w:rPr>
        <w:tab/>
        <w:t>9</w:t>
      </w:r>
    </w:p>
    <w:p w:rsidR="0079680C" w:rsidRPr="00977E9A" w:rsidRDefault="0079680C">
      <w:pPr>
        <w:pStyle w:val="Innehll2"/>
        <w:rPr>
          <w:noProof w:val="0"/>
        </w:rPr>
      </w:pPr>
      <w:r w:rsidRPr="00977E9A">
        <w:rPr>
          <w:noProof w:val="0"/>
        </w:rPr>
        <w:t>Hemställan</w:t>
      </w:r>
      <w:r w:rsidRPr="00977E9A">
        <w:rPr>
          <w:noProof w:val="0"/>
        </w:rPr>
        <w:tab/>
        <w:t>9</w:t>
      </w:r>
    </w:p>
    <w:p w:rsidR="0079680C" w:rsidRPr="00977E9A" w:rsidRDefault="0079680C">
      <w:pPr>
        <w:pStyle w:val="Innehll1"/>
        <w:rPr>
          <w:noProof w:val="0"/>
        </w:rPr>
      </w:pPr>
      <w:r w:rsidRPr="00977E9A">
        <w:rPr>
          <w:noProof w:val="0"/>
        </w:rPr>
        <w:t>Reservationer</w:t>
      </w:r>
      <w:r w:rsidRPr="00977E9A">
        <w:rPr>
          <w:noProof w:val="0"/>
        </w:rPr>
        <w:tab/>
        <w:t>10</w:t>
      </w:r>
    </w:p>
    <w:p w:rsidR="0079680C" w:rsidRPr="00977E9A" w:rsidRDefault="0079680C">
      <w:pPr>
        <w:pStyle w:val="Innehll2"/>
        <w:rPr>
          <w:noProof w:val="0"/>
        </w:rPr>
      </w:pPr>
      <w:r w:rsidRPr="00977E9A">
        <w:rPr>
          <w:noProof w:val="0"/>
        </w:rPr>
        <w:t>1. Utvärdering (mom. 2)</w:t>
      </w:r>
      <w:r w:rsidRPr="00977E9A">
        <w:rPr>
          <w:noProof w:val="0"/>
        </w:rPr>
        <w:tab/>
        <w:t>10</w:t>
      </w:r>
    </w:p>
    <w:p w:rsidR="0079680C" w:rsidRPr="00977E9A" w:rsidRDefault="0079680C">
      <w:pPr>
        <w:pStyle w:val="Innehll2"/>
        <w:rPr>
          <w:noProof w:val="0"/>
        </w:rPr>
      </w:pPr>
      <w:r w:rsidRPr="00977E9A">
        <w:rPr>
          <w:noProof w:val="0"/>
        </w:rPr>
        <w:t>2. Definitionen av avkodningsutrustning (mom. 3)</w:t>
      </w:r>
      <w:r w:rsidRPr="00977E9A">
        <w:rPr>
          <w:noProof w:val="0"/>
        </w:rPr>
        <w:tab/>
        <w:t>11</w:t>
      </w:r>
    </w:p>
    <w:p w:rsidR="0079680C" w:rsidRPr="00977E9A" w:rsidRDefault="0079680C">
      <w:pPr>
        <w:tabs>
          <w:tab w:val="left" w:pos="4962"/>
        </w:tabs>
      </w:pPr>
    </w:p>
    <w:p w:rsidR="0079680C" w:rsidRPr="00977E9A" w:rsidRDefault="0079680C">
      <w:pPr>
        <w:pStyle w:val="Tryckort"/>
        <w:framePr w:wrap="around"/>
      </w:pPr>
      <w:r w:rsidRPr="00977E9A">
        <w:t>Elanders Gotab, Stockholm  2000</w:t>
      </w:r>
    </w:p>
    <w:p w:rsidR="0079680C" w:rsidRPr="00977E9A" w:rsidRDefault="0079680C">
      <w:pPr>
        <w:pStyle w:val="Normaltindrag"/>
      </w:pPr>
    </w:p>
    <w:sectPr w:rsidR="0079680C" w:rsidRPr="00977E9A">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680C" w:rsidRPr="00977E9A" w:rsidRDefault="0079680C">
      <w:pPr>
        <w:spacing w:before="0" w:line="240" w:lineRule="auto"/>
      </w:pPr>
      <w:r w:rsidRPr="00977E9A">
        <w:separator/>
      </w:r>
    </w:p>
  </w:endnote>
  <w:endnote w:type="continuationSeparator" w:id="0">
    <w:p w:rsidR="0079680C" w:rsidRPr="00977E9A" w:rsidRDefault="0079680C">
      <w:pPr>
        <w:spacing w:before="0" w:line="240" w:lineRule="auto"/>
      </w:pPr>
      <w:r w:rsidRPr="00977E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80C" w:rsidRPr="00977E9A" w:rsidRDefault="0079680C">
    <w:pPr>
      <w:pStyle w:val="SidfotH"/>
      <w:framePr w:wrap="around"/>
    </w:pPr>
    <w:r w:rsidRPr="00977E9A">
      <w:fldChar w:fldCharType="begin" w:fldLock="1"/>
    </w:r>
    <w:r w:rsidRPr="00977E9A">
      <w:instrText xml:space="preserve"> PAGE </w:instrText>
    </w:r>
    <w:r w:rsidRPr="00977E9A">
      <w:fldChar w:fldCharType="separate"/>
    </w:r>
    <w:r w:rsidRPr="00977E9A">
      <w:t>1</w:t>
    </w:r>
    <w:r w:rsidRPr="00977E9A">
      <w:fldChar w:fldCharType="end"/>
    </w:r>
  </w:p>
  <w:p w:rsidR="0079680C" w:rsidRPr="00977E9A" w:rsidRDefault="0079680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80C" w:rsidRPr="00977E9A" w:rsidRDefault="0079680C">
    <w:pPr>
      <w:pStyle w:val="SidfotH"/>
      <w:framePr w:wrap="around"/>
    </w:pPr>
    <w:r w:rsidRPr="00977E9A">
      <w:fldChar w:fldCharType="begin" w:fldLock="1"/>
    </w:r>
    <w:r w:rsidRPr="00977E9A">
      <w:instrText xml:space="preserve"> PAGE </w:instrText>
    </w:r>
    <w:r w:rsidRPr="00977E9A">
      <w:fldChar w:fldCharType="separate"/>
    </w:r>
    <w:r w:rsidRPr="00977E9A">
      <w:t>12</w:t>
    </w:r>
    <w:r w:rsidRPr="00977E9A">
      <w:fldChar w:fldCharType="end"/>
    </w:r>
  </w:p>
  <w:p w:rsidR="0079680C" w:rsidRPr="00977E9A" w:rsidRDefault="007968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680C" w:rsidRPr="00977E9A" w:rsidRDefault="0079680C">
      <w:pPr>
        <w:pStyle w:val="Sidfot"/>
      </w:pPr>
    </w:p>
  </w:footnote>
  <w:footnote w:type="continuationSeparator" w:id="0">
    <w:p w:rsidR="0079680C" w:rsidRPr="00977E9A" w:rsidRDefault="0079680C">
      <w:pPr>
        <w:spacing w:before="0" w:line="240" w:lineRule="auto"/>
      </w:pPr>
      <w:r w:rsidRPr="00977E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80C" w:rsidRPr="00977E9A" w:rsidRDefault="0079680C">
    <w:pPr>
      <w:pStyle w:val="SidhuvudKant"/>
      <w:framePr w:w="1758" w:h="2744" w:hRule="exact" w:wrap="around" w:vAnchor="page" w:hAnchor="page" w:x="7372" w:y="568" w:anchorLock="0"/>
    </w:pPr>
    <w:r w:rsidRPr="00977E9A">
      <w:t>1999/2000:KU16</w:t>
    </w:r>
  </w:p>
  <w:p w:rsidR="0079680C" w:rsidRPr="00977E9A" w:rsidRDefault="0079680C">
    <w:pPr>
      <w:pStyle w:val="SidhuvudKantBilaga"/>
      <w:framePr w:w="1758" w:h="2744" w:hRule="exact" w:wrap="around" w:vAnchor="page" w:hAnchor="page" w:x="7372" w:y="568" w:anchorLock="0"/>
    </w:pPr>
  </w:p>
  <w:p w:rsidR="0079680C" w:rsidRPr="00977E9A" w:rsidRDefault="0079680C">
    <w:pPr>
      <w:pStyle w:val="SidhuvudKant"/>
      <w:framePr w:w="1758" w:h="2744" w:hRule="exact" w:wrap="around" w:vAnchor="page" w:hAnchor="page" w:x="7372" w:y="568" w:anchorLock="0"/>
    </w:pPr>
  </w:p>
  <w:p w:rsidR="0079680C" w:rsidRPr="00977E9A" w:rsidRDefault="0079680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80C" w:rsidRPr="00977E9A" w:rsidRDefault="0079680C">
    <w:pPr>
      <w:pStyle w:val="SidhuvudKant"/>
      <w:framePr w:w="1758" w:h="2744" w:hRule="exact" w:wrap="around" w:vAnchor="page" w:hAnchor="page" w:x="7372" w:y="568" w:anchorLock="0"/>
    </w:pPr>
    <w:r w:rsidRPr="00977E9A">
      <w:t>1999/2000:KU16</w:t>
    </w:r>
  </w:p>
  <w:p w:rsidR="0079680C" w:rsidRPr="00977E9A" w:rsidRDefault="0079680C">
    <w:pPr>
      <w:pStyle w:val="SidhuvudKantBilaga"/>
      <w:framePr w:w="1758" w:h="2744" w:hRule="exact" w:wrap="around" w:vAnchor="page" w:hAnchor="page" w:x="7372" w:y="568" w:anchorLock="0"/>
    </w:pPr>
  </w:p>
  <w:p w:rsidR="0079680C" w:rsidRPr="00977E9A" w:rsidRDefault="0079680C">
    <w:pPr>
      <w:pStyle w:val="SidhuvudKant"/>
      <w:framePr w:w="1758" w:h="2744" w:hRule="exact" w:wrap="around" w:vAnchor="page" w:hAnchor="page" w:x="7372" w:y="568" w:anchorLock="0"/>
    </w:pPr>
  </w:p>
  <w:p w:rsidR="0079680C" w:rsidRPr="00977E9A" w:rsidRDefault="0079680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900"/>
  </w:docVars>
  <w:rsids>
    <w:rsidRoot w:val="00A44409"/>
    <w:rsid w:val="0079680C"/>
    <w:rsid w:val="00977E9A"/>
    <w:rsid w:val="00A444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4F11B5-747E-494E-90C8-E887EE14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rPr>
      <w:noProof/>
    </w:rPr>
  </w:style>
  <w:style w:type="paragraph" w:styleId="Innehll2">
    <w:name w:val="toc 2"/>
    <w:basedOn w:val="Innehll1"/>
    <w:autoRedefine/>
    <w:semiHidden/>
    <w:pPr>
      <w:ind w:left="227"/>
    </w:pPr>
  </w:style>
  <w:style w:type="paragraph" w:styleId="Innehll3">
    <w:name w:val="toc 3"/>
    <w:basedOn w:val="Innehll1"/>
    <w:autoRedefine/>
    <w:semiHidden/>
    <w:pPr>
      <w:ind w:left="454" w:right="226"/>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3980</Words>
  <Characters>24359</Characters>
  <Application>Microsoft Office Word</Application>
  <DocSecurity>4</DocSecurity>
  <Lines>487</Lines>
  <Paragraphs>178</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Konstitutionsutskottets betänkande</vt:lpstr>
      <vt:lpstr>Sammanfattning</vt:lpstr>
      <vt:lpstr>Propositionen</vt:lpstr>
      <vt:lpstr>Motionerna</vt:lpstr>
      <vt:lpstr>Utskottet</vt:lpstr>
      <vt:lpstr>    Bakgrund </vt:lpstr>
      <vt:lpstr>        Gällande bestämmelser </vt:lpstr>
      <vt:lpstr>        EG-direktiv</vt:lpstr>
      <vt:lpstr>    Regeringens förslag i korthet</vt:lpstr>
      <vt:lpstr>    Särskilda frågor </vt:lpstr>
      <vt:lpstr>        Privat innehav av utrustning</vt:lpstr>
      <vt:lpstr>        Definitionen av avkodningsutrustning </vt:lpstr>
      <vt:lpstr>        Förslagets förhållande till tryckfrihetsförordningen </vt:lpstr>
      <vt:lpstr>    Hemställan</vt:lpstr>
      <vt:lpstr>Reservationer</vt:lpstr>
      <vt:lpstr>    1. Utvärdering (mom. 2)</vt:lpstr>
      <vt:lpstr>    2. Definitionen av avkodningsutrustning (mom. 3)</vt:lpstr>
      <vt:lpstr>Innehållsförteckning</vt:lpstr>
    </vt:vector>
  </TitlesOfParts>
  <Company>Riksdagen</Company>
  <LinksUpToDate>false</LinksUpToDate>
  <CharactersWithSpaces>28161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2000-03-10T12:24:00Z</cp:lastPrinted>
  <dcterms:created xsi:type="dcterms:W3CDTF">2025-12-15T21:46:00Z</dcterms:created>
  <dcterms:modified xsi:type="dcterms:W3CDTF">2025-12-15T21:46:00Z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KU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