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8607E3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421600" w:rsidRPr="008607E3" w:rsidRDefault="00421600" w:rsidP="00421600">
            <w:pPr>
              <w:pStyle w:val="HuvudRubrik"/>
            </w:pPr>
            <w:r w:rsidRPr="008607E3">
              <w:t>Framställning till riksdagen</w:t>
            </w:r>
          </w:p>
          <w:p w:rsidR="00F53A97" w:rsidRPr="008607E3" w:rsidRDefault="00604AC6">
            <w:pPr>
              <w:pStyle w:val="HuvudRubrikRad2"/>
            </w:pPr>
            <w:bookmarkStart w:id="0" w:name="BetänkandeNr"/>
            <w:bookmarkEnd w:id="0"/>
            <w:r w:rsidRPr="008607E3">
              <w:t>2006/07</w:t>
            </w:r>
            <w:r w:rsidR="00F53A97" w:rsidRPr="008607E3">
              <w:t>:</w:t>
            </w:r>
            <w:r w:rsidRPr="008607E3">
              <w:t>RB</w:t>
            </w:r>
            <w:r w:rsidR="00BD0B00" w:rsidRPr="008607E3"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8607E3" w:rsidRDefault="008607E3">
            <w:pPr>
              <w:spacing w:line="230" w:lineRule="auto"/>
              <w:jc w:val="center"/>
            </w:pPr>
            <w:r w:rsidRPr="008607E3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8607E3" w:rsidRDefault="00F53A97">
            <w:pPr>
              <w:pStyle w:val="Normaltindrag"/>
              <w:jc w:val="center"/>
            </w:pPr>
          </w:p>
          <w:p w:rsidR="00F53A97" w:rsidRPr="008607E3" w:rsidRDefault="00F53A97">
            <w:pPr>
              <w:pStyle w:val="StatusSida1"/>
            </w:pPr>
          </w:p>
          <w:p w:rsidR="00F53A97" w:rsidRPr="008607E3" w:rsidRDefault="00F53A97">
            <w:pPr>
              <w:pStyle w:val="UtskriftsdatumSida1"/>
              <w:framePr w:wrap="around"/>
            </w:pPr>
          </w:p>
        </w:tc>
      </w:tr>
      <w:tr w:rsidR="00F53A97" w:rsidRPr="00860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8607E3" w:rsidRDefault="00421600" w:rsidP="00B50705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8607E3">
              <w:rPr>
                <w:noProof w:val="0"/>
              </w:rPr>
              <w:t>Förslag till disposition av Riksbankens vinst för räkenskapsåret 2006 samt riksbanks</w:t>
            </w:r>
            <w:r w:rsidRPr="008607E3">
              <w:rPr>
                <w:noProof w:val="0"/>
              </w:rPr>
              <w:softHyphen/>
              <w:t>fullmäktiges verksamhetsberättelse 2006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8607E3" w:rsidRDefault="00F53A97"/>
        </w:tc>
      </w:tr>
      <w:tr w:rsidR="00F53A97" w:rsidRPr="008607E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8607E3" w:rsidRDefault="00F53A97"/>
        </w:tc>
        <w:tc>
          <w:tcPr>
            <w:tcW w:w="3012" w:type="dxa"/>
          </w:tcPr>
          <w:p w:rsidR="00F53A97" w:rsidRPr="008607E3" w:rsidRDefault="00F53A97"/>
        </w:tc>
        <w:tc>
          <w:tcPr>
            <w:tcW w:w="1418" w:type="dxa"/>
          </w:tcPr>
          <w:p w:rsidR="00F53A97" w:rsidRPr="008607E3" w:rsidRDefault="00F53A97"/>
        </w:tc>
      </w:tr>
    </w:tbl>
    <w:p w:rsidR="00F53A97" w:rsidRPr="008607E3" w:rsidRDefault="00F53A97"/>
    <w:p w:rsidR="00C64230" w:rsidRPr="008607E3" w:rsidRDefault="00C64230" w:rsidP="00C64230">
      <w:pPr>
        <w:pStyle w:val="Rubrik1"/>
        <w:spacing w:after="180"/>
        <w:rPr>
          <w:noProof w:val="0"/>
        </w:rPr>
      </w:pPr>
      <w:bookmarkStart w:id="2" w:name="_Toc158451117"/>
      <w:r w:rsidRPr="008607E3">
        <w:rPr>
          <w:noProof w:val="0"/>
        </w:rPr>
        <w:t>Sammanfattning</w:t>
      </w:r>
      <w:bookmarkEnd w:id="2"/>
    </w:p>
    <w:p w:rsidR="00421600" w:rsidRPr="008607E3" w:rsidRDefault="00421600" w:rsidP="00421600">
      <w:r w:rsidRPr="008607E3">
        <w:rPr>
          <w:spacing w:val="-2"/>
          <w:szCs w:val="24"/>
        </w:rPr>
        <w:t xml:space="preserve">Enligt 10 kap. 3 § lagen (1988:1385) om Sveriges riksbank ska </w:t>
      </w:r>
      <w:r w:rsidRPr="008607E3">
        <w:rPr>
          <w:spacing w:val="-2"/>
        </w:rPr>
        <w:t xml:space="preserve">fullmäktige </w:t>
      </w:r>
      <w:r w:rsidRPr="008607E3">
        <w:rPr>
          <w:spacing w:val="2"/>
        </w:rPr>
        <w:t>till riksdagen och Riksrevisionen lämna förslag till disposition av Riksba</w:t>
      </w:r>
      <w:r w:rsidRPr="008607E3">
        <w:rPr>
          <w:spacing w:val="2"/>
        </w:rPr>
        <w:t>n</w:t>
      </w:r>
      <w:r w:rsidRPr="008607E3">
        <w:rPr>
          <w:spacing w:val="2"/>
        </w:rPr>
        <w:t>kens v</w:t>
      </w:r>
      <w:r w:rsidRPr="008607E3">
        <w:t>inst.</w:t>
      </w:r>
    </w:p>
    <w:p w:rsidR="00421600" w:rsidRPr="008607E3" w:rsidRDefault="00421600" w:rsidP="00421600">
      <w:pPr>
        <w:pStyle w:val="Normaltindrag"/>
      </w:pPr>
      <w:r w:rsidRPr="008607E3">
        <w:t>Fullmäktige tillämpar en beräkningsprincip som i korthet innebär att 80</w:t>
      </w:r>
      <w:r w:rsidR="00D801B1" w:rsidRPr="008607E3">
        <w:t> </w:t>
      </w:r>
      <w:r w:rsidRPr="008607E3">
        <w:t>procent av Riksbankens genomsnittliga resultat under de senaste fem åren, e</w:t>
      </w:r>
      <w:r w:rsidRPr="008607E3">
        <w:t>x</w:t>
      </w:r>
      <w:r w:rsidRPr="008607E3">
        <w:t xml:space="preserve">klusive valutakurs- och guldvärdeeffekter, ska inlevereras till statsverket. För år 2006 föreslår därmed fullmäktige en inleverans om 4 400 miljoner kronor. </w:t>
      </w:r>
    </w:p>
    <w:p w:rsidR="00421600" w:rsidRPr="008607E3" w:rsidRDefault="00421600" w:rsidP="00421600">
      <w:pPr>
        <w:pStyle w:val="Normaltindrag"/>
      </w:pPr>
      <w:r w:rsidRPr="008607E3">
        <w:t>Fullmäktiges verksamhetsberättelse för 2006 redovisar att fullmäktige sammanträtt vid 11 tillfällen under året och övergripande vilka ärenden som behandlats samt vilken information som fullmäktige erhållit vid sammantr</w:t>
      </w:r>
      <w:r w:rsidRPr="008607E3">
        <w:t>ä</w:t>
      </w:r>
      <w:r w:rsidRPr="008607E3">
        <w:t>dena. Verksamhetsberättelsen anger även hur fullmäktige bedrivit sin kontro</w:t>
      </w:r>
      <w:r w:rsidRPr="008607E3">
        <w:t>l</w:t>
      </w:r>
      <w:r w:rsidRPr="008607E3">
        <w:t>lerande funktion.</w:t>
      </w:r>
    </w:p>
    <w:p w:rsidR="00C64230" w:rsidRPr="008607E3" w:rsidRDefault="00C64230" w:rsidP="00C64230"/>
    <w:p w:rsidR="00C64230" w:rsidRPr="008607E3" w:rsidRDefault="00C64230" w:rsidP="00C64230">
      <w:pPr>
        <w:pStyle w:val="Normaltindrag"/>
      </w:pPr>
    </w:p>
    <w:p w:rsidR="00C64230" w:rsidRPr="008607E3" w:rsidRDefault="00C64230" w:rsidP="00C64230">
      <w:pPr>
        <w:pStyle w:val="Normaltindrag"/>
        <w:sectPr w:rsidR="00C64230" w:rsidRPr="008607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64230" w:rsidRPr="008607E3" w:rsidRDefault="00C64230" w:rsidP="00D801B1">
      <w:pPr>
        <w:pStyle w:val="Rubrik1"/>
        <w:spacing w:after="360"/>
        <w:rPr>
          <w:noProof w:val="0"/>
        </w:rPr>
      </w:pPr>
      <w:bookmarkStart w:id="3" w:name="_Toc158451118"/>
      <w:r w:rsidRPr="008607E3">
        <w:rPr>
          <w:noProof w:val="0"/>
        </w:rPr>
        <w:lastRenderedPageBreak/>
        <w:t>Innehållsförteckning</w:t>
      </w:r>
      <w:bookmarkEnd w:id="3"/>
    </w:p>
    <w:p w:rsidR="0066137B" w:rsidRPr="008607E3" w:rsidRDefault="0066137B">
      <w:pPr>
        <w:pStyle w:val="Innehll1"/>
        <w:rPr>
          <w:sz w:val="24"/>
          <w:szCs w:val="24"/>
        </w:rPr>
      </w:pPr>
      <w:r w:rsidRPr="008607E3">
        <w:t>Sammanfattning</w:t>
      </w:r>
      <w:r w:rsidRPr="008607E3">
        <w:tab/>
        <w:t>1</w:t>
      </w:r>
    </w:p>
    <w:p w:rsidR="0066137B" w:rsidRPr="008607E3" w:rsidRDefault="0066137B">
      <w:pPr>
        <w:pStyle w:val="Innehll1"/>
        <w:rPr>
          <w:sz w:val="24"/>
          <w:szCs w:val="24"/>
        </w:rPr>
      </w:pPr>
      <w:r w:rsidRPr="008607E3">
        <w:t>Innehållsförteckning</w:t>
      </w:r>
      <w:r w:rsidRPr="008607E3">
        <w:tab/>
        <w:t>2</w:t>
      </w:r>
    </w:p>
    <w:p w:rsidR="0066137B" w:rsidRPr="008607E3" w:rsidRDefault="0066137B">
      <w:pPr>
        <w:pStyle w:val="Innehll1"/>
        <w:rPr>
          <w:sz w:val="24"/>
          <w:szCs w:val="24"/>
        </w:rPr>
      </w:pPr>
      <w:r w:rsidRPr="008607E3">
        <w:t>Förslag till riksdagsbeslut</w:t>
      </w:r>
      <w:r w:rsidRPr="008607E3">
        <w:tab/>
        <w:t>3</w:t>
      </w:r>
    </w:p>
    <w:p w:rsidR="0066137B" w:rsidRPr="008607E3" w:rsidRDefault="0066137B">
      <w:pPr>
        <w:pStyle w:val="Innehll1"/>
        <w:rPr>
          <w:sz w:val="24"/>
          <w:szCs w:val="24"/>
        </w:rPr>
      </w:pPr>
      <w:r w:rsidRPr="008607E3">
        <w:t>Förslag till vinstdisposition för år 2006</w:t>
      </w:r>
      <w:r w:rsidRPr="008607E3">
        <w:tab/>
        <w:t>4</w:t>
      </w:r>
    </w:p>
    <w:p w:rsidR="0066137B" w:rsidRPr="008607E3" w:rsidRDefault="0066137B">
      <w:pPr>
        <w:pStyle w:val="Innehll1"/>
        <w:rPr>
          <w:sz w:val="24"/>
          <w:szCs w:val="24"/>
        </w:rPr>
      </w:pPr>
      <w:r w:rsidRPr="008607E3">
        <w:t>Fullmäktiges verksamhet år 2006</w:t>
      </w:r>
      <w:r w:rsidRPr="008607E3">
        <w:tab/>
      </w:r>
      <w:r w:rsidRPr="008607E3">
        <w:t>6</w:t>
      </w:r>
    </w:p>
    <w:p w:rsidR="0066137B" w:rsidRPr="008607E3" w:rsidRDefault="0066137B">
      <w:pPr>
        <w:pStyle w:val="Innehll1"/>
        <w:rPr>
          <w:i/>
        </w:rPr>
      </w:pPr>
      <w:r w:rsidRPr="008607E3">
        <w:rPr>
          <w:i/>
        </w:rPr>
        <w:t>Bilaga</w:t>
      </w:r>
    </w:p>
    <w:p w:rsidR="0066137B" w:rsidRPr="008607E3" w:rsidRDefault="0066137B">
      <w:pPr>
        <w:pStyle w:val="Innehll1"/>
        <w:rPr>
          <w:sz w:val="24"/>
          <w:szCs w:val="24"/>
        </w:rPr>
      </w:pPr>
      <w:r w:rsidRPr="008607E3">
        <w:t>Inleveransberäkning avseende Riksbankens resultat år 2006 (miljoner kronor)</w:t>
      </w:r>
      <w:r w:rsidRPr="008607E3">
        <w:tab/>
        <w:t>8</w:t>
      </w:r>
    </w:p>
    <w:p w:rsidR="00C64230" w:rsidRPr="008607E3" w:rsidRDefault="00C64230" w:rsidP="00C64230"/>
    <w:p w:rsidR="00C64230" w:rsidRPr="008607E3" w:rsidRDefault="00C64230" w:rsidP="00C64230">
      <w:pPr>
        <w:pStyle w:val="Normaltindrag"/>
        <w:sectPr w:rsidR="00C64230" w:rsidRPr="008607E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64230" w:rsidRPr="008607E3" w:rsidRDefault="00421600" w:rsidP="00D801B1">
      <w:pPr>
        <w:pStyle w:val="Rubrik1"/>
        <w:spacing w:after="360"/>
        <w:rPr>
          <w:noProof w:val="0"/>
        </w:rPr>
      </w:pPr>
      <w:bookmarkStart w:id="4" w:name="_Toc158451119"/>
      <w:r w:rsidRPr="008607E3">
        <w:rPr>
          <w:noProof w:val="0"/>
        </w:rPr>
        <w:t>F</w:t>
      </w:r>
      <w:r w:rsidR="00C64230" w:rsidRPr="008607E3">
        <w:rPr>
          <w:noProof w:val="0"/>
        </w:rPr>
        <w:t>örslag till riksdagsbeslut</w:t>
      </w:r>
      <w:bookmarkEnd w:id="4"/>
    </w:p>
    <w:p w:rsidR="00421600" w:rsidRPr="008607E3" w:rsidRDefault="00421600" w:rsidP="00E72366">
      <w:r w:rsidRPr="008607E3">
        <w:t>Fullmäktige föreslår</w:t>
      </w:r>
      <w:r w:rsidR="00E72366" w:rsidRPr="008607E3">
        <w:t xml:space="preserve"> </w:t>
      </w:r>
      <w:r w:rsidR="0066137B" w:rsidRPr="008607E3">
        <w:t>a</w:t>
      </w:r>
      <w:r w:rsidRPr="008607E3">
        <w:t>tt riksdagen fastställer förslag till disposition av Rik</w:t>
      </w:r>
      <w:r w:rsidRPr="008607E3">
        <w:t>s</w:t>
      </w:r>
      <w:r w:rsidRPr="008607E3">
        <w:t>bankens vinst för r</w:t>
      </w:r>
      <w:r w:rsidRPr="008607E3">
        <w:t>ä</w:t>
      </w:r>
      <w:r w:rsidRPr="008607E3">
        <w:t>ke</w:t>
      </w:r>
      <w:r w:rsidR="00050FDC" w:rsidRPr="008607E3">
        <w:t>nskapsåret 2006</w:t>
      </w:r>
      <w:r w:rsidRPr="008607E3">
        <w:t>.</w:t>
      </w:r>
    </w:p>
    <w:p w:rsidR="00421600" w:rsidRPr="008607E3" w:rsidRDefault="00421600" w:rsidP="00421600">
      <w:r w:rsidRPr="008607E3">
        <w:t>Resultatet för år 2006 före bokslutsdispositioner uppgår till 7 877 miljoner kronor och f</w:t>
      </w:r>
      <w:r w:rsidR="00D801B1" w:rsidRPr="008607E3">
        <w:t>ull</w:t>
      </w:r>
      <w:r w:rsidR="00D801B1" w:rsidRPr="008607E3">
        <w:softHyphen/>
        <w:t>mäktige föreslår att</w:t>
      </w:r>
    </w:p>
    <w:tbl>
      <w:tblPr>
        <w:tblW w:w="6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111"/>
      </w:tblGrid>
      <w:tr w:rsidR="00E72366" w:rsidRPr="008607E3" w:rsidTr="00E21556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E72366" w:rsidRPr="008607E3" w:rsidRDefault="0066137B" w:rsidP="0066137B">
            <w:pPr>
              <w:tabs>
                <w:tab w:val="left" w:pos="190"/>
              </w:tabs>
              <w:spacing w:before="100" w:beforeAutospacing="1" w:line="240" w:lineRule="exact"/>
            </w:pPr>
            <w:r w:rsidRPr="008607E3">
              <w:t xml:space="preserve">– </w:t>
            </w:r>
            <w:r w:rsidR="00E72366" w:rsidRPr="008607E3">
              <w:t>till Riksbankens dispositionsfond förs</w:t>
            </w:r>
          </w:p>
        </w:tc>
        <w:tc>
          <w:tcPr>
            <w:tcW w:w="2111" w:type="dxa"/>
          </w:tcPr>
          <w:p w:rsidR="00E72366" w:rsidRPr="008607E3" w:rsidRDefault="00050FDC" w:rsidP="00E21556">
            <w:pPr>
              <w:spacing w:before="100" w:beforeAutospacing="1" w:line="240" w:lineRule="exact"/>
              <w:ind w:right="25"/>
              <w:jc w:val="right"/>
            </w:pPr>
            <w:r w:rsidRPr="008607E3">
              <w:t xml:space="preserve">– </w:t>
            </w:r>
            <w:r w:rsidR="00E72366" w:rsidRPr="008607E3">
              <w:t>4</w:t>
            </w:r>
            <w:r w:rsidR="00041250" w:rsidRPr="008607E3">
              <w:t> </w:t>
            </w:r>
            <w:r w:rsidR="00E72366" w:rsidRPr="008607E3">
              <w:t>577</w:t>
            </w:r>
            <w:r w:rsidR="00041250" w:rsidRPr="008607E3">
              <w:t xml:space="preserve"> miljoner kronor</w:t>
            </w:r>
          </w:p>
        </w:tc>
      </w:tr>
      <w:tr w:rsidR="00E72366" w:rsidRPr="008607E3" w:rsidTr="00E21556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E72366" w:rsidRPr="008607E3" w:rsidRDefault="0066137B" w:rsidP="00041250">
            <w:pPr>
              <w:spacing w:before="100" w:beforeAutospacing="1" w:line="240" w:lineRule="exact"/>
            </w:pPr>
            <w:r w:rsidRPr="008607E3">
              <w:t xml:space="preserve">– </w:t>
            </w:r>
            <w:r w:rsidR="00E72366" w:rsidRPr="008607E3">
              <w:t>från Riksbankens resultatutjämningsfond förs</w:t>
            </w:r>
          </w:p>
        </w:tc>
        <w:tc>
          <w:tcPr>
            <w:tcW w:w="2111" w:type="dxa"/>
          </w:tcPr>
          <w:p w:rsidR="00E72366" w:rsidRPr="008607E3" w:rsidRDefault="0066137B" w:rsidP="00E21556">
            <w:pPr>
              <w:spacing w:before="100" w:beforeAutospacing="1" w:line="240" w:lineRule="exact"/>
              <w:ind w:right="25"/>
              <w:jc w:val="right"/>
            </w:pPr>
            <w:r w:rsidRPr="008607E3">
              <w:t>1 </w:t>
            </w:r>
            <w:r w:rsidR="00E72366" w:rsidRPr="008607E3">
              <w:t>100 miljoner kr</w:t>
            </w:r>
            <w:r w:rsidR="00E72366" w:rsidRPr="008607E3">
              <w:t>o</w:t>
            </w:r>
            <w:r w:rsidR="00E72366" w:rsidRPr="008607E3">
              <w:t>nor</w:t>
            </w:r>
          </w:p>
        </w:tc>
      </w:tr>
      <w:tr w:rsidR="00E72366" w:rsidRPr="008607E3" w:rsidTr="00E21556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E72366" w:rsidRPr="008607E3" w:rsidRDefault="0066137B" w:rsidP="00041250">
            <w:pPr>
              <w:spacing w:before="100" w:beforeAutospacing="1" w:line="240" w:lineRule="exact"/>
            </w:pPr>
            <w:r w:rsidRPr="008607E3">
              <w:t xml:space="preserve">– </w:t>
            </w:r>
            <w:r w:rsidR="00041250" w:rsidRPr="008607E3">
              <w:t>till statsverket inlevereras</w:t>
            </w:r>
          </w:p>
        </w:tc>
        <w:tc>
          <w:tcPr>
            <w:tcW w:w="2111" w:type="dxa"/>
          </w:tcPr>
          <w:p w:rsidR="00E72366" w:rsidRPr="008607E3" w:rsidRDefault="00041250" w:rsidP="00E21556">
            <w:pPr>
              <w:spacing w:before="100" w:beforeAutospacing="1" w:line="240" w:lineRule="exact"/>
              <w:ind w:right="25"/>
              <w:jc w:val="right"/>
            </w:pPr>
            <w:r w:rsidRPr="008607E3">
              <w:t>4 400 miljoner kronor</w:t>
            </w:r>
          </w:p>
        </w:tc>
      </w:tr>
      <w:tr w:rsidR="0066137B" w:rsidRPr="008607E3" w:rsidTr="00E21556">
        <w:tblPrEx>
          <w:tblCellMar>
            <w:top w:w="0" w:type="dxa"/>
            <w:bottom w:w="0" w:type="dxa"/>
          </w:tblCellMar>
        </w:tblPrEx>
        <w:tc>
          <w:tcPr>
            <w:tcW w:w="6150" w:type="dxa"/>
            <w:gridSpan w:val="2"/>
          </w:tcPr>
          <w:p w:rsidR="0066137B" w:rsidRPr="008607E3" w:rsidRDefault="0066137B" w:rsidP="00050FDC">
            <w:pPr>
              <w:spacing w:before="100" w:beforeAutospacing="1" w:line="240" w:lineRule="exact"/>
              <w:ind w:left="170" w:hanging="170"/>
            </w:pPr>
            <w:r w:rsidRPr="008607E3">
              <w:t>– inleveransen sker senast en vecka efter riksdagens beslut, lämpligen i sa</w:t>
            </w:r>
            <w:r w:rsidRPr="008607E3">
              <w:t>m</w:t>
            </w:r>
            <w:r w:rsidRPr="008607E3">
              <w:t>band med Riksbankens genomförande av den veckovisa öppna marknad</w:t>
            </w:r>
            <w:r w:rsidRPr="008607E3">
              <w:t>s</w:t>
            </w:r>
            <w:r w:rsidRPr="008607E3">
              <w:t xml:space="preserve">operationen. </w:t>
            </w:r>
          </w:p>
        </w:tc>
      </w:tr>
    </w:tbl>
    <w:p w:rsidR="00E72366" w:rsidRPr="008607E3" w:rsidRDefault="00E72366" w:rsidP="00E72366">
      <w:pPr>
        <w:pStyle w:val="Normaltindrag"/>
      </w:pPr>
    </w:p>
    <w:p w:rsidR="00421600" w:rsidRPr="008607E3" w:rsidRDefault="00421600" w:rsidP="00421600">
      <w:pPr>
        <w:rPr>
          <w:szCs w:val="24"/>
        </w:rPr>
      </w:pPr>
      <w:r w:rsidRPr="008607E3">
        <w:rPr>
          <w:szCs w:val="24"/>
        </w:rPr>
        <w:t>Stockholm den 9 februari 2007</w:t>
      </w:r>
    </w:p>
    <w:p w:rsidR="00421600" w:rsidRPr="008607E3" w:rsidRDefault="00421600" w:rsidP="00421600">
      <w:pPr>
        <w:rPr>
          <w:szCs w:val="24"/>
        </w:rPr>
      </w:pPr>
    </w:p>
    <w:p w:rsidR="00421600" w:rsidRPr="008607E3" w:rsidRDefault="007901B6" w:rsidP="00421600">
      <w:pPr>
        <w:rPr>
          <w:szCs w:val="24"/>
        </w:rPr>
      </w:pPr>
      <w:r w:rsidRPr="008607E3">
        <w:rPr>
          <w:szCs w:val="24"/>
        </w:rPr>
        <w:t>På fullmäktiges vägnar</w:t>
      </w:r>
    </w:p>
    <w:p w:rsidR="00421600" w:rsidRPr="008607E3" w:rsidRDefault="00421600" w:rsidP="00421600">
      <w:pPr>
        <w:rPr>
          <w:szCs w:val="24"/>
        </w:rPr>
      </w:pPr>
    </w:p>
    <w:p w:rsidR="00421600" w:rsidRPr="008607E3" w:rsidRDefault="00421600" w:rsidP="00421600">
      <w:pPr>
        <w:rPr>
          <w:szCs w:val="24"/>
        </w:rPr>
      </w:pPr>
    </w:p>
    <w:p w:rsidR="00421600" w:rsidRPr="008607E3" w:rsidRDefault="007901B6" w:rsidP="00421600">
      <w:pPr>
        <w:rPr>
          <w:i/>
          <w:szCs w:val="24"/>
        </w:rPr>
      </w:pPr>
      <w:r w:rsidRPr="008607E3">
        <w:rPr>
          <w:i/>
          <w:szCs w:val="24"/>
        </w:rPr>
        <w:t>Johan</w:t>
      </w:r>
      <w:r w:rsidR="00421600" w:rsidRPr="008607E3">
        <w:rPr>
          <w:i/>
          <w:szCs w:val="24"/>
        </w:rPr>
        <w:t xml:space="preserve"> </w:t>
      </w:r>
      <w:r w:rsidRPr="008607E3">
        <w:rPr>
          <w:i/>
          <w:szCs w:val="24"/>
        </w:rPr>
        <w:t>Gernandt</w:t>
      </w:r>
    </w:p>
    <w:p w:rsidR="00421600" w:rsidRPr="008607E3" w:rsidRDefault="00421600" w:rsidP="00421600">
      <w:pPr>
        <w:rPr>
          <w:szCs w:val="24"/>
        </w:rPr>
      </w:pPr>
      <w:r w:rsidRPr="008607E3">
        <w:rPr>
          <w:szCs w:val="24"/>
        </w:rPr>
        <w:tab/>
      </w:r>
      <w:r w:rsidRPr="008607E3">
        <w:rPr>
          <w:szCs w:val="24"/>
        </w:rPr>
        <w:tab/>
      </w:r>
      <w:r w:rsidRPr="008607E3">
        <w:rPr>
          <w:szCs w:val="24"/>
        </w:rPr>
        <w:tab/>
        <w:t>/</w:t>
      </w:r>
      <w:r w:rsidRPr="008607E3">
        <w:rPr>
          <w:i/>
          <w:szCs w:val="24"/>
        </w:rPr>
        <w:t>Maria Svalfors</w:t>
      </w:r>
    </w:p>
    <w:p w:rsidR="00421600" w:rsidRPr="008607E3" w:rsidRDefault="00421600" w:rsidP="00421600">
      <w:pPr>
        <w:rPr>
          <w:szCs w:val="24"/>
        </w:rPr>
      </w:pPr>
    </w:p>
    <w:p w:rsidR="00050FDC" w:rsidRPr="008607E3" w:rsidRDefault="00421600" w:rsidP="00901688">
      <w:pPr>
        <w:pStyle w:val="Deltagare"/>
        <w:rPr>
          <w:noProof w:val="0"/>
          <w:szCs w:val="24"/>
        </w:rPr>
      </w:pPr>
      <w:r w:rsidRPr="008607E3">
        <w:rPr>
          <w:noProof w:val="0"/>
          <w:szCs w:val="24"/>
        </w:rPr>
        <w:t>I beslutet har deltagit Johan Gernandt (ordförande), Leif Pagrotsky (vice ord</w:t>
      </w:r>
      <w:r w:rsidR="00901688" w:rsidRPr="008607E3">
        <w:rPr>
          <w:noProof w:val="0"/>
          <w:szCs w:val="24"/>
        </w:rPr>
        <w:softHyphen/>
      </w:r>
      <w:r w:rsidRPr="008607E3">
        <w:rPr>
          <w:noProof w:val="0"/>
          <w:szCs w:val="24"/>
        </w:rPr>
        <w:t>förande),</w:t>
      </w:r>
      <w:r w:rsidR="00050FDC" w:rsidRPr="008607E3">
        <w:rPr>
          <w:noProof w:val="0"/>
          <w:szCs w:val="24"/>
        </w:rPr>
        <w:t xml:space="preserve"> </w:t>
      </w:r>
      <w:r w:rsidR="00050FDC" w:rsidRPr="008607E3">
        <w:rPr>
          <w:noProof w:val="0"/>
        </w:rPr>
        <w:t xml:space="preserve">Susanne Eberstein, Bo Bernhardsson, Elizabeth Nyström, </w:t>
      </w:r>
      <w:r w:rsidR="00050FDC" w:rsidRPr="008607E3">
        <w:rPr>
          <w:noProof w:val="0"/>
        </w:rPr>
        <w:br/>
        <w:t>A</w:t>
      </w:r>
      <w:r w:rsidR="00050FDC" w:rsidRPr="008607E3">
        <w:rPr>
          <w:noProof w:val="0"/>
        </w:rPr>
        <w:t>n</w:t>
      </w:r>
      <w:r w:rsidR="00050FDC" w:rsidRPr="008607E3">
        <w:rPr>
          <w:noProof w:val="0"/>
        </w:rPr>
        <w:t xml:space="preserve">ders </w:t>
      </w:r>
      <w:r w:rsidR="00050FDC" w:rsidRPr="008607E3">
        <w:rPr>
          <w:noProof w:val="0"/>
          <w:spacing w:val="-2"/>
        </w:rPr>
        <w:t>Flanking, Karin Pilsäter, Kjell Nordström, Ebba Lindsö, Anne-</w:t>
      </w:r>
      <w:r w:rsidR="00050FDC" w:rsidRPr="008607E3">
        <w:rPr>
          <w:noProof w:val="0"/>
        </w:rPr>
        <w:t>Katrine Dunker och Fredrik Olovsson.</w:t>
      </w:r>
    </w:p>
    <w:p w:rsidR="00C64230" w:rsidRPr="008607E3" w:rsidRDefault="00421600" w:rsidP="00901688">
      <w:pPr>
        <w:pStyle w:val="Deltagare"/>
        <w:rPr>
          <w:noProof w:val="0"/>
        </w:rPr>
      </w:pPr>
      <w:r w:rsidRPr="008607E3">
        <w:rPr>
          <w:noProof w:val="0"/>
          <w:szCs w:val="24"/>
        </w:rPr>
        <w:t>Föredragande har varit Mithra Sundberg och Henrik Gardholm.</w:t>
      </w:r>
    </w:p>
    <w:p w:rsidR="00C64230" w:rsidRPr="008607E3" w:rsidRDefault="00C64230" w:rsidP="00C64230">
      <w:pPr>
        <w:pStyle w:val="Normaltindrag"/>
      </w:pPr>
    </w:p>
    <w:p w:rsidR="00C64230" w:rsidRPr="008607E3" w:rsidRDefault="00C64230" w:rsidP="00C64230">
      <w:pPr>
        <w:pStyle w:val="Normaltindrag"/>
      </w:pPr>
    </w:p>
    <w:p w:rsidR="00C64230" w:rsidRPr="008607E3" w:rsidRDefault="00C64230" w:rsidP="00C64230">
      <w:pPr>
        <w:pStyle w:val="Normaltindrag"/>
      </w:pPr>
    </w:p>
    <w:p w:rsidR="00C64230" w:rsidRPr="008607E3" w:rsidRDefault="00C64230" w:rsidP="00C64230">
      <w:pPr>
        <w:pStyle w:val="Normaltindrag"/>
        <w:sectPr w:rsidR="00C64230" w:rsidRPr="008607E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64230" w:rsidRPr="008607E3" w:rsidRDefault="005B44E8" w:rsidP="00D801B1">
      <w:pPr>
        <w:pStyle w:val="Rubrik1"/>
        <w:spacing w:after="360"/>
        <w:rPr>
          <w:noProof w:val="0"/>
        </w:rPr>
      </w:pPr>
      <w:bookmarkStart w:id="5" w:name="_Toc158451120"/>
      <w:r w:rsidRPr="008607E3">
        <w:rPr>
          <w:noProof w:val="0"/>
        </w:rPr>
        <w:t>Förslag till vinstdisposition för år 2006</w:t>
      </w:r>
      <w:bookmarkEnd w:id="5"/>
      <w:r w:rsidRPr="008607E3">
        <w:rPr>
          <w:noProof w:val="0"/>
        </w:rPr>
        <w:t xml:space="preserve"> </w:t>
      </w:r>
    </w:p>
    <w:p w:rsidR="005B44E8" w:rsidRPr="008607E3" w:rsidRDefault="005B44E8" w:rsidP="005B44E8">
      <w:r w:rsidRPr="008607E3">
        <w:t>Riksdagen godkände i anslutning till sin behandling av Riksbankens förval</w:t>
      </w:r>
      <w:r w:rsidRPr="008607E3">
        <w:t>t</w:t>
      </w:r>
      <w:r w:rsidRPr="008607E3">
        <w:t>ning för år 2005 (2005/06 FiU:23) att vinstdispositionen för år 2005 baser</w:t>
      </w:r>
      <w:r w:rsidRPr="008607E3">
        <w:t>a</w:t>
      </w:r>
      <w:r w:rsidRPr="008607E3">
        <w:t>des på 1988 års vinstdelningsprincip med de kompletteringar av principen som genomförts sedan dess, vilket också var fullmäktiges förslag. Principen innebär i korthet att 80 procent av det genomsnittliga resultatet under de senaste fem åren, exklusive valutakurs- och guldvärdeeffekter, ska inlevereras till statsverket. För år 2006 tillämpar fullmäktige samma beräkningsgrund.</w:t>
      </w:r>
    </w:p>
    <w:p w:rsidR="005B44E8" w:rsidRPr="008607E3" w:rsidRDefault="005B44E8" w:rsidP="005B44E8">
      <w:pPr>
        <w:pStyle w:val="Normaltindrag"/>
      </w:pPr>
      <w:r w:rsidRPr="008607E3">
        <w:t>Fullmäktige har i enlighet med 10 kap. 3 § lagen (1988:1385) om Sveriges riksbank erhållit redovisning från direktionen över räkenskapsåret 2006. Fullmäktige konsta</w:t>
      </w:r>
      <w:r w:rsidRPr="008607E3">
        <w:softHyphen/>
        <w:t>terar att Riksbanken med tillämpning av nuvarande red</w:t>
      </w:r>
      <w:r w:rsidRPr="008607E3">
        <w:t>o</w:t>
      </w:r>
      <w:r w:rsidRPr="008607E3">
        <w:t>visningsprinciper redovisar en vinst för 2006 uppgående till 7 877 miljoner kronor. I enlighet med 1988 års vinstdelningsprincip och de kompletteringar av principen som genomförts sedan dess görs följande justeringar av det redovisade resultatet vid beräk</w:t>
      </w:r>
      <w:r w:rsidRPr="008607E3">
        <w:softHyphen/>
        <w:t xml:space="preserve">ning av det inleveransgrundande resultatet: </w:t>
      </w:r>
    </w:p>
    <w:p w:rsidR="005B44E8" w:rsidRPr="008607E3" w:rsidRDefault="005B44E8" w:rsidP="00E46B15">
      <w:pPr>
        <w:numPr>
          <w:ilvl w:val="0"/>
          <w:numId w:val="15"/>
        </w:numPr>
        <w:tabs>
          <w:tab w:val="clear" w:pos="780"/>
        </w:tabs>
        <w:spacing w:before="125"/>
        <w:ind w:left="357" w:hanging="357"/>
      </w:pPr>
      <w:r w:rsidRPr="008607E3">
        <w:t>Det redovisade resultatet har påverkats positivt av en valutakur</w:t>
      </w:r>
      <w:r w:rsidRPr="008607E3">
        <w:t>s</w:t>
      </w:r>
      <w:r w:rsidRPr="008607E3">
        <w:t xml:space="preserve">vinst om </w:t>
      </w:r>
      <w:r w:rsidRPr="008607E3">
        <w:br/>
        <w:t>3 536 miljoner kronor. I enlighet med vinstdelningsprincipen e</w:t>
      </w:r>
      <w:r w:rsidRPr="008607E3">
        <w:t>x</w:t>
      </w:r>
      <w:r w:rsidRPr="008607E3">
        <w:t>klu</w:t>
      </w:r>
      <w:r w:rsidRPr="008607E3">
        <w:softHyphen/>
        <w:t xml:space="preserve">deras denna vinst vid beräkningen av det inleveransgrundande resultatet. </w:t>
      </w:r>
    </w:p>
    <w:p w:rsidR="005B44E8" w:rsidRPr="008607E3" w:rsidRDefault="005B44E8" w:rsidP="00E46B15">
      <w:pPr>
        <w:numPr>
          <w:ilvl w:val="0"/>
          <w:numId w:val="15"/>
        </w:numPr>
        <w:tabs>
          <w:tab w:val="clear" w:pos="780"/>
        </w:tabs>
        <w:spacing w:before="0"/>
        <w:ind w:left="357" w:hanging="357"/>
      </w:pPr>
      <w:r w:rsidRPr="008607E3">
        <w:t>Riksbanken har redovisat en vinst om 492 miljoner kronor till följd av att guld avyttrats under 2006. Fullmäktige har i enlighet med tidigare besl</w:t>
      </w:r>
      <w:r w:rsidRPr="008607E3">
        <w:t>u</w:t>
      </w:r>
      <w:r w:rsidRPr="008607E3">
        <w:t>tad komplettering av vinstdelningsprincipen exkluderat denna vinst vid vinstdi</w:t>
      </w:r>
      <w:r w:rsidRPr="008607E3">
        <w:t>s</w:t>
      </w:r>
      <w:r w:rsidRPr="008607E3">
        <w:t>positions</w:t>
      </w:r>
      <w:r w:rsidRPr="008607E3">
        <w:softHyphen/>
        <w:t xml:space="preserve">beräkningen. </w:t>
      </w:r>
    </w:p>
    <w:p w:rsidR="005B44E8" w:rsidRPr="008607E3" w:rsidRDefault="005B44E8" w:rsidP="00E46B15">
      <w:pPr>
        <w:numPr>
          <w:ilvl w:val="0"/>
          <w:numId w:val="15"/>
        </w:numPr>
        <w:tabs>
          <w:tab w:val="clear" w:pos="780"/>
        </w:tabs>
        <w:spacing w:before="0"/>
        <w:ind w:left="357" w:hanging="357"/>
      </w:pPr>
      <w:r w:rsidRPr="008607E3">
        <w:t>En orealiserad priseffektförlust om 1 263 miljoner kronor ingår ej i det redovisade resultatet till följd av de 2004 ändrade redovisningsprincipe</w:t>
      </w:r>
      <w:r w:rsidRPr="008607E3">
        <w:t>r</w:t>
      </w:r>
      <w:r w:rsidRPr="008607E3">
        <w:t>na. Fullmäktige har inkluderat denna förlust vid vinstdispositionsberä</w:t>
      </w:r>
      <w:r w:rsidRPr="008607E3">
        <w:t>k</w:t>
      </w:r>
      <w:r w:rsidRPr="008607E3">
        <w:t>ningen i e</w:t>
      </w:r>
      <w:r w:rsidRPr="008607E3">
        <w:t>n</w:t>
      </w:r>
      <w:r w:rsidRPr="008607E3">
        <w:t xml:space="preserve">lighet med vinstdelningsprincipen. </w:t>
      </w:r>
    </w:p>
    <w:p w:rsidR="005B44E8" w:rsidRPr="008607E3" w:rsidRDefault="005B44E8" w:rsidP="005B44E8">
      <w:r w:rsidRPr="008607E3">
        <w:t>Fullmäktige föreslår enligt nedan en inleverans till statsverket om 4 400 mi</w:t>
      </w:r>
      <w:r w:rsidRPr="008607E3">
        <w:t>l</w:t>
      </w:r>
      <w:r w:rsidRPr="008607E3">
        <w:t xml:space="preserve">joner kronor. </w:t>
      </w:r>
    </w:p>
    <w:p w:rsidR="005B44E8" w:rsidRPr="008607E3" w:rsidRDefault="005B44E8" w:rsidP="005B44E8">
      <w:pPr>
        <w:pStyle w:val="Normaltindrag"/>
      </w:pPr>
      <w:r w:rsidRPr="008607E3">
        <w:t>Eftersom den föreslagna inleveransen är lägre än årets redovisade resultat föreslås i enlighet med vinstdelningsprincipen att 4 577 miljoner kronor förs till dispositionsfonden och 1 100 miljoner kronor från resultatutjämningsfo</w:t>
      </w:r>
      <w:r w:rsidRPr="008607E3">
        <w:t>n</w:t>
      </w:r>
      <w:r w:rsidRPr="008607E3">
        <w:t>den. Beräkningsunderlaget för vinstdispositionsförslaget fram</w:t>
      </w:r>
      <w:r w:rsidRPr="008607E3">
        <w:softHyphen/>
        <w:t>går av bilaga.</w:t>
      </w:r>
    </w:p>
    <w:p w:rsidR="005B44E8" w:rsidRPr="008607E3" w:rsidRDefault="005B44E8" w:rsidP="005B44E8">
      <w:pPr>
        <w:pStyle w:val="Normaltindrag"/>
      </w:pPr>
      <w:r w:rsidRPr="008607E3">
        <w:t>Fullmäktiges revi</w:t>
      </w:r>
      <w:r w:rsidRPr="008607E3">
        <w:softHyphen/>
        <w:t>sionsenhet har granskat underlaget för beräkningen av vinstdispo</w:t>
      </w:r>
      <w:r w:rsidRPr="008607E3">
        <w:softHyphen/>
        <w:t>sitionsförslaget. Revisionsenheten har därvid inte haft något att anmärka.</w:t>
      </w:r>
    </w:p>
    <w:p w:rsidR="005B44E8" w:rsidRPr="008607E3" w:rsidRDefault="005B44E8" w:rsidP="005B44E8">
      <w:pPr>
        <w:pStyle w:val="Normaltindrag"/>
      </w:pPr>
      <w:r w:rsidRPr="008607E3">
        <w:t>Fullmäktige har den 9 februari 2007 beslutat avge följande förslag till di</w:t>
      </w:r>
      <w:r w:rsidRPr="008607E3">
        <w:t>s</w:t>
      </w:r>
      <w:r w:rsidRPr="008607E3">
        <w:t>pos</w:t>
      </w:r>
      <w:r w:rsidRPr="008607E3">
        <w:t>i</w:t>
      </w:r>
      <w:r w:rsidRPr="008607E3">
        <w:t>tion av Riksbankens vinst.</w:t>
      </w:r>
    </w:p>
    <w:p w:rsidR="005B44E8" w:rsidRPr="008607E3" w:rsidRDefault="005B44E8" w:rsidP="005B44E8">
      <w:pPr>
        <w:pStyle w:val="Normaltindrag"/>
      </w:pPr>
      <w:r w:rsidRPr="008607E3">
        <w:t>Resultatet för år 2006 före bokslutsdispositioner uppgår till 7 877 miljoner kronor.</w:t>
      </w:r>
    </w:p>
    <w:p w:rsidR="000E33E6" w:rsidRPr="008607E3" w:rsidRDefault="005B44E8" w:rsidP="000E33E6">
      <w:r w:rsidRPr="008607E3">
        <w:br w:type="page"/>
      </w:r>
      <w:r w:rsidR="00D801B1" w:rsidRPr="008607E3">
        <w:t>Full</w:t>
      </w:r>
      <w:r w:rsidR="00D801B1" w:rsidRPr="008607E3">
        <w:softHyphen/>
        <w:t>mäktige föreslår att</w:t>
      </w:r>
    </w:p>
    <w:tbl>
      <w:tblPr>
        <w:tblW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  <w:gridCol w:w="2154"/>
      </w:tblGrid>
      <w:tr w:rsidR="000E33E6" w:rsidRPr="008607E3" w:rsidTr="00E21556">
        <w:tblPrEx>
          <w:tblCellMar>
            <w:top w:w="0" w:type="dxa"/>
            <w:bottom w:w="0" w:type="dxa"/>
          </w:tblCellMar>
        </w:tblPrEx>
        <w:tc>
          <w:tcPr>
            <w:tcW w:w="3870" w:type="dxa"/>
          </w:tcPr>
          <w:p w:rsidR="000E33E6" w:rsidRPr="008607E3" w:rsidRDefault="000E33E6" w:rsidP="000E33E6">
            <w:pPr>
              <w:spacing w:before="100" w:beforeAutospacing="1" w:line="240" w:lineRule="exact"/>
            </w:pPr>
            <w:r w:rsidRPr="008607E3">
              <w:t>– till Riksbankens dispositionsfond förs</w:t>
            </w:r>
          </w:p>
        </w:tc>
        <w:tc>
          <w:tcPr>
            <w:tcW w:w="2154" w:type="dxa"/>
          </w:tcPr>
          <w:p w:rsidR="000E33E6" w:rsidRPr="008607E3" w:rsidRDefault="000E33E6" w:rsidP="00050FDC">
            <w:pPr>
              <w:spacing w:before="100" w:beforeAutospacing="1" w:line="240" w:lineRule="exact"/>
              <w:jc w:val="right"/>
            </w:pPr>
            <w:r w:rsidRPr="008607E3">
              <w:t>–</w:t>
            </w:r>
            <w:r w:rsidR="00050FDC" w:rsidRPr="008607E3">
              <w:t xml:space="preserve"> </w:t>
            </w:r>
            <w:r w:rsidRPr="008607E3">
              <w:t>4 577 miljoner kr</w:t>
            </w:r>
            <w:r w:rsidRPr="008607E3">
              <w:t>o</w:t>
            </w:r>
            <w:r w:rsidRPr="008607E3">
              <w:t>nor</w:t>
            </w:r>
          </w:p>
        </w:tc>
      </w:tr>
      <w:tr w:rsidR="000E33E6" w:rsidRPr="008607E3" w:rsidTr="00E21556">
        <w:tblPrEx>
          <w:tblCellMar>
            <w:top w:w="0" w:type="dxa"/>
            <w:bottom w:w="0" w:type="dxa"/>
          </w:tblCellMar>
        </w:tblPrEx>
        <w:tc>
          <w:tcPr>
            <w:tcW w:w="3870" w:type="dxa"/>
          </w:tcPr>
          <w:p w:rsidR="000E33E6" w:rsidRPr="008607E3" w:rsidRDefault="000E33E6" w:rsidP="000E33E6">
            <w:pPr>
              <w:spacing w:before="100" w:beforeAutospacing="1" w:line="240" w:lineRule="exact"/>
            </w:pPr>
            <w:r w:rsidRPr="008607E3">
              <w:t>– från Riksbankens resultatutjämningsfond förs</w:t>
            </w:r>
          </w:p>
        </w:tc>
        <w:tc>
          <w:tcPr>
            <w:tcW w:w="2154" w:type="dxa"/>
          </w:tcPr>
          <w:p w:rsidR="000E33E6" w:rsidRPr="008607E3" w:rsidRDefault="000E33E6" w:rsidP="00050FDC">
            <w:pPr>
              <w:spacing w:before="100" w:beforeAutospacing="1" w:line="240" w:lineRule="exact"/>
              <w:jc w:val="right"/>
            </w:pPr>
            <w:r w:rsidRPr="008607E3">
              <w:t>1 100 miljoner kr</w:t>
            </w:r>
            <w:r w:rsidRPr="008607E3">
              <w:t>o</w:t>
            </w:r>
            <w:r w:rsidRPr="008607E3">
              <w:t>nor</w:t>
            </w:r>
          </w:p>
        </w:tc>
      </w:tr>
      <w:tr w:rsidR="000E33E6" w:rsidRPr="008607E3" w:rsidTr="00E21556">
        <w:tblPrEx>
          <w:tblCellMar>
            <w:top w:w="0" w:type="dxa"/>
            <w:bottom w:w="0" w:type="dxa"/>
          </w:tblCellMar>
        </w:tblPrEx>
        <w:tc>
          <w:tcPr>
            <w:tcW w:w="3870" w:type="dxa"/>
          </w:tcPr>
          <w:p w:rsidR="000E33E6" w:rsidRPr="008607E3" w:rsidRDefault="000E33E6" w:rsidP="000E33E6">
            <w:pPr>
              <w:spacing w:before="100" w:beforeAutospacing="1" w:line="240" w:lineRule="exact"/>
            </w:pPr>
            <w:r w:rsidRPr="008607E3">
              <w:t>– till statsverket inlevereras</w:t>
            </w:r>
          </w:p>
        </w:tc>
        <w:tc>
          <w:tcPr>
            <w:tcW w:w="2154" w:type="dxa"/>
          </w:tcPr>
          <w:p w:rsidR="000E33E6" w:rsidRPr="008607E3" w:rsidRDefault="000E33E6" w:rsidP="00050FDC">
            <w:pPr>
              <w:spacing w:before="100" w:beforeAutospacing="1" w:line="240" w:lineRule="exact"/>
              <w:jc w:val="right"/>
            </w:pPr>
            <w:r w:rsidRPr="008607E3">
              <w:t>4 400 miljoner kronor</w:t>
            </w:r>
          </w:p>
        </w:tc>
      </w:tr>
      <w:tr w:rsidR="000E33E6" w:rsidRPr="008607E3" w:rsidTr="000E33E6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</w:tcPr>
          <w:p w:rsidR="000E33E6" w:rsidRPr="008607E3" w:rsidRDefault="000E33E6" w:rsidP="007B4DEB">
            <w:pPr>
              <w:spacing w:before="100" w:beforeAutospacing="1" w:line="240" w:lineRule="exact"/>
              <w:ind w:left="113" w:hanging="113"/>
            </w:pPr>
            <w:r w:rsidRPr="008607E3">
              <w:t>– inleveransen sker senast en vecka efter riksdagens beslut, lämpligen i sa</w:t>
            </w:r>
            <w:r w:rsidRPr="008607E3">
              <w:t>m</w:t>
            </w:r>
            <w:r w:rsidRPr="008607E3">
              <w:t>band med Riksbankens genomförande av den veckovisa öppna marknad</w:t>
            </w:r>
            <w:r w:rsidRPr="008607E3">
              <w:t>s</w:t>
            </w:r>
            <w:r w:rsidRPr="008607E3">
              <w:t xml:space="preserve">operationen. </w:t>
            </w:r>
          </w:p>
        </w:tc>
      </w:tr>
    </w:tbl>
    <w:p w:rsidR="000E33E6" w:rsidRPr="008607E3" w:rsidRDefault="000E33E6" w:rsidP="005B44E8"/>
    <w:p w:rsidR="005B44E8" w:rsidRPr="008607E3" w:rsidRDefault="005B44E8" w:rsidP="005B44E8"/>
    <w:p w:rsidR="000E33E6" w:rsidRPr="008607E3" w:rsidRDefault="000E33E6" w:rsidP="0066137B"/>
    <w:p w:rsidR="000E33E6" w:rsidRPr="008607E3" w:rsidRDefault="000E33E6" w:rsidP="000E33E6">
      <w:pPr>
        <w:pStyle w:val="Rubrik1"/>
        <w:rPr>
          <w:noProof w:val="0"/>
        </w:rPr>
        <w:sectPr w:rsidR="000E33E6" w:rsidRPr="008607E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5B44E8" w:rsidRPr="008607E3" w:rsidRDefault="005B44E8" w:rsidP="00D801B1">
      <w:pPr>
        <w:pStyle w:val="Rubrik1"/>
        <w:spacing w:after="360"/>
        <w:rPr>
          <w:noProof w:val="0"/>
        </w:rPr>
      </w:pPr>
      <w:bookmarkStart w:id="6" w:name="_Toc158451121"/>
      <w:r w:rsidRPr="008607E3">
        <w:rPr>
          <w:noProof w:val="0"/>
        </w:rPr>
        <w:t>Fullmäktiges verksamhet år 2006</w:t>
      </w:r>
      <w:bookmarkEnd w:id="6"/>
    </w:p>
    <w:p w:rsidR="005B44E8" w:rsidRPr="008607E3" w:rsidRDefault="005B44E8" w:rsidP="005B44E8">
      <w:r w:rsidRPr="008607E3">
        <w:t xml:space="preserve">Fullmäktige har sammanträtt vid </w:t>
      </w:r>
      <w:r w:rsidR="00D801B1" w:rsidRPr="008607E3">
        <w:t>11</w:t>
      </w:r>
      <w:r w:rsidRPr="008607E3">
        <w:t xml:space="preserve"> tillfällen under år 2006.   </w:t>
      </w:r>
    </w:p>
    <w:p w:rsidR="005B44E8" w:rsidRPr="008607E3" w:rsidRDefault="005B44E8" w:rsidP="000E33E6">
      <w:pPr>
        <w:pStyle w:val="Normaltindrag"/>
      </w:pPr>
      <w:r w:rsidRPr="008607E3">
        <w:t>Den 17 oktober 2006 utsåg Sveriges riksdag nya ledamöter och supplea</w:t>
      </w:r>
      <w:r w:rsidRPr="008607E3">
        <w:t>n</w:t>
      </w:r>
      <w:r w:rsidRPr="008607E3">
        <w:t>ter till riksbanksfullmäktige. Fullmäktige höll ett första konstituerande sa</w:t>
      </w:r>
      <w:r w:rsidRPr="008607E3">
        <w:t>m</w:t>
      </w:r>
      <w:r w:rsidRPr="008607E3">
        <w:t>manträde den 19 oktober 2006. Fullmäktige valde då ordförande och vice ordf</w:t>
      </w:r>
      <w:r w:rsidRPr="008607E3">
        <w:t>ö</w:t>
      </w:r>
      <w:r w:rsidRPr="008607E3">
        <w:t>rande inom sig. Det nya fullmäktige fick en halv dags introduktion om Rik</w:t>
      </w:r>
      <w:r w:rsidRPr="008607E3">
        <w:t>s</w:t>
      </w:r>
      <w:r w:rsidRPr="008607E3">
        <w:t xml:space="preserve">bankens verksamhet i november.  </w:t>
      </w:r>
    </w:p>
    <w:p w:rsidR="005B44E8" w:rsidRPr="008607E3" w:rsidRDefault="005B44E8" w:rsidP="000E33E6">
      <w:pPr>
        <w:pStyle w:val="Normaltindrag"/>
      </w:pPr>
      <w:r w:rsidRPr="008607E3">
        <w:t>Fullmäktiges ordförande och vice ordförande följer direktionens arbete bl.a. genom att delta i direktionens sammanträden samt genom en löpande dialog med främst riks</w:t>
      </w:r>
      <w:r w:rsidRPr="008607E3">
        <w:softHyphen/>
        <w:t>bankschefen.</w:t>
      </w:r>
    </w:p>
    <w:p w:rsidR="005B44E8" w:rsidRPr="008607E3" w:rsidRDefault="005B44E8" w:rsidP="000E33E6">
      <w:pPr>
        <w:pStyle w:val="Normaltindrag"/>
      </w:pPr>
      <w:r w:rsidRPr="008607E3">
        <w:t>Ledamöter av Riksbankens direktion har normalt deltagit i fullmäktig</w:t>
      </w:r>
      <w:r w:rsidRPr="008607E3">
        <w:t>e</w:t>
      </w:r>
      <w:r w:rsidRPr="008607E3">
        <w:t>samman</w:t>
      </w:r>
      <w:r w:rsidRPr="008607E3">
        <w:softHyphen/>
        <w:t>trädena. Fullmäktige har därvid informerat sig om direktionsledam</w:t>
      </w:r>
      <w:r w:rsidRPr="008607E3">
        <w:t>ö</w:t>
      </w:r>
      <w:r w:rsidRPr="008607E3">
        <w:t>ternas tjänsteut</w:t>
      </w:r>
      <w:r w:rsidRPr="008607E3">
        <w:softHyphen/>
        <w:t>övning. Redogörelser har lämnats av direktionen för den akt</w:t>
      </w:r>
      <w:r w:rsidRPr="008607E3">
        <w:t>u</w:t>
      </w:r>
      <w:r w:rsidRPr="008607E3">
        <w:t>ella pen</w:t>
      </w:r>
      <w:r w:rsidRPr="008607E3">
        <w:softHyphen/>
        <w:t>ningpolitiken och arbetet med att övervaka det finansiella systemets stab</w:t>
      </w:r>
      <w:r w:rsidRPr="008607E3">
        <w:t>i</w:t>
      </w:r>
      <w:r w:rsidRPr="008607E3">
        <w:t>litet, lik</w:t>
      </w:r>
      <w:r w:rsidRPr="008607E3">
        <w:softHyphen/>
        <w:t>som för utveck</w:t>
      </w:r>
      <w:r w:rsidRPr="008607E3">
        <w:softHyphen/>
        <w:t>lingen inom betalningsväsendet. Fullmäktige har också fått information om budget, verk</w:t>
      </w:r>
      <w:r w:rsidRPr="008607E3">
        <w:softHyphen/>
        <w:t>samhetsplan, utveckling av risk och resultat i tillgångsförvaltningen samt utfallet i övrigt av verksamheten. Ful</w:t>
      </w:r>
      <w:r w:rsidRPr="008607E3">
        <w:t>l</w:t>
      </w:r>
      <w:r w:rsidRPr="008607E3">
        <w:t>mäktige har även fått rapport avseende direktionens uppföljning av de förän</w:t>
      </w:r>
      <w:r w:rsidRPr="008607E3">
        <w:t>d</w:t>
      </w:r>
      <w:r w:rsidRPr="008607E3">
        <w:t>ringar i ledningsformer som genomförts sedan 2004, liksom om den medarb</w:t>
      </w:r>
      <w:r w:rsidRPr="008607E3">
        <w:t>e</w:t>
      </w:r>
      <w:r w:rsidRPr="008607E3">
        <w:t>tarunde</w:t>
      </w:r>
      <w:r w:rsidRPr="008607E3">
        <w:t>r</w:t>
      </w:r>
      <w:r w:rsidRPr="008607E3">
        <w:t>sökning som genomförts under hösten 2006.</w:t>
      </w:r>
    </w:p>
    <w:p w:rsidR="005B44E8" w:rsidRPr="008607E3" w:rsidRDefault="005B44E8" w:rsidP="000E33E6">
      <w:pPr>
        <w:pStyle w:val="Normaltindrag"/>
      </w:pPr>
      <w:r w:rsidRPr="008607E3">
        <w:t>Fullmäktige har under året även fått information från direktionen om a</w:t>
      </w:r>
      <w:r w:rsidRPr="008607E3">
        <w:t>v</w:t>
      </w:r>
      <w:r w:rsidRPr="008607E3">
        <w:t>vecklingen av verksamheten i Svensk Kontantförsörjning AB samt om u</w:t>
      </w:r>
      <w:r w:rsidRPr="008607E3">
        <w:t>t</w:t>
      </w:r>
      <w:r w:rsidRPr="008607E3">
        <w:t>vecklingen av den nya strukturen för kontantförsörjning i Sverige. Direkti</w:t>
      </w:r>
      <w:r w:rsidRPr="008607E3">
        <w:t>o</w:t>
      </w:r>
      <w:r w:rsidRPr="008607E3">
        <w:t>nen har även rapporterat att mark i Botkyrka som varit i Riksbankens ägo samt en semester- och konferensanläggning i Baggensnäs avyttrats under 2006.</w:t>
      </w:r>
    </w:p>
    <w:p w:rsidR="005B44E8" w:rsidRPr="008607E3" w:rsidRDefault="005B44E8" w:rsidP="000E33E6">
      <w:pPr>
        <w:pStyle w:val="Normaltindrag"/>
      </w:pPr>
      <w:r w:rsidRPr="008607E3">
        <w:t>Under 2006 har fyra representanter från fullmäktige ingått i en av Rik</w:t>
      </w:r>
      <w:r w:rsidRPr="008607E3">
        <w:t>s</w:t>
      </w:r>
      <w:r w:rsidRPr="008607E3">
        <w:t xml:space="preserve">banken inrättad samrådsgrupp, den </w:t>
      </w:r>
      <w:r w:rsidR="00D801B1" w:rsidRPr="008607E3">
        <w:t xml:space="preserve">s.k. </w:t>
      </w:r>
      <w:r w:rsidRPr="008607E3">
        <w:rPr>
          <w:i/>
        </w:rPr>
        <w:t xml:space="preserve">Gruppen för minnesmynt. </w:t>
      </w:r>
      <w:r w:rsidRPr="008607E3">
        <w:t>I gru</w:t>
      </w:r>
      <w:r w:rsidRPr="008607E3">
        <w:t>p</w:t>
      </w:r>
      <w:r w:rsidRPr="008607E3">
        <w:t xml:space="preserve">pen har även företrädare </w:t>
      </w:r>
      <w:r w:rsidR="00D801B1" w:rsidRPr="008607E3">
        <w:t>för</w:t>
      </w:r>
      <w:r w:rsidRPr="008607E3">
        <w:t xml:space="preserve"> Historiska museet, Kungl</w:t>
      </w:r>
      <w:r w:rsidR="00D801B1" w:rsidRPr="008607E3">
        <w:t xml:space="preserve">. </w:t>
      </w:r>
      <w:r w:rsidR="00050FDC" w:rsidRPr="008607E3">
        <w:t>Myntkabine</w:t>
      </w:r>
      <w:r w:rsidR="00050FDC" w:rsidRPr="008607E3">
        <w:t>t</w:t>
      </w:r>
      <w:r w:rsidR="00050FDC" w:rsidRPr="008607E3">
        <w:t>tet</w:t>
      </w:r>
      <w:r w:rsidRPr="008607E3">
        <w:t>, Stats</w:t>
      </w:r>
      <w:r w:rsidRPr="008607E3">
        <w:softHyphen/>
        <w:t>heraldikern m.fl. deltagit. Gruppen har till uppgift att förbereda fö</w:t>
      </w:r>
      <w:r w:rsidRPr="008607E3">
        <w:t>r</w:t>
      </w:r>
      <w:r w:rsidRPr="008607E3">
        <w:t>slag till motiv för utgiv</w:t>
      </w:r>
      <w:r w:rsidRPr="008607E3">
        <w:softHyphen/>
        <w:t>ning av minnesmynt. Den 20 juni 2006 fastställde fullmä</w:t>
      </w:r>
      <w:r w:rsidRPr="008607E3">
        <w:t>k</w:t>
      </w:r>
      <w:r w:rsidRPr="008607E3">
        <w:t>tige utformningen av minnesmynt med anledning av 150-årsjubileet av den sven</w:t>
      </w:r>
      <w:r w:rsidRPr="008607E3">
        <w:t>s</w:t>
      </w:r>
      <w:r w:rsidRPr="008607E3">
        <w:t>ka järnvägen i enlighet med det förslag som utarbetats inom Gruppen för minnesmynt. Vid sammanträdet den 20 januari 2006 beslutade fullmäktige om föreskrifter för nya uppgraderade sedlar i valörerna 50 kronor och 1 000 kronor.</w:t>
      </w:r>
    </w:p>
    <w:p w:rsidR="005B44E8" w:rsidRPr="008607E3" w:rsidRDefault="005B44E8" w:rsidP="000E33E6">
      <w:pPr>
        <w:pStyle w:val="Normaltindrag"/>
      </w:pPr>
      <w:r w:rsidRPr="008607E3">
        <w:t>Riksrevisionens rapporter till Riksbanken i samband med bokslutsgrans</w:t>
      </w:r>
      <w:r w:rsidRPr="008607E3">
        <w:t>k</w:t>
      </w:r>
      <w:r w:rsidRPr="008607E3">
        <w:t>ningen för år 2005 har rapporterats för fullmäktige.</w:t>
      </w:r>
    </w:p>
    <w:p w:rsidR="005B44E8" w:rsidRPr="008607E3" w:rsidRDefault="005B44E8" w:rsidP="000E33E6">
      <w:pPr>
        <w:pStyle w:val="Normaltindrag"/>
      </w:pPr>
      <w:r w:rsidRPr="008607E3">
        <w:t>Fullmäktiges revisionsenhet har under 2006 för fullmäktige redovisat sin granskning av direk</w:t>
      </w:r>
      <w:r w:rsidRPr="008607E3">
        <w:softHyphen/>
        <w:t>tionsledamöternas utövande av tjänsten, direktionsled</w:t>
      </w:r>
      <w:r w:rsidRPr="008607E3">
        <w:t>a</w:t>
      </w:r>
      <w:r w:rsidRPr="008607E3">
        <w:t xml:space="preserve">möternas delegerade sakansvar, efterlevnaden av arbetsordningen samt en uppföljning av den interna kontrollen i bokslutsprocessen. Vid fullmäktiges sammanträde den 19 oktober 2006 beslutades att påbörja en ny upphandling av revisorer för fullmäktiges revisionsenhet, eftersom nuvarande avtal med en revisionsbyrå löper ut den 31 mars 2007. </w:t>
      </w:r>
    </w:p>
    <w:p w:rsidR="005B44E8" w:rsidRPr="008607E3" w:rsidRDefault="005B44E8" w:rsidP="000E33E6">
      <w:pPr>
        <w:pStyle w:val="Normaltindrag"/>
      </w:pPr>
      <w:r w:rsidRPr="008607E3">
        <w:t>Fullmäktige har under året fått en genomgång av de regler som gäller för direktionsledamöters sidouppdrag samt även reglerna som gäller sidouppdrag för övriga anställda i banken. Vid fullmäktigesammanträdena den 20 januari, 17 mars, 21 april och 16 november 2006 har direktionsledamöters sidoup</w:t>
      </w:r>
      <w:r w:rsidRPr="008607E3">
        <w:t>p</w:t>
      </w:r>
      <w:r w:rsidRPr="008607E3">
        <w:t xml:space="preserve">drag anmälts. </w:t>
      </w:r>
    </w:p>
    <w:p w:rsidR="005B44E8" w:rsidRPr="008607E3" w:rsidRDefault="005B44E8" w:rsidP="000E33E6">
      <w:pPr>
        <w:pStyle w:val="Normaltindrag"/>
      </w:pPr>
      <w:r w:rsidRPr="008607E3">
        <w:t>I fullmäktiges löpande uppföljning av direktionsledamöterna har inte fra</w:t>
      </w:r>
      <w:r w:rsidRPr="008607E3">
        <w:t>m</w:t>
      </w:r>
      <w:r w:rsidRPr="008607E3">
        <w:t>kommit något som föranlett fullmäktige att rikta någon anmärkning mot deras tjänsteutöv</w:t>
      </w:r>
      <w:r w:rsidRPr="008607E3">
        <w:softHyphen/>
        <w:t xml:space="preserve">ning. </w:t>
      </w:r>
    </w:p>
    <w:p w:rsidR="005B44E8" w:rsidRPr="008607E3" w:rsidRDefault="005B44E8" w:rsidP="000E33E6">
      <w:pPr>
        <w:pStyle w:val="Normaltindrag"/>
      </w:pPr>
      <w:r w:rsidRPr="008607E3">
        <w:t>Fullmäktige informerades om utfallet av lönerevisionen i Riksbanken i d</w:t>
      </w:r>
      <w:r w:rsidRPr="008607E3">
        <w:t>e</w:t>
      </w:r>
      <w:r w:rsidRPr="008607E3">
        <w:t>cember</w:t>
      </w:r>
      <w:r w:rsidR="00D801B1" w:rsidRPr="008607E3">
        <w:t>,</w:t>
      </w:r>
      <w:r w:rsidRPr="008607E3">
        <w:t xml:space="preserve"> och direktionsledamöternas (förutom riksbankschefens) anställning</w:t>
      </w:r>
      <w:r w:rsidRPr="008607E3">
        <w:t>s</w:t>
      </w:r>
      <w:r w:rsidRPr="008607E3">
        <w:t xml:space="preserve">villkor justerades genom beslut den 15 december 2006.    </w:t>
      </w:r>
    </w:p>
    <w:p w:rsidR="005B44E8" w:rsidRPr="008607E3" w:rsidRDefault="005B44E8" w:rsidP="000E33E6">
      <w:pPr>
        <w:pStyle w:val="Normaltindrag"/>
      </w:pPr>
      <w:r w:rsidRPr="008607E3">
        <w:t>Fullmäktige fick den 29 november 2006 en längre föredragning av profe</w:t>
      </w:r>
      <w:r w:rsidRPr="008607E3">
        <w:t>s</w:t>
      </w:r>
      <w:r w:rsidRPr="008607E3">
        <w:t>sor Giavazzi om den utvärdering av den svenska penningpolitiken 1995</w:t>
      </w:r>
      <w:r w:rsidR="00D801B1" w:rsidRPr="008607E3">
        <w:t>–</w:t>
      </w:r>
      <w:r w:rsidRPr="008607E3">
        <w:t>2005 som han och professor Mishkin genomfört på uppdrag av finansutsko</w:t>
      </w:r>
      <w:r w:rsidRPr="008607E3">
        <w:t>t</w:t>
      </w:r>
      <w:r w:rsidRPr="008607E3">
        <w:t>tet. Vid fullmäktiges sammanträde den 15 december 2006 informerades ful</w:t>
      </w:r>
      <w:r w:rsidRPr="008607E3">
        <w:t>l</w:t>
      </w:r>
      <w:r w:rsidRPr="008607E3">
        <w:t>mäktige om den pågående utredningen om Riksbankens kapitalstruktur och vinstdi</w:t>
      </w:r>
      <w:r w:rsidRPr="008607E3">
        <w:t>s</w:t>
      </w:r>
      <w:r w:rsidRPr="008607E3">
        <w:t>position (Fi 2006:05).</w:t>
      </w:r>
    </w:p>
    <w:p w:rsidR="005B44E8" w:rsidRPr="008607E3" w:rsidRDefault="005B44E8" w:rsidP="000E33E6">
      <w:pPr>
        <w:pStyle w:val="Normaltindrag"/>
      </w:pPr>
      <w:r w:rsidRPr="008607E3">
        <w:t>Vid sammanträdet den 22 september 2006 beslutade fullmäktige att föreslå Hans-Ola Meyer till ny styrelseledamot i Stiftelsen Riksbankens Jubileum</w:t>
      </w:r>
      <w:r w:rsidRPr="008607E3">
        <w:t>s</w:t>
      </w:r>
      <w:r w:rsidRPr="008607E3">
        <w:t>fond.</w:t>
      </w:r>
    </w:p>
    <w:p w:rsidR="005B44E8" w:rsidRPr="008607E3" w:rsidRDefault="005B44E8" w:rsidP="005B44E8">
      <w:r w:rsidRPr="008607E3">
        <w:t xml:space="preserve">  </w:t>
      </w:r>
    </w:p>
    <w:p w:rsidR="005B44E8" w:rsidRPr="008607E3" w:rsidRDefault="005B44E8" w:rsidP="005B44E8"/>
    <w:p w:rsidR="00867583" w:rsidRPr="008607E3" w:rsidRDefault="00867583" w:rsidP="00867583">
      <w:pPr>
        <w:rPr>
          <w:sz w:val="2"/>
          <w:szCs w:val="2"/>
        </w:rPr>
        <w:sectPr w:rsidR="00867583" w:rsidRPr="008607E3" w:rsidSect="00867583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907" w:right="4649" w:bottom="4507" w:left="1304" w:header="340" w:footer="227" w:gutter="0"/>
          <w:cols w:space="720"/>
          <w:titlePg/>
          <w:docGrid w:linePitch="258"/>
        </w:sectPr>
      </w:pPr>
    </w:p>
    <w:p w:rsidR="00867583" w:rsidRPr="008607E3" w:rsidRDefault="00604AC6" w:rsidP="00867583">
      <w:pPr>
        <w:pStyle w:val="Bilaga"/>
      </w:pPr>
      <w:r w:rsidRPr="008607E3">
        <w:t>Bilaga</w:t>
      </w:r>
    </w:p>
    <w:p w:rsidR="00867583" w:rsidRPr="008607E3" w:rsidRDefault="00867583" w:rsidP="00FF0938">
      <w:pPr>
        <w:pStyle w:val="Rubrik1"/>
        <w:spacing w:after="360"/>
        <w:rPr>
          <w:noProof w:val="0"/>
        </w:rPr>
      </w:pPr>
      <w:bookmarkStart w:id="7" w:name="_Toc158451122"/>
      <w:r w:rsidRPr="008607E3">
        <w:rPr>
          <w:noProof w:val="0"/>
        </w:rPr>
        <w:t>Inleveransberäkning avseende Riksbankens resultat år 2006 (miljoner kronor)</w:t>
      </w:r>
      <w:bookmarkEnd w:id="7"/>
    </w:p>
    <w:tbl>
      <w:tblPr>
        <w:tblW w:w="606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666"/>
        <w:gridCol w:w="188"/>
        <w:gridCol w:w="996"/>
        <w:gridCol w:w="1395"/>
        <w:gridCol w:w="30"/>
        <w:gridCol w:w="65"/>
        <w:gridCol w:w="855"/>
        <w:gridCol w:w="30"/>
        <w:gridCol w:w="920"/>
      </w:tblGrid>
      <w:tr w:rsidR="000E33E6" w:rsidRPr="008607E3" w:rsidTr="00867583">
        <w:trPr>
          <w:trHeight w:val="20"/>
        </w:trPr>
        <w:tc>
          <w:tcPr>
            <w:tcW w:w="51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  <w:rPr>
                <w:b/>
                <w:bCs/>
              </w:rPr>
            </w:pPr>
            <w:r w:rsidRPr="008607E3">
              <w:rPr>
                <w:b/>
                <w:bCs/>
              </w:rPr>
              <w:t>1. Inleveransgrundande resultat 2006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</w:tr>
      <w:tr w:rsidR="000E33E6" w:rsidRPr="008607E3" w:rsidTr="00867583">
        <w:trPr>
          <w:trHeight w:val="20"/>
        </w:trPr>
        <w:tc>
          <w:tcPr>
            <w:tcW w:w="4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Redovisat resultat 2006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7 877</w:t>
            </w:r>
          </w:p>
        </w:tc>
      </w:tr>
      <w:tr w:rsidR="000E33E6" w:rsidRPr="008607E3" w:rsidTr="00867583">
        <w:trPr>
          <w:trHeight w:val="20"/>
        </w:trPr>
        <w:tc>
          <w:tcPr>
            <w:tcW w:w="4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Valutakursvinst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867583" w:rsidP="00867583">
            <w:pPr>
              <w:spacing w:before="60" w:line="200" w:lineRule="exact"/>
              <w:jc w:val="right"/>
            </w:pPr>
            <w:r w:rsidRPr="008607E3">
              <w:t>–</w:t>
            </w:r>
            <w:r w:rsidR="000E33E6" w:rsidRPr="008607E3">
              <w:t>3 536</w:t>
            </w:r>
          </w:p>
        </w:tc>
      </w:tr>
      <w:tr w:rsidR="000E33E6" w:rsidRPr="008607E3" w:rsidTr="00867583">
        <w:trPr>
          <w:trHeight w:val="20"/>
        </w:trPr>
        <w:tc>
          <w:tcPr>
            <w:tcW w:w="4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Realiserad guldvärd</w:t>
            </w:r>
            <w:r w:rsidRPr="008607E3">
              <w:t>e</w:t>
            </w:r>
            <w:r w:rsidRPr="008607E3">
              <w:t>vinst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D801B1" w:rsidP="00867583">
            <w:pPr>
              <w:spacing w:before="60" w:line="200" w:lineRule="exact"/>
              <w:jc w:val="right"/>
            </w:pPr>
            <w:r w:rsidRPr="008607E3">
              <w:t>–</w:t>
            </w:r>
            <w:r w:rsidR="000E33E6" w:rsidRPr="008607E3">
              <w:t>492</w:t>
            </w:r>
          </w:p>
        </w:tc>
      </w:tr>
      <w:tr w:rsidR="000E33E6" w:rsidRPr="008607E3" w:rsidTr="00867583">
        <w:trPr>
          <w:trHeight w:val="20"/>
        </w:trPr>
        <w:tc>
          <w:tcPr>
            <w:tcW w:w="4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Orealiserad priseffek</w:t>
            </w:r>
            <w:r w:rsidRPr="008607E3">
              <w:t>t</w:t>
            </w:r>
            <w:r w:rsidRPr="008607E3">
              <w:t>förlust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33E6" w:rsidRPr="008607E3" w:rsidRDefault="00867583" w:rsidP="00867583">
            <w:pPr>
              <w:spacing w:before="60" w:line="200" w:lineRule="exact"/>
              <w:jc w:val="right"/>
            </w:pPr>
            <w:r w:rsidRPr="008607E3">
              <w:t>–</w:t>
            </w:r>
            <w:r w:rsidR="000E33E6" w:rsidRPr="008607E3">
              <w:t>1 263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Summa</w:t>
            </w:r>
          </w:p>
        </w:tc>
        <w:tc>
          <w:tcPr>
            <w:tcW w:w="33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2 586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  <w:tc>
          <w:tcPr>
            <w:tcW w:w="33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</w:tr>
      <w:tr w:rsidR="000E33E6" w:rsidRPr="008607E3" w:rsidTr="00867583">
        <w:trPr>
          <w:trHeight w:val="20"/>
        </w:trPr>
        <w:tc>
          <w:tcPr>
            <w:tcW w:w="606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  <w:rPr>
                <w:b/>
                <w:bCs/>
              </w:rPr>
            </w:pPr>
            <w:r w:rsidRPr="008607E3">
              <w:rPr>
                <w:b/>
                <w:bCs/>
              </w:rPr>
              <w:t>2. Genomsnittligt inleveransgrundande resultat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3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2002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12 316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3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2003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3 380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3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2004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4 904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3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2005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4 271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3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2006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2 586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3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27 457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3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419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D801B1" w:rsidP="00867583">
            <w:pPr>
              <w:spacing w:before="60" w:line="200" w:lineRule="exact"/>
            </w:pPr>
            <w:r w:rsidRPr="008607E3">
              <w:t xml:space="preserve">5 </w:t>
            </w:r>
            <w:r w:rsidR="000E33E6" w:rsidRPr="008607E3">
              <w:t>års genomsnitt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5 491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</w:tr>
      <w:tr w:rsidR="000E33E6" w:rsidRPr="008607E3" w:rsidTr="00867583">
        <w:trPr>
          <w:trHeight w:val="20"/>
        </w:trPr>
        <w:tc>
          <w:tcPr>
            <w:tcW w:w="51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  <w:r w:rsidRPr="008607E3">
              <w:rPr>
                <w:b/>
                <w:bCs/>
              </w:rPr>
              <w:t>3. Beräknad inlev</w:t>
            </w:r>
            <w:r w:rsidRPr="008607E3">
              <w:rPr>
                <w:b/>
                <w:bCs/>
              </w:rPr>
              <w:t>e</w:t>
            </w:r>
            <w:r w:rsidRPr="008607E3">
              <w:rPr>
                <w:b/>
                <w:bCs/>
              </w:rPr>
              <w:t>rans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3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5 491* 80</w:t>
            </w:r>
            <w:r w:rsidR="00D801B1" w:rsidRPr="008607E3">
              <w:t> </w:t>
            </w:r>
            <w:r w:rsidRPr="008607E3">
              <w:t>%=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4 393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3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Avrundat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4 400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3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</w:p>
        </w:tc>
      </w:tr>
      <w:tr w:rsidR="000E33E6" w:rsidRPr="008607E3" w:rsidTr="00867583">
        <w:trPr>
          <w:trHeight w:val="20"/>
        </w:trPr>
        <w:tc>
          <w:tcPr>
            <w:tcW w:w="51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pageBreakBefore/>
              <w:spacing w:before="100" w:beforeAutospacing="1" w:line="200" w:lineRule="exact"/>
            </w:pPr>
            <w:r w:rsidRPr="008607E3">
              <w:rPr>
                <w:b/>
                <w:bCs/>
              </w:rPr>
              <w:t>4. Beräknad fond</w:t>
            </w:r>
            <w:r w:rsidRPr="008607E3">
              <w:rPr>
                <w:b/>
                <w:bCs/>
              </w:rPr>
              <w:t>e</w:t>
            </w:r>
            <w:r w:rsidRPr="008607E3">
              <w:rPr>
                <w:b/>
                <w:bCs/>
              </w:rPr>
              <w:t>ring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  <w:jc w:val="right"/>
            </w:pPr>
          </w:p>
        </w:tc>
      </w:tr>
      <w:tr w:rsidR="000E33E6" w:rsidRPr="008607E3" w:rsidTr="00867583">
        <w:trPr>
          <w:trHeight w:val="20"/>
        </w:trPr>
        <w:tc>
          <w:tcPr>
            <w:tcW w:w="51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rPr>
                <w:i/>
                <w:iCs/>
              </w:rPr>
            </w:pPr>
            <w:r w:rsidRPr="008607E3">
              <w:rPr>
                <w:i/>
                <w:iCs/>
              </w:rPr>
              <w:t>Till Riksbankens dispositionsfond förs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</w:p>
        </w:tc>
      </w:tr>
      <w:tr w:rsidR="000E33E6" w:rsidRPr="008607E3" w:rsidTr="00867583">
        <w:trPr>
          <w:trHeight w:val="20"/>
        </w:trPr>
        <w:tc>
          <w:tcPr>
            <w:tcW w:w="4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Valutakursvinst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3 536</w:t>
            </w:r>
          </w:p>
        </w:tc>
      </w:tr>
      <w:tr w:rsidR="000E33E6" w:rsidRPr="008607E3" w:rsidTr="00867583">
        <w:trPr>
          <w:trHeight w:val="20"/>
        </w:trPr>
        <w:tc>
          <w:tcPr>
            <w:tcW w:w="4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Realiserad guldvärd</w:t>
            </w:r>
            <w:r w:rsidRPr="008607E3">
              <w:t>e</w:t>
            </w:r>
            <w:r w:rsidRPr="008607E3">
              <w:t>vinst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492</w:t>
            </w:r>
          </w:p>
        </w:tc>
      </w:tr>
      <w:tr w:rsidR="000E33E6" w:rsidRPr="008607E3" w:rsidTr="00867583">
        <w:trPr>
          <w:trHeight w:val="20"/>
        </w:trPr>
        <w:tc>
          <w:tcPr>
            <w:tcW w:w="4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10</w:t>
            </w:r>
            <w:r w:rsidR="00604AC6" w:rsidRPr="008607E3">
              <w:t xml:space="preserve"> </w:t>
            </w:r>
            <w:r w:rsidR="00050FDC" w:rsidRPr="008607E3">
              <w:t xml:space="preserve">% av 5 </w:t>
            </w:r>
            <w:r w:rsidRPr="008607E3">
              <w:t>års geno</w:t>
            </w:r>
            <w:r w:rsidRPr="008607E3">
              <w:t>m</w:t>
            </w:r>
            <w:r w:rsidRPr="008607E3">
              <w:t>snitt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549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Summa</w:t>
            </w:r>
          </w:p>
        </w:tc>
        <w:tc>
          <w:tcPr>
            <w:tcW w:w="32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4 577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2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</w:tr>
      <w:tr w:rsidR="000E33E6" w:rsidRPr="008607E3" w:rsidTr="00867583">
        <w:trPr>
          <w:trHeight w:val="20"/>
        </w:trPr>
        <w:tc>
          <w:tcPr>
            <w:tcW w:w="606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rPr>
                <w:i/>
                <w:iCs/>
              </w:rPr>
            </w:pPr>
            <w:r w:rsidRPr="008607E3">
              <w:rPr>
                <w:i/>
                <w:iCs/>
              </w:rPr>
              <w:t>Från Riksbankens resultatutjämningsfond förs</w:t>
            </w:r>
          </w:p>
        </w:tc>
      </w:tr>
      <w:tr w:rsidR="000E33E6" w:rsidRPr="008607E3" w:rsidTr="00867583">
        <w:trPr>
          <w:trHeight w:val="20"/>
        </w:trPr>
        <w:tc>
          <w:tcPr>
            <w:tcW w:w="41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10</w:t>
            </w:r>
            <w:r w:rsidR="00604AC6" w:rsidRPr="008607E3">
              <w:t xml:space="preserve"> </w:t>
            </w:r>
            <w:r w:rsidRPr="008607E3">
              <w:t xml:space="preserve">% av </w:t>
            </w:r>
            <w:r w:rsidR="00050FDC" w:rsidRPr="008607E3">
              <w:t>5 års genom</w:t>
            </w:r>
            <w:r w:rsidRPr="008607E3">
              <w:t>snitt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549</w:t>
            </w:r>
          </w:p>
        </w:tc>
      </w:tr>
      <w:tr w:rsidR="000E33E6" w:rsidRPr="008607E3" w:rsidTr="00867583">
        <w:trPr>
          <w:trHeight w:val="20"/>
        </w:trPr>
        <w:tc>
          <w:tcPr>
            <w:tcW w:w="41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Orealiserad priseffektfö</w:t>
            </w:r>
            <w:r w:rsidRPr="008607E3">
              <w:t>r</w:t>
            </w:r>
            <w:r w:rsidRPr="008607E3">
              <w:t>lust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1 263</w:t>
            </w:r>
          </w:p>
        </w:tc>
      </w:tr>
      <w:tr w:rsidR="000E33E6" w:rsidRPr="008607E3" w:rsidTr="00AD05E5">
        <w:trPr>
          <w:trHeight w:val="20"/>
        </w:trPr>
        <w:tc>
          <w:tcPr>
            <w:tcW w:w="41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Avrundning inleverans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E33E6" w:rsidRPr="008607E3" w:rsidRDefault="00867583" w:rsidP="00867583">
            <w:pPr>
              <w:spacing w:before="60" w:line="200" w:lineRule="exact"/>
              <w:jc w:val="right"/>
            </w:pPr>
            <w:r w:rsidRPr="008607E3">
              <w:t>–</w:t>
            </w:r>
            <w:r w:rsidR="000E33E6" w:rsidRPr="008607E3">
              <w:t>7</w:t>
            </w:r>
          </w:p>
        </w:tc>
      </w:tr>
      <w:tr w:rsidR="00AD05E5" w:rsidRPr="008607E3" w:rsidTr="00AD05E5">
        <w:trPr>
          <w:trHeight w:val="20"/>
        </w:trPr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05E5" w:rsidRPr="008607E3" w:rsidRDefault="00AD05E5" w:rsidP="00AD05E5">
            <w:pPr>
              <w:spacing w:before="60" w:line="200" w:lineRule="exact"/>
              <w:jc w:val="left"/>
            </w:pPr>
            <w:r w:rsidRPr="008607E3">
              <w:t>Årets i</w:t>
            </w:r>
            <w:r w:rsidRPr="008607E3">
              <w:rPr>
                <w:spacing w:val="-2"/>
              </w:rPr>
              <w:t xml:space="preserve">nleveransgrundande resultat minskat </w:t>
            </w:r>
            <w:r w:rsidRPr="008607E3">
              <w:rPr>
                <w:spacing w:val="-2"/>
              </w:rPr>
              <w:br/>
              <w:t>med 5 års geno</w:t>
            </w:r>
            <w:r w:rsidRPr="008607E3">
              <w:rPr>
                <w:spacing w:val="-2"/>
              </w:rPr>
              <w:t>m</w:t>
            </w:r>
            <w:r w:rsidRPr="008607E3">
              <w:rPr>
                <w:spacing w:val="-2"/>
              </w:rPr>
              <w:t>snitt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05E5" w:rsidRPr="008607E3" w:rsidRDefault="00AD05E5" w:rsidP="00867583">
            <w:pPr>
              <w:spacing w:before="60" w:line="200" w:lineRule="exact"/>
              <w:jc w:val="right"/>
            </w:pPr>
            <w:r w:rsidRPr="008607E3">
              <w:t>–2 905</w:t>
            </w:r>
          </w:p>
        </w:tc>
      </w:tr>
      <w:tr w:rsidR="000E33E6" w:rsidRPr="008607E3" w:rsidTr="00AD05E5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Summa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35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867583" w:rsidP="00867583">
            <w:pPr>
              <w:spacing w:before="60" w:line="200" w:lineRule="exact"/>
              <w:jc w:val="right"/>
            </w:pPr>
            <w:r w:rsidRPr="008607E3">
              <w:t>–</w:t>
            </w:r>
            <w:r w:rsidR="000E33E6" w:rsidRPr="008607E3">
              <w:t>1 100</w:t>
            </w:r>
          </w:p>
        </w:tc>
      </w:tr>
      <w:tr w:rsidR="000E33E6" w:rsidRPr="008607E3" w:rsidTr="00867583">
        <w:trPr>
          <w:trHeight w:val="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  <w:tc>
          <w:tcPr>
            <w:tcW w:w="35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  <w:jc w:val="right"/>
            </w:pPr>
          </w:p>
        </w:tc>
      </w:tr>
      <w:tr w:rsidR="000E33E6" w:rsidRPr="008607E3" w:rsidTr="00867583">
        <w:trPr>
          <w:trHeight w:val="20"/>
        </w:trPr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  <w:rPr>
                <w:b/>
                <w:bCs/>
              </w:rPr>
            </w:pPr>
            <w:r w:rsidRPr="008607E3">
              <w:rPr>
                <w:b/>
                <w:bCs/>
              </w:rPr>
              <w:t>5. Förslag till vinstdisposition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100" w:beforeAutospacing="1" w:line="200" w:lineRule="exact"/>
              <w:jc w:val="right"/>
            </w:pPr>
          </w:p>
        </w:tc>
      </w:tr>
      <w:tr w:rsidR="000E33E6" w:rsidRPr="008607E3" w:rsidTr="00867583">
        <w:trPr>
          <w:trHeight w:val="20"/>
        </w:trPr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Redovisat resultat</w:t>
            </w:r>
          </w:p>
        </w:tc>
        <w:tc>
          <w:tcPr>
            <w:tcW w:w="35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7 877</w:t>
            </w:r>
          </w:p>
        </w:tc>
      </w:tr>
      <w:tr w:rsidR="000E33E6" w:rsidRPr="008607E3" w:rsidTr="00867583">
        <w:trPr>
          <w:trHeight w:val="20"/>
        </w:trPr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Till Riksbankens dispositionsfond förs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867583" w:rsidP="00867583">
            <w:pPr>
              <w:spacing w:before="60" w:line="200" w:lineRule="exact"/>
              <w:jc w:val="right"/>
            </w:pPr>
            <w:r w:rsidRPr="008607E3">
              <w:t>–</w:t>
            </w:r>
            <w:r w:rsidR="000E33E6" w:rsidRPr="008607E3">
              <w:t>4 577</w:t>
            </w:r>
          </w:p>
        </w:tc>
      </w:tr>
      <w:tr w:rsidR="000E33E6" w:rsidRPr="008607E3" w:rsidTr="00B01006">
        <w:trPr>
          <w:trHeight w:val="20"/>
        </w:trPr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</w:pPr>
            <w:r w:rsidRPr="008607E3">
              <w:t>Från Riksbankens resultatutjämning</w:t>
            </w:r>
            <w:r w:rsidRPr="008607E3">
              <w:t>s</w:t>
            </w:r>
            <w:r w:rsidRPr="008607E3">
              <w:t>fond förs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33E6" w:rsidRPr="008607E3" w:rsidRDefault="000E33E6" w:rsidP="00867583">
            <w:pPr>
              <w:spacing w:before="60" w:line="200" w:lineRule="exact"/>
              <w:jc w:val="right"/>
            </w:pPr>
            <w:r w:rsidRPr="008607E3">
              <w:t>1 100</w:t>
            </w:r>
          </w:p>
        </w:tc>
      </w:tr>
      <w:tr w:rsidR="00050FDC" w:rsidRPr="008607E3" w:rsidTr="00B01006">
        <w:trPr>
          <w:trHeight w:val="20"/>
        </w:trPr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DC" w:rsidRPr="008607E3" w:rsidRDefault="00050FDC" w:rsidP="00867583">
            <w:pPr>
              <w:spacing w:before="60" w:line="200" w:lineRule="exact"/>
            </w:pPr>
            <w:r w:rsidRPr="008607E3">
              <w:t>Inleverans till statsverket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050FDC" w:rsidRPr="008607E3" w:rsidRDefault="00050FDC" w:rsidP="00867583">
            <w:pPr>
              <w:spacing w:before="60" w:line="200" w:lineRule="exact"/>
              <w:jc w:val="right"/>
            </w:pPr>
            <w:r w:rsidRPr="008607E3">
              <w:t>4 400</w:t>
            </w:r>
          </w:p>
        </w:tc>
      </w:tr>
    </w:tbl>
    <w:p w:rsidR="00604AC6" w:rsidRPr="008607E3" w:rsidRDefault="00604AC6" w:rsidP="00604AC6"/>
    <w:p w:rsidR="00187CBE" w:rsidRPr="008607E3" w:rsidRDefault="00901688" w:rsidP="00901688">
      <w:pPr>
        <w:pStyle w:val="Tryckort"/>
        <w:framePr w:wrap="around"/>
        <w:jc w:val="both"/>
      </w:pPr>
      <w:r w:rsidRPr="008607E3">
        <w:t xml:space="preserve">Elanders, </w:t>
      </w:r>
      <w:r w:rsidR="00187CBE" w:rsidRPr="008607E3">
        <w:t>Vällingby 2007</w:t>
      </w:r>
    </w:p>
    <w:p w:rsidR="00C64230" w:rsidRPr="008607E3" w:rsidRDefault="00C64230" w:rsidP="00604AC6"/>
    <w:sectPr w:rsidR="00C64230" w:rsidRPr="008607E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E65" w:rsidRPr="008607E3" w:rsidRDefault="00FE7E65">
      <w:r w:rsidRPr="008607E3">
        <w:separator/>
      </w:r>
    </w:p>
  </w:endnote>
  <w:endnote w:type="continuationSeparator" w:id="0">
    <w:p w:rsidR="00FE7E65" w:rsidRPr="008607E3" w:rsidRDefault="00FE7E65">
      <w:r w:rsidRPr="008607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t>2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t>6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H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="00144E6D" w:rsidRPr="008607E3">
      <w:t>5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if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144E6D" w:rsidRPr="008607E3">
      <w:instrText>4</w:instrText>
    </w:r>
    <w:r w:rsidRPr="008607E3">
      <w:fldChar w:fldCharType="end"/>
    </w:r>
    <w:r w:rsidRPr="008607E3">
      <w:instrText xml:space="preserve">/2 </w:instrText>
    </w:r>
    <w:r w:rsidRPr="008607E3">
      <w:fldChar w:fldCharType="separate"/>
    </w:r>
    <w:r w:rsidR="00144E6D" w:rsidRPr="008607E3">
      <w:instrText>2</w:instrText>
    </w:r>
    <w:r w:rsidRPr="008607E3">
      <w:fldChar w:fldCharType="end"/>
    </w:r>
    <w:r w:rsidRPr="008607E3">
      <w:instrText xml:space="preserve"> - </w:instrText>
    </w:r>
    <w:r w:rsidRPr="008607E3">
      <w:fldChar w:fldCharType="begin" w:fldLock="1"/>
    </w:r>
    <w:r w:rsidRPr="008607E3">
      <w:instrText xml:space="preserve"> = int(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144E6D" w:rsidRPr="008607E3">
      <w:instrText>4</w:instrText>
    </w:r>
    <w:r w:rsidRPr="008607E3">
      <w:fldChar w:fldCharType="end"/>
    </w:r>
    <w:r w:rsidRPr="008607E3">
      <w:instrText xml:space="preserve">/2) </w:instrText>
    </w:r>
    <w:r w:rsidRPr="008607E3">
      <w:fldChar w:fldCharType="separate"/>
    </w:r>
    <w:r w:rsidR="00144E6D" w:rsidRPr="008607E3">
      <w:instrText>2</w:instrText>
    </w:r>
    <w:r w:rsidRPr="008607E3">
      <w:fldChar w:fldCharType="end"/>
    </w:r>
    <w:r w:rsidRPr="008607E3">
      <w:fldChar w:fldCharType="separate"/>
    </w:r>
    <w:r w:rsidR="00144E6D" w:rsidRPr="008607E3">
      <w:instrText>0</w:instrText>
    </w:r>
    <w:r w:rsidRPr="008607E3">
      <w:fldChar w:fldCharType="end"/>
    </w:r>
    <w:r w:rsidRPr="008607E3">
      <w:instrText xml:space="preserve"> = 0 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="00144E6D" w:rsidRPr="008607E3">
      <w:instrText>4</w:instrText>
    </w:r>
    <w:r w:rsidRPr="008607E3">
      <w:fldChar w:fldCharType="end"/>
    </w:r>
  </w:p>
  <w:p w:rsidR="00144E6D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instrText>""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instrText>5</w:instrText>
    </w:r>
    <w:r w:rsidRPr="008607E3">
      <w:fldChar w:fldCharType="end"/>
    </w:r>
    <w:r w:rsidRPr="008607E3">
      <w:instrText>"</w:instrText>
    </w:r>
    <w:r w:rsidRPr="008607E3">
      <w:fldChar w:fldCharType="separate"/>
    </w:r>
    <w:r w:rsidR="00144E6D" w:rsidRPr="008607E3">
      <w:t>4</w:t>
    </w:r>
  </w:p>
  <w:p w:rsidR="008C778E" w:rsidRPr="008607E3" w:rsidRDefault="008C778E">
    <w:pPr>
      <w:pStyle w:val="SidfotH"/>
      <w:framePr w:w="8732" w:h="284" w:hRule="exact" w:hSpace="0" w:vSpace="0" w:wrap="around" w:xAlign="inside" w:y="13042" w:anchorLock="0"/>
    </w:pPr>
    <w:r w:rsidRPr="008607E3">
      <w:fldChar w:fldCharType="end"/>
    </w:r>
  </w:p>
  <w:p w:rsidR="008C778E" w:rsidRPr="008607E3" w:rsidRDefault="008C778E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 w:rsidP="00867583">
    <w:pPr>
      <w:pStyle w:val="SidfotV"/>
      <w:framePr w:w="8957" w:h="283" w:hRule="exact" w:hSpace="0" w:vSpace="0" w:wrap="around" w:xAlign="inside" w:y="13040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t>8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 w:rsidP="00867583">
    <w:pPr>
      <w:pStyle w:val="SidfotH"/>
      <w:framePr w:w="8957" w:h="283" w:hRule="exact" w:hSpace="0" w:vSpace="0" w:wrap="around" w:xAlign="inside" w:y="13040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="00144E6D" w:rsidRPr="008607E3">
      <w:t>7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 w:rsidP="00867583">
    <w:pPr>
      <w:pStyle w:val="SidfotV"/>
      <w:framePr w:w="8957" w:h="283" w:hRule="exact" w:hSpace="0" w:vSpace="0" w:wrap="around" w:xAlign="inside" w:y="13040" w:anchorLock="0"/>
    </w:pPr>
    <w:r w:rsidRPr="008607E3">
      <w:fldChar w:fldCharType="begin" w:fldLock="1"/>
    </w:r>
    <w:r w:rsidRPr="008607E3">
      <w:instrText xml:space="preserve"> if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144E6D" w:rsidRPr="008607E3">
      <w:instrText>6</w:instrText>
    </w:r>
    <w:r w:rsidRPr="008607E3">
      <w:fldChar w:fldCharType="end"/>
    </w:r>
    <w:r w:rsidRPr="008607E3">
      <w:instrText xml:space="preserve">/2 </w:instrText>
    </w:r>
    <w:r w:rsidRPr="008607E3">
      <w:fldChar w:fldCharType="separate"/>
    </w:r>
    <w:r w:rsidR="00144E6D" w:rsidRPr="008607E3">
      <w:instrText>3</w:instrText>
    </w:r>
    <w:r w:rsidRPr="008607E3">
      <w:fldChar w:fldCharType="end"/>
    </w:r>
    <w:r w:rsidRPr="008607E3">
      <w:instrText xml:space="preserve"> - </w:instrText>
    </w:r>
    <w:r w:rsidRPr="008607E3">
      <w:fldChar w:fldCharType="begin" w:fldLock="1"/>
    </w:r>
    <w:r w:rsidRPr="008607E3">
      <w:instrText xml:space="preserve"> = int(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144E6D" w:rsidRPr="008607E3">
      <w:instrText>6</w:instrText>
    </w:r>
    <w:r w:rsidRPr="008607E3">
      <w:fldChar w:fldCharType="end"/>
    </w:r>
    <w:r w:rsidRPr="008607E3">
      <w:instrText xml:space="preserve">/2) </w:instrText>
    </w:r>
    <w:r w:rsidRPr="008607E3">
      <w:fldChar w:fldCharType="separate"/>
    </w:r>
    <w:r w:rsidR="00144E6D" w:rsidRPr="008607E3">
      <w:instrText>3</w:instrText>
    </w:r>
    <w:r w:rsidRPr="008607E3">
      <w:fldChar w:fldCharType="end"/>
    </w:r>
    <w:r w:rsidRPr="008607E3">
      <w:fldChar w:fldCharType="separate"/>
    </w:r>
    <w:r w:rsidR="00144E6D" w:rsidRPr="008607E3">
      <w:instrText>0</w:instrText>
    </w:r>
    <w:r w:rsidRPr="008607E3">
      <w:fldChar w:fldCharType="end"/>
    </w:r>
    <w:r w:rsidRPr="008607E3">
      <w:instrText xml:space="preserve"> = 0 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="00144E6D" w:rsidRPr="008607E3">
      <w:instrText>6</w:instrText>
    </w:r>
    <w:r w:rsidRPr="008607E3">
      <w:fldChar w:fldCharType="end"/>
    </w:r>
  </w:p>
  <w:p w:rsidR="00144E6D" w:rsidRPr="008607E3" w:rsidRDefault="008C778E" w:rsidP="00867583">
    <w:pPr>
      <w:pStyle w:val="SidfotV"/>
      <w:framePr w:w="8957" w:h="283" w:hRule="exact" w:hSpace="0" w:vSpace="0" w:wrap="around" w:xAlign="inside" w:y="13040" w:anchorLock="0"/>
    </w:pPr>
    <w:r w:rsidRPr="008607E3">
      <w:instrText>""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instrText>7</w:instrText>
    </w:r>
    <w:r w:rsidRPr="008607E3">
      <w:fldChar w:fldCharType="end"/>
    </w:r>
    <w:r w:rsidRPr="008607E3">
      <w:instrText>"</w:instrText>
    </w:r>
    <w:r w:rsidRPr="008607E3">
      <w:fldChar w:fldCharType="separate"/>
    </w:r>
    <w:r w:rsidR="00144E6D" w:rsidRPr="008607E3">
      <w:t>6</w:t>
    </w:r>
  </w:p>
  <w:p w:rsidR="008C778E" w:rsidRPr="008607E3" w:rsidRDefault="008C778E" w:rsidP="00867583">
    <w:pPr>
      <w:pStyle w:val="SidfotH"/>
      <w:framePr w:w="8957" w:h="283" w:hRule="exact" w:hSpace="0" w:vSpace="0" w:wrap="around" w:xAlign="inside" w:y="13040" w:anchorLock="0"/>
    </w:pPr>
    <w:r w:rsidRPr="008607E3">
      <w:fldChar w:fldCharType="end"/>
    </w:r>
  </w:p>
  <w:p w:rsidR="008C778E" w:rsidRPr="008607E3" w:rsidRDefault="008C778E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t>10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H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="00144E6D" w:rsidRPr="008607E3">
      <w:t>9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if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144E6D" w:rsidRPr="008607E3">
      <w:instrText>8</w:instrText>
    </w:r>
    <w:r w:rsidRPr="008607E3">
      <w:fldChar w:fldCharType="end"/>
    </w:r>
    <w:r w:rsidRPr="008607E3">
      <w:instrText xml:space="preserve">/2 </w:instrText>
    </w:r>
    <w:r w:rsidRPr="008607E3">
      <w:fldChar w:fldCharType="separate"/>
    </w:r>
    <w:r w:rsidR="00144E6D" w:rsidRPr="008607E3">
      <w:instrText>4</w:instrText>
    </w:r>
    <w:r w:rsidRPr="008607E3">
      <w:fldChar w:fldCharType="end"/>
    </w:r>
    <w:r w:rsidRPr="008607E3">
      <w:instrText xml:space="preserve"> - </w:instrText>
    </w:r>
    <w:r w:rsidRPr="008607E3">
      <w:fldChar w:fldCharType="begin" w:fldLock="1"/>
    </w:r>
    <w:r w:rsidRPr="008607E3">
      <w:instrText xml:space="preserve"> = int(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144E6D" w:rsidRPr="008607E3">
      <w:instrText>8</w:instrText>
    </w:r>
    <w:r w:rsidRPr="008607E3">
      <w:fldChar w:fldCharType="end"/>
    </w:r>
    <w:r w:rsidRPr="008607E3">
      <w:instrText xml:space="preserve">/2) </w:instrText>
    </w:r>
    <w:r w:rsidRPr="008607E3">
      <w:fldChar w:fldCharType="separate"/>
    </w:r>
    <w:r w:rsidR="00144E6D" w:rsidRPr="008607E3">
      <w:instrText>4</w:instrText>
    </w:r>
    <w:r w:rsidRPr="008607E3">
      <w:fldChar w:fldCharType="end"/>
    </w:r>
    <w:r w:rsidRPr="008607E3">
      <w:fldChar w:fldCharType="separate"/>
    </w:r>
    <w:r w:rsidR="00144E6D" w:rsidRPr="008607E3">
      <w:instrText>0</w:instrText>
    </w:r>
    <w:r w:rsidRPr="008607E3">
      <w:fldChar w:fldCharType="end"/>
    </w:r>
    <w:r w:rsidRPr="008607E3">
      <w:instrText xml:space="preserve"> = 0 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="00144E6D" w:rsidRPr="008607E3">
      <w:instrText>8</w:instrText>
    </w:r>
    <w:r w:rsidRPr="008607E3">
      <w:fldChar w:fldCharType="end"/>
    </w:r>
  </w:p>
  <w:p w:rsidR="00144E6D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instrText>""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instrText>11</w:instrText>
    </w:r>
    <w:r w:rsidRPr="008607E3">
      <w:fldChar w:fldCharType="end"/>
    </w:r>
    <w:r w:rsidRPr="008607E3">
      <w:instrText>"</w:instrText>
    </w:r>
    <w:r w:rsidRPr="008607E3">
      <w:fldChar w:fldCharType="separate"/>
    </w:r>
    <w:r w:rsidR="00144E6D" w:rsidRPr="008607E3">
      <w:t>8</w:t>
    </w:r>
  </w:p>
  <w:p w:rsidR="008C778E" w:rsidRPr="008607E3" w:rsidRDefault="008C778E">
    <w:pPr>
      <w:pStyle w:val="SidfotH"/>
      <w:framePr w:w="8732" w:h="284" w:hRule="exact" w:hSpace="0" w:vSpace="0" w:wrap="around" w:xAlign="inside" w:y="13042" w:anchorLock="0"/>
    </w:pPr>
    <w:r w:rsidRPr="008607E3">
      <w:fldChar w:fldCharType="end"/>
    </w:r>
  </w:p>
  <w:p w:rsidR="008C778E" w:rsidRPr="008607E3" w:rsidRDefault="008C77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H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t>3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if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8607E3">
      <w:rPr>
        <w:noProof/>
      </w:rPr>
      <w:instrText>1</w:instrText>
    </w:r>
    <w:r w:rsidRPr="008607E3">
      <w:fldChar w:fldCharType="end"/>
    </w:r>
    <w:r w:rsidRPr="008607E3">
      <w:instrText xml:space="preserve">/2 </w:instrText>
    </w:r>
    <w:r w:rsidRPr="008607E3">
      <w:fldChar w:fldCharType="separate"/>
    </w:r>
    <w:r w:rsidR="008607E3">
      <w:rPr>
        <w:noProof/>
      </w:rPr>
      <w:instrText>0,5</w:instrText>
    </w:r>
    <w:r w:rsidRPr="008607E3">
      <w:fldChar w:fldCharType="end"/>
    </w:r>
    <w:r w:rsidRPr="008607E3">
      <w:instrText xml:space="preserve"> - </w:instrText>
    </w:r>
    <w:r w:rsidRPr="008607E3">
      <w:fldChar w:fldCharType="begin" w:fldLock="1"/>
    </w:r>
    <w:r w:rsidRPr="008607E3">
      <w:instrText xml:space="preserve"> = int(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8607E3">
      <w:rPr>
        <w:noProof/>
      </w:rPr>
      <w:instrText>1</w:instrText>
    </w:r>
    <w:r w:rsidRPr="008607E3">
      <w:fldChar w:fldCharType="end"/>
    </w:r>
    <w:r w:rsidRPr="008607E3">
      <w:instrText xml:space="preserve">/2) </w:instrText>
    </w:r>
    <w:r w:rsidRPr="008607E3">
      <w:fldChar w:fldCharType="separate"/>
    </w:r>
    <w:r w:rsidR="008607E3">
      <w:rPr>
        <w:noProof/>
      </w:rPr>
      <w:instrText>0</w:instrText>
    </w:r>
    <w:r w:rsidRPr="008607E3">
      <w:fldChar w:fldCharType="end"/>
    </w:r>
    <w:r w:rsidRPr="008607E3">
      <w:fldChar w:fldCharType="separate"/>
    </w:r>
    <w:r w:rsidR="008607E3">
      <w:rPr>
        <w:noProof/>
      </w:rPr>
      <w:instrText>0,5</w:instrText>
    </w:r>
    <w:r w:rsidRPr="008607E3">
      <w:fldChar w:fldCharType="end"/>
    </w:r>
    <w:r w:rsidRPr="008607E3">
      <w:instrText xml:space="preserve"> = 0 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instrText>14</w:instrText>
    </w:r>
    <w:r w:rsidRPr="008607E3">
      <w:fldChar w:fldCharType="end"/>
    </w:r>
  </w:p>
  <w:p w:rsidR="008C778E" w:rsidRPr="008607E3" w:rsidRDefault="008C778E">
    <w:pPr>
      <w:pStyle w:val="SidfotH"/>
      <w:framePr w:w="8732" w:h="284" w:hRule="exact" w:hSpace="0" w:vSpace="0" w:wrap="around" w:xAlign="inside" w:y="13042" w:anchorLock="0"/>
    </w:pPr>
    <w:r w:rsidRPr="008607E3">
      <w:instrText>""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="008607E3">
      <w:rPr>
        <w:noProof/>
      </w:rPr>
      <w:instrText>1</w:instrText>
    </w:r>
    <w:r w:rsidRPr="008607E3">
      <w:fldChar w:fldCharType="end"/>
    </w:r>
    <w:r w:rsidRPr="008607E3">
      <w:instrText>"</w:instrText>
    </w:r>
    <w:r w:rsidRPr="008607E3">
      <w:fldChar w:fldCharType="separate"/>
    </w:r>
    <w:r w:rsidR="008607E3">
      <w:rPr>
        <w:noProof/>
      </w:rPr>
      <w:t>1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t>2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H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t>3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if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144E6D" w:rsidRPr="008607E3">
      <w:instrText>2</w:instrText>
    </w:r>
    <w:r w:rsidRPr="008607E3">
      <w:fldChar w:fldCharType="end"/>
    </w:r>
    <w:r w:rsidRPr="008607E3">
      <w:instrText xml:space="preserve">/2 </w:instrText>
    </w:r>
    <w:r w:rsidRPr="008607E3">
      <w:fldChar w:fldCharType="separate"/>
    </w:r>
    <w:r w:rsidR="00144E6D" w:rsidRPr="008607E3">
      <w:instrText>1</w:instrText>
    </w:r>
    <w:r w:rsidRPr="008607E3">
      <w:fldChar w:fldCharType="end"/>
    </w:r>
    <w:r w:rsidRPr="008607E3">
      <w:instrText xml:space="preserve"> - </w:instrText>
    </w:r>
    <w:r w:rsidRPr="008607E3">
      <w:fldChar w:fldCharType="begin" w:fldLock="1"/>
    </w:r>
    <w:r w:rsidRPr="008607E3">
      <w:instrText xml:space="preserve"> = int(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144E6D" w:rsidRPr="008607E3">
      <w:instrText>2</w:instrText>
    </w:r>
    <w:r w:rsidRPr="008607E3">
      <w:fldChar w:fldCharType="end"/>
    </w:r>
    <w:r w:rsidRPr="008607E3">
      <w:instrText xml:space="preserve">/2) </w:instrText>
    </w:r>
    <w:r w:rsidRPr="008607E3">
      <w:fldChar w:fldCharType="separate"/>
    </w:r>
    <w:r w:rsidR="00144E6D" w:rsidRPr="008607E3">
      <w:instrText>1</w:instrText>
    </w:r>
    <w:r w:rsidRPr="008607E3">
      <w:fldChar w:fldCharType="end"/>
    </w:r>
    <w:r w:rsidRPr="008607E3">
      <w:fldChar w:fldCharType="separate"/>
    </w:r>
    <w:r w:rsidR="00144E6D" w:rsidRPr="008607E3">
      <w:instrText>0</w:instrText>
    </w:r>
    <w:r w:rsidRPr="008607E3">
      <w:fldChar w:fldCharType="end"/>
    </w:r>
    <w:r w:rsidRPr="008607E3">
      <w:instrText xml:space="preserve"> = 0 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="00144E6D" w:rsidRPr="008607E3">
      <w:instrText>2</w:instrText>
    </w:r>
    <w:r w:rsidRPr="008607E3">
      <w:fldChar w:fldCharType="end"/>
    </w:r>
  </w:p>
  <w:p w:rsidR="00144E6D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instrText>""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instrText>1</w:instrText>
    </w:r>
    <w:r w:rsidRPr="008607E3">
      <w:fldChar w:fldCharType="end"/>
    </w:r>
    <w:r w:rsidRPr="008607E3">
      <w:instrText>"</w:instrText>
    </w:r>
    <w:r w:rsidRPr="008607E3">
      <w:fldChar w:fldCharType="separate"/>
    </w:r>
    <w:r w:rsidR="00144E6D" w:rsidRPr="008607E3">
      <w:t>2</w:t>
    </w:r>
  </w:p>
  <w:p w:rsidR="008C778E" w:rsidRPr="008607E3" w:rsidRDefault="008C778E">
    <w:pPr>
      <w:pStyle w:val="SidfotH"/>
      <w:framePr w:w="8732" w:h="284" w:hRule="exact" w:hSpace="0" w:vSpace="0" w:wrap="around" w:xAlign="inside" w:y="13042" w:anchorLock="0"/>
    </w:pPr>
    <w:r w:rsidRPr="008607E3">
      <w:fldChar w:fldCharType="end"/>
    </w:r>
  </w:p>
  <w:p w:rsidR="008C778E" w:rsidRPr="008607E3" w:rsidRDefault="008C778E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t>4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H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t>3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fotV"/>
      <w:framePr w:w="8732" w:h="284" w:hRule="exact" w:hSpace="0" w:vSpace="0" w:wrap="around" w:xAlign="inside" w:y="13042" w:anchorLock="0"/>
    </w:pPr>
    <w:r w:rsidRPr="008607E3">
      <w:fldChar w:fldCharType="begin" w:fldLock="1"/>
    </w:r>
    <w:r w:rsidRPr="008607E3">
      <w:instrText xml:space="preserve"> if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= 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144E6D" w:rsidRPr="008607E3">
      <w:instrText>3</w:instrText>
    </w:r>
    <w:r w:rsidRPr="008607E3">
      <w:fldChar w:fldCharType="end"/>
    </w:r>
    <w:r w:rsidRPr="008607E3">
      <w:instrText xml:space="preserve">/2 </w:instrText>
    </w:r>
    <w:r w:rsidRPr="008607E3">
      <w:fldChar w:fldCharType="separate"/>
    </w:r>
    <w:r w:rsidR="00144E6D" w:rsidRPr="008607E3">
      <w:instrText>1,5</w:instrText>
    </w:r>
    <w:r w:rsidRPr="008607E3">
      <w:fldChar w:fldCharType="end"/>
    </w:r>
    <w:r w:rsidRPr="008607E3">
      <w:instrText xml:space="preserve"> - </w:instrText>
    </w:r>
    <w:r w:rsidRPr="008607E3">
      <w:fldChar w:fldCharType="begin" w:fldLock="1"/>
    </w:r>
    <w:r w:rsidRPr="008607E3">
      <w:instrText xml:space="preserve"> = int(</w:instrText>
    </w:r>
    <w:r w:rsidRPr="008607E3">
      <w:fldChar w:fldCharType="begin" w:fldLock="1"/>
    </w:r>
    <w:r w:rsidRPr="008607E3">
      <w:instrText xml:space="preserve"> page</w:instrText>
    </w:r>
    <w:r w:rsidRPr="008607E3">
      <w:fldChar w:fldCharType="separate"/>
    </w:r>
    <w:r w:rsidR="00144E6D" w:rsidRPr="008607E3">
      <w:instrText>3</w:instrText>
    </w:r>
    <w:r w:rsidRPr="008607E3">
      <w:fldChar w:fldCharType="end"/>
    </w:r>
    <w:r w:rsidRPr="008607E3">
      <w:instrText xml:space="preserve">/2) </w:instrText>
    </w:r>
    <w:r w:rsidRPr="008607E3">
      <w:fldChar w:fldCharType="separate"/>
    </w:r>
    <w:r w:rsidR="00144E6D" w:rsidRPr="008607E3">
      <w:instrText>1</w:instrText>
    </w:r>
    <w:r w:rsidRPr="008607E3">
      <w:fldChar w:fldCharType="end"/>
    </w:r>
    <w:r w:rsidRPr="008607E3">
      <w:fldChar w:fldCharType="separate"/>
    </w:r>
    <w:r w:rsidR="00144E6D" w:rsidRPr="008607E3">
      <w:instrText>0,5</w:instrText>
    </w:r>
    <w:r w:rsidRPr="008607E3">
      <w:fldChar w:fldCharType="end"/>
    </w:r>
    <w:r w:rsidRPr="008607E3">
      <w:instrText xml:space="preserve"> = 0 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Pr="008607E3">
      <w:instrText>2</w:instrText>
    </w:r>
    <w:r w:rsidRPr="008607E3">
      <w:fldChar w:fldCharType="end"/>
    </w:r>
  </w:p>
  <w:p w:rsidR="008C778E" w:rsidRPr="008607E3" w:rsidRDefault="008C778E">
    <w:pPr>
      <w:pStyle w:val="SidfotH"/>
      <w:framePr w:w="8732" w:h="284" w:hRule="exact" w:hSpace="0" w:vSpace="0" w:wrap="around" w:xAlign="inside" w:y="13042" w:anchorLock="0"/>
    </w:pPr>
    <w:r w:rsidRPr="008607E3">
      <w:instrText>""</w:instrText>
    </w:r>
    <w:r w:rsidRPr="008607E3">
      <w:fldChar w:fldCharType="begin" w:fldLock="1"/>
    </w:r>
    <w:r w:rsidRPr="008607E3">
      <w:instrText xml:space="preserve"> P</w:instrText>
    </w:r>
    <w:r w:rsidRPr="008607E3">
      <w:instrText>A</w:instrText>
    </w:r>
    <w:r w:rsidRPr="008607E3">
      <w:instrText xml:space="preserve">GE </w:instrText>
    </w:r>
    <w:r w:rsidRPr="008607E3">
      <w:fldChar w:fldCharType="separate"/>
    </w:r>
    <w:r w:rsidR="00144E6D" w:rsidRPr="008607E3">
      <w:instrText>3</w:instrText>
    </w:r>
    <w:r w:rsidRPr="008607E3">
      <w:fldChar w:fldCharType="end"/>
    </w:r>
    <w:r w:rsidRPr="008607E3">
      <w:instrText>"</w:instrText>
    </w:r>
    <w:r w:rsidRPr="008607E3">
      <w:fldChar w:fldCharType="separate"/>
    </w:r>
    <w:r w:rsidR="00144E6D" w:rsidRPr="008607E3">
      <w:t>3</w:t>
    </w:r>
    <w:r w:rsidRPr="008607E3">
      <w:fldChar w:fldCharType="end"/>
    </w:r>
  </w:p>
  <w:p w:rsidR="008C778E" w:rsidRPr="008607E3" w:rsidRDefault="008C77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E65" w:rsidRPr="008607E3" w:rsidRDefault="00FE7E65">
      <w:r w:rsidRPr="008607E3">
        <w:separator/>
      </w:r>
    </w:p>
  </w:footnote>
  <w:footnote w:type="continuationSeparator" w:id="0">
    <w:p w:rsidR="00FE7E65" w:rsidRPr="008607E3" w:rsidRDefault="00FE7E65">
      <w:r w:rsidRPr="008607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BetänkandeÅr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2006/07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t>: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Utskott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RB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BetänkandeNr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</w:t>
    </w:r>
    <w:r w:rsidRPr="008607E3">
      <w:rPr>
        <w:rStyle w:val="SidhuvudUtskott"/>
      </w:rPr>
      <w:fldChar w:fldCharType="end"/>
    </w:r>
    <w:r w:rsidRPr="008607E3">
      <w:t xml:space="preserve">     </w:t>
    </w:r>
    <w:r w:rsidRPr="008607E3">
      <w:rPr>
        <w:rStyle w:val="SidhuvudBilaga"/>
      </w:rPr>
      <w:t xml:space="preserve"> </w:t>
    </w:r>
    <w:r w:rsidRPr="008607E3">
      <w:rPr>
        <w:rStyle w:val="SidhuvudRubrikReferens"/>
      </w:rPr>
      <w:fldChar w:fldCharType="begin" w:fldLock="1"/>
    </w:r>
    <w:r w:rsidRPr="008607E3">
      <w:rPr>
        <w:rStyle w:val="SidhuvudRubrikReferens"/>
      </w:rPr>
      <w:instrText xml:space="preserve"> StyleREF "Rubrik 1" </w:instrText>
    </w:r>
    <w:r w:rsidRPr="008607E3">
      <w:rPr>
        <w:rStyle w:val="SidhuvudRubrikReferens"/>
      </w:rPr>
      <w:fldChar w:fldCharType="separate"/>
    </w:r>
    <w:r w:rsidRPr="008607E3">
      <w:rPr>
        <w:rStyle w:val="SidhuvudRubrikReferens"/>
      </w:rPr>
      <w:t>Sammanfattning</w:t>
    </w:r>
    <w:r w:rsidRPr="008607E3">
      <w:rPr>
        <w:rStyle w:val="SidhuvudRubrikReferens"/>
      </w:rPr>
      <w:fldChar w:fldCharType="end"/>
    </w:r>
  </w:p>
  <w:p w:rsidR="008C778E" w:rsidRPr="008607E3" w:rsidRDefault="008C778E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Status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if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"UtkastDatum"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Nej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 = "Ja" "   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PRINTDATE \@ "yyyy-MM-dd HH.mm" 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2000-08-11 16.42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" </w:instrTex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BetänkandeÅr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2006/07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t>: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Utskott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RB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BetänkandeNr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</w:t>
    </w:r>
    <w:r w:rsidRPr="008607E3">
      <w:rPr>
        <w:rStyle w:val="SidhuvudUtskott"/>
      </w:rPr>
      <w:fldChar w:fldCharType="end"/>
    </w:r>
    <w:r w:rsidRPr="008607E3">
      <w:t xml:space="preserve">     </w:t>
    </w:r>
    <w:r w:rsidRPr="008607E3">
      <w:rPr>
        <w:rStyle w:val="SidhuvudBilaga"/>
      </w:rPr>
      <w:t xml:space="preserve"> </w:t>
    </w:r>
    <w:r w:rsidRPr="008607E3">
      <w:rPr>
        <w:rStyle w:val="SidhuvudRubrikReferens"/>
      </w:rPr>
      <w:fldChar w:fldCharType="begin" w:fldLock="1"/>
    </w:r>
    <w:r w:rsidRPr="008607E3">
      <w:rPr>
        <w:rStyle w:val="SidhuvudRubrikReferens"/>
      </w:rPr>
      <w:instrText xml:space="preserve"> StyleREF "Rubrik 1" </w:instrText>
    </w:r>
    <w:r w:rsidRPr="008607E3">
      <w:rPr>
        <w:rStyle w:val="SidhuvudRubrikReferens"/>
      </w:rPr>
      <w:fldChar w:fldCharType="separate"/>
    </w:r>
    <w:r w:rsidRPr="008607E3">
      <w:rPr>
        <w:rStyle w:val="SidhuvudRubrikReferens"/>
      </w:rPr>
      <w:t>Förslag till riksdagsbeslut</w:t>
    </w:r>
    <w:r w:rsidRPr="008607E3">
      <w:rPr>
        <w:rStyle w:val="SidhuvudRubrikReferens"/>
      </w:rPr>
      <w:fldChar w:fldCharType="end"/>
    </w:r>
  </w:p>
  <w:p w:rsidR="008C778E" w:rsidRPr="008607E3" w:rsidRDefault="008C778E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Status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if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"UtkastDatum"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Nej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 = "Ja" "   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PRINTDATE \@ "yyyy-MM-dd HH.mm" 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2000-08-11 16.42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" </w:instrTex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144E6D">
    <w:pPr>
      <w:pStyle w:val="SidhuvudKantUdda"/>
      <w:framePr w:w="8732" w:h="567" w:hRule="exact" w:vSpace="0" w:wrap="around" w:vAnchor="page" w:y="341" w:anchorLock="0"/>
    </w:pPr>
    <w:r w:rsidRPr="008607E3">
      <w:rPr>
        <w:rStyle w:val="SidhuvudRubrikReferens"/>
      </w:rPr>
      <w:t>Förslag till vinstdisposition för år 2006</w:t>
    </w:r>
    <w:r w:rsidR="008C778E" w:rsidRPr="008607E3">
      <w:rPr>
        <w:rStyle w:val="SidhuvudBilaga"/>
      </w:rPr>
      <w:t xml:space="preserve"> </w:t>
    </w:r>
    <w:r w:rsidR="008C778E" w:rsidRPr="008607E3">
      <w:t xml:space="preserve">     </w:t>
    </w:r>
    <w:r w:rsidR="008C778E" w:rsidRPr="008607E3">
      <w:rPr>
        <w:rStyle w:val="SidhuvudUtskott"/>
      </w:rPr>
      <w:t>2006/07:RB2</w:t>
    </w:r>
  </w:p>
  <w:p w:rsidR="008C778E" w:rsidRPr="008607E3" w:rsidRDefault="008C778E">
    <w:pPr>
      <w:pStyle w:val="SidhuvudKantUdda"/>
      <w:framePr w:w="8732" w:h="567" w:hRule="exact" w:vSpace="0" w:wrap="around" w:vAnchor="page" w:y="341" w:anchorLock="0"/>
    </w:pPr>
  </w:p>
  <w:p w:rsidR="008C778E" w:rsidRPr="008607E3" w:rsidRDefault="008C778E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E6D" w:rsidRPr="008607E3" w:rsidRDefault="00144E6D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t>2006/07:RB2</w:t>
    </w:r>
    <w:r w:rsidRPr="008607E3">
      <w:t xml:space="preserve">    </w:t>
    </w:r>
  </w:p>
  <w:p w:rsidR="00144E6D" w:rsidRPr="008607E3" w:rsidRDefault="00144E6D">
    <w:pPr>
      <w:pStyle w:val="SidhuvudKantJmn"/>
      <w:framePr w:w="8732" w:h="567" w:hRule="exact" w:vSpace="0" w:wrap="around" w:vAnchor="page" w:y="341" w:anchorLock="0"/>
    </w:pPr>
  </w:p>
  <w:p w:rsidR="008C778E" w:rsidRPr="008607E3" w:rsidRDefault="00144E6D">
    <w:pPr>
      <w:pStyle w:val="SidhuvudKantUdda"/>
      <w:framePr w:w="8732" w:h="567" w:hRule="exact" w:vSpace="0" w:wrap="around" w:vAnchor="page" w:y="341" w:anchorLock="0"/>
    </w:pPr>
    <w:r w:rsidRPr="008607E3">
      <w:rPr>
        <w:rStyle w:val="SidhuvudRubrikReferens"/>
        <w:smallCaps w:val="0"/>
      </w:rPr>
      <w:t xml:space="preserve"> </w:t>
    </w:r>
  </w:p>
  <w:p w:rsidR="008C778E" w:rsidRPr="008607E3" w:rsidRDefault="008C778E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 w:rsidP="00867583">
    <w:pPr>
      <w:pStyle w:val="SidhuvudKantJmn"/>
      <w:framePr w:w="8731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BetänkandeÅr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2006/07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t>: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Utskott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RB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BetänkandeNr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</w:t>
    </w:r>
    <w:r w:rsidRPr="008607E3">
      <w:rPr>
        <w:rStyle w:val="SidhuvudUtskott"/>
      </w:rPr>
      <w:fldChar w:fldCharType="end"/>
    </w:r>
    <w:r w:rsidRPr="008607E3">
      <w:t xml:space="preserve">     </w:t>
    </w:r>
    <w:r w:rsidRPr="008607E3">
      <w:rPr>
        <w:rStyle w:val="SidhuvudBilaga"/>
      </w:rPr>
      <w:t xml:space="preserve"> </w:t>
    </w:r>
    <w:r w:rsidRPr="008607E3">
      <w:rPr>
        <w:rStyle w:val="SidhuvudRubrikReferens"/>
      </w:rPr>
      <w:fldChar w:fldCharType="begin" w:fldLock="1"/>
    </w:r>
    <w:r w:rsidRPr="008607E3">
      <w:rPr>
        <w:rStyle w:val="SidhuvudRubrikReferens"/>
      </w:rPr>
      <w:instrText xml:space="preserve"> StyleREF "Rubrik 1" </w:instrText>
    </w:r>
    <w:r w:rsidRPr="008607E3">
      <w:rPr>
        <w:rStyle w:val="SidhuvudRubrikReferens"/>
      </w:rPr>
      <w:fldChar w:fldCharType="end"/>
    </w:r>
  </w:p>
  <w:p w:rsidR="008C778E" w:rsidRPr="008607E3" w:rsidRDefault="008C778E" w:rsidP="00867583">
    <w:pPr>
      <w:pStyle w:val="SidhuvudKantJmn"/>
      <w:framePr w:w="8731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Status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if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"UtkastDatum"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Nej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 = "Ja" "   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PRINTDATE \@ "yyyy-MM-dd HH.mm" 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2000-08-11 16.42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" </w:instrTex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144E6D" w:rsidP="00867583">
    <w:pPr>
      <w:pStyle w:val="SidhuvudKantUdda"/>
      <w:framePr w:w="8731" w:h="567" w:hRule="exact" w:vSpace="0" w:wrap="around" w:vAnchor="page" w:y="341" w:anchorLock="0"/>
    </w:pPr>
    <w:r w:rsidRPr="008607E3">
      <w:rPr>
        <w:rStyle w:val="SidhuvudRubrikReferens"/>
      </w:rPr>
      <w:t>Fullmäktiges verksamhet år 2006</w:t>
    </w:r>
    <w:r w:rsidR="008C778E" w:rsidRPr="008607E3">
      <w:rPr>
        <w:rStyle w:val="SidhuvudBilaga"/>
      </w:rPr>
      <w:t xml:space="preserve"> </w:t>
    </w:r>
    <w:r w:rsidR="008C778E" w:rsidRPr="008607E3">
      <w:t xml:space="preserve">     </w:t>
    </w:r>
    <w:r w:rsidR="008C778E" w:rsidRPr="008607E3">
      <w:rPr>
        <w:rStyle w:val="SidhuvudUtskott"/>
      </w:rPr>
      <w:t>2006/07:RB2</w:t>
    </w:r>
  </w:p>
  <w:p w:rsidR="008C778E" w:rsidRPr="008607E3" w:rsidRDefault="008C778E" w:rsidP="00867583">
    <w:pPr>
      <w:pStyle w:val="SidhuvudKantUdda"/>
      <w:framePr w:w="8731" w:h="567" w:hRule="exact" w:vSpace="0" w:wrap="around" w:vAnchor="page" w:y="341" w:anchorLock="0"/>
    </w:pPr>
  </w:p>
  <w:p w:rsidR="008C778E" w:rsidRPr="008607E3" w:rsidRDefault="008C778E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E6D" w:rsidRPr="008607E3" w:rsidRDefault="00144E6D" w:rsidP="00867583">
    <w:pPr>
      <w:pStyle w:val="SidhuvudKantJmn"/>
      <w:framePr w:w="8731" w:h="567" w:hRule="exact" w:vSpace="0" w:wrap="around" w:vAnchor="page" w:y="341" w:anchorLock="0"/>
    </w:pPr>
    <w:r w:rsidRPr="008607E3">
      <w:rPr>
        <w:rStyle w:val="SidhuvudUtskott"/>
      </w:rPr>
      <w:t>2006/07:RB2</w:t>
    </w:r>
    <w:r w:rsidRPr="008607E3">
      <w:t xml:space="preserve">    </w:t>
    </w:r>
  </w:p>
  <w:p w:rsidR="00144E6D" w:rsidRPr="008607E3" w:rsidRDefault="00144E6D" w:rsidP="00867583">
    <w:pPr>
      <w:pStyle w:val="SidhuvudKantJmn"/>
      <w:framePr w:w="8731" w:h="567" w:hRule="exact" w:vSpace="0" w:wrap="around" w:vAnchor="page" w:y="341" w:anchorLock="0"/>
    </w:pPr>
  </w:p>
  <w:p w:rsidR="008C778E" w:rsidRPr="008607E3" w:rsidRDefault="00144E6D" w:rsidP="00867583">
    <w:pPr>
      <w:pStyle w:val="SidhuvudKantUdda"/>
      <w:framePr w:w="8731" w:h="567" w:hRule="exact" w:vSpace="0" w:wrap="around" w:vAnchor="page" w:y="341" w:anchorLock="0"/>
    </w:pPr>
    <w:r w:rsidRPr="008607E3">
      <w:rPr>
        <w:rStyle w:val="SidhuvudRubrikReferens"/>
        <w:smallCaps w:val="0"/>
      </w:rPr>
      <w:t xml:space="preserve"> </w:t>
    </w:r>
  </w:p>
  <w:p w:rsidR="008C778E" w:rsidRPr="008607E3" w:rsidRDefault="008C778E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BetänkandeÅr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2006/07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t>: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Utskott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RB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BetänkandeNr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</w:t>
    </w:r>
    <w:r w:rsidRPr="008607E3">
      <w:rPr>
        <w:rStyle w:val="SidhuvudUtskott"/>
      </w:rPr>
      <w:fldChar w:fldCharType="end"/>
    </w:r>
    <w:r w:rsidRPr="008607E3">
      <w:t xml:space="preserve">     </w:t>
    </w:r>
    <w:r w:rsidRPr="008607E3">
      <w:rPr>
        <w:rStyle w:val="SidhuvudBilaga"/>
      </w:rPr>
      <w:t xml:space="preserve"> Bilaga   </w:t>
    </w:r>
    <w:r w:rsidRPr="008607E3">
      <w:rPr>
        <w:rStyle w:val="SidhuvudRubrikReferens"/>
      </w:rPr>
      <w:fldChar w:fldCharType="begin" w:fldLock="1"/>
    </w:r>
    <w:r w:rsidRPr="008607E3">
      <w:rPr>
        <w:rStyle w:val="SidhuvudRubrikReferens"/>
      </w:rPr>
      <w:instrText xml:space="preserve"> StyleREF "Rubrik 1" </w:instrText>
    </w:r>
    <w:r w:rsidRPr="008607E3">
      <w:rPr>
        <w:rStyle w:val="SidhuvudRubrikReferens"/>
      </w:rPr>
      <w:fldChar w:fldCharType="separate"/>
    </w:r>
    <w:r w:rsidRPr="008607E3">
      <w:rPr>
        <w:rStyle w:val="SidhuvudRubrikReferens"/>
      </w:rPr>
      <w:t>Fullmäktiges verksamhet år 2006</w:t>
    </w:r>
    <w:r w:rsidRPr="008607E3">
      <w:rPr>
        <w:rStyle w:val="SidhuvudRubrikReferens"/>
      </w:rPr>
      <w:fldChar w:fldCharType="end"/>
    </w:r>
  </w:p>
  <w:p w:rsidR="008C778E" w:rsidRPr="008607E3" w:rsidRDefault="008C778E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Status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if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"UtkastDatum"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Nej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 = "Ja" "   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PRINTDATE \@ "yyyy-MM-dd HH.mm" 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2000-08-11 16.42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" </w:instrTex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144E6D">
    <w:pPr>
      <w:pStyle w:val="SidhuvudKantUdda"/>
      <w:framePr w:w="8732" w:h="567" w:hRule="exact" w:vSpace="0" w:wrap="around" w:vAnchor="page" w:y="341" w:anchorLock="0"/>
    </w:pPr>
    <w:r w:rsidRPr="008607E3">
      <w:rPr>
        <w:rStyle w:val="SidhuvudRubrikReferens"/>
        <w:spacing w:val="4"/>
      </w:rPr>
      <w:t>Inleveransberäkning avseende Riksbankens resultat år 2006 (miljoner kronor)</w:t>
    </w:r>
    <w:r w:rsidR="008C778E" w:rsidRPr="008607E3">
      <w:rPr>
        <w:rStyle w:val="SidhuvudBilaga"/>
      </w:rPr>
      <w:t xml:space="preserve">   Bilaga </w:t>
    </w:r>
    <w:r w:rsidR="008C778E" w:rsidRPr="008607E3">
      <w:t xml:space="preserve">     </w:t>
    </w:r>
    <w:r w:rsidR="008C778E" w:rsidRPr="008607E3">
      <w:rPr>
        <w:rStyle w:val="SidhuvudUtskott"/>
      </w:rPr>
      <w:t>2006/07:RB2</w:t>
    </w:r>
  </w:p>
  <w:p w:rsidR="008C778E" w:rsidRPr="008607E3" w:rsidRDefault="008C778E">
    <w:pPr>
      <w:pStyle w:val="SidhuvudKantUdda"/>
      <w:framePr w:w="8732" w:h="567" w:hRule="exact" w:vSpace="0" w:wrap="around" w:vAnchor="page" w:y="341" w:anchorLock="0"/>
    </w:pPr>
  </w:p>
  <w:p w:rsidR="008C778E" w:rsidRPr="008607E3" w:rsidRDefault="008C778E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E6D" w:rsidRPr="008607E3" w:rsidRDefault="00144E6D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t>2006/07:RB2</w:t>
    </w:r>
    <w:r w:rsidRPr="008607E3">
      <w:t xml:space="preserve">    </w:t>
    </w:r>
  </w:p>
  <w:p w:rsidR="00144E6D" w:rsidRPr="008607E3" w:rsidRDefault="00144E6D">
    <w:pPr>
      <w:pStyle w:val="SidhuvudKantJmn"/>
      <w:framePr w:w="8732" w:h="567" w:hRule="exact" w:vSpace="0" w:wrap="around" w:vAnchor="page" w:y="341" w:anchorLock="0"/>
    </w:pPr>
  </w:p>
  <w:p w:rsidR="008C778E" w:rsidRPr="008607E3" w:rsidRDefault="00144E6D">
    <w:pPr>
      <w:pStyle w:val="SidhuvudKantUdda"/>
      <w:framePr w:w="8732" w:h="567" w:hRule="exact" w:vSpace="0" w:wrap="around" w:vAnchor="page" w:y="341" w:anchorLock="0"/>
    </w:pPr>
    <w:r w:rsidRPr="008607E3">
      <w:rPr>
        <w:rStyle w:val="SidhuvudRubrikReferens"/>
        <w:smallCaps w:val="0"/>
      </w:rPr>
      <w:t xml:space="preserve"> </w:t>
    </w:r>
  </w:p>
  <w:p w:rsidR="008C778E" w:rsidRPr="008607E3" w:rsidRDefault="008C778E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huvudKantUdda"/>
      <w:framePr w:w="8732" w:h="567" w:hRule="exact" w:vSpace="0" w:wrap="around" w:vAnchor="page" w:y="341" w:anchorLock="0"/>
    </w:pPr>
    <w:r w:rsidRPr="008607E3">
      <w:rPr>
        <w:rStyle w:val="SidhuvudRubrikReferens"/>
      </w:rPr>
      <w:fldChar w:fldCharType="begin" w:fldLock="1"/>
    </w:r>
    <w:r w:rsidRPr="008607E3">
      <w:rPr>
        <w:rStyle w:val="SidhuvudRubrikReferens"/>
      </w:rPr>
      <w:instrText xml:space="preserve"> StyleREF "Rubrik 1" </w:instrText>
    </w:r>
    <w:r w:rsidRPr="008607E3">
      <w:rPr>
        <w:rStyle w:val="SidhuvudRubrikReferens"/>
      </w:rPr>
      <w:fldChar w:fldCharType="separate"/>
    </w:r>
    <w:r w:rsidRPr="008607E3">
      <w:rPr>
        <w:rStyle w:val="SidhuvudRubrikReferens"/>
      </w:rPr>
      <w:t>Sammanfattning</w:t>
    </w:r>
    <w:r w:rsidRPr="008607E3">
      <w:rPr>
        <w:rStyle w:val="SidhuvudRubrikReferens"/>
      </w:rPr>
      <w:fldChar w:fldCharType="end"/>
    </w:r>
    <w:r w:rsidRPr="008607E3">
      <w:rPr>
        <w:rStyle w:val="SidhuvudBilaga"/>
      </w:rPr>
      <w:t xml:space="preserve"> </w:t>
    </w:r>
    <w:r w:rsidRPr="008607E3">
      <w:t xml:space="preserve">     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BetänkandeÅr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2006/07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t>: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</w:instrText>
    </w:r>
    <w:r w:rsidRPr="008607E3">
      <w:instrText xml:space="preserve"> </w:instrText>
    </w:r>
    <w:r w:rsidRPr="008607E3">
      <w:rPr>
        <w:rStyle w:val="SidhuvudUtskott"/>
      </w:rPr>
      <w:instrText>Utskott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RB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</w:instrText>
    </w:r>
    <w:r w:rsidRPr="008607E3">
      <w:rPr>
        <w:rStyle w:val="SidhuvudUtskott"/>
      </w:rPr>
      <w:instrText>n</w:instrText>
    </w:r>
    <w:r w:rsidRPr="008607E3">
      <w:rPr>
        <w:rStyle w:val="SidhuvudUtskott"/>
      </w:rPr>
      <w:instrText>kandeNr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</w: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KantUdda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if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"UtkastDatum"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Nej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 = "Ja" "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PRINTDATE \@ "yyyy-MM-dd HH.mm    " 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2000-08-11 16.42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" 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</w:instrText>
    </w:r>
    <w:r w:rsidRPr="008607E3">
      <w:rPr>
        <w:rStyle w:val="SidhuvudUtskott"/>
      </w:rPr>
      <w:instrText>O</w:instrText>
    </w:r>
    <w:r w:rsidRPr="008607E3">
      <w:rPr>
        <w:rStyle w:val="SidhuvudUtskott"/>
      </w:rPr>
      <w:instrText>PERTY Status</w:instrTex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144E6D">
    <w:pPr>
      <w:pStyle w:val="SidhuvudKantUdda"/>
      <w:framePr w:w="8732" w:h="567" w:hRule="exact" w:vSpace="0" w:wrap="around" w:vAnchor="page" w:y="341" w:anchorLock="0"/>
    </w:pPr>
    <w:r w:rsidRPr="008607E3">
      <w:t xml:space="preserve"> </w:t>
    </w:r>
  </w:p>
  <w:p w:rsidR="008C778E" w:rsidRPr="008607E3" w:rsidRDefault="008C778E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BetänkandeÅr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2006/07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t>: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Utskott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RB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BetänkandeNr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</w:t>
    </w:r>
    <w:r w:rsidRPr="008607E3">
      <w:rPr>
        <w:rStyle w:val="SidhuvudUtskott"/>
      </w:rPr>
      <w:fldChar w:fldCharType="end"/>
    </w:r>
    <w:r w:rsidRPr="008607E3">
      <w:t xml:space="preserve">     </w:t>
    </w:r>
    <w:r w:rsidRPr="008607E3">
      <w:rPr>
        <w:rStyle w:val="SidhuvudBilaga"/>
      </w:rPr>
      <w:t xml:space="preserve"> </w:t>
    </w:r>
    <w:r w:rsidRPr="008607E3">
      <w:rPr>
        <w:rStyle w:val="SidhuvudRubrikReferens"/>
      </w:rPr>
      <w:fldChar w:fldCharType="begin" w:fldLock="1"/>
    </w:r>
    <w:r w:rsidRPr="008607E3">
      <w:rPr>
        <w:rStyle w:val="SidhuvudRubrikReferens"/>
      </w:rPr>
      <w:instrText xml:space="preserve"> StyleREF "Rubrik 1" </w:instrText>
    </w:r>
    <w:r w:rsidRPr="008607E3">
      <w:rPr>
        <w:rStyle w:val="SidhuvudRubrikReferens"/>
      </w:rPr>
      <w:fldChar w:fldCharType="separate"/>
    </w:r>
    <w:r w:rsidRPr="008607E3">
      <w:rPr>
        <w:rStyle w:val="SidhuvudRubrikReferens"/>
      </w:rPr>
      <w:t>Sammanfattning</w:t>
    </w:r>
    <w:r w:rsidRPr="008607E3">
      <w:rPr>
        <w:rStyle w:val="SidhuvudRubrikReferens"/>
      </w:rPr>
      <w:fldChar w:fldCharType="end"/>
    </w:r>
  </w:p>
  <w:p w:rsidR="008C778E" w:rsidRPr="008607E3" w:rsidRDefault="008C778E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Status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if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"UtkastDatum"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Nej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 = "Ja" "   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PRINTDATE \@ "yyyy-MM-dd HH.mm" 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2000-08-11 16.42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" </w:instrTex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huvudKantUdda"/>
      <w:framePr w:w="8732" w:h="567" w:hRule="exact" w:vSpace="0" w:wrap="around" w:vAnchor="page" w:y="341" w:anchorLock="0"/>
    </w:pPr>
    <w:r w:rsidRPr="008607E3">
      <w:rPr>
        <w:rStyle w:val="SidhuvudRubrikReferens"/>
      </w:rPr>
      <w:fldChar w:fldCharType="begin" w:fldLock="1"/>
    </w:r>
    <w:r w:rsidRPr="008607E3">
      <w:rPr>
        <w:rStyle w:val="SidhuvudRubrikReferens"/>
      </w:rPr>
      <w:instrText xml:space="preserve"> StyleREF "Rubrik 1" </w:instrText>
    </w:r>
    <w:r w:rsidRPr="008607E3">
      <w:rPr>
        <w:rStyle w:val="SidhuvudRubrikReferens"/>
      </w:rPr>
      <w:fldChar w:fldCharType="separate"/>
    </w:r>
    <w:r w:rsidRPr="008607E3">
      <w:rPr>
        <w:rStyle w:val="SidhuvudRubrikReferens"/>
      </w:rPr>
      <w:t>Sammanfattning</w:t>
    </w:r>
    <w:r w:rsidRPr="008607E3">
      <w:rPr>
        <w:rStyle w:val="SidhuvudRubrikReferens"/>
      </w:rPr>
      <w:fldChar w:fldCharType="end"/>
    </w:r>
    <w:r w:rsidRPr="008607E3">
      <w:rPr>
        <w:rStyle w:val="SidhuvudBilaga"/>
      </w:rPr>
      <w:t xml:space="preserve"> </w:t>
    </w:r>
    <w:r w:rsidRPr="008607E3">
      <w:t xml:space="preserve">     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BetänkandeÅr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2006/07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t>: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</w:instrText>
    </w:r>
    <w:r w:rsidRPr="008607E3">
      <w:instrText xml:space="preserve"> </w:instrText>
    </w:r>
    <w:r w:rsidRPr="008607E3">
      <w:rPr>
        <w:rStyle w:val="SidhuvudUtskott"/>
      </w:rPr>
      <w:instrText>Utskott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RB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</w:instrText>
    </w:r>
    <w:r w:rsidRPr="008607E3">
      <w:rPr>
        <w:rStyle w:val="SidhuvudUtskott"/>
      </w:rPr>
      <w:instrText>n</w:instrText>
    </w:r>
    <w:r w:rsidRPr="008607E3">
      <w:rPr>
        <w:rStyle w:val="SidhuvudUtskott"/>
      </w:rPr>
      <w:instrText>kandeNr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</w: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KantUdda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if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"UtkastDatum"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Nej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 = "Ja" "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PRINTDATE \@ "yyyy-MM-dd HH.mm    " 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2000-08-11 16.42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" 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</w:instrText>
    </w:r>
    <w:r w:rsidRPr="008607E3">
      <w:rPr>
        <w:rStyle w:val="SidhuvudUtskott"/>
      </w:rPr>
      <w:instrText>O</w:instrText>
    </w:r>
    <w:r w:rsidRPr="008607E3">
      <w:rPr>
        <w:rStyle w:val="SidhuvudUtskott"/>
      </w:rPr>
      <w:instrText>PERTY Status</w:instrTex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E6D" w:rsidRPr="008607E3" w:rsidRDefault="00144E6D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t>2006/07:RB2</w:t>
    </w:r>
    <w:r w:rsidRPr="008607E3">
      <w:t xml:space="preserve">    </w:t>
    </w:r>
  </w:p>
  <w:p w:rsidR="00144E6D" w:rsidRPr="008607E3" w:rsidRDefault="00144E6D">
    <w:pPr>
      <w:pStyle w:val="SidhuvudKantJmn"/>
      <w:framePr w:w="8732" w:h="567" w:hRule="exact" w:vSpace="0" w:wrap="around" w:vAnchor="page" w:y="341" w:anchorLock="0"/>
    </w:pPr>
  </w:p>
  <w:p w:rsidR="008C778E" w:rsidRPr="008607E3" w:rsidRDefault="00144E6D">
    <w:pPr>
      <w:pStyle w:val="SidhuvudKantUdda"/>
      <w:framePr w:w="8732" w:h="567" w:hRule="exact" w:vSpace="0" w:wrap="around" w:vAnchor="page" w:y="341" w:anchorLock="0"/>
    </w:pPr>
    <w:r w:rsidRPr="008607E3">
      <w:rPr>
        <w:rStyle w:val="SidhuvudRubrikReferens"/>
        <w:smallCaps w:val="0"/>
      </w:rPr>
      <w:t xml:space="preserve"> </w:t>
    </w:r>
  </w:p>
  <w:p w:rsidR="008C778E" w:rsidRPr="008607E3" w:rsidRDefault="008C778E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BetänkandeÅr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2006/07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t>: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Utskott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RB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BetänkandeNr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</w:t>
    </w:r>
    <w:r w:rsidRPr="008607E3">
      <w:rPr>
        <w:rStyle w:val="SidhuvudUtskott"/>
      </w:rPr>
      <w:fldChar w:fldCharType="end"/>
    </w:r>
    <w:r w:rsidRPr="008607E3">
      <w:t xml:space="preserve">     </w:t>
    </w:r>
    <w:r w:rsidRPr="008607E3">
      <w:rPr>
        <w:rStyle w:val="SidhuvudBilaga"/>
      </w:rPr>
      <w:t xml:space="preserve"> </w:t>
    </w:r>
    <w:r w:rsidRPr="008607E3">
      <w:rPr>
        <w:rStyle w:val="SidhuvudRubrikReferens"/>
      </w:rPr>
      <w:fldChar w:fldCharType="begin" w:fldLock="1"/>
    </w:r>
    <w:r w:rsidRPr="008607E3">
      <w:rPr>
        <w:rStyle w:val="SidhuvudRubrikReferens"/>
      </w:rPr>
      <w:instrText xml:space="preserve"> StyleREF "Rubrik 1" </w:instrText>
    </w:r>
    <w:r w:rsidRPr="008607E3">
      <w:rPr>
        <w:rStyle w:val="SidhuvudRubrikReferens"/>
      </w:rPr>
      <w:fldChar w:fldCharType="separate"/>
    </w:r>
    <w:r w:rsidRPr="008607E3">
      <w:rPr>
        <w:rStyle w:val="SidhuvudRubrikReferens"/>
      </w:rPr>
      <w:t>Innehållsförteckning</w:t>
    </w:r>
    <w:r w:rsidRPr="008607E3">
      <w:rPr>
        <w:rStyle w:val="SidhuvudRubrikReferens"/>
      </w:rPr>
      <w:fldChar w:fldCharType="end"/>
    </w:r>
  </w:p>
  <w:p w:rsidR="008C778E" w:rsidRPr="008607E3" w:rsidRDefault="008C778E">
    <w:pPr>
      <w:pStyle w:val="SidhuvudKantJmn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Status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if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"UtkastDatum"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Nej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 = "Ja" "   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PRINTDATE \@ "yyyy-MM-dd HH.mm" 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2000-08-11 16.42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" </w:instrTex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78E" w:rsidRPr="008607E3" w:rsidRDefault="008C778E">
    <w:pPr>
      <w:pStyle w:val="SidhuvudKantUdda"/>
      <w:framePr w:w="8732" w:h="567" w:hRule="exact" w:vSpace="0" w:wrap="around" w:vAnchor="page" w:y="341" w:anchorLock="0"/>
    </w:pPr>
    <w:r w:rsidRPr="008607E3">
      <w:rPr>
        <w:rStyle w:val="SidhuvudRubrikReferens"/>
      </w:rPr>
      <w:fldChar w:fldCharType="begin" w:fldLock="1"/>
    </w:r>
    <w:r w:rsidRPr="008607E3">
      <w:rPr>
        <w:rStyle w:val="SidhuvudRubrikReferens"/>
      </w:rPr>
      <w:instrText xml:space="preserve"> StyleREF "Rubrik 1" </w:instrText>
    </w:r>
    <w:r w:rsidRPr="008607E3">
      <w:rPr>
        <w:rStyle w:val="SidhuvudRubrikReferens"/>
      </w:rPr>
      <w:fldChar w:fldCharType="separate"/>
    </w:r>
    <w:r w:rsidRPr="008607E3">
      <w:rPr>
        <w:rStyle w:val="SidhuvudRubrikReferens"/>
      </w:rPr>
      <w:t>Innehållsförteckning</w:t>
    </w:r>
    <w:r w:rsidRPr="008607E3">
      <w:rPr>
        <w:rStyle w:val="SidhuvudRubrikReferens"/>
      </w:rPr>
      <w:fldChar w:fldCharType="end"/>
    </w:r>
    <w:r w:rsidRPr="008607E3">
      <w:rPr>
        <w:rStyle w:val="SidhuvudBilaga"/>
      </w:rPr>
      <w:t xml:space="preserve"> </w:t>
    </w:r>
    <w:r w:rsidRPr="008607E3">
      <w:t xml:space="preserve">     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BetänkandeÅr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2006/07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t>:</w: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</w:instrText>
    </w:r>
    <w:r w:rsidRPr="008607E3">
      <w:instrText xml:space="preserve"> </w:instrText>
    </w:r>
    <w:r w:rsidRPr="008607E3">
      <w:rPr>
        <w:rStyle w:val="SidhuvudUtskott"/>
      </w:rPr>
      <w:instrText>Utskott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RB</w: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Betä</w:instrText>
    </w:r>
    <w:r w:rsidRPr="008607E3">
      <w:rPr>
        <w:rStyle w:val="SidhuvudUtskott"/>
      </w:rPr>
      <w:instrText>n</w:instrText>
    </w:r>
    <w:r w:rsidRPr="008607E3">
      <w:rPr>
        <w:rStyle w:val="SidhuvudUtskott"/>
      </w:rPr>
      <w:instrText>kandeNr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t>2</w: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KantUdda"/>
      <w:framePr w:w="8732" w:h="567" w:hRule="exact" w:vSpace="0" w:wrap="around" w:vAnchor="page" w:y="341" w:anchorLock="0"/>
    </w:pP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if 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DOCPROPERTY "UtkastDatum"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Nej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 = "Ja" "</w:instrText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PRINTDATE \@ "yyyy-MM-dd HH.mm    " </w:instrText>
    </w:r>
    <w:r w:rsidRPr="008607E3">
      <w:rPr>
        <w:rStyle w:val="SidhuvudUtskott"/>
      </w:rPr>
      <w:fldChar w:fldCharType="separate"/>
    </w:r>
    <w:r w:rsidRPr="008607E3">
      <w:rPr>
        <w:rStyle w:val="SidhuvudUtskott"/>
      </w:rPr>
      <w:instrText>2000-08-11 16.42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instrText xml:space="preserve">" </w:instrText>
    </w:r>
    <w:r w:rsidRPr="008607E3">
      <w:rPr>
        <w:rStyle w:val="SidhuvudUtskott"/>
      </w:rPr>
      <w:fldChar w:fldCharType="end"/>
    </w:r>
    <w:r w:rsidRPr="008607E3">
      <w:rPr>
        <w:rStyle w:val="SidhuvudUtskott"/>
      </w:rPr>
      <w:fldChar w:fldCharType="begin" w:fldLock="1"/>
    </w:r>
    <w:r w:rsidRPr="008607E3">
      <w:rPr>
        <w:rStyle w:val="SidhuvudUtskott"/>
      </w:rPr>
      <w:instrText xml:space="preserve"> DOCPR</w:instrText>
    </w:r>
    <w:r w:rsidRPr="008607E3">
      <w:rPr>
        <w:rStyle w:val="SidhuvudUtskott"/>
      </w:rPr>
      <w:instrText>O</w:instrText>
    </w:r>
    <w:r w:rsidRPr="008607E3">
      <w:rPr>
        <w:rStyle w:val="SidhuvudUtskott"/>
      </w:rPr>
      <w:instrText>PERTY Status</w:instrText>
    </w:r>
    <w:r w:rsidRPr="008607E3">
      <w:rPr>
        <w:rStyle w:val="SidhuvudUtskott"/>
      </w:rPr>
      <w:fldChar w:fldCharType="end"/>
    </w:r>
  </w:p>
  <w:p w:rsidR="008C778E" w:rsidRPr="008607E3" w:rsidRDefault="008C778E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E6D" w:rsidRPr="008607E3" w:rsidRDefault="00144E6D">
    <w:pPr>
      <w:pStyle w:val="SidhuvudKantUdda"/>
      <w:framePr w:w="8732" w:h="567" w:hRule="exact" w:vSpace="0" w:wrap="around" w:vAnchor="page" w:y="341" w:anchorLock="0"/>
    </w:pPr>
    <w:r w:rsidRPr="008607E3">
      <w:t xml:space="preserve">  </w:t>
    </w:r>
    <w:r w:rsidRPr="008607E3">
      <w:rPr>
        <w:rStyle w:val="SidhuvudUtskott"/>
      </w:rPr>
      <w:t>2006/07:RB2</w:t>
    </w:r>
  </w:p>
  <w:p w:rsidR="008C778E" w:rsidRPr="008607E3" w:rsidRDefault="008C778E">
    <w:pPr>
      <w:pStyle w:val="SidhuvudKantUdda"/>
      <w:framePr w:w="8732" w:h="567" w:hRule="exact" w:vSpace="0" w:wrap="around" w:vAnchor="page" w:y="341" w:anchorLock="0"/>
    </w:pPr>
  </w:p>
  <w:p w:rsidR="008C778E" w:rsidRPr="008607E3" w:rsidRDefault="008C778E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D0E8B"/>
    <w:multiLevelType w:val="multilevel"/>
    <w:tmpl w:val="74C4EF1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32932"/>
    <w:multiLevelType w:val="hybridMultilevel"/>
    <w:tmpl w:val="4FA4CEE6"/>
    <w:lvl w:ilvl="0" w:tplc="47AE54B6">
      <w:start w:val="1"/>
      <w:numFmt w:val="bullet"/>
      <w:pStyle w:val="PunktlistaStreck"/>
      <w:lvlText w:val="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sz w:val="20"/>
      </w:rPr>
    </w:lvl>
    <w:lvl w:ilvl="1" w:tplc="FA8C89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9E148A3"/>
    <w:multiLevelType w:val="hybridMultilevel"/>
    <w:tmpl w:val="A9E65AFA"/>
    <w:lvl w:ilvl="0" w:tplc="041D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5B2F6216"/>
    <w:multiLevelType w:val="hybridMultilevel"/>
    <w:tmpl w:val="23DE5740"/>
    <w:lvl w:ilvl="0" w:tplc="041D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861169229">
    <w:abstractNumId w:val="12"/>
  </w:num>
  <w:num w:numId="2" w16cid:durableId="1403403492">
    <w:abstractNumId w:val="8"/>
  </w:num>
  <w:num w:numId="3" w16cid:durableId="963468095">
    <w:abstractNumId w:val="3"/>
  </w:num>
  <w:num w:numId="4" w16cid:durableId="1159660659">
    <w:abstractNumId w:val="2"/>
  </w:num>
  <w:num w:numId="5" w16cid:durableId="1843356517">
    <w:abstractNumId w:val="1"/>
  </w:num>
  <w:num w:numId="6" w16cid:durableId="1534464972">
    <w:abstractNumId w:val="0"/>
  </w:num>
  <w:num w:numId="7" w16cid:durableId="916282688">
    <w:abstractNumId w:val="9"/>
  </w:num>
  <w:num w:numId="8" w16cid:durableId="418017899">
    <w:abstractNumId w:val="7"/>
  </w:num>
  <w:num w:numId="9" w16cid:durableId="1325161713">
    <w:abstractNumId w:val="6"/>
  </w:num>
  <w:num w:numId="10" w16cid:durableId="1173953151">
    <w:abstractNumId w:val="5"/>
  </w:num>
  <w:num w:numId="11" w16cid:durableId="651909960">
    <w:abstractNumId w:val="4"/>
  </w:num>
  <w:num w:numId="12" w16cid:durableId="826017811">
    <w:abstractNumId w:val="11"/>
  </w:num>
  <w:num w:numId="13" w16cid:durableId="2008048585">
    <w:abstractNumId w:val="10"/>
  </w:num>
  <w:num w:numId="14" w16cid:durableId="1859730637">
    <w:abstractNumId w:val="14"/>
  </w:num>
  <w:num w:numId="15" w16cid:durableId="848057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testutskottets"/>
    <w:docVar w:name="Skapår" w:val="0607"/>
  </w:docVars>
  <w:rsids>
    <w:rsidRoot w:val="00C64230"/>
    <w:rsid w:val="00041250"/>
    <w:rsid w:val="00050FDC"/>
    <w:rsid w:val="00090277"/>
    <w:rsid w:val="000B0F4F"/>
    <w:rsid w:val="000D0F15"/>
    <w:rsid w:val="000E33E6"/>
    <w:rsid w:val="00144E6D"/>
    <w:rsid w:val="00155BA2"/>
    <w:rsid w:val="00186B86"/>
    <w:rsid w:val="00187CBE"/>
    <w:rsid w:val="00421600"/>
    <w:rsid w:val="005B44E8"/>
    <w:rsid w:val="005C1653"/>
    <w:rsid w:val="00604AC6"/>
    <w:rsid w:val="0066137B"/>
    <w:rsid w:val="00707D8F"/>
    <w:rsid w:val="00721CD1"/>
    <w:rsid w:val="007901B6"/>
    <w:rsid w:val="007B4DEB"/>
    <w:rsid w:val="007B51E6"/>
    <w:rsid w:val="007C28A5"/>
    <w:rsid w:val="00817298"/>
    <w:rsid w:val="008607E3"/>
    <w:rsid w:val="00867583"/>
    <w:rsid w:val="008C778E"/>
    <w:rsid w:val="008F49A4"/>
    <w:rsid w:val="00901688"/>
    <w:rsid w:val="00A65CC2"/>
    <w:rsid w:val="00AD05E5"/>
    <w:rsid w:val="00B01006"/>
    <w:rsid w:val="00B50705"/>
    <w:rsid w:val="00BD0B00"/>
    <w:rsid w:val="00C26EB4"/>
    <w:rsid w:val="00C56A80"/>
    <w:rsid w:val="00C64230"/>
    <w:rsid w:val="00D801B1"/>
    <w:rsid w:val="00DB5A9B"/>
    <w:rsid w:val="00E21556"/>
    <w:rsid w:val="00E41296"/>
    <w:rsid w:val="00E46B15"/>
    <w:rsid w:val="00E72366"/>
    <w:rsid w:val="00F53A97"/>
    <w:rsid w:val="00FE7E65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DD0514-727E-4DF5-9BE6-B2995858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PunktlistaBomb">
    <w:name w:val="Punktlista_Bomb"/>
    <w:basedOn w:val="Normal"/>
    <w:rsid w:val="00421600"/>
  </w:style>
  <w:style w:type="paragraph" w:customStyle="1" w:styleId="PunktlistaStreck">
    <w:name w:val="Punktlista Streck"/>
    <w:basedOn w:val="PunktlistaBomb"/>
    <w:rsid w:val="00421600"/>
    <w:pPr>
      <w:numPr>
        <w:numId w:val="12"/>
      </w:numPr>
    </w:pPr>
  </w:style>
  <w:style w:type="paragraph" w:styleId="Brdtext">
    <w:name w:val="Body Text"/>
    <w:basedOn w:val="Normal"/>
    <w:rsid w:val="00E72366"/>
    <w:pPr>
      <w:spacing w:before="0" w:after="120" w:line="280" w:lineRule="exact"/>
      <w:jc w:val="left"/>
    </w:pPr>
    <w:rPr>
      <w:rFonts w:ascii="New Baskerville" w:hAnsi="New Baskervil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1372</Words>
  <Characters>9155</Characters>
  <Application>Microsoft Office Word</Application>
  <DocSecurity>4</DocSecurity>
  <Lines>339</Lines>
  <Paragraphs>148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Framställning till riksdagen</vt:lpstr>
    </vt:vector>
  </TitlesOfParts>
  <Company>Riksdagen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Framställning till riksdagen</dc:title>
  <dc:subject>Framställning till riksdagen</dc:subject>
  <dc:creator>Riksdagen</dc:creator>
  <cp:keywords>Riksdagen</cp:keywords>
  <dc:description/>
  <cp:lastModifiedBy>Lars Brink</cp:lastModifiedBy>
  <cp:revision>2</cp:revision>
  <cp:lastPrinted>2007-02-13T10:32:00Z</cp:lastPrinted>
  <dcterms:created xsi:type="dcterms:W3CDTF">2025-12-16T23:22:00Z</dcterms:created>
  <dcterms:modified xsi:type="dcterms:W3CDTF">2025-12-16T23:22:00Z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</vt:lpwstr>
  </property>
  <property fmtid="{D5CDD505-2E9C-101B-9397-08002B2CF9AE}" pid="3" name="Utskott">
    <vt:lpwstr>RB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