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CE5630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3D036B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CE5630">
              <w:rPr>
                <w:szCs w:val="24"/>
              </w:rPr>
              <w:t>06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C4B8E">
              <w:rPr>
                <w:szCs w:val="24"/>
              </w:rPr>
              <w:t>10.40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874BB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CD60D6" w:rsidRPr="000D5D7F">
              <w:rPr>
                <w:snapToGrid w:val="0"/>
                <w:szCs w:val="24"/>
              </w:rPr>
              <w:t>Larry Söder (KD)</w:t>
            </w:r>
            <w:r w:rsidR="00FA15AF" w:rsidRPr="000D5D7F">
              <w:rPr>
                <w:snapToGrid w:val="0"/>
                <w:szCs w:val="24"/>
              </w:rPr>
              <w:t>,</w:t>
            </w:r>
            <w:r w:rsidR="00710468" w:rsidRPr="000D5D7F">
              <w:rPr>
                <w:snapToGrid w:val="0"/>
                <w:szCs w:val="24"/>
              </w:rPr>
              <w:t xml:space="preserve"> </w:t>
            </w:r>
            <w:r w:rsidR="000D5D7F" w:rsidRPr="000D5D7F">
              <w:rPr>
                <w:snapToGrid w:val="0"/>
                <w:szCs w:val="24"/>
              </w:rPr>
              <w:t>Johan Löfstrand (S),</w:t>
            </w:r>
            <w:r w:rsidR="00E6630C" w:rsidRPr="000D5D7F">
              <w:rPr>
                <w:snapToGrid w:val="0"/>
                <w:szCs w:val="24"/>
              </w:rPr>
              <w:t>Carl-Oskar Bohlin</w:t>
            </w:r>
            <w:r w:rsidRPr="000D5D7F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0D5D7F">
              <w:rPr>
                <w:snapToGrid w:val="0"/>
                <w:szCs w:val="24"/>
              </w:rPr>
              <w:t xml:space="preserve">Roger Hedlund (SD), </w:t>
            </w:r>
            <w:r w:rsidRPr="000D5D7F">
              <w:rPr>
                <w:snapToGrid w:val="0"/>
                <w:szCs w:val="24"/>
              </w:rPr>
              <w:t xml:space="preserve">Sanne Lennström (S), </w:t>
            </w:r>
            <w:r w:rsidR="000D5D7F" w:rsidRPr="000D5D7F">
              <w:rPr>
                <w:snapToGrid w:val="0"/>
                <w:szCs w:val="24"/>
              </w:rPr>
              <w:t xml:space="preserve">Joakim Järrebring (S), </w:t>
            </w:r>
            <w:r w:rsidR="00054112" w:rsidRPr="000D5D7F">
              <w:rPr>
                <w:snapToGrid w:val="0"/>
                <w:szCs w:val="24"/>
              </w:rPr>
              <w:t xml:space="preserve">Robert Hannah (L), </w:t>
            </w:r>
            <w:r w:rsidRPr="000D5D7F">
              <w:rPr>
                <w:snapToGrid w:val="0"/>
                <w:szCs w:val="24"/>
              </w:rPr>
              <w:t>Angelica Lundberg (SD), Ola Möller (S),</w:t>
            </w:r>
            <w:r w:rsidR="008A6A3A" w:rsidRPr="000D5D7F">
              <w:rPr>
                <w:snapToGrid w:val="0"/>
                <w:szCs w:val="24"/>
              </w:rPr>
              <w:t xml:space="preserve"> </w:t>
            </w:r>
            <w:r w:rsidR="008B3709" w:rsidRPr="000D5D7F">
              <w:rPr>
                <w:snapToGrid w:val="0"/>
                <w:szCs w:val="24"/>
              </w:rPr>
              <w:t xml:space="preserve">Catarina Deremar (C), </w:t>
            </w:r>
            <w:r w:rsidR="008A6A3A" w:rsidRPr="000D5D7F">
              <w:rPr>
                <w:snapToGrid w:val="0"/>
                <w:szCs w:val="24"/>
              </w:rPr>
              <w:t>Jon Thorbjörnson (V)</w:t>
            </w:r>
            <w:r w:rsidR="000D5D7F" w:rsidRPr="000D5D7F">
              <w:rPr>
                <w:snapToGrid w:val="0"/>
                <w:szCs w:val="24"/>
              </w:rPr>
              <w:t>, Mikael Damsgaard (M)</w:t>
            </w:r>
            <w:r w:rsidR="005874BB" w:rsidRPr="000D5D7F">
              <w:rPr>
                <w:snapToGrid w:val="0"/>
                <w:szCs w:val="24"/>
              </w:rPr>
              <w:t xml:space="preserve"> och Ma</w:t>
            </w:r>
            <w:r w:rsidR="000D5D7F" w:rsidRPr="000D5D7F">
              <w:rPr>
                <w:snapToGrid w:val="0"/>
                <w:szCs w:val="24"/>
              </w:rPr>
              <w:t>rtina Johansson</w:t>
            </w:r>
            <w:r w:rsidR="005874BB" w:rsidRPr="000D5D7F">
              <w:rPr>
                <w:snapToGrid w:val="0"/>
                <w:szCs w:val="24"/>
              </w:rPr>
              <w:t xml:space="preserve"> (</w:t>
            </w:r>
            <w:r w:rsidR="000D5D7F" w:rsidRPr="000D5D7F">
              <w:rPr>
                <w:snapToGrid w:val="0"/>
                <w:szCs w:val="24"/>
              </w:rPr>
              <w:t>C</w:t>
            </w:r>
            <w:r w:rsidR="005874BB" w:rsidRPr="000D5D7F">
              <w:rPr>
                <w:snapToGrid w:val="0"/>
                <w:szCs w:val="24"/>
              </w:rPr>
              <w:t>).</w:t>
            </w:r>
          </w:p>
          <w:p w:rsidR="0005411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DE7817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E7817">
              <w:rPr>
                <w:snapToGrid w:val="0"/>
                <w:szCs w:val="24"/>
              </w:rPr>
              <w:t xml:space="preserve">Tre </w:t>
            </w:r>
            <w:r w:rsidR="00E6630C" w:rsidRPr="009371A8">
              <w:rPr>
                <w:snapToGrid w:val="0"/>
                <w:szCs w:val="24"/>
              </w:rPr>
              <w:t>tjänstem</w:t>
            </w:r>
            <w:r w:rsidR="00E27850" w:rsidRPr="009371A8">
              <w:rPr>
                <w:snapToGrid w:val="0"/>
                <w:szCs w:val="24"/>
              </w:rPr>
              <w:t>ä</w:t>
            </w:r>
            <w:r w:rsidR="00E6630C" w:rsidRPr="009371A8">
              <w:rPr>
                <w:snapToGrid w:val="0"/>
                <w:szCs w:val="24"/>
              </w:rPr>
              <w:t xml:space="preserve">n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44655" w:rsidRPr="00BA38FB" w:rsidTr="00B7009B">
        <w:tc>
          <w:tcPr>
            <w:tcW w:w="567" w:type="dxa"/>
          </w:tcPr>
          <w:p w:rsidR="00844655" w:rsidRPr="00BA38FB" w:rsidRDefault="0084465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44655" w:rsidRDefault="00F11A60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</w:t>
            </w:r>
            <w:r w:rsidR="00844655">
              <w:rPr>
                <w:b/>
                <w:snapToGrid w:val="0"/>
                <w:szCs w:val="24"/>
              </w:rPr>
              <w:t xml:space="preserve">nformation från </w:t>
            </w:r>
            <w:r>
              <w:rPr>
                <w:b/>
                <w:snapToGrid w:val="0"/>
                <w:szCs w:val="24"/>
              </w:rPr>
              <w:t>Konsumentverket</w:t>
            </w:r>
          </w:p>
          <w:p w:rsidR="00844655" w:rsidRDefault="0084465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44655" w:rsidRDefault="00662F96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Generaldirektör Cecilia Tisell med medarbetare </w:t>
            </w:r>
            <w:r w:rsidR="00F11A60">
              <w:rPr>
                <w:snapToGrid w:val="0"/>
                <w:szCs w:val="24"/>
              </w:rPr>
              <w:t xml:space="preserve">informerade om </w:t>
            </w:r>
            <w:r>
              <w:rPr>
                <w:snapToGrid w:val="0"/>
                <w:szCs w:val="24"/>
              </w:rPr>
              <w:t xml:space="preserve">Konsumentverkets </w:t>
            </w:r>
            <w:r w:rsidR="003C3ECF">
              <w:rPr>
                <w:snapToGrid w:val="0"/>
                <w:szCs w:val="24"/>
              </w:rPr>
              <w:t>rapport</w:t>
            </w:r>
            <w:r>
              <w:rPr>
                <w:snapToGrid w:val="0"/>
                <w:szCs w:val="24"/>
              </w:rPr>
              <w:t xml:space="preserve"> </w:t>
            </w:r>
            <w:r w:rsidR="003C3ECF">
              <w:rPr>
                <w:snapToGrid w:val="0"/>
                <w:szCs w:val="24"/>
              </w:rPr>
              <w:t xml:space="preserve">2021:1 Konsument på kredit </w:t>
            </w:r>
            <w:r w:rsidR="003C3ECF" w:rsidRPr="003C3ECF">
              <w:rPr>
                <w:snapToGrid w:val="0"/>
                <w:szCs w:val="24"/>
              </w:rPr>
              <w:t>En analys av situationen på marknaden för konsumentkrediter och risker för överskuldsättning</w:t>
            </w:r>
            <w:r w:rsidR="006D5276">
              <w:rPr>
                <w:snapToGrid w:val="0"/>
                <w:szCs w:val="24"/>
              </w:rPr>
              <w:t xml:space="preserve">. </w:t>
            </w:r>
          </w:p>
          <w:p w:rsidR="00F11A60" w:rsidRPr="00F11A60" w:rsidRDefault="00F11A60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465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F11A60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465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FD3D8C" w:rsidRPr="00C7011F" w:rsidRDefault="00F11A6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Ungdomspolitisk skrivelse</w:t>
            </w:r>
            <w:r w:rsidR="00FD3D8C" w:rsidRPr="00C7011F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5y</w:t>
            </w:r>
            <w:r w:rsidR="00FD3D8C" w:rsidRPr="00C7011F">
              <w:rPr>
                <w:b/>
                <w:bCs/>
                <w:szCs w:val="24"/>
              </w:rPr>
              <w:t>)</w:t>
            </w:r>
          </w:p>
          <w:p w:rsidR="00FD3D8C" w:rsidRPr="00F85C0F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844655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844655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</w:t>
            </w:r>
            <w:r w:rsidR="00F11A60">
              <w:rPr>
                <w:bCs/>
                <w:szCs w:val="24"/>
              </w:rPr>
              <w:t>fråga</w:t>
            </w:r>
            <w:r w:rsidR="00662F96">
              <w:rPr>
                <w:bCs/>
                <w:szCs w:val="24"/>
              </w:rPr>
              <w:t>n</w:t>
            </w:r>
            <w:r w:rsidR="00F11A60">
              <w:rPr>
                <w:bCs/>
                <w:szCs w:val="24"/>
              </w:rPr>
              <w:t xml:space="preserve"> om yttrande</w:t>
            </w:r>
            <w:r w:rsidR="00CF4602">
              <w:rPr>
                <w:bCs/>
                <w:szCs w:val="24"/>
              </w:rPr>
              <w:t xml:space="preserve"> till kulturutskottet</w:t>
            </w:r>
            <w:r w:rsidR="00F11A60">
              <w:rPr>
                <w:bCs/>
                <w:szCs w:val="24"/>
              </w:rPr>
              <w:t xml:space="preserve"> över skrivelse</w:t>
            </w:r>
            <w:r>
              <w:rPr>
                <w:bCs/>
                <w:szCs w:val="24"/>
              </w:rPr>
              <w:t xml:space="preserve"> 2020/21:1</w:t>
            </w:r>
            <w:r w:rsidR="00F11A60">
              <w:rPr>
                <w:bCs/>
                <w:szCs w:val="24"/>
              </w:rPr>
              <w:t>05</w:t>
            </w:r>
            <w:r>
              <w:rPr>
                <w:bCs/>
                <w:szCs w:val="24"/>
              </w:rPr>
              <w:t xml:space="preserve"> och motioner</w:t>
            </w:r>
            <w:r w:rsidR="00CF4602">
              <w:rPr>
                <w:bCs/>
                <w:szCs w:val="24"/>
              </w:rPr>
              <w:t xml:space="preserve"> i de delar som berör civilutskottets beredningsområde</w:t>
            </w:r>
            <w:r>
              <w:rPr>
                <w:bCs/>
                <w:szCs w:val="24"/>
              </w:rPr>
              <w:t>.</w:t>
            </w:r>
          </w:p>
          <w:p w:rsidR="00C7011F" w:rsidRDefault="00C7011F" w:rsidP="00C7011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7011F" w:rsidRDefault="00F11A60" w:rsidP="00C7011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2020/21:CU5y.</w:t>
            </w:r>
          </w:p>
          <w:p w:rsidR="00F11A60" w:rsidRDefault="00F11A60" w:rsidP="00C7011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11A60" w:rsidRPr="00710468" w:rsidRDefault="00F11A60" w:rsidP="00C7011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F4602">
              <w:rPr>
                <w:snapToGrid w:val="0"/>
                <w:szCs w:val="24"/>
              </w:rPr>
              <w:t xml:space="preserve">SD-ledamöterna anmälde </w:t>
            </w:r>
            <w:r w:rsidR="00CF4602">
              <w:rPr>
                <w:snapToGrid w:val="0"/>
                <w:szCs w:val="24"/>
              </w:rPr>
              <w:t xml:space="preserve">en </w:t>
            </w:r>
            <w:r w:rsidRPr="00CF4602">
              <w:rPr>
                <w:snapToGrid w:val="0"/>
                <w:szCs w:val="24"/>
              </w:rPr>
              <w:t>avvikande mening.</w:t>
            </w:r>
          </w:p>
          <w:p w:rsidR="00FD3D8C" w:rsidRPr="00F85C0F" w:rsidRDefault="00FD3D8C" w:rsidP="00C7011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465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11A60" w:rsidRDefault="00F11A60" w:rsidP="00F11A60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Ett stärkt barn</w:t>
            </w:r>
            <w:r w:rsidR="003C3ECF">
              <w:rPr>
                <w:b/>
                <w:bCs/>
                <w:szCs w:val="24"/>
              </w:rPr>
              <w:t>rätts</w:t>
            </w:r>
            <w:r>
              <w:rPr>
                <w:b/>
                <w:bCs/>
                <w:szCs w:val="24"/>
              </w:rPr>
              <w:t>perspektiv i vårdnadstvister (CU17)</w:t>
            </w:r>
          </w:p>
          <w:p w:rsidR="00F11A60" w:rsidRDefault="00F11A60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11A60" w:rsidRPr="003776E7" w:rsidRDefault="00F11A60" w:rsidP="00F11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 2020/21:150 och motioner.</w:t>
            </w:r>
          </w:p>
          <w:p w:rsidR="00365915" w:rsidRDefault="00365915" w:rsidP="00F11A6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11A60" w:rsidRPr="00844655" w:rsidRDefault="00F11A60" w:rsidP="00F11A6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2F31DA" w:rsidRPr="00370C65" w:rsidRDefault="002F31DA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0D5D7F" w:rsidRDefault="000D5D7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562840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F460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62840" w:rsidRDefault="00844655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effektivare konku</w:t>
            </w:r>
            <w:r w:rsidR="00CF4602">
              <w:rPr>
                <w:b/>
                <w:bCs/>
                <w:szCs w:val="24"/>
              </w:rPr>
              <w:t>r</w:t>
            </w:r>
            <w:r>
              <w:rPr>
                <w:b/>
                <w:bCs/>
                <w:szCs w:val="24"/>
              </w:rPr>
              <w:t>shantering (CU19)</w:t>
            </w:r>
          </w:p>
          <w:p w:rsidR="00562840" w:rsidRDefault="00562840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44655" w:rsidRPr="003776E7" w:rsidRDefault="00844655" w:rsidP="008446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365915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365915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</w:t>
            </w:r>
            <w:r w:rsidR="00CF4602">
              <w:rPr>
                <w:bCs/>
                <w:szCs w:val="24"/>
              </w:rPr>
              <w:t xml:space="preserve">48 </w:t>
            </w:r>
            <w:r>
              <w:rPr>
                <w:bCs/>
                <w:szCs w:val="24"/>
              </w:rPr>
              <w:t>och mo</w:t>
            </w:r>
            <w:r w:rsidR="0036591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844655" w:rsidRPr="001E6414" w:rsidRDefault="00844655" w:rsidP="00844655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44655" w:rsidRPr="00844655" w:rsidRDefault="00844655" w:rsidP="008446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C7011F" w:rsidRDefault="00C7011F" w:rsidP="001D471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44655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60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44655" w:rsidRDefault="00844655" w:rsidP="002F31D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En ny fastighetsmäklarlag</w:t>
            </w:r>
            <w:r w:rsidR="00547254">
              <w:rPr>
                <w:b/>
                <w:bCs/>
                <w:szCs w:val="24"/>
              </w:rPr>
              <w:t xml:space="preserve"> </w:t>
            </w:r>
            <w:r w:rsidR="00547254" w:rsidRPr="00C7011F">
              <w:rPr>
                <w:b/>
                <w:szCs w:val="24"/>
              </w:rPr>
              <w:t>‒</w:t>
            </w:r>
            <w:r w:rsidR="00547254">
              <w:rPr>
                <w:b/>
                <w:szCs w:val="24"/>
              </w:rPr>
              <w:t xml:space="preserve"> förstärk</w:t>
            </w:r>
            <w:r w:rsidR="006D5276">
              <w:rPr>
                <w:b/>
                <w:szCs w:val="24"/>
              </w:rPr>
              <w:t>t</w:t>
            </w:r>
            <w:r w:rsidR="00547254">
              <w:rPr>
                <w:b/>
                <w:szCs w:val="24"/>
              </w:rPr>
              <w:t xml:space="preserve"> tillsyn över fastighetsmäklarbranschen (CU20)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47254" w:rsidRPr="003776E7" w:rsidRDefault="00547254" w:rsidP="0054725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705C54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705C54">
              <w:rPr>
                <w:bCs/>
                <w:szCs w:val="24"/>
              </w:rPr>
              <w:t xml:space="preserve">ingen av </w:t>
            </w:r>
            <w:r>
              <w:rPr>
                <w:bCs/>
                <w:szCs w:val="24"/>
              </w:rPr>
              <w:t>proposition 2020/21:119 och mo</w:t>
            </w:r>
            <w:r w:rsidR="00705C54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547254" w:rsidRPr="001E6414" w:rsidRDefault="00547254" w:rsidP="00547254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47254" w:rsidRPr="00547254" w:rsidRDefault="005472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547254" w:rsidRDefault="005472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05C54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60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Löneutmätning och digitala ansökningar i utsökningsförfarandet (CU21)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2020/21:</w:t>
            </w:r>
            <w:r w:rsidR="00CF4602">
              <w:rPr>
                <w:bCs/>
                <w:szCs w:val="24"/>
              </w:rPr>
              <w:t xml:space="preserve">161 </w:t>
            </w:r>
            <w:r>
              <w:rPr>
                <w:bCs/>
                <w:szCs w:val="24"/>
              </w:rPr>
              <w:t>och motion.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705C54" w:rsidRP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05C54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60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Genomförandet av MKB-direktivet i plan- och bygglagen (CU24)</w:t>
            </w:r>
          </w:p>
          <w:p w:rsidR="00CF4602" w:rsidRDefault="00CF4602" w:rsidP="00CF460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F4602" w:rsidRPr="003776E7" w:rsidRDefault="00CF4602" w:rsidP="00CF46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 2020/21:174 och motioner.</w:t>
            </w:r>
          </w:p>
          <w:p w:rsidR="00CF4602" w:rsidRPr="001E6414" w:rsidRDefault="00CF4602" w:rsidP="00CF4602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705C54" w:rsidRDefault="00CF4602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05C54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CF460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2021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7350B" w:rsidRPr="0047350B" w:rsidRDefault="0047350B" w:rsidP="0047350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frågan om yttrande till finansutskottet över </w:t>
            </w:r>
            <w:r>
              <w:t>proposition 2020/21:99 och följdmotioner i de delar som berör civilutskottets beredningsområde.</w:t>
            </w:r>
          </w:p>
          <w:p w:rsidR="0047350B" w:rsidRDefault="0047350B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7350B" w:rsidRDefault="0047350B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yttra sig </w:t>
            </w:r>
            <w:r w:rsidR="00DE50F0">
              <w:rPr>
                <w:bCs/>
                <w:szCs w:val="24"/>
              </w:rPr>
              <w:t>genom</w:t>
            </w:r>
            <w:r>
              <w:rPr>
                <w:bCs/>
                <w:szCs w:val="24"/>
              </w:rPr>
              <w:t xml:space="preserve"> följande protokollsanteckning. </w:t>
            </w:r>
          </w:p>
          <w:p w:rsidR="0047350B" w:rsidRDefault="0047350B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7350B" w:rsidRDefault="0047350B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tillstyrker de förslag som lagts fram i propositionen och som berör utgiftsområde 18. Därmed avstyrker utskottet motion 2020/21:</w:t>
            </w:r>
            <w:r w:rsidR="008D08FD">
              <w:rPr>
                <w:bCs/>
                <w:szCs w:val="24"/>
              </w:rPr>
              <w:t>4034 (SD) yrkande 4.</w:t>
            </w:r>
            <w:r>
              <w:rPr>
                <w:bCs/>
                <w:szCs w:val="24"/>
              </w:rPr>
              <w:t xml:space="preserve"> </w:t>
            </w:r>
          </w:p>
          <w:p w:rsidR="008D08FD" w:rsidRDefault="008D08FD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D08FD" w:rsidRDefault="008D08FD" w:rsidP="002F31DA">
            <w:pPr>
              <w:tabs>
                <w:tab w:val="left" w:pos="1701"/>
              </w:tabs>
            </w:pPr>
            <w:r>
              <w:rPr>
                <w:bCs/>
                <w:szCs w:val="24"/>
              </w:rPr>
              <w:t xml:space="preserve">SD-ledamöterna anmälde följande avvikande mening: Vi tillstyrker motion 2020/21:4034 (SD) yrkande 4 och avstyrker därmed förslaget i propositionen om </w:t>
            </w:r>
            <w:r>
              <w:t xml:space="preserve">användningen av anslaget 1:7 Energieffektivisering och renovering av flerbostadshus och utomhusmiljöer inom utgiftsområde 18. </w:t>
            </w:r>
          </w:p>
          <w:p w:rsidR="008D08FD" w:rsidRDefault="008D08FD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7350B" w:rsidRPr="0047350B" w:rsidRDefault="008D08FD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05C54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CF460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Årsredovisning för staten 2020</w:t>
            </w:r>
            <w:r w:rsidR="003C0999">
              <w:rPr>
                <w:b/>
                <w:bCs/>
                <w:szCs w:val="24"/>
              </w:rPr>
              <w:t xml:space="preserve"> </w:t>
            </w:r>
          </w:p>
          <w:p w:rsidR="008D08FD" w:rsidRDefault="008D08FD" w:rsidP="008D0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D08FD" w:rsidRDefault="008D08FD" w:rsidP="008D08FD">
            <w:pPr>
              <w:tabs>
                <w:tab w:val="left" w:pos="1701"/>
              </w:tabs>
            </w:pPr>
            <w:r>
              <w:rPr>
                <w:bCs/>
                <w:szCs w:val="24"/>
              </w:rPr>
              <w:t xml:space="preserve">Utskottet behandlade frågan om yttrande till finansutskottet över </w:t>
            </w:r>
            <w:r>
              <w:t xml:space="preserve">skrivelse 2020/21:101 i de delar som berör civilutskottets beredningsområde. </w:t>
            </w:r>
          </w:p>
          <w:p w:rsidR="008D08FD" w:rsidRDefault="008D08FD" w:rsidP="008D0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D08FD" w:rsidRDefault="008D08FD" w:rsidP="008D08F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inte yttra sig. </w:t>
            </w:r>
          </w:p>
          <w:p w:rsidR="008D08FD" w:rsidRDefault="008D08FD" w:rsidP="008D0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D08FD" w:rsidRDefault="008D08FD" w:rsidP="008D08F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705C54" w:rsidRDefault="00705C54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11A60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F11A60" w:rsidRDefault="00F11A6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05C54">
              <w:rPr>
                <w:b/>
                <w:snapToGrid w:val="0"/>
                <w:szCs w:val="24"/>
              </w:rPr>
              <w:t>1</w:t>
            </w:r>
            <w:r w:rsidR="00CF460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F11A60" w:rsidRDefault="00F11A60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Utskottets uppföljning </w:t>
            </w:r>
            <w:r w:rsidR="00EB67DE">
              <w:rPr>
                <w:b/>
                <w:bCs/>
                <w:szCs w:val="24"/>
              </w:rPr>
              <w:t>av lagen om kollektivtrafikresenärers rättigheter</w:t>
            </w:r>
          </w:p>
          <w:p w:rsidR="00F11A60" w:rsidRDefault="00F11A60" w:rsidP="00F11A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bookmarkStart w:id="1" w:name="_Hlk71026872"/>
          </w:p>
          <w:p w:rsidR="00CF28EA" w:rsidRDefault="00CF28EA" w:rsidP="00CF28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ställa sig bakom rapporten </w:t>
            </w:r>
            <w:r>
              <w:t xml:space="preserve">Uppföljning av lagen om kollektivtrafikresenärers rättigheter – hur har lagen fungerat för resenärerna? och att rapporten ska offentliggöras genom publicering i Rapporter från riksdagen (RFR). </w:t>
            </w:r>
          </w:p>
          <w:p w:rsidR="00CF28EA" w:rsidRDefault="00CF28EA" w:rsidP="00CF28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11A60" w:rsidRDefault="00CF28EA" w:rsidP="00CF28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anordna ett digitalt seminarium om uppföljningen. </w:t>
            </w:r>
            <w:r w:rsidR="009F5C9F">
              <w:rPr>
                <w:bCs/>
                <w:szCs w:val="24"/>
              </w:rPr>
              <w:t xml:space="preserve">Utskottet delegerade till presidiet att besluta om seminariets närmare utformning. </w:t>
            </w:r>
          </w:p>
          <w:bookmarkEnd w:id="1"/>
          <w:p w:rsidR="00CF28EA" w:rsidRDefault="00CF28EA" w:rsidP="00CF28EA">
            <w:pPr>
              <w:tabs>
                <w:tab w:val="left" w:pos="1701"/>
              </w:tabs>
              <w:rPr>
                <w:bCs/>
                <w:szCs w:val="24"/>
                <w:u w:val="single"/>
              </w:rPr>
            </w:pPr>
          </w:p>
          <w:p w:rsidR="00D1093D" w:rsidRDefault="00D1093D" w:rsidP="00CF28EA">
            <w:pPr>
              <w:tabs>
                <w:tab w:val="left" w:pos="1701"/>
              </w:tabs>
              <w:rPr>
                <w:bCs/>
                <w:szCs w:val="24"/>
                <w:u w:val="single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D1093D" w:rsidRDefault="00D1093D" w:rsidP="00CF28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2F31DA" w:rsidRDefault="006058D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5C54">
              <w:rPr>
                <w:b/>
                <w:snapToGrid w:val="0"/>
                <w:szCs w:val="24"/>
              </w:rPr>
              <w:t>1</w:t>
            </w:r>
            <w:r w:rsidR="00CF460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F31DA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</w:t>
            </w:r>
            <w:r w:rsidR="006058DB">
              <w:rPr>
                <w:b/>
                <w:snapToGrid w:val="0"/>
                <w:szCs w:val="24"/>
              </w:rPr>
              <w:t>frågor</w:t>
            </w:r>
          </w:p>
          <w:p w:rsidR="006058DB" w:rsidRPr="00565133" w:rsidRDefault="00565133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br/>
            </w:r>
            <w:r w:rsidRPr="00565133">
              <w:rPr>
                <w:snapToGrid w:val="0"/>
                <w:szCs w:val="24"/>
              </w:rPr>
              <w:t>Förteckning med inkomna</w:t>
            </w:r>
            <w:r w:rsidR="00E7158E">
              <w:rPr>
                <w:snapToGrid w:val="0"/>
                <w:szCs w:val="24"/>
              </w:rPr>
              <w:t xml:space="preserve"> EU-</w:t>
            </w:r>
            <w:r w:rsidRPr="00565133">
              <w:rPr>
                <w:snapToGrid w:val="0"/>
                <w:szCs w:val="24"/>
              </w:rPr>
              <w:t>dokument anmäldes.</w:t>
            </w:r>
            <w:r w:rsidRPr="00565133">
              <w:rPr>
                <w:b/>
                <w:snapToGrid w:val="0"/>
                <w:szCs w:val="24"/>
              </w:rPr>
              <w:t xml:space="preserve"> </w:t>
            </w:r>
          </w:p>
          <w:p w:rsidR="006058DB" w:rsidRDefault="006058DB" w:rsidP="00662F9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62F96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</w:tcPr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662F96" w:rsidRDefault="00662F96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2F96" w:rsidRDefault="00662F96" w:rsidP="00662F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62F96">
              <w:rPr>
                <w:snapToGrid w:val="0"/>
                <w:szCs w:val="24"/>
              </w:rPr>
              <w:t>Inkommen skrivelse anmäldes.</w:t>
            </w:r>
          </w:p>
          <w:p w:rsidR="00662F96" w:rsidRDefault="00662F96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38298A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3C86">
              <w:rPr>
                <w:b/>
                <w:snapToGrid w:val="0"/>
                <w:szCs w:val="24"/>
              </w:rPr>
              <w:t>1</w:t>
            </w:r>
            <w:r w:rsidR="00662F9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705C54">
              <w:rPr>
                <w:bCs/>
                <w:szCs w:val="24"/>
              </w:rPr>
              <w:t>18</w:t>
            </w:r>
            <w:r w:rsidR="005D13AD" w:rsidRPr="005D13AD">
              <w:rPr>
                <w:bCs/>
                <w:szCs w:val="24"/>
              </w:rPr>
              <w:t xml:space="preserve"> maj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5D13AD">
              <w:rPr>
                <w:bCs/>
                <w:szCs w:val="24"/>
              </w:rPr>
              <w:t>11</w:t>
            </w:r>
            <w:r>
              <w:rPr>
                <w:bCs/>
                <w:szCs w:val="24"/>
              </w:rPr>
              <w:t>.</w:t>
            </w:r>
            <w:r w:rsidR="005D13AD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  <w:tr w:rsidR="00745FE9" w:rsidRPr="00BA38FB" w:rsidTr="0038298A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8298A" w:rsidRDefault="0038298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702E88">
              <w:rPr>
                <w:szCs w:val="24"/>
              </w:rPr>
              <w:t>18</w:t>
            </w:r>
            <w:r w:rsidR="005D13AD" w:rsidRPr="005D13AD">
              <w:rPr>
                <w:szCs w:val="24"/>
              </w:rPr>
              <w:t xml:space="preserve"> maj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02E8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6C71FF">
              <w:rPr>
                <w:snapToGrid w:val="0"/>
                <w:szCs w:val="24"/>
              </w:rPr>
              <w:t>Larry Söder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702E88">
              <w:rPr>
                <w:sz w:val="22"/>
                <w:szCs w:val="22"/>
              </w:rPr>
              <w:t>9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894856" w:rsidRPr="006C71F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894856" w:rsidRPr="006C71FF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894856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94044A" w:rsidRPr="006C71FF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94044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94044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C71FF">
              <w:rPr>
                <w:sz w:val="20"/>
              </w:rPr>
              <w:t>§ 6–15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762CE8" w:rsidRDefault="00762CE8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62CE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400B3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762CE8" w:rsidRDefault="00762CE8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62CE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762CE8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762CE8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830AB" w:rsidRDefault="00762CE8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6C71FF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1E1B5B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C05B0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5B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C05B0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C05B0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5B0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Pr="00315DB3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C05B0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044A" w:rsidRDefault="0094044A" w:rsidP="00940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4044A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94044A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4044A" w:rsidRDefault="0094044A" w:rsidP="00940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72" w:rsidRDefault="009A5772" w:rsidP="00AD6647">
      <w:r>
        <w:separator/>
      </w:r>
    </w:p>
  </w:endnote>
  <w:endnote w:type="continuationSeparator" w:id="0">
    <w:p w:rsidR="009A5772" w:rsidRDefault="009A577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72" w:rsidRDefault="009A5772" w:rsidP="00AD6647">
      <w:r>
        <w:separator/>
      </w:r>
    </w:p>
  </w:footnote>
  <w:footnote w:type="continuationSeparator" w:id="0">
    <w:p w:rsidR="009A5772" w:rsidRDefault="009A577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4597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62F96"/>
    <w:rsid w:val="00682EDC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2CE8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5772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02B6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4EFD-869B-4FE1-80B7-BFDB39C8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5160</Characters>
  <Application>Microsoft Office Word</Application>
  <DocSecurity>4</DocSecurity>
  <Lines>1032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2021-05-06T05:46:00Z</cp:lastPrinted>
  <dcterms:created xsi:type="dcterms:W3CDTF">2021-05-28T08:09:00Z</dcterms:created>
  <dcterms:modified xsi:type="dcterms:W3CDTF">2021-05-28T08:09:00Z</dcterms:modified>
</cp:coreProperties>
</file>