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E13AF" w:rsidTr="0037351B">
        <w:tc>
          <w:tcPr>
            <w:tcW w:w="2268" w:type="dxa"/>
          </w:tcPr>
          <w:p w:rsidR="005E13AF" w:rsidRPr="00F96A5E" w:rsidRDefault="005E13AF" w:rsidP="00F96A5E">
            <w:pPr>
              <w:framePr w:w="5035" w:h="1644" w:wrap="notBeside" w:vAnchor="page" w:hAnchor="page" w:x="6573" w:y="721"/>
              <w:jc w:val="right"/>
              <w:rPr>
                <w:rFonts w:ascii="TradeGothic" w:hAnsi="TradeGothic"/>
                <w:sz w:val="18"/>
              </w:rPr>
            </w:pPr>
          </w:p>
        </w:tc>
        <w:tc>
          <w:tcPr>
            <w:tcW w:w="2999" w:type="dxa"/>
            <w:gridSpan w:val="2"/>
          </w:tcPr>
          <w:p w:rsidR="005E13AF" w:rsidRDefault="005E13AF" w:rsidP="007242A3">
            <w:pPr>
              <w:framePr w:w="5035" w:h="1644" w:wrap="notBeside" w:vAnchor="page" w:hAnchor="page" w:x="6573" w:y="721"/>
              <w:rPr>
                <w:rFonts w:ascii="TradeGothic" w:hAnsi="TradeGothic"/>
                <w:i/>
                <w:sz w:val="18"/>
              </w:rPr>
            </w:pPr>
          </w:p>
        </w:tc>
      </w:tr>
      <w:tr w:rsidR="005E13AF" w:rsidTr="0037351B">
        <w:tc>
          <w:tcPr>
            <w:tcW w:w="5267" w:type="dxa"/>
            <w:gridSpan w:val="3"/>
          </w:tcPr>
          <w:p w:rsidR="005E13AF" w:rsidRDefault="005E13A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E13AF" w:rsidTr="0037351B">
        <w:tc>
          <w:tcPr>
            <w:tcW w:w="3402" w:type="dxa"/>
            <w:gridSpan w:val="2"/>
          </w:tcPr>
          <w:p w:rsidR="005E13AF" w:rsidRDefault="005E13AF" w:rsidP="007242A3">
            <w:pPr>
              <w:framePr w:w="5035" w:h="1644" w:wrap="notBeside" w:vAnchor="page" w:hAnchor="page" w:x="6573" w:y="721"/>
            </w:pPr>
          </w:p>
        </w:tc>
        <w:tc>
          <w:tcPr>
            <w:tcW w:w="1865" w:type="dxa"/>
          </w:tcPr>
          <w:p w:rsidR="005E13AF" w:rsidRDefault="005E13AF" w:rsidP="007242A3">
            <w:pPr>
              <w:framePr w:w="5035" w:h="1644" w:wrap="notBeside" w:vAnchor="page" w:hAnchor="page" w:x="6573" w:y="721"/>
            </w:pPr>
          </w:p>
        </w:tc>
      </w:tr>
      <w:tr w:rsidR="005E13AF" w:rsidTr="0037351B">
        <w:tc>
          <w:tcPr>
            <w:tcW w:w="2268" w:type="dxa"/>
          </w:tcPr>
          <w:p w:rsidR="005E13AF" w:rsidRDefault="005E13AF" w:rsidP="007242A3">
            <w:pPr>
              <w:framePr w:w="5035" w:h="1644" w:wrap="notBeside" w:vAnchor="page" w:hAnchor="page" w:x="6573" w:y="721"/>
            </w:pPr>
            <w:r>
              <w:t>2013-11-26</w:t>
            </w:r>
          </w:p>
        </w:tc>
        <w:tc>
          <w:tcPr>
            <w:tcW w:w="2999" w:type="dxa"/>
            <w:gridSpan w:val="2"/>
          </w:tcPr>
          <w:p w:rsidR="005E13AF" w:rsidRPr="00ED583F" w:rsidRDefault="005E13AF" w:rsidP="007242A3">
            <w:pPr>
              <w:framePr w:w="5035" w:h="1644" w:wrap="notBeside" w:vAnchor="page" w:hAnchor="page" w:x="6573" w:y="721"/>
              <w:rPr>
                <w:sz w:val="20"/>
              </w:rPr>
            </w:pPr>
          </w:p>
        </w:tc>
      </w:tr>
      <w:tr w:rsidR="005E13AF" w:rsidTr="0037351B">
        <w:tc>
          <w:tcPr>
            <w:tcW w:w="2268" w:type="dxa"/>
          </w:tcPr>
          <w:p w:rsidR="005E13AF" w:rsidRDefault="005E13AF" w:rsidP="007242A3">
            <w:pPr>
              <w:framePr w:w="5035" w:h="1644" w:wrap="notBeside" w:vAnchor="page" w:hAnchor="page" w:x="6573" w:y="721"/>
            </w:pPr>
          </w:p>
        </w:tc>
        <w:tc>
          <w:tcPr>
            <w:tcW w:w="2999" w:type="dxa"/>
            <w:gridSpan w:val="2"/>
          </w:tcPr>
          <w:p w:rsidR="005E13AF" w:rsidRDefault="005E13AF" w:rsidP="007242A3">
            <w:pPr>
              <w:framePr w:w="5035" w:h="1644" w:wrap="notBeside" w:vAnchor="page" w:hAnchor="page" w:x="6573" w:y="721"/>
            </w:pPr>
          </w:p>
        </w:tc>
      </w:tr>
    </w:tbl>
    <w:tbl>
      <w:tblPr>
        <w:tblW w:w="0" w:type="auto"/>
        <w:tblLayout w:type="fixed"/>
        <w:tblLook w:val="0000"/>
      </w:tblPr>
      <w:tblGrid>
        <w:gridCol w:w="4911"/>
      </w:tblGrid>
      <w:tr w:rsidR="005E13AF">
        <w:trPr>
          <w:trHeight w:val="284"/>
        </w:trPr>
        <w:tc>
          <w:tcPr>
            <w:tcW w:w="4911" w:type="dxa"/>
          </w:tcPr>
          <w:p w:rsidR="005E13AF" w:rsidRDefault="005E13AF">
            <w:pPr>
              <w:pStyle w:val="Avsndare"/>
              <w:framePr w:h="2483" w:wrap="notBeside" w:x="1504"/>
              <w:rPr>
                <w:b/>
                <w:i w:val="0"/>
                <w:sz w:val="22"/>
              </w:rPr>
            </w:pPr>
            <w:r>
              <w:rPr>
                <w:b/>
                <w:i w:val="0"/>
                <w:sz w:val="22"/>
              </w:rPr>
              <w:t>Näringsdepartementet</w:t>
            </w:r>
          </w:p>
        </w:tc>
      </w:tr>
      <w:tr w:rsidR="005E13AF">
        <w:trPr>
          <w:trHeight w:val="284"/>
        </w:trPr>
        <w:tc>
          <w:tcPr>
            <w:tcW w:w="4911" w:type="dxa"/>
          </w:tcPr>
          <w:p w:rsidR="005E13AF" w:rsidRDefault="005E13AF">
            <w:pPr>
              <w:pStyle w:val="Avsndare"/>
              <w:framePr w:h="2483" w:wrap="notBeside" w:x="1504"/>
              <w:rPr>
                <w:bCs/>
                <w:iCs/>
              </w:rPr>
            </w:pPr>
          </w:p>
        </w:tc>
      </w:tr>
      <w:tr w:rsidR="005E13AF">
        <w:trPr>
          <w:trHeight w:val="284"/>
        </w:trPr>
        <w:tc>
          <w:tcPr>
            <w:tcW w:w="4911" w:type="dxa"/>
          </w:tcPr>
          <w:p w:rsidR="005E13AF" w:rsidRDefault="005E13AF">
            <w:pPr>
              <w:pStyle w:val="Avsndare"/>
              <w:framePr w:h="2483" w:wrap="notBeside" w:x="1504"/>
              <w:rPr>
                <w:bCs/>
                <w:iCs/>
              </w:rPr>
            </w:pPr>
            <w:r>
              <w:rPr>
                <w:bCs/>
                <w:iCs/>
              </w:rPr>
              <w:t>Energi</w:t>
            </w:r>
          </w:p>
        </w:tc>
      </w:tr>
      <w:tr w:rsidR="005E13AF">
        <w:trPr>
          <w:trHeight w:val="284"/>
        </w:trPr>
        <w:tc>
          <w:tcPr>
            <w:tcW w:w="4911" w:type="dxa"/>
          </w:tcPr>
          <w:p w:rsidR="005E13AF" w:rsidRDefault="005E13AF">
            <w:pPr>
              <w:pStyle w:val="Avsndare"/>
              <w:framePr w:h="2483" w:wrap="notBeside" w:x="1504"/>
              <w:rPr>
                <w:bCs/>
                <w:iCs/>
              </w:rPr>
            </w:pPr>
          </w:p>
        </w:tc>
      </w:tr>
      <w:tr w:rsidR="005E13AF">
        <w:trPr>
          <w:trHeight w:val="284"/>
        </w:trPr>
        <w:tc>
          <w:tcPr>
            <w:tcW w:w="4911" w:type="dxa"/>
          </w:tcPr>
          <w:p w:rsidR="005E13AF" w:rsidRDefault="005E13AF">
            <w:pPr>
              <w:pStyle w:val="Avsndare"/>
              <w:framePr w:h="2483" w:wrap="notBeside" w:x="1504"/>
              <w:rPr>
                <w:bCs/>
                <w:iCs/>
              </w:rPr>
            </w:pPr>
          </w:p>
        </w:tc>
      </w:tr>
      <w:tr w:rsidR="005E13AF">
        <w:trPr>
          <w:trHeight w:val="284"/>
        </w:trPr>
        <w:tc>
          <w:tcPr>
            <w:tcW w:w="4911" w:type="dxa"/>
          </w:tcPr>
          <w:p w:rsidR="005E13AF" w:rsidRDefault="005E13AF">
            <w:pPr>
              <w:pStyle w:val="Avsndare"/>
              <w:framePr w:h="2483" w:wrap="notBeside" w:x="1504"/>
              <w:rPr>
                <w:bCs/>
                <w:iCs/>
              </w:rPr>
            </w:pPr>
          </w:p>
        </w:tc>
      </w:tr>
      <w:tr w:rsidR="005E13AF">
        <w:trPr>
          <w:trHeight w:val="284"/>
        </w:trPr>
        <w:tc>
          <w:tcPr>
            <w:tcW w:w="4911" w:type="dxa"/>
          </w:tcPr>
          <w:p w:rsidR="005E13AF" w:rsidRDefault="005E13AF">
            <w:pPr>
              <w:pStyle w:val="Avsndare"/>
              <w:framePr w:h="2483" w:wrap="notBeside" w:x="1504"/>
              <w:rPr>
                <w:bCs/>
                <w:iCs/>
              </w:rPr>
            </w:pPr>
          </w:p>
        </w:tc>
      </w:tr>
      <w:tr w:rsidR="005E13AF">
        <w:trPr>
          <w:trHeight w:val="284"/>
        </w:trPr>
        <w:tc>
          <w:tcPr>
            <w:tcW w:w="4911" w:type="dxa"/>
          </w:tcPr>
          <w:p w:rsidR="005E13AF" w:rsidRDefault="005E13AF">
            <w:pPr>
              <w:pStyle w:val="Avsndare"/>
              <w:framePr w:h="2483" w:wrap="notBeside" w:x="1504"/>
              <w:rPr>
                <w:bCs/>
                <w:iCs/>
              </w:rPr>
            </w:pPr>
          </w:p>
        </w:tc>
      </w:tr>
      <w:tr w:rsidR="005E13AF">
        <w:trPr>
          <w:trHeight w:val="284"/>
        </w:trPr>
        <w:tc>
          <w:tcPr>
            <w:tcW w:w="4911" w:type="dxa"/>
          </w:tcPr>
          <w:p w:rsidR="005E13AF" w:rsidRDefault="005E13AF">
            <w:pPr>
              <w:pStyle w:val="Avsndare"/>
              <w:framePr w:h="2483" w:wrap="notBeside" w:x="1504"/>
              <w:rPr>
                <w:bCs/>
                <w:iCs/>
              </w:rPr>
            </w:pPr>
          </w:p>
        </w:tc>
      </w:tr>
    </w:tbl>
    <w:p w:rsidR="005E13AF" w:rsidRPr="0037351B" w:rsidRDefault="005E13AF">
      <w:pPr>
        <w:framePr w:w="4400" w:h="2523" w:wrap="notBeside" w:vAnchor="page" w:hAnchor="page" w:x="6453" w:y="2445"/>
        <w:ind w:left="142"/>
        <w:rPr>
          <w:b/>
        </w:rPr>
      </w:pPr>
    </w:p>
    <w:p w:rsidR="005E13AF" w:rsidRDefault="005E13AF">
      <w:pPr>
        <w:pStyle w:val="RKrubrik"/>
        <w:pBdr>
          <w:bottom w:val="single" w:sz="6" w:space="1" w:color="auto"/>
        </w:pBdr>
      </w:pPr>
      <w:bookmarkStart w:id="0" w:name="bRubrik"/>
      <w:bookmarkEnd w:id="0"/>
      <w:r>
        <w:t>Rådets möte (TTE) den 12 december 2013</w:t>
      </w:r>
    </w:p>
    <w:p w:rsidR="005E13AF" w:rsidRDefault="005E13AF">
      <w:pPr>
        <w:pStyle w:val="RKnormal"/>
      </w:pPr>
    </w:p>
    <w:p w:rsidR="005E13AF" w:rsidRDefault="005E13AF">
      <w:pPr>
        <w:pStyle w:val="RKnormal"/>
      </w:pPr>
      <w:r>
        <w:t>Dagordningspunkt 4</w:t>
      </w:r>
    </w:p>
    <w:p w:rsidR="005E13AF" w:rsidRDefault="005E13AF">
      <w:pPr>
        <w:pStyle w:val="RKnormal"/>
      </w:pPr>
    </w:p>
    <w:p w:rsidR="005E13AF" w:rsidRPr="00AE4590" w:rsidRDefault="005E13AF" w:rsidP="00FA3F5A">
      <w:pPr>
        <w:spacing w:line="240" w:lineRule="auto"/>
        <w:ind w:left="567" w:hanging="567"/>
      </w:pPr>
      <w:r>
        <w:t>Rubrik:Förslag till Europaparlamentets och rådets direktiv om ändringar av  direktiv 98/70/EG om kvaliteten på bensin och dieselbränslen och om ändring av direktiv 2009/28/EG om främjande av användning av energi från förnybara energikällor.</w:t>
      </w:r>
      <w:r w:rsidRPr="00AE4590">
        <w:t>(</w:t>
      </w:r>
      <w:r>
        <w:t>Första läsning)</w:t>
      </w:r>
    </w:p>
    <w:p w:rsidR="005E13AF" w:rsidRPr="007F065C" w:rsidRDefault="005E13AF" w:rsidP="00003C19">
      <w:pPr>
        <w:ind w:left="567"/>
        <w:rPr>
          <w:bCs/>
          <w:i/>
          <w:iCs/>
        </w:rPr>
      </w:pPr>
      <w:r w:rsidRPr="007F065C">
        <w:rPr>
          <w:bCs/>
          <w:i/>
          <w:iCs/>
        </w:rPr>
        <w:t>=</w:t>
      </w:r>
      <w:r w:rsidRPr="007F065C">
        <w:rPr>
          <w:bCs/>
          <w:i/>
          <w:iCs/>
        </w:rPr>
        <w:tab/>
      </w:r>
      <w:r>
        <w:rPr>
          <w:bCs/>
          <w:i/>
          <w:iCs/>
        </w:rPr>
        <w:t>Politisk överenskommelse</w:t>
      </w:r>
    </w:p>
    <w:p w:rsidR="005E13AF" w:rsidRDefault="005E13AF">
      <w:pPr>
        <w:pStyle w:val="RKnormal"/>
      </w:pPr>
    </w:p>
    <w:p w:rsidR="005E13AF" w:rsidRDefault="005E13AF">
      <w:pPr>
        <w:pStyle w:val="RKnormal"/>
      </w:pPr>
    </w:p>
    <w:p w:rsidR="005E13AF" w:rsidRPr="007F065C" w:rsidRDefault="005E13AF" w:rsidP="00AE4590">
      <w:pPr>
        <w:rPr>
          <w:bCs/>
        </w:rPr>
      </w:pPr>
      <w:r>
        <w:t>Dokument:</w:t>
      </w:r>
      <w:r w:rsidRPr="007F065C">
        <w:rPr>
          <w:bCs/>
        </w:rPr>
        <w:t xml:space="preserve"> 2012/0288 (COD) </w:t>
      </w:r>
    </w:p>
    <w:p w:rsidR="005E13AF" w:rsidRDefault="005E13AF">
      <w:pPr>
        <w:pStyle w:val="RKnormal"/>
      </w:pPr>
    </w:p>
    <w:p w:rsidR="005E13AF" w:rsidRDefault="005E13AF">
      <w:pPr>
        <w:pStyle w:val="RKnormal"/>
      </w:pPr>
    </w:p>
    <w:p w:rsidR="005E13AF" w:rsidRDefault="005E13AF">
      <w:pPr>
        <w:pStyle w:val="RKnormal"/>
      </w:pPr>
      <w:r>
        <w:t xml:space="preserve">Tidigare dokument: </w:t>
      </w:r>
      <w:r w:rsidRPr="00FE31A9">
        <w:t>Faktapromemoria 2012/13:FPM40</w:t>
      </w:r>
    </w:p>
    <w:p w:rsidR="005E13AF" w:rsidRDefault="005E13AF">
      <w:pPr>
        <w:pStyle w:val="RKnormal"/>
      </w:pPr>
    </w:p>
    <w:p w:rsidR="005E13AF" w:rsidRDefault="005E13AF">
      <w:pPr>
        <w:pStyle w:val="RKnormal"/>
      </w:pPr>
      <w:r>
        <w:t>Tidigare behandlad vid samråd med EU-nämnden: Frågan behandlades i EU-nämnden inför TTE-rådet (energi) den 22 februari, miljörådet den 21 mars, TTE-rådet (energi) den 7 juni samt miljörådet den 18 juni. Regeringen hade en överläggning med Miljö- och Jordbruksutskottet om förslaget i mars 2013.</w:t>
      </w:r>
      <w:bookmarkStart w:id="1" w:name="_GoBack"/>
      <w:bookmarkEnd w:id="1"/>
    </w:p>
    <w:p w:rsidR="005E13AF" w:rsidRDefault="005E13AF">
      <w:pPr>
        <w:pStyle w:val="RKnormal"/>
      </w:pPr>
    </w:p>
    <w:p w:rsidR="005E13AF" w:rsidRDefault="005E13AF">
      <w:pPr>
        <w:pStyle w:val="RKrubrik"/>
      </w:pPr>
      <w:r>
        <w:t>Bakgrund</w:t>
      </w:r>
    </w:p>
    <w:p w:rsidR="005E13AF" w:rsidRPr="00F51824" w:rsidRDefault="005E13AF" w:rsidP="00EB0E0E">
      <w:pPr>
        <w:pStyle w:val="RKnormal"/>
      </w:pPr>
      <w:r w:rsidRPr="00F51824">
        <w:t>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w:t>
      </w:r>
    </w:p>
    <w:p w:rsidR="005E13AF" w:rsidRPr="00F51824" w:rsidRDefault="005E13AF" w:rsidP="00EB0E0E">
      <w:pPr>
        <w:pStyle w:val="RKnormal"/>
      </w:pPr>
      <w:r w:rsidRPr="00F51824">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rsidR="005E13AF" w:rsidRDefault="005E13AF" w:rsidP="00EB0E0E">
      <w:pPr>
        <w:pStyle w:val="RKnormal"/>
      </w:pPr>
      <w:r w:rsidRPr="00F51824">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w:t>
      </w:r>
      <w:r>
        <w:t>presenterade den 17 oktober 2012 ett förslag till direktiv med detta syfte</w:t>
      </w:r>
      <w:r w:rsidRPr="00F51824">
        <w:t xml:space="preserve">. </w:t>
      </w:r>
    </w:p>
    <w:p w:rsidR="005E13AF" w:rsidRDefault="005E13AF" w:rsidP="00EB0E0E">
      <w:pPr>
        <w:pStyle w:val="RKnormal"/>
        <w:rPr>
          <w:i/>
        </w:rPr>
      </w:pPr>
    </w:p>
    <w:p w:rsidR="005E13AF" w:rsidRDefault="005E13AF" w:rsidP="00EB0E0E">
      <w:pPr>
        <w:pStyle w:val="RKnormal"/>
        <w:rPr>
          <w:i/>
        </w:rPr>
      </w:pPr>
      <w:r w:rsidRPr="00BB6D4A">
        <w:rPr>
          <w:i/>
        </w:rPr>
        <w:t>Förhandlingsläget</w:t>
      </w:r>
    </w:p>
    <w:p w:rsidR="005E13AF" w:rsidRDefault="005E13AF" w:rsidP="00EB0E0E">
      <w:pPr>
        <w:tabs>
          <w:tab w:val="left" w:pos="709"/>
          <w:tab w:val="left" w:pos="2835"/>
        </w:tabs>
        <w:spacing w:line="240" w:lineRule="atLeast"/>
      </w:pPr>
      <w:r>
        <w:t xml:space="preserve">Förslaget har förhandlats i både rådet och Europaparlamentet under året. </w:t>
      </w:r>
      <w:r w:rsidRPr="004407A8">
        <w:t xml:space="preserve">Orienteringsdebatter </w:t>
      </w:r>
      <w:r>
        <w:t xml:space="preserve">i rådet </w:t>
      </w:r>
      <w:r w:rsidRPr="004407A8">
        <w:t>hölls vid TTE-rådet (energi) den 22 februari och miljörådet den 21 mars</w:t>
      </w:r>
      <w:r>
        <w:t xml:space="preserve">. Ordförandeskapet lämnade lägesrapporter vid TTE-rådet den 7 juni samt miljörådet den 18 juni. En särskild ad-hoc grupp, med representanter från såväl energi- som miljöarbetsgrupperna har tillsatts för att hantera förslaget. </w:t>
      </w:r>
    </w:p>
    <w:p w:rsidR="005E13AF" w:rsidRDefault="005E13AF" w:rsidP="00EB0E0E">
      <w:pPr>
        <w:tabs>
          <w:tab w:val="left" w:pos="709"/>
          <w:tab w:val="left" w:pos="2835"/>
        </w:tabs>
        <w:spacing w:line="240" w:lineRule="atLeast"/>
      </w:pPr>
    </w:p>
    <w:p w:rsidR="005E13AF" w:rsidRDefault="005E13AF" w:rsidP="00281CA4">
      <w:pPr>
        <w:pStyle w:val="RKnormal"/>
      </w:pPr>
      <w:r>
        <w:t xml:space="preserve">Det litauiska ordförandeskapet ursprungliga målsättning var att nå en överenskommelse med Europaparlamentet innan årets slut, men det har dockinte varit möjligt att inleda förhandlingar med Europaparlamentet under hösten. Detta bl. a eftersom Europaparlamentet inte har beslutat om ett mandat till att inleda triloger med rådet. I september röstade Europaparlamentet istället igenom Europaparlamentets första läsning av förslaget. </w:t>
      </w:r>
    </w:p>
    <w:p w:rsidR="005E13AF" w:rsidRDefault="005E13AF" w:rsidP="00281CA4">
      <w:pPr>
        <w:pStyle w:val="RKnormal"/>
      </w:pPr>
    </w:p>
    <w:p w:rsidR="005E13AF" w:rsidRDefault="005E13AF" w:rsidP="00281CA4">
      <w:pPr>
        <w:pStyle w:val="RKnormal"/>
      </w:pPr>
      <w:r>
        <w:t xml:space="preserve">Därför har det litauiska ordförandeskapet nu avsikten attTTE-rådet den 12 december når en </w:t>
      </w:r>
      <w:r w:rsidRPr="00BF66CC">
        <w:rPr>
          <w:i/>
        </w:rPr>
        <w:t xml:space="preserve">politisk överenskommelse </w:t>
      </w:r>
      <w:r>
        <w:t>om rådetsståndpunkt i den första läsningen.Efter översättning och juristlingvistisk granskning kommer ett formellt antagande av rådets ståndpunkt att ske i rådet. Denna kommer sedan att ligga till grund för fortsatta förhandlingar om en andraläsningsöverenskommelse med Europaparlamentet.</w:t>
      </w:r>
    </w:p>
    <w:p w:rsidR="005E13AF" w:rsidRDefault="005E13AF" w:rsidP="00281CA4">
      <w:pPr>
        <w:pStyle w:val="RKnormal"/>
      </w:pPr>
    </w:p>
    <w:p w:rsidR="005E13AF" w:rsidRDefault="005E13AF" w:rsidP="00EB0E0E">
      <w:pPr>
        <w:tabs>
          <w:tab w:val="left" w:pos="709"/>
          <w:tab w:val="left" w:pos="2835"/>
        </w:tabs>
        <w:spacing w:line="240" w:lineRule="atLeast"/>
      </w:pPr>
      <w:r>
        <w:t>Förhandlingar med Europaparlamentet om en andraläsningsöverenskommelse kommer sannolikt inledas först under andra halvan av 2014. Detta eftersom val till Europaparlamentet äger rum i maj.</w:t>
      </w:r>
    </w:p>
    <w:p w:rsidR="005E13AF" w:rsidRDefault="005E13AF" w:rsidP="00EB0E0E">
      <w:pPr>
        <w:tabs>
          <w:tab w:val="left" w:pos="709"/>
          <w:tab w:val="left" w:pos="2835"/>
        </w:tabs>
        <w:spacing w:line="240" w:lineRule="atLeast"/>
      </w:pPr>
    </w:p>
    <w:p w:rsidR="005E13AF" w:rsidRDefault="005E13AF" w:rsidP="00EB0E0E">
      <w:pPr>
        <w:tabs>
          <w:tab w:val="left" w:pos="709"/>
          <w:tab w:val="left" w:pos="2835"/>
        </w:tabs>
        <w:spacing w:line="240" w:lineRule="atLeast"/>
        <w:rPr>
          <w:i/>
        </w:rPr>
      </w:pPr>
    </w:p>
    <w:p w:rsidR="005E13AF" w:rsidRPr="00BF66CC" w:rsidRDefault="005E13AF" w:rsidP="00EB0E0E">
      <w:pPr>
        <w:tabs>
          <w:tab w:val="left" w:pos="709"/>
          <w:tab w:val="left" w:pos="2835"/>
        </w:tabs>
        <w:spacing w:line="240" w:lineRule="atLeast"/>
        <w:rPr>
          <w:i/>
        </w:rPr>
      </w:pPr>
      <w:r w:rsidRPr="00BF66CC">
        <w:rPr>
          <w:i/>
        </w:rPr>
        <w:t xml:space="preserve">Förslaget till rådets </w:t>
      </w:r>
      <w:r>
        <w:rPr>
          <w:i/>
        </w:rPr>
        <w:t>ståndpunkt</w:t>
      </w:r>
    </w:p>
    <w:p w:rsidR="005E13AF" w:rsidRDefault="005E13AF" w:rsidP="00EB0E0E">
      <w:pPr>
        <w:pStyle w:val="RKnormal"/>
      </w:pPr>
      <w:r>
        <w:t xml:space="preserve">Det förslag till rådets ståndpunkt i första läsningen som nu läggs fram för politisk överenskommelse vid TTE-rådet den 12 decemberskiljer sig i flera avseenden från kommissionens ursprungliga förslag. Den föreslagna restriktionen för konventionella biodrivmedel har höjts, från fem till sju procent. Listan (Annex IX) på vilka råvaror som bör främjas särskilt för produktion av biodrivmedel har utökas, främst med skoglig råvara såsom svartlut, lignin och tallolja. Detta är en stor framgång för Sverige, som varit drivande i denna fråga. </w:t>
      </w:r>
    </w:p>
    <w:p w:rsidR="005E13AF" w:rsidRDefault="005E13AF" w:rsidP="00EB0E0E">
      <w:pPr>
        <w:pStyle w:val="RKnormal"/>
      </w:pPr>
    </w:p>
    <w:p w:rsidR="005E13AF" w:rsidRDefault="005E13AF" w:rsidP="00EB0E0E">
      <w:pPr>
        <w:pStyle w:val="RKnormal"/>
      </w:pPr>
      <w:r>
        <w:t>De av kommissionen föreslagna viktningsmekanismerna som syftar till att främja avancerade biodrivmedel har förändrats, så att samtliga biodrivmedel upptagna i Annex IX ska räknas dubbelt mot transportmålet. Tidigare förslag till kvadrupelräkning av vissa biodrivmedel har därmed försvunnit. Däremot föreslås dubbelräkningen av vissa biodrivmedel nu gälla även mot det övergripande bördefördelade förnybartmålet och inte bara mot transportmålet, något regeringen motsatt sig eftersom detta urvattnar förnybartmålets ursprungliga ambitionsnivå. Dubbelräkningen innebär att målet blir möjligt att nå med mindre faktisk andel förnybar energi.</w:t>
      </w:r>
    </w:p>
    <w:p w:rsidR="005E13AF" w:rsidRDefault="005E13AF" w:rsidP="00EB0E0E">
      <w:pPr>
        <w:pStyle w:val="RKnormal"/>
      </w:pPr>
    </w:p>
    <w:p w:rsidR="005E13AF" w:rsidRDefault="005E13AF" w:rsidP="00EB0E0E">
      <w:pPr>
        <w:pStyle w:val="RKnormal"/>
      </w:pPr>
      <w:r>
        <w:t xml:space="preserve">Viktningen av förnybar el i transportsektorn föreslås öka så att förnybar el i vägfordon ska multipliceras med 5 vid beräkningen av måluppfyllelse av transportmålet, jämfört med dagens 2,5. Förnybar el i den spårbundna trafiken ska räknas 2,5 gånger, jämfört med dagens enkelräkning. Denna viktning av förnybar el syftar till att främja elektrifieringen av transportsektorn och gäller dock endast mot transportmålet, inte mot det övergripande förnybartmålet. </w:t>
      </w:r>
    </w:p>
    <w:p w:rsidR="005E13AF" w:rsidRDefault="005E13AF" w:rsidP="00EB0E0E">
      <w:pPr>
        <w:pStyle w:val="RKnormal"/>
      </w:pPr>
    </w:p>
    <w:p w:rsidR="005E13AF" w:rsidRDefault="005E13AF" w:rsidP="00EB0E0E">
      <w:pPr>
        <w:pStyle w:val="RKnormal"/>
      </w:pPr>
      <w:r>
        <w:t>Under förhandlingarna har flera länder framfört förslag till bindande submål för avancerade biodrivmedel för att ytterligare främja sådan teknik, inte minst i ljuset av att restriktionen för konventionella biodrivmedel höjts. Då det inte funnits tillräckligt stöd för ett sådant mål föreslås nu ett för medlemsstaterna frivilligt submål för avancerade biodrivmedel.</w:t>
      </w:r>
    </w:p>
    <w:p w:rsidR="005E13AF" w:rsidRDefault="005E13AF" w:rsidP="00EB0E0E">
      <w:pPr>
        <w:pStyle w:val="RKnormal"/>
      </w:pPr>
    </w:p>
    <w:p w:rsidR="005E13AF" w:rsidRDefault="005E13AF">
      <w:pPr>
        <w:pStyle w:val="RKnormal"/>
      </w:pPr>
      <w:r>
        <w:t xml:space="preserve">Användning av ILUC-faktorer är en annan fråga som diskuterats ingående. Flera medlemsstater har argumenterat för att ILUC-utsläpp ska användas i beräkningarna av måluppfyllelse eller inkorporeras i dagens hållbarhetskriterier. Då dessa förslag inte vunnit tillräckligt stöd föreslås istället krav på rapportering av volymer av sådana biodrivmedel som i direktivet anges vara förknippade med ILUC-utsläpp. </w:t>
      </w:r>
    </w:p>
    <w:p w:rsidR="005E13AF" w:rsidRDefault="005E13AF">
      <w:pPr>
        <w:pStyle w:val="RKrubrik"/>
      </w:pPr>
      <w:r>
        <w:t>Rättslig grund och beslutsförfarande</w:t>
      </w:r>
    </w:p>
    <w:p w:rsidR="005E13AF" w:rsidRPr="00F51824" w:rsidRDefault="005E13AF" w:rsidP="00AE4590">
      <w:pPr>
        <w:pStyle w:val="RKnormal"/>
      </w:pPr>
      <w:r w:rsidRPr="00F51824">
        <w:t>Förslaget syftar till att skydda miljön och till en fungerande inre marknad. Förslaget baseras därmed på artiklarna 192(1) and 114 av Fördraget om Europeiska unionens funktionssätt.</w:t>
      </w:r>
    </w:p>
    <w:p w:rsidR="005E13AF" w:rsidRPr="00AE4590" w:rsidRDefault="005E13AF" w:rsidP="00AE4590">
      <w:pPr>
        <w:pStyle w:val="RKnormal"/>
      </w:pPr>
    </w:p>
    <w:p w:rsidR="005E13AF" w:rsidRDefault="005E13AF">
      <w:pPr>
        <w:pStyle w:val="RKnormal"/>
      </w:pPr>
    </w:p>
    <w:p w:rsidR="005E13AF" w:rsidRDefault="005E13AF">
      <w:pPr>
        <w:pStyle w:val="RKrubrik"/>
        <w:rPr>
          <w:i/>
          <w:iCs/>
        </w:rPr>
      </w:pPr>
      <w:r>
        <w:rPr>
          <w:i/>
          <w:iCs/>
        </w:rPr>
        <w:t>Svensk ståndpunkt</w:t>
      </w:r>
    </w:p>
    <w:p w:rsidR="005E13AF" w:rsidRDefault="005E13AF" w:rsidP="007C59DC">
      <w:pPr>
        <w:pStyle w:val="RKnormal"/>
      </w:pPr>
      <w:r>
        <w:t xml:space="preserve">Regeringen har i förhandlingarna särskilt verkat för att direktivet ska återspegla de skillnader som finns mellan olika biodrivmedels miljöprestanda, för att avancerade biodrivmedel med hög miljöprestanda (exempelvis baserade på skoglig råvara) ska främjas och för att förslaget inte ska urvattna befintligt direktivs ambitionsnivå. </w:t>
      </w:r>
    </w:p>
    <w:p w:rsidR="005E13AF" w:rsidRDefault="005E13AF" w:rsidP="007C59DC">
      <w:pPr>
        <w:pStyle w:val="RKnormal"/>
      </w:pPr>
    </w:p>
    <w:p w:rsidR="005E13AF" w:rsidRDefault="005E13AF" w:rsidP="007C59DC">
      <w:pPr>
        <w:pStyle w:val="RKnormal"/>
      </w:pPr>
      <w:r>
        <w:t xml:space="preserve">Enligt regeringens bedömning är det även angeläget att förhandlingarna om detta direktiv inte fördröjs mer än nödvändigt eftersom industrin, behöver få besked om vilka spelregler som kommer att gälla framöver. Ifall spelreglerna är oklara kommer nödvändiga investeringar i ny teknik inte till stånd. </w:t>
      </w:r>
    </w:p>
    <w:p w:rsidR="005E13AF" w:rsidRDefault="005E13AF" w:rsidP="007C59DC">
      <w:pPr>
        <w:pStyle w:val="RKnormal"/>
      </w:pPr>
    </w:p>
    <w:p w:rsidR="005E13AF" w:rsidRDefault="005E13AF" w:rsidP="007C59DC">
      <w:pPr>
        <w:pStyle w:val="RKnormal"/>
      </w:pPr>
      <w:r>
        <w:t xml:space="preserve">Givet vikten av att komma i mål och att förslaget innehåller flera positiva komponenter, såsom att den skogliga råvaran nu finns med på listan över de råvaror som bör främjas för avancerade biodrivmedel, anser regeringen, trots att förslaget i flera avseenden hade kunna varit mer ambitiöst, bör kunna accepteras som rådets position inför kommande förhandlingar med EP, vars förslag i flera avseenden är mer ambitiöst. </w:t>
      </w:r>
    </w:p>
    <w:p w:rsidR="005E13AF" w:rsidRDefault="005E13AF" w:rsidP="00BD74FF">
      <w:pPr>
        <w:pStyle w:val="RKnormal"/>
      </w:pPr>
    </w:p>
    <w:p w:rsidR="005E13AF" w:rsidRDefault="005E13AF" w:rsidP="00BD74FF">
      <w:pPr>
        <w:pStyle w:val="RKnormal"/>
      </w:pPr>
      <w:r>
        <w:t>Regeringen kan därför ställa sig bakom ordförandeskapets förslag till politisk överenskommelse om rådets första läsning. Regeringen avser att verka för ett mer ambitiöst ramverk, exempelvis innehållande submål för avancerade biodrivmedel, i de fortsatta förhandlingarna.</w:t>
      </w:r>
    </w:p>
    <w:p w:rsidR="005E13AF" w:rsidRDefault="005E13AF" w:rsidP="007C59DC">
      <w:pPr>
        <w:pStyle w:val="RKnormal"/>
      </w:pPr>
    </w:p>
    <w:p w:rsidR="005E13AF" w:rsidRDefault="005E13AF">
      <w:pPr>
        <w:pStyle w:val="RKrubrik"/>
      </w:pPr>
      <w:r>
        <w:t>Europaparlamentets inställning</w:t>
      </w:r>
    </w:p>
    <w:p w:rsidR="005E13AF" w:rsidRDefault="005E13AF">
      <w:pPr>
        <w:pStyle w:val="RKnormal"/>
      </w:pPr>
      <w:r>
        <w:t xml:space="preserve">Europaparlamentet avslutade sin första läsning av förslaget den 11 september 2013. I korthet innebär EP:s beslut att den av kommissionen föreslagna restriktionen för konventionella biodrivmedel, vid beräkning av medlemsstaternas uppfyllelse av transportmålet, höjs från fem till sex procent. Europaparlamentet föreslår även att det införs ett bindande mål för avancerade biodrivmedel vilket innebär att 2,5 av de 10 procenten förnybar energi i transportsektorn ska utgöras av sådana drivmedel.  </w:t>
      </w:r>
    </w:p>
    <w:p w:rsidR="005E13AF" w:rsidRDefault="005E13AF">
      <w:pPr>
        <w:pStyle w:val="RKrubrik"/>
        <w:rPr>
          <w:i/>
          <w:iCs/>
        </w:rPr>
      </w:pPr>
      <w:r>
        <w:rPr>
          <w:i/>
          <w:iCs/>
        </w:rPr>
        <w:t>Förslaget</w:t>
      </w:r>
    </w:p>
    <w:p w:rsidR="005E13AF" w:rsidRDefault="005E13AF" w:rsidP="00EB0E0E">
      <w:pPr>
        <w:pStyle w:val="RKnormal"/>
      </w:pPr>
      <w:r w:rsidRPr="00C4021A">
        <w:t xml:space="preserve">Biodrivmedel kan orsaka utsläpp av växthusgaser genom förändrad markanvändning. Med direkt förändrad markanvändning avses exempelvis att skogs- och betesmark omvandlas till jordbruksmark för produktion av biodrivmedel. Med indirekt förändrad markanvändning eller Indirect Land Use Change (ILUC) menas att ökad produktion av biodrivmedel i ett land kan leda till att annan produktion, t.ex. livsmedelsproduktion trängs undan, vilket i förlängningen kan leda till omvandling av skogs- eller betesmark till jordbruksmark för exempelvis livsmedelsproduktion i andra länder. Denna omvandling kan orsaka utsläpp av växthusgaser. </w:t>
      </w:r>
    </w:p>
    <w:p w:rsidR="005E13AF" w:rsidRPr="00C4021A" w:rsidRDefault="005E13AF" w:rsidP="00EB0E0E">
      <w:pPr>
        <w:pStyle w:val="RKnormal"/>
      </w:pPr>
    </w:p>
    <w:p w:rsidR="005E13AF" w:rsidRDefault="005E13AF" w:rsidP="00EB0E0E">
      <w:pPr>
        <w:pStyle w:val="RKnormal"/>
      </w:pPr>
      <w:r w:rsidRPr="00C4021A">
        <w:t>Kommissionens analys visar att det finns ett antal osäkerheter och begränsningar kopplade till de modeller som används för att kvantifiera utsläpp orsakade av indirekt förändrad markanvändning. Samtidigt konstateras att utsläpp som en följd av indirekt ändrad markanvändning enligt de använda beräkningsmodellerna i vissa fall kan vara så stora att de mer än eliminerar de minskningar av klimatgaser som användningen av dessa biodrivmedel ger då de ersätter fossila bränslen, men att effekten är mindre påtaglig för andra bränslen. Då EU enligt kommissionens bedömning bör agera enligt försiktighetsprincipen föreslås, trots de osäkerheter som är förknippade med de modeller som analysen bygger på, åtgärder som syftar till att minimera de befarade ILUC-effekterna.</w:t>
      </w:r>
    </w:p>
    <w:p w:rsidR="005E13AF" w:rsidRPr="00C4021A" w:rsidRDefault="005E13AF" w:rsidP="00EB0E0E">
      <w:pPr>
        <w:pStyle w:val="RKnormal"/>
      </w:pPr>
    </w:p>
    <w:p w:rsidR="005E13AF" w:rsidRDefault="005E13AF" w:rsidP="00EB0E0E">
      <w:pPr>
        <w:pStyle w:val="RKnormal"/>
      </w:pPr>
      <w:r>
        <w:t xml:space="preserve">Kommissionens ursprungliga förslag presenterades i oktober 2012 och har under förhandlingarnas gång ändrats. </w:t>
      </w:r>
      <w:r w:rsidRPr="00C4021A">
        <w:t>I kommissionens</w:t>
      </w:r>
      <w:r>
        <w:t xml:space="preserve"> ursprungliga</w:t>
      </w:r>
      <w:r w:rsidRPr="00C4021A">
        <w:t xml:space="preserve"> förslag införs till en början krav på att ILUC-faktorerna ska användas i rapporteringen om biodrivmedel. Däremot ingår ILUC faktorerna inte i uppföljningen av det utsläppskrav till år 2020 som enligt bränslekvalitetsdirektivet åligger bränsleleverantörerna. </w:t>
      </w:r>
    </w:p>
    <w:p w:rsidR="005E13AF" w:rsidRPr="00C4021A" w:rsidRDefault="005E13AF" w:rsidP="00EB0E0E">
      <w:pPr>
        <w:pStyle w:val="RKnormal"/>
      </w:pPr>
    </w:p>
    <w:p w:rsidR="005E13AF" w:rsidRDefault="005E13AF" w:rsidP="00EB0E0E">
      <w:pPr>
        <w:pStyle w:val="RKnormal"/>
      </w:pPr>
      <w:r w:rsidRPr="00C4021A">
        <w:t>Kommissionen föresl</w:t>
      </w:r>
      <w:r>
        <w:t>og</w:t>
      </w:r>
      <w:r w:rsidRPr="00C4021A">
        <w:t xml:space="preserve"> ett tak för den andel konventionella biodrivmedel som får användas i medlemsländernas redovisning av måluppfyllelsen avseende målen för andel förnybar energi. Bidraget från de i direktivförslaget utpekade biodrivmedlen f</w:t>
      </w:r>
      <w:r>
        <w:t>ick enligt kommissionens ursprungliga förslag</w:t>
      </w:r>
      <w:r w:rsidRPr="00C4021A">
        <w:t xml:space="preserve"> inte vara mer än fem procent av energianvändningen i transportsektorn år 2020. </w:t>
      </w:r>
    </w:p>
    <w:p w:rsidR="005E13AF" w:rsidRDefault="005E13AF" w:rsidP="00EB0E0E">
      <w:pPr>
        <w:pStyle w:val="RKnormal"/>
      </w:pPr>
    </w:p>
    <w:p w:rsidR="005E13AF" w:rsidRDefault="005E13AF" w:rsidP="00EB0E0E">
      <w:pPr>
        <w:pStyle w:val="RKnormal"/>
      </w:pPr>
      <w:r w:rsidRPr="00C4021A">
        <w:t>Kommissionen g</w:t>
      </w:r>
      <w:r>
        <w:t>jorde</w:t>
      </w:r>
      <w:r w:rsidRPr="00C4021A">
        <w:t xml:space="preserve"> också bedömningen att dessa drivmedel inte bör subventioneras efter 2020 eftersom endast mer avancerade bränslen bör främjas på längre sikt</w:t>
      </w:r>
      <w:r>
        <w:t>.</w:t>
      </w:r>
    </w:p>
    <w:p w:rsidR="005E13AF" w:rsidRPr="00C4021A" w:rsidRDefault="005E13AF" w:rsidP="00EB0E0E">
      <w:pPr>
        <w:pStyle w:val="RKnormal"/>
      </w:pPr>
    </w:p>
    <w:p w:rsidR="005E13AF" w:rsidRDefault="005E13AF" w:rsidP="00EB0E0E">
      <w:pPr>
        <w:pStyle w:val="RKnormal"/>
      </w:pPr>
      <w:r w:rsidRPr="00C4021A">
        <w:t>För att främja mer avancerade bränslen som inte beräknas orsaka indirekta utsläpp såsom beskrivits ovan föresl</w:t>
      </w:r>
      <w:r>
        <w:t>og kommissinen</w:t>
      </w:r>
      <w:r w:rsidRPr="00C4021A">
        <w:t xml:space="preserve"> att dessa får räknas dubbelt eller fyrfalt i medlemsstaternas måluppfyllelse. Det lämnas dock till medlemsstaterna att utforma styrmedel för att utnyttja omräkningsmöjligheterna.</w:t>
      </w:r>
    </w:p>
    <w:p w:rsidR="005E13AF" w:rsidRPr="00C4021A" w:rsidRDefault="005E13AF" w:rsidP="00EB0E0E">
      <w:pPr>
        <w:pStyle w:val="RKnormal"/>
      </w:pPr>
    </w:p>
    <w:p w:rsidR="005E13AF" w:rsidRPr="00C4021A" w:rsidRDefault="005E13AF" w:rsidP="00EB0E0E">
      <w:pPr>
        <w:pStyle w:val="RKnormal"/>
      </w:pPr>
      <w:r w:rsidRPr="00C4021A">
        <w:t>Kommissionen föresl</w:t>
      </w:r>
      <w:r>
        <w:t>og</w:t>
      </w:r>
      <w:r w:rsidRPr="00C4021A">
        <w:t xml:space="preserve"> även en tidigareläggning av den redan tidigare fastställda succesiva ökningen av de krav som ställs på de utsläpp av klimatgaser som är förknippade med produktionen av biodrivmedel. </w:t>
      </w:r>
    </w:p>
    <w:p w:rsidR="005E13AF" w:rsidRPr="00EB0E0E" w:rsidRDefault="005E13AF" w:rsidP="00EB0E0E">
      <w:pPr>
        <w:pStyle w:val="RKnormal"/>
      </w:pPr>
      <w:r w:rsidRPr="00C4021A">
        <w:t>Vidare inneh</w:t>
      </w:r>
      <w:r>
        <w:t>öll</w:t>
      </w:r>
      <w:r w:rsidRPr="00C4021A">
        <w:t>förslaget ett stort antal bestämmelser av mer teknisk karaktär.</w:t>
      </w:r>
    </w:p>
    <w:p w:rsidR="005E13AF" w:rsidRDefault="005E13AF">
      <w:pPr>
        <w:pStyle w:val="RKnormal"/>
      </w:pPr>
    </w:p>
    <w:p w:rsidR="005E13AF" w:rsidRDefault="005E13AF">
      <w:pPr>
        <w:pStyle w:val="RKrubrik"/>
        <w:rPr>
          <w:i/>
          <w:iCs/>
        </w:rPr>
      </w:pPr>
      <w:r>
        <w:rPr>
          <w:i/>
          <w:iCs/>
        </w:rPr>
        <w:t>Gällande svenska regler och förslagets effekter på dessa</w:t>
      </w:r>
    </w:p>
    <w:p w:rsidR="005E13AF" w:rsidRDefault="005E13AF" w:rsidP="00EB0E0E">
      <w:pPr>
        <w:pStyle w:val="RKnormal"/>
      </w:pPr>
      <w:r w:rsidRPr="00C4021A">
        <w:t>Gällande svenska regler om hållbarhetskriterier för biodrivmedel finns i lag (2010:598) om hållbarhetskriterier för biodrivmedel och flytande biobränslen samt i tillhörande förordning. Det i bränslekvalitetsdirektivet föreskrivna målet om att växthusgasintensiteten för drivmedel som används för vägtransporter och mobila maskiner som inte är avsedda att användas på väg ska minska med 6 procent mellan 2010 och 2020 återfinns i drivmedelslagen (2011:319). De svenska lagarna och förordningarna kan behöva ändras med anledning av de av kommissionen föreslagna ändringarna i EU-direktiven.</w:t>
      </w:r>
    </w:p>
    <w:p w:rsidR="005E13AF" w:rsidRDefault="005E13AF">
      <w:pPr>
        <w:pStyle w:val="RKrubrik"/>
      </w:pPr>
      <w:r>
        <w:t>Ekonomiska konsekvenser</w:t>
      </w:r>
    </w:p>
    <w:p w:rsidR="005E13AF" w:rsidRPr="00F1636B" w:rsidRDefault="005E13AF">
      <w:pPr>
        <w:pStyle w:val="RKnormal"/>
      </w:pPr>
      <w:r w:rsidRPr="00C4021A">
        <w:t>Förslaget kommer att få konsekvenser för investerare på biodrivmedelsmarknaderna</w:t>
      </w:r>
      <w:r>
        <w:t>. Eftersom Sverige enligt regeringens bedömning prognos kommer att uppfylla målet om andelen förnybar energi i transportsektorn med eller utan detta förslag har det inga direkta statsfinansiella effekter.</w:t>
      </w:r>
    </w:p>
    <w:p w:rsidR="005E13AF" w:rsidRDefault="005E13AF">
      <w:pPr>
        <w:pStyle w:val="RKnormal"/>
        <w:ind w:left="-1134"/>
      </w:pPr>
    </w:p>
    <w:p w:rsidR="005E13AF" w:rsidRDefault="005E13AF">
      <w:pPr>
        <w:pStyle w:val="RKrubrik"/>
        <w:spacing w:before="0" w:after="0"/>
      </w:pPr>
    </w:p>
    <w:p w:rsidR="005E13AF" w:rsidRDefault="005E13AF">
      <w:pPr>
        <w:pStyle w:val="RKnormal"/>
      </w:pPr>
    </w:p>
    <w:sectPr w:rsidR="005E13AF" w:rsidSect="00131B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AF" w:rsidRDefault="005E13AF">
      <w:r>
        <w:separator/>
      </w:r>
    </w:p>
  </w:endnote>
  <w:endnote w:type="continuationSeparator" w:id="1">
    <w:p w:rsidR="005E13AF" w:rsidRDefault="005E1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AF" w:rsidRDefault="005E13AF">
      <w:r>
        <w:separator/>
      </w:r>
    </w:p>
  </w:footnote>
  <w:footnote w:type="continuationSeparator" w:id="1">
    <w:p w:rsidR="005E13AF" w:rsidRDefault="005E1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F" w:rsidRDefault="005E13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E13AF">
      <w:trPr>
        <w:cantSplit/>
      </w:trPr>
      <w:tc>
        <w:tcPr>
          <w:tcW w:w="3119" w:type="dxa"/>
        </w:tcPr>
        <w:p w:rsidR="005E13AF" w:rsidRDefault="005E13AF">
          <w:pPr>
            <w:pStyle w:val="Header"/>
            <w:spacing w:line="200" w:lineRule="atLeast"/>
            <w:ind w:right="357"/>
            <w:rPr>
              <w:rFonts w:ascii="TradeGothic" w:hAnsi="TradeGothic"/>
              <w:b/>
              <w:bCs/>
              <w:sz w:val="16"/>
            </w:rPr>
          </w:pPr>
        </w:p>
      </w:tc>
      <w:tc>
        <w:tcPr>
          <w:tcW w:w="4111" w:type="dxa"/>
          <w:tcMar>
            <w:left w:w="567" w:type="dxa"/>
          </w:tcMar>
        </w:tcPr>
        <w:p w:rsidR="005E13AF" w:rsidRDefault="005E13AF">
          <w:pPr>
            <w:pStyle w:val="Header"/>
            <w:ind w:right="360"/>
          </w:pPr>
        </w:p>
      </w:tc>
      <w:tc>
        <w:tcPr>
          <w:tcW w:w="1525" w:type="dxa"/>
        </w:tcPr>
        <w:p w:rsidR="005E13AF" w:rsidRDefault="005E13AF">
          <w:pPr>
            <w:pStyle w:val="Header"/>
            <w:ind w:right="360"/>
          </w:pPr>
        </w:p>
      </w:tc>
    </w:tr>
  </w:tbl>
  <w:p w:rsidR="005E13AF" w:rsidRDefault="005E13A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F" w:rsidRDefault="005E13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5E13AF">
      <w:trPr>
        <w:cantSplit/>
      </w:trPr>
      <w:tc>
        <w:tcPr>
          <w:tcW w:w="3119" w:type="dxa"/>
        </w:tcPr>
        <w:p w:rsidR="005E13AF" w:rsidRDefault="005E13AF">
          <w:pPr>
            <w:pStyle w:val="Header"/>
            <w:spacing w:line="200" w:lineRule="atLeast"/>
            <w:ind w:right="357"/>
            <w:rPr>
              <w:rFonts w:ascii="TradeGothic" w:hAnsi="TradeGothic"/>
              <w:b/>
              <w:bCs/>
              <w:sz w:val="16"/>
            </w:rPr>
          </w:pPr>
        </w:p>
      </w:tc>
      <w:tc>
        <w:tcPr>
          <w:tcW w:w="4111" w:type="dxa"/>
          <w:tcMar>
            <w:left w:w="567" w:type="dxa"/>
          </w:tcMar>
        </w:tcPr>
        <w:p w:rsidR="005E13AF" w:rsidRDefault="005E13AF">
          <w:pPr>
            <w:pStyle w:val="Header"/>
            <w:ind w:right="360"/>
          </w:pPr>
        </w:p>
      </w:tc>
      <w:tc>
        <w:tcPr>
          <w:tcW w:w="1525" w:type="dxa"/>
        </w:tcPr>
        <w:p w:rsidR="005E13AF" w:rsidRDefault="005E13AF">
          <w:pPr>
            <w:pStyle w:val="Header"/>
            <w:ind w:right="360"/>
          </w:pPr>
        </w:p>
      </w:tc>
    </w:tr>
  </w:tbl>
  <w:p w:rsidR="005E13AF" w:rsidRDefault="005E13A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3AF" w:rsidRDefault="005E13AF">
    <w:pPr>
      <w:framePr w:w="2948" w:h="1321" w:hRule="exact" w:wrap="notBeside" w:vAnchor="page" w:hAnchor="page" w:x="1362" w:y="653"/>
    </w:pPr>
    <w:r w:rsidRPr="0092534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E13AF" w:rsidRDefault="005E13AF">
    <w:pPr>
      <w:pStyle w:val="RKrubrik"/>
      <w:keepNext w:val="0"/>
      <w:tabs>
        <w:tab w:val="clear" w:pos="1134"/>
        <w:tab w:val="clear" w:pos="2835"/>
      </w:tabs>
      <w:spacing w:before="0" w:after="0" w:line="320" w:lineRule="atLeast"/>
      <w:rPr>
        <w:bCs/>
      </w:rPr>
    </w:pPr>
  </w:p>
  <w:p w:rsidR="005E13AF" w:rsidRDefault="005E13AF">
    <w:pPr>
      <w:rPr>
        <w:rFonts w:ascii="TradeGothic" w:hAnsi="TradeGothic"/>
        <w:b/>
        <w:bCs/>
        <w:spacing w:val="12"/>
        <w:sz w:val="22"/>
      </w:rPr>
    </w:pPr>
  </w:p>
  <w:p w:rsidR="005E13AF" w:rsidRDefault="005E13AF">
    <w:pPr>
      <w:pStyle w:val="RKrubrik"/>
      <w:keepNext w:val="0"/>
      <w:tabs>
        <w:tab w:val="clear" w:pos="1134"/>
        <w:tab w:val="clear" w:pos="2835"/>
      </w:tabs>
      <w:spacing w:before="0" w:after="0" w:line="320" w:lineRule="atLeast"/>
      <w:rPr>
        <w:bCs/>
      </w:rPr>
    </w:pPr>
  </w:p>
  <w:p w:rsidR="005E13AF" w:rsidRDefault="005E13AF">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37351B"/>
    <w:rsid w:val="0000188F"/>
    <w:rsid w:val="00003C19"/>
    <w:rsid w:val="000772AF"/>
    <w:rsid w:val="00131BFD"/>
    <w:rsid w:val="001444F5"/>
    <w:rsid w:val="00150384"/>
    <w:rsid w:val="00160901"/>
    <w:rsid w:val="001805B7"/>
    <w:rsid w:val="001C0625"/>
    <w:rsid w:val="00221597"/>
    <w:rsid w:val="0023486F"/>
    <w:rsid w:val="00276192"/>
    <w:rsid w:val="00281CA4"/>
    <w:rsid w:val="002D2FFB"/>
    <w:rsid w:val="003301EE"/>
    <w:rsid w:val="00352DBB"/>
    <w:rsid w:val="00367B1C"/>
    <w:rsid w:val="0037351B"/>
    <w:rsid w:val="00376F57"/>
    <w:rsid w:val="004071C5"/>
    <w:rsid w:val="004407A8"/>
    <w:rsid w:val="004A328D"/>
    <w:rsid w:val="004B47E3"/>
    <w:rsid w:val="0058762B"/>
    <w:rsid w:val="005E13AF"/>
    <w:rsid w:val="00611536"/>
    <w:rsid w:val="00627D78"/>
    <w:rsid w:val="006E4E11"/>
    <w:rsid w:val="007242A3"/>
    <w:rsid w:val="00777B47"/>
    <w:rsid w:val="007A6855"/>
    <w:rsid w:val="007C310B"/>
    <w:rsid w:val="007C59DC"/>
    <w:rsid w:val="007F065C"/>
    <w:rsid w:val="00854F88"/>
    <w:rsid w:val="008906E5"/>
    <w:rsid w:val="0092027A"/>
    <w:rsid w:val="0092534F"/>
    <w:rsid w:val="00955E31"/>
    <w:rsid w:val="00992E72"/>
    <w:rsid w:val="00A27786"/>
    <w:rsid w:val="00A42A8A"/>
    <w:rsid w:val="00AE4590"/>
    <w:rsid w:val="00AF26D1"/>
    <w:rsid w:val="00BB6D4A"/>
    <w:rsid w:val="00BD74FF"/>
    <w:rsid w:val="00BF6053"/>
    <w:rsid w:val="00BF66CC"/>
    <w:rsid w:val="00C14095"/>
    <w:rsid w:val="00C4021A"/>
    <w:rsid w:val="00D133D7"/>
    <w:rsid w:val="00D356E4"/>
    <w:rsid w:val="00DD3F6B"/>
    <w:rsid w:val="00E55692"/>
    <w:rsid w:val="00E80146"/>
    <w:rsid w:val="00E904D0"/>
    <w:rsid w:val="00EB0E0E"/>
    <w:rsid w:val="00EC128C"/>
    <w:rsid w:val="00EC25F9"/>
    <w:rsid w:val="00ED583F"/>
    <w:rsid w:val="00EF6879"/>
    <w:rsid w:val="00F1636B"/>
    <w:rsid w:val="00F31A55"/>
    <w:rsid w:val="00F51824"/>
    <w:rsid w:val="00F563DE"/>
    <w:rsid w:val="00F96A5E"/>
    <w:rsid w:val="00FA3F5A"/>
    <w:rsid w:val="00FE31A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F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31BF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31BFD"/>
    <w:pPr>
      <w:spacing w:before="360"/>
      <w:outlineLvl w:val="1"/>
    </w:pPr>
  </w:style>
  <w:style w:type="paragraph" w:styleId="Heading3">
    <w:name w:val="heading 3"/>
    <w:basedOn w:val="Heading2"/>
    <w:next w:val="RKnormal"/>
    <w:link w:val="Heading3Char"/>
    <w:uiPriority w:val="99"/>
    <w:qFormat/>
    <w:rsid w:val="00131BFD"/>
    <w:pPr>
      <w:spacing w:after="120" w:line="240" w:lineRule="atLeast"/>
      <w:outlineLvl w:val="2"/>
    </w:pPr>
    <w:rPr>
      <w:b w:val="0"/>
    </w:rPr>
  </w:style>
  <w:style w:type="paragraph" w:styleId="Heading4">
    <w:name w:val="heading 4"/>
    <w:basedOn w:val="Heading3"/>
    <w:next w:val="RKnormal"/>
    <w:link w:val="Heading4Char"/>
    <w:uiPriority w:val="99"/>
    <w:qFormat/>
    <w:rsid w:val="00131BF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A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B69A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B69A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B69A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31BF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31BF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B69A4"/>
    <w:rPr>
      <w:rFonts w:ascii="OrigGarmnd BT" w:hAnsi="OrigGarmnd BT"/>
      <w:sz w:val="24"/>
      <w:szCs w:val="20"/>
      <w:lang w:eastAsia="en-US"/>
    </w:rPr>
  </w:style>
  <w:style w:type="paragraph" w:styleId="Header">
    <w:name w:val="header"/>
    <w:basedOn w:val="Normal"/>
    <w:link w:val="HeaderChar"/>
    <w:uiPriority w:val="99"/>
    <w:rsid w:val="00131BFD"/>
    <w:pPr>
      <w:tabs>
        <w:tab w:val="center" w:pos="4153"/>
        <w:tab w:val="right" w:pos="8306"/>
      </w:tabs>
    </w:pPr>
  </w:style>
  <w:style w:type="character" w:customStyle="1" w:styleId="HeaderChar">
    <w:name w:val="Header Char"/>
    <w:basedOn w:val="DefaultParagraphFont"/>
    <w:link w:val="Header"/>
    <w:uiPriority w:val="99"/>
    <w:semiHidden/>
    <w:rsid w:val="004B69A4"/>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31BF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31BFD"/>
    <w:rPr>
      <w:rFonts w:cs="Times New Roman"/>
    </w:rPr>
  </w:style>
  <w:style w:type="paragraph" w:styleId="BalloonText">
    <w:name w:val="Balloon Text"/>
    <w:basedOn w:val="Normal"/>
    <w:link w:val="BalloonTextChar"/>
    <w:uiPriority w:val="99"/>
    <w:rsid w:val="00376F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76F57"/>
    <w:rPr>
      <w:rFonts w:ascii="Tahoma" w:hAnsi="Tahoma" w:cs="Tahoma"/>
      <w:sz w:val="16"/>
      <w:szCs w:val="16"/>
      <w:lang w:eastAsia="en-US"/>
    </w:rPr>
  </w:style>
  <w:style w:type="character" w:customStyle="1" w:styleId="RKnormalChar">
    <w:name w:val="RKnormal Char"/>
    <w:link w:val="RKnormal"/>
    <w:uiPriority w:val="99"/>
    <w:locked/>
    <w:rsid w:val="00AE4590"/>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1611</Words>
  <Characters>10425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Jenny Malmberg</dc:creator>
  <cp:keywords/>
  <dc:description/>
  <cp:lastModifiedBy>jb0525aa</cp:lastModifiedBy>
  <cp:revision>2</cp:revision>
  <cp:lastPrinted>2013-12-02T11:21:00Z</cp:lastPrinted>
  <dcterms:created xsi:type="dcterms:W3CDTF">2013-12-02T11:22:00Z</dcterms:created>
  <dcterms:modified xsi:type="dcterms:W3CDTF">2013-12-02T11:22:00Z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5c10a383-889c-4ad4-b1c0-a8307f6af2d3</vt:lpwstr>
  </property>
  <property fmtid="{D5CDD505-2E9C-101B-9397-08002B2CF9AE}" pid="9" name="RKOrdnaClass">
    <vt:lpwstr/>
  </property>
  <property fmtid="{D5CDD505-2E9C-101B-9397-08002B2CF9AE}" pid="10" name="Sekretess">
    <vt:lpwstr/>
  </property>
  <property fmtid="{D5CDD505-2E9C-101B-9397-08002B2CF9AE}" pid="11" name="k46d94c0acf84ab9a79866a9d8b1905f">
    <vt:lpwstr/>
  </property>
  <property fmtid="{D5CDD505-2E9C-101B-9397-08002B2CF9AE}" pid="12" name="c9cd366cc722410295b9eacffbd73909">
    <vt:lpwstr/>
  </property>
  <property fmtid="{D5CDD505-2E9C-101B-9397-08002B2CF9AE}" pid="13" name="_dlc_DocId">
    <vt:lpwstr>KWSQ2AKCCCHU-2-23200</vt:lpwstr>
  </property>
  <property fmtid="{D5CDD505-2E9C-101B-9397-08002B2CF9AE}" pid="14" name="Diarienummer">
    <vt:lpwstr/>
  </property>
  <property fmtid="{D5CDD505-2E9C-101B-9397-08002B2CF9AE}" pid="15" name="TaxCatchAll">
    <vt:lpwstr/>
  </property>
  <property fmtid="{D5CDD505-2E9C-101B-9397-08002B2CF9AE}" pid="16" name="_dlc_DocIdUrl">
    <vt:lpwstr>http://rkdhs-n/enhet/is/_layouts/DocIdRedir.aspx?ID=KWSQ2AKCCCHU-2-23200, KWSQ2AKCCCHU-2-23200</vt:lpwstr>
  </property>
  <property fmtid="{D5CDD505-2E9C-101B-9397-08002B2CF9AE}" pid="17" name="RKOrdnaCheckInComment">
    <vt:lpwstr/>
  </property>
  <property fmtid="{D5CDD505-2E9C-101B-9397-08002B2CF9AE}" pid="18" name="Nyckelord">
    <vt:lpwstr/>
  </property>
</Properties>
</file>