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8 oktober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26"/>
        <w:gridCol w:w="1260"/>
        <w:gridCol w:w="750"/>
        <w:gridCol w:w="710"/>
        <w:gridCol w:w="254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Varje talare har rätt till ett anförande på högst tio minuter. Företrädare för det största oppositionspartiet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Anförandena hålls i talarstolen; replikerna tas i talarstolarna framför podiet.</w:t>
            </w:r>
          </w:p>
          <w:p w:rsidR="00C57C00" w:rsidRPr="006F2BC3">
            <w:pPr>
              <w:bidi w:val="0"/>
              <w:spacing w:after="280" w:afterAutospacing="1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5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Tid för anförande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Fredrik Reinfeldt (M)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Åsa Romson (MP)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Annie Lööf (C)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Jan Björklund (FP)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Göran Hägglund (KD)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Beräknad talartid är ca 4,5 tim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oktober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abd8f24938c76bfa58e9439930333a8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294fcce7e971f14bb088feea9a60d64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2014-10-08</SAFIR_Sammantradesdatum_Doc>
    <SAFIR_SammantradeID xmlns="C07A1A6C-0B19-41D9-BDF8-F523BA3921EB">d3f32b63-6b14-4e5e-a749-53ade0bd99ab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1D056-1B2F-4EFC-80A1-8DF5DBDAF75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oktober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