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8C7813">
        <w:tblPrEx>
          <w:tblCellMar>
            <w:top w:w="0" w:type="dxa"/>
            <w:bottom w:w="0" w:type="dxa"/>
          </w:tblCellMar>
        </w:tblPrEx>
        <w:trPr>
          <w:cantSplit/>
          <w:trHeight w:val="1720"/>
        </w:trPr>
        <w:tc>
          <w:tcPr>
            <w:tcW w:w="6024" w:type="dxa"/>
            <w:gridSpan w:val="2"/>
          </w:tcPr>
          <w:p w:rsidR="00F53A97" w:rsidRPr="008C7813" w:rsidRDefault="000973A8" w:rsidP="00704813">
            <w:pPr>
              <w:pStyle w:val="Rubrik1"/>
              <w:spacing w:after="0"/>
              <w:rPr>
                <w:noProof w:val="0"/>
              </w:rPr>
            </w:pPr>
            <w:r w:rsidRPr="008C7813">
              <w:rPr>
                <w:noProof w:val="0"/>
              </w:rPr>
              <w:t>Försvarsutskottets yttrande</w:t>
            </w:r>
          </w:p>
          <w:p w:rsidR="00F53A97" w:rsidRPr="008C7813" w:rsidRDefault="003C6734" w:rsidP="00704813">
            <w:pPr>
              <w:pStyle w:val="HuvudRubrikRad2"/>
            </w:pPr>
            <w:bookmarkStart w:id="0" w:name="BetänkandeNr"/>
            <w:bookmarkEnd w:id="0"/>
            <w:r w:rsidRPr="008C7813">
              <w:t>2005/06</w:t>
            </w:r>
            <w:r w:rsidR="00F53A97" w:rsidRPr="008C7813">
              <w:t>:</w:t>
            </w:r>
            <w:r w:rsidRPr="008C7813">
              <w:t>FöU1y</w:t>
            </w:r>
          </w:p>
        </w:tc>
        <w:tc>
          <w:tcPr>
            <w:tcW w:w="1418" w:type="dxa"/>
            <w:tcBorders>
              <w:bottom w:val="nil"/>
            </w:tcBorders>
          </w:tcPr>
          <w:p w:rsidR="00F53A97" w:rsidRPr="008C7813" w:rsidRDefault="008C7813">
            <w:pPr>
              <w:spacing w:line="230" w:lineRule="auto"/>
              <w:jc w:val="center"/>
            </w:pPr>
            <w:r w:rsidRPr="008C781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8C7813" w:rsidRDefault="00F53A97">
            <w:pPr>
              <w:pStyle w:val="Normaltindrag"/>
              <w:jc w:val="center"/>
            </w:pPr>
          </w:p>
          <w:p w:rsidR="00F53A97" w:rsidRPr="008C7813" w:rsidRDefault="00F53A97">
            <w:pPr>
              <w:pStyle w:val="StatusSida1"/>
            </w:pPr>
          </w:p>
          <w:p w:rsidR="00F53A97" w:rsidRPr="008C7813" w:rsidRDefault="00F53A97">
            <w:pPr>
              <w:pStyle w:val="UtskriftsdatumSida1"/>
              <w:framePr w:wrap="around"/>
            </w:pPr>
          </w:p>
        </w:tc>
      </w:tr>
      <w:tr w:rsidR="00F53A97" w:rsidRPr="008C7813">
        <w:tblPrEx>
          <w:tblCellMar>
            <w:top w:w="0" w:type="dxa"/>
            <w:bottom w:w="0" w:type="dxa"/>
          </w:tblCellMar>
        </w:tblPrEx>
        <w:trPr>
          <w:cantSplit/>
        </w:trPr>
        <w:tc>
          <w:tcPr>
            <w:tcW w:w="6024" w:type="dxa"/>
            <w:gridSpan w:val="2"/>
            <w:tcBorders>
              <w:bottom w:val="single" w:sz="4" w:space="0" w:color="auto"/>
            </w:tcBorders>
          </w:tcPr>
          <w:p w:rsidR="00F53A97" w:rsidRPr="008C7813" w:rsidRDefault="000973A8">
            <w:pPr>
              <w:pStyle w:val="DokumentRubrik"/>
              <w:rPr>
                <w:noProof w:val="0"/>
              </w:rPr>
            </w:pPr>
            <w:bookmarkStart w:id="1" w:name="Huvudrubrik"/>
            <w:bookmarkEnd w:id="1"/>
            <w:r w:rsidRPr="008C7813">
              <w:rPr>
                <w:noProof w:val="0"/>
              </w:rPr>
              <w:t>Utgiftsområde 6 Försvar samt beredskap mot sårbarhet</w:t>
            </w:r>
          </w:p>
        </w:tc>
        <w:tc>
          <w:tcPr>
            <w:tcW w:w="1418" w:type="dxa"/>
            <w:tcBorders>
              <w:bottom w:val="nil"/>
            </w:tcBorders>
          </w:tcPr>
          <w:p w:rsidR="00F53A97" w:rsidRPr="008C7813" w:rsidRDefault="00F53A97"/>
        </w:tc>
      </w:tr>
      <w:tr w:rsidR="00F53A97" w:rsidRPr="008C7813">
        <w:tblPrEx>
          <w:tblCellMar>
            <w:top w:w="0" w:type="dxa"/>
            <w:bottom w:w="0" w:type="dxa"/>
          </w:tblCellMar>
        </w:tblPrEx>
        <w:trPr>
          <w:cantSplit/>
          <w:trHeight w:hRule="exact" w:val="360"/>
        </w:trPr>
        <w:tc>
          <w:tcPr>
            <w:tcW w:w="3012" w:type="dxa"/>
          </w:tcPr>
          <w:p w:rsidR="00F53A97" w:rsidRPr="008C7813" w:rsidRDefault="00F53A97"/>
        </w:tc>
        <w:tc>
          <w:tcPr>
            <w:tcW w:w="3012" w:type="dxa"/>
          </w:tcPr>
          <w:p w:rsidR="00F53A97" w:rsidRPr="008C7813" w:rsidRDefault="00F53A97"/>
        </w:tc>
        <w:tc>
          <w:tcPr>
            <w:tcW w:w="1418" w:type="dxa"/>
          </w:tcPr>
          <w:p w:rsidR="00F53A97" w:rsidRPr="008C7813" w:rsidRDefault="00F53A97"/>
        </w:tc>
      </w:tr>
    </w:tbl>
    <w:p w:rsidR="000973A8" w:rsidRPr="008C7813" w:rsidRDefault="000973A8" w:rsidP="00704813">
      <w:pPr>
        <w:pStyle w:val="R1"/>
      </w:pPr>
      <w:r w:rsidRPr="008C7813">
        <w:t>Till finansutskottet</w:t>
      </w:r>
    </w:p>
    <w:p w:rsidR="00AB035D" w:rsidRPr="008C7813" w:rsidRDefault="00AB035D" w:rsidP="00A173FE">
      <w:pPr>
        <w:spacing w:before="0"/>
      </w:pPr>
      <w:r w:rsidRPr="008C7813">
        <w:t>Finansutskottet har berett försvarsutskottet tillfälle att yttra sig över propos</w:t>
      </w:r>
      <w:r w:rsidRPr="008C7813">
        <w:t>i</w:t>
      </w:r>
      <w:r w:rsidRPr="008C7813">
        <w:t>tion 2005/06:1 Budgetpropositionen för 2006 jämte motioner, såvitt avser fö</w:t>
      </w:r>
      <w:r w:rsidRPr="008C7813">
        <w:t>r</w:t>
      </w:r>
      <w:r w:rsidRPr="008C7813">
        <w:t>svarsutskottets beredningsområde.</w:t>
      </w:r>
    </w:p>
    <w:p w:rsidR="00AB035D" w:rsidRPr="008C7813" w:rsidRDefault="00AB035D" w:rsidP="00AB035D">
      <w:r w:rsidRPr="008C7813">
        <w:t>Utgiftsområdet omfattar</w:t>
      </w:r>
      <w:r w:rsidR="00095F3E" w:rsidRPr="008C7813">
        <w:t xml:space="preserve"> följande</w:t>
      </w:r>
      <w:r w:rsidR="00FC7DF1" w:rsidRPr="008C7813">
        <w:t xml:space="preserve"> </w:t>
      </w:r>
      <w:r w:rsidRPr="008C7813">
        <w:t xml:space="preserve">politikområden: </w:t>
      </w:r>
    </w:p>
    <w:p w:rsidR="00095F3E" w:rsidRPr="008C7813" w:rsidRDefault="00FC7DF1" w:rsidP="00095F3E">
      <w:pPr>
        <w:numPr>
          <w:ilvl w:val="0"/>
          <w:numId w:val="12"/>
        </w:numPr>
        <w:tabs>
          <w:tab w:val="clear" w:pos="720"/>
          <w:tab w:val="num" w:pos="380"/>
        </w:tabs>
        <w:ind w:hanging="720"/>
      </w:pPr>
      <w:r w:rsidRPr="008C7813">
        <w:t>Total</w:t>
      </w:r>
      <w:r w:rsidR="00AB035D" w:rsidRPr="008C7813">
        <w:t>försvar</w:t>
      </w:r>
    </w:p>
    <w:p w:rsidR="00AB035D" w:rsidRPr="008C7813" w:rsidRDefault="00AB035D" w:rsidP="00095F3E">
      <w:pPr>
        <w:numPr>
          <w:ilvl w:val="0"/>
          <w:numId w:val="12"/>
        </w:numPr>
        <w:tabs>
          <w:tab w:val="clear" w:pos="720"/>
          <w:tab w:val="num" w:pos="380"/>
        </w:tabs>
        <w:ind w:hanging="720"/>
      </w:pPr>
      <w:r w:rsidRPr="008C7813">
        <w:t>Skydd och beredskap mot olyckor och svåra påfrestnin</w:t>
      </w:r>
      <w:r w:rsidRPr="008C7813">
        <w:t>g</w:t>
      </w:r>
      <w:r w:rsidRPr="008C7813">
        <w:t>ar.</w:t>
      </w:r>
    </w:p>
    <w:p w:rsidR="00AB035D" w:rsidRPr="008C7813" w:rsidRDefault="00AB035D" w:rsidP="00AB035D"/>
    <w:p w:rsidR="008465E7" w:rsidRPr="008C7813" w:rsidRDefault="00F960F1" w:rsidP="00704813">
      <w:pPr>
        <w:pStyle w:val="R1"/>
        <w:spacing w:before="375" w:after="360"/>
      </w:pPr>
      <w:bookmarkStart w:id="2" w:name="_Toc116973489"/>
      <w:r w:rsidRPr="008C7813">
        <w:t>Propositionen</w:t>
      </w:r>
      <w:bookmarkEnd w:id="2"/>
    </w:p>
    <w:p w:rsidR="00006E58" w:rsidRPr="008C7813" w:rsidRDefault="008465E7" w:rsidP="00EC1760">
      <w:pPr>
        <w:spacing w:before="0"/>
      </w:pPr>
      <w:r w:rsidRPr="008C7813">
        <w:rPr>
          <w:i/>
        </w:rPr>
        <w:t>Regeringen föreslår</w:t>
      </w:r>
      <w:r w:rsidRPr="008C7813">
        <w:t xml:space="preserve"> att till utgiftsområde 6 anvisas 43 433 miljoner kr</w:t>
      </w:r>
      <w:r w:rsidR="00095F3E" w:rsidRPr="008C7813">
        <w:t>onor</w:t>
      </w:r>
      <w:r w:rsidRPr="008C7813">
        <w:t xml:space="preserve"> för år 2006.</w:t>
      </w:r>
      <w:r w:rsidR="00006E58" w:rsidRPr="008C7813">
        <w:t xml:space="preserve"> </w:t>
      </w:r>
    </w:p>
    <w:p w:rsidR="00006E58" w:rsidRPr="008C7813" w:rsidRDefault="00006E58" w:rsidP="00006E58">
      <w:r w:rsidRPr="008C7813">
        <w:t>Förändringen av utgiftsramen i förhållande till innevarande år</w:t>
      </w:r>
      <w:r w:rsidR="0059534B" w:rsidRPr="008C7813">
        <w:t>,</w:t>
      </w:r>
      <w:r w:rsidRPr="008C7813">
        <w:t xml:space="preserve"> består i huvud</w:t>
      </w:r>
      <w:r w:rsidRPr="008C7813">
        <w:softHyphen/>
        <w:t>sak av den inriktning för den ekonomiska ramen för utgiftsområdet som rik</w:t>
      </w:r>
      <w:r w:rsidRPr="008C7813">
        <w:t>s</w:t>
      </w:r>
      <w:r w:rsidRPr="008C7813">
        <w:t>dagen beslutat för peri</w:t>
      </w:r>
      <w:r w:rsidRPr="008C7813">
        <w:t>o</w:t>
      </w:r>
      <w:r w:rsidR="00095F3E" w:rsidRPr="008C7813">
        <w:t>den 2005–</w:t>
      </w:r>
      <w:r w:rsidRPr="008C7813">
        <w:t xml:space="preserve">2007 (prop. 2004/05:5, bet. 2004/05:FöU5, rskr. 2004/05:143). </w:t>
      </w:r>
    </w:p>
    <w:p w:rsidR="00006E58" w:rsidRPr="008C7813" w:rsidRDefault="00006E58" w:rsidP="00006E58">
      <w:pPr>
        <w:pStyle w:val="Normaltindrag"/>
      </w:pPr>
      <w:r w:rsidRPr="008C7813">
        <w:t xml:space="preserve">Beslutet </w:t>
      </w:r>
      <w:r w:rsidR="00095F3E" w:rsidRPr="008C7813">
        <w:t>inne</w:t>
      </w:r>
      <w:r w:rsidRPr="008C7813">
        <w:t>bär en minskning av ramen i förhållande till 2004, i samma års prisläge, med 600 miljoner kronor 2005, 1</w:t>
      </w:r>
      <w:r w:rsidR="00095F3E" w:rsidRPr="008C7813">
        <w:t>,5 miljarder kronor 2006 och 3 m</w:t>
      </w:r>
      <w:r w:rsidRPr="008C7813">
        <w:t>iljarder kronor 2007. Genom riksdagens beslut om stat</w:t>
      </w:r>
      <w:r w:rsidRPr="008C7813">
        <w:t>s</w:t>
      </w:r>
      <w:r w:rsidRPr="008C7813">
        <w:t xml:space="preserve">budget för 2005 genomfördes minskningen med 600 miljoner kronor. </w:t>
      </w:r>
    </w:p>
    <w:p w:rsidR="00006E58" w:rsidRPr="008C7813" w:rsidRDefault="00941CB3" w:rsidP="00006E58">
      <w:pPr>
        <w:pStyle w:val="Normaltindrag"/>
      </w:pPr>
      <w:r w:rsidRPr="008C7813">
        <w:t>I före</w:t>
      </w:r>
      <w:r w:rsidR="00006E58" w:rsidRPr="008C7813">
        <w:t>liggande förslag till statsbudget minskas ramen för 2006 med ytterl</w:t>
      </w:r>
      <w:r w:rsidR="00006E58" w:rsidRPr="008C7813">
        <w:t>i</w:t>
      </w:r>
      <w:r w:rsidR="00006E58" w:rsidRPr="008C7813">
        <w:t>gare 900 miljoner kr</w:t>
      </w:r>
      <w:r w:rsidRPr="008C7813">
        <w:t>onor</w:t>
      </w:r>
      <w:r w:rsidR="00006E58" w:rsidRPr="008C7813">
        <w:t xml:space="preserve"> och år 2007 beräknas e</w:t>
      </w:r>
      <w:r w:rsidRPr="008C7813">
        <w:t>n minskning med ytterligare 1,5 </w:t>
      </w:r>
      <w:r w:rsidR="00006E58" w:rsidRPr="008C7813">
        <w:t>miljarder kr</w:t>
      </w:r>
      <w:r w:rsidRPr="008C7813">
        <w:t>onor.</w:t>
      </w:r>
      <w:r w:rsidR="00006E58" w:rsidRPr="008C7813">
        <w:t xml:space="preserve"> Därmed har en minskning med 3 miljarder kronor gjorts i förhållande till budgetåret 2004. I löpande priser ökar dock ramen för u</w:t>
      </w:r>
      <w:r w:rsidR="00006E58" w:rsidRPr="008C7813">
        <w:t>t</w:t>
      </w:r>
      <w:r w:rsidRPr="008C7813">
        <w:t>gifts</w:t>
      </w:r>
      <w:r w:rsidR="00006E58" w:rsidRPr="008C7813">
        <w:t xml:space="preserve">området till </w:t>
      </w:r>
      <w:r w:rsidRPr="008C7813">
        <w:t>följd av pris- och löne</w:t>
      </w:r>
      <w:r w:rsidR="00006E58" w:rsidRPr="008C7813">
        <w:t>omräkningen.</w:t>
      </w:r>
    </w:p>
    <w:p w:rsidR="005C0229" w:rsidRPr="008C7813" w:rsidRDefault="005C0229" w:rsidP="005C0229"/>
    <w:p w:rsidR="008465E7" w:rsidRPr="008C7813" w:rsidRDefault="008465E7" w:rsidP="00A34FF2">
      <w:pPr>
        <w:pStyle w:val="Tabellrubrik"/>
      </w:pPr>
      <w:bookmarkStart w:id="3" w:name="_Toc114546401"/>
      <w:r w:rsidRPr="008C7813">
        <w:lastRenderedPageBreak/>
        <w:t>Utgiftsutveckling inom utgiftsområdet</w:t>
      </w:r>
      <w:bookmarkEnd w:id="3"/>
    </w:p>
    <w:p w:rsidR="008465E7" w:rsidRPr="008C7813" w:rsidRDefault="008465E7" w:rsidP="00704813">
      <w:pPr>
        <w:pStyle w:val="TabellUnderrubrik"/>
        <w:spacing w:after="0"/>
        <w:rPr>
          <w:rFonts w:ascii="Times New Roman" w:hAnsi="Times New Roman"/>
          <w:sz w:val="16"/>
          <w:szCs w:val="16"/>
        </w:rPr>
      </w:pPr>
      <w:r w:rsidRPr="008C7813">
        <w:rPr>
          <w:rFonts w:ascii="Times New Roman" w:hAnsi="Times New Roman"/>
          <w:sz w:val="16"/>
          <w:szCs w:val="16"/>
        </w:rPr>
        <w:t>Miljoner kronor</w:t>
      </w:r>
    </w:p>
    <w:tbl>
      <w:tblPr>
        <w:tblW w:w="4965" w:type="pct"/>
        <w:tblInd w:w="71" w:type="dxa"/>
        <w:tblLayout w:type="fixed"/>
        <w:tblCellMar>
          <w:left w:w="71" w:type="dxa"/>
          <w:right w:w="71" w:type="dxa"/>
        </w:tblCellMar>
        <w:tblLook w:val="0000" w:firstRow="0" w:lastRow="0" w:firstColumn="0" w:lastColumn="0" w:noHBand="0" w:noVBand="0"/>
      </w:tblPr>
      <w:tblGrid>
        <w:gridCol w:w="1539"/>
        <w:gridCol w:w="702"/>
        <w:gridCol w:w="702"/>
        <w:gridCol w:w="702"/>
        <w:gridCol w:w="702"/>
        <w:gridCol w:w="755"/>
        <w:gridCol w:w="809"/>
      </w:tblGrid>
      <w:tr w:rsidR="006C7DAA" w:rsidRPr="008C7813">
        <w:tblPrEx>
          <w:tblCellMar>
            <w:top w:w="0" w:type="dxa"/>
            <w:bottom w:w="0" w:type="dxa"/>
          </w:tblCellMar>
        </w:tblPrEx>
        <w:tc>
          <w:tcPr>
            <w:tcW w:w="1301" w:type="pct"/>
            <w:tcBorders>
              <w:top w:val="single" w:sz="4" w:space="0" w:color="auto"/>
              <w:bottom w:val="single" w:sz="4" w:space="0" w:color="auto"/>
            </w:tcBorders>
            <w:vAlign w:val="bottom"/>
          </w:tcPr>
          <w:p w:rsidR="008465E7" w:rsidRPr="008C7813" w:rsidRDefault="008465E7" w:rsidP="006C7DAA">
            <w:pPr>
              <w:pStyle w:val="Tabelltext"/>
            </w:pPr>
            <w:r w:rsidRPr="008C7813">
              <w:t> </w:t>
            </w:r>
          </w:p>
        </w:tc>
        <w:tc>
          <w:tcPr>
            <w:tcW w:w="594" w:type="pct"/>
            <w:tcBorders>
              <w:top w:val="single" w:sz="4" w:space="0" w:color="auto"/>
              <w:bottom w:val="single" w:sz="4" w:space="0" w:color="auto"/>
            </w:tcBorders>
            <w:vAlign w:val="bottom"/>
          </w:tcPr>
          <w:p w:rsidR="008465E7" w:rsidRPr="008C7813" w:rsidRDefault="008465E7" w:rsidP="006C7DAA">
            <w:pPr>
              <w:pStyle w:val="Tabelltextsiffror"/>
            </w:pPr>
            <w:r w:rsidRPr="008C7813">
              <w:t> Utfall</w:t>
            </w:r>
            <w:r w:rsidRPr="008C7813">
              <w:br/>
              <w:t>2004</w:t>
            </w:r>
          </w:p>
        </w:tc>
        <w:tc>
          <w:tcPr>
            <w:tcW w:w="594" w:type="pct"/>
            <w:tcBorders>
              <w:top w:val="single" w:sz="4" w:space="0" w:color="auto"/>
              <w:bottom w:val="single" w:sz="4" w:space="0" w:color="auto"/>
            </w:tcBorders>
            <w:vAlign w:val="bottom"/>
          </w:tcPr>
          <w:p w:rsidR="008465E7" w:rsidRPr="008C7813" w:rsidRDefault="008465E7" w:rsidP="006C7DAA">
            <w:pPr>
              <w:pStyle w:val="Tabelltextsiffror"/>
            </w:pPr>
            <w:r w:rsidRPr="008C7813">
              <w:t> Budget</w:t>
            </w:r>
            <w:r w:rsidRPr="008C7813">
              <w:br/>
              <w:t>2005</w:t>
            </w:r>
            <w:r w:rsidR="00A34493" w:rsidRPr="008C7813">
              <w:rPr>
                <w:rStyle w:val="Fotnotsreferens"/>
                <w:sz w:val="19"/>
                <w:szCs w:val="19"/>
              </w:rPr>
              <w:t>1</w:t>
            </w:r>
          </w:p>
        </w:tc>
        <w:tc>
          <w:tcPr>
            <w:tcW w:w="594" w:type="pct"/>
            <w:tcBorders>
              <w:top w:val="single" w:sz="4" w:space="0" w:color="auto"/>
              <w:bottom w:val="single" w:sz="4" w:space="0" w:color="auto"/>
            </w:tcBorders>
            <w:vAlign w:val="bottom"/>
          </w:tcPr>
          <w:p w:rsidR="008465E7" w:rsidRPr="008C7813" w:rsidRDefault="008465E7" w:rsidP="006C7DAA">
            <w:pPr>
              <w:pStyle w:val="Tabelltextsiffror"/>
            </w:pPr>
            <w:r w:rsidRPr="008C7813">
              <w:t> Prognos</w:t>
            </w:r>
            <w:r w:rsidRPr="008C7813">
              <w:br/>
              <w:t>2005</w:t>
            </w:r>
          </w:p>
        </w:tc>
        <w:tc>
          <w:tcPr>
            <w:tcW w:w="594" w:type="pct"/>
            <w:tcBorders>
              <w:top w:val="single" w:sz="4" w:space="0" w:color="auto"/>
              <w:bottom w:val="single" w:sz="4" w:space="0" w:color="auto"/>
            </w:tcBorders>
            <w:vAlign w:val="bottom"/>
          </w:tcPr>
          <w:p w:rsidR="008465E7" w:rsidRPr="008C7813" w:rsidRDefault="008465E7" w:rsidP="006C7DAA">
            <w:pPr>
              <w:pStyle w:val="Tabelltextsiffror"/>
            </w:pPr>
            <w:r w:rsidRPr="008C7813">
              <w:t> Förslag</w:t>
            </w:r>
            <w:r w:rsidRPr="008C7813">
              <w:br/>
              <w:t>2006</w:t>
            </w:r>
          </w:p>
        </w:tc>
        <w:tc>
          <w:tcPr>
            <w:tcW w:w="639" w:type="pct"/>
            <w:tcBorders>
              <w:top w:val="single" w:sz="4" w:space="0" w:color="auto"/>
              <w:bottom w:val="single" w:sz="4" w:space="0" w:color="auto"/>
            </w:tcBorders>
            <w:vAlign w:val="bottom"/>
          </w:tcPr>
          <w:p w:rsidR="008465E7" w:rsidRPr="008C7813" w:rsidRDefault="008465E7" w:rsidP="006C7DAA">
            <w:pPr>
              <w:pStyle w:val="Tabelltextsiffror"/>
            </w:pPr>
            <w:r w:rsidRPr="008C7813">
              <w:t> Berä</w:t>
            </w:r>
            <w:r w:rsidRPr="008C7813">
              <w:t>k</w:t>
            </w:r>
            <w:r w:rsidRPr="008C7813">
              <w:t>nat</w:t>
            </w:r>
            <w:r w:rsidRPr="008C7813">
              <w:br/>
              <w:t>2007</w:t>
            </w:r>
          </w:p>
        </w:tc>
        <w:tc>
          <w:tcPr>
            <w:tcW w:w="684" w:type="pct"/>
            <w:tcBorders>
              <w:top w:val="single" w:sz="4" w:space="0" w:color="auto"/>
              <w:bottom w:val="single" w:sz="4" w:space="0" w:color="auto"/>
            </w:tcBorders>
            <w:vAlign w:val="bottom"/>
          </w:tcPr>
          <w:p w:rsidR="008465E7" w:rsidRPr="008C7813" w:rsidRDefault="008465E7" w:rsidP="006C7DAA">
            <w:pPr>
              <w:pStyle w:val="Tabelltextsiffror"/>
            </w:pPr>
            <w:r w:rsidRPr="008C7813">
              <w:t> Berä</w:t>
            </w:r>
            <w:r w:rsidRPr="008C7813">
              <w:t>k</w:t>
            </w:r>
            <w:r w:rsidRPr="008C7813">
              <w:t>nat</w:t>
            </w:r>
            <w:r w:rsidRPr="008C7813">
              <w:br/>
              <w:t>2008</w:t>
            </w:r>
          </w:p>
        </w:tc>
      </w:tr>
      <w:tr w:rsidR="006C7DAA" w:rsidRPr="008C7813">
        <w:tblPrEx>
          <w:tblCellMar>
            <w:top w:w="0" w:type="dxa"/>
            <w:bottom w:w="0" w:type="dxa"/>
          </w:tblCellMar>
        </w:tblPrEx>
        <w:tc>
          <w:tcPr>
            <w:tcW w:w="1301" w:type="pct"/>
            <w:tcBorders>
              <w:top w:val="single" w:sz="4" w:space="0" w:color="auto"/>
            </w:tcBorders>
            <w:vAlign w:val="bottom"/>
          </w:tcPr>
          <w:p w:rsidR="008465E7" w:rsidRPr="008C7813" w:rsidRDefault="008465E7" w:rsidP="006C7DAA">
            <w:pPr>
              <w:pStyle w:val="Tabelltext"/>
            </w:pPr>
            <w:r w:rsidRPr="008C7813">
              <w:t>Politikområde Skydd och bere</w:t>
            </w:r>
            <w:r w:rsidRPr="008C7813">
              <w:t>d</w:t>
            </w:r>
            <w:r w:rsidRPr="008C7813">
              <w:t>skap mot olyckor och svåra påfres</w:t>
            </w:r>
            <w:r w:rsidRPr="008C7813">
              <w:t>t</w:t>
            </w:r>
            <w:r w:rsidRPr="008C7813">
              <w:t>ningar</w:t>
            </w:r>
          </w:p>
        </w:tc>
        <w:tc>
          <w:tcPr>
            <w:tcW w:w="594" w:type="pct"/>
            <w:tcBorders>
              <w:top w:val="single" w:sz="4" w:space="0" w:color="auto"/>
            </w:tcBorders>
            <w:vAlign w:val="bottom"/>
          </w:tcPr>
          <w:p w:rsidR="008465E7" w:rsidRPr="008C7813" w:rsidRDefault="008465E7" w:rsidP="006C7DAA">
            <w:pPr>
              <w:pStyle w:val="Tabelltextsiffror"/>
            </w:pPr>
            <w:r w:rsidRPr="008C7813">
              <w:t>2 906</w:t>
            </w:r>
          </w:p>
        </w:tc>
        <w:tc>
          <w:tcPr>
            <w:tcW w:w="594" w:type="pct"/>
            <w:tcBorders>
              <w:top w:val="single" w:sz="4" w:space="0" w:color="auto"/>
            </w:tcBorders>
            <w:vAlign w:val="bottom"/>
          </w:tcPr>
          <w:p w:rsidR="008465E7" w:rsidRPr="008C7813" w:rsidRDefault="008465E7" w:rsidP="006C7DAA">
            <w:pPr>
              <w:pStyle w:val="Tabelltextsiffror"/>
            </w:pPr>
            <w:r w:rsidRPr="008C7813">
              <w:t>3 380</w:t>
            </w:r>
          </w:p>
        </w:tc>
        <w:tc>
          <w:tcPr>
            <w:tcW w:w="594" w:type="pct"/>
            <w:tcBorders>
              <w:top w:val="single" w:sz="4" w:space="0" w:color="auto"/>
            </w:tcBorders>
            <w:vAlign w:val="bottom"/>
          </w:tcPr>
          <w:p w:rsidR="008465E7" w:rsidRPr="008C7813" w:rsidRDefault="008465E7" w:rsidP="006C7DAA">
            <w:pPr>
              <w:pStyle w:val="Tabelltextsiffror"/>
            </w:pPr>
            <w:r w:rsidRPr="008C7813">
              <w:t>3 071</w:t>
            </w:r>
          </w:p>
        </w:tc>
        <w:tc>
          <w:tcPr>
            <w:tcW w:w="594" w:type="pct"/>
            <w:tcBorders>
              <w:top w:val="single" w:sz="4" w:space="0" w:color="auto"/>
            </w:tcBorders>
            <w:vAlign w:val="bottom"/>
          </w:tcPr>
          <w:p w:rsidR="008465E7" w:rsidRPr="008C7813" w:rsidRDefault="008465E7" w:rsidP="006C7DAA">
            <w:pPr>
              <w:pStyle w:val="Tabelltextsiffror"/>
            </w:pPr>
            <w:r w:rsidRPr="008C7813">
              <w:t>3 420</w:t>
            </w:r>
          </w:p>
        </w:tc>
        <w:tc>
          <w:tcPr>
            <w:tcW w:w="639" w:type="pct"/>
            <w:tcBorders>
              <w:top w:val="single" w:sz="4" w:space="0" w:color="auto"/>
            </w:tcBorders>
            <w:vAlign w:val="bottom"/>
          </w:tcPr>
          <w:p w:rsidR="008465E7" w:rsidRPr="008C7813" w:rsidRDefault="008465E7" w:rsidP="006C7DAA">
            <w:pPr>
              <w:pStyle w:val="Tabelltextsiffror"/>
            </w:pPr>
            <w:r w:rsidRPr="008C7813">
              <w:t>3 365</w:t>
            </w:r>
          </w:p>
        </w:tc>
        <w:tc>
          <w:tcPr>
            <w:tcW w:w="684" w:type="pct"/>
            <w:tcBorders>
              <w:top w:val="single" w:sz="4" w:space="0" w:color="auto"/>
            </w:tcBorders>
            <w:vAlign w:val="bottom"/>
          </w:tcPr>
          <w:p w:rsidR="008465E7" w:rsidRPr="008C7813" w:rsidRDefault="008465E7" w:rsidP="006C7DAA">
            <w:pPr>
              <w:pStyle w:val="Tabelltextsiffror"/>
            </w:pPr>
            <w:r w:rsidRPr="008C7813">
              <w:t>3 466</w:t>
            </w:r>
          </w:p>
        </w:tc>
      </w:tr>
      <w:tr w:rsidR="006C7DAA" w:rsidRPr="008C7813">
        <w:tblPrEx>
          <w:tblCellMar>
            <w:top w:w="0" w:type="dxa"/>
            <w:bottom w:w="0" w:type="dxa"/>
          </w:tblCellMar>
        </w:tblPrEx>
        <w:tc>
          <w:tcPr>
            <w:tcW w:w="1301" w:type="pct"/>
            <w:vAlign w:val="bottom"/>
          </w:tcPr>
          <w:p w:rsidR="008465E7" w:rsidRPr="008C7813" w:rsidRDefault="008465E7" w:rsidP="006C7DAA">
            <w:pPr>
              <w:pStyle w:val="Tabelltext"/>
            </w:pPr>
            <w:r w:rsidRPr="008C7813">
              <w:t>Politikområde Tota</w:t>
            </w:r>
            <w:r w:rsidRPr="008C7813">
              <w:t>l</w:t>
            </w:r>
            <w:r w:rsidRPr="008C7813">
              <w:t>försvar</w:t>
            </w:r>
          </w:p>
        </w:tc>
        <w:tc>
          <w:tcPr>
            <w:tcW w:w="594" w:type="pct"/>
            <w:vAlign w:val="bottom"/>
          </w:tcPr>
          <w:p w:rsidR="008465E7" w:rsidRPr="008C7813" w:rsidRDefault="008465E7" w:rsidP="006C7DAA">
            <w:pPr>
              <w:pStyle w:val="Tabelltextsiffror"/>
            </w:pPr>
            <w:r w:rsidRPr="008C7813">
              <w:t>39 940</w:t>
            </w:r>
          </w:p>
        </w:tc>
        <w:tc>
          <w:tcPr>
            <w:tcW w:w="594" w:type="pct"/>
            <w:vAlign w:val="bottom"/>
          </w:tcPr>
          <w:p w:rsidR="008465E7" w:rsidRPr="008C7813" w:rsidRDefault="008465E7" w:rsidP="006C7DAA">
            <w:pPr>
              <w:pStyle w:val="Tabelltextsiffror"/>
            </w:pPr>
            <w:r w:rsidRPr="008C7813">
              <w:t>40 675</w:t>
            </w:r>
          </w:p>
        </w:tc>
        <w:tc>
          <w:tcPr>
            <w:tcW w:w="594" w:type="pct"/>
            <w:vAlign w:val="bottom"/>
          </w:tcPr>
          <w:p w:rsidR="008465E7" w:rsidRPr="008C7813" w:rsidRDefault="008465E7" w:rsidP="006C7DAA">
            <w:pPr>
              <w:pStyle w:val="Tabelltextsiffror"/>
            </w:pPr>
            <w:r w:rsidRPr="008C7813">
              <w:t>40 579</w:t>
            </w:r>
          </w:p>
        </w:tc>
        <w:tc>
          <w:tcPr>
            <w:tcW w:w="594" w:type="pct"/>
            <w:vAlign w:val="bottom"/>
          </w:tcPr>
          <w:p w:rsidR="008465E7" w:rsidRPr="008C7813" w:rsidRDefault="008465E7" w:rsidP="006C7DAA">
            <w:pPr>
              <w:pStyle w:val="Tabelltextsiffror"/>
            </w:pPr>
            <w:r w:rsidRPr="008C7813">
              <w:t>40 013</w:t>
            </w:r>
          </w:p>
        </w:tc>
        <w:tc>
          <w:tcPr>
            <w:tcW w:w="639" w:type="pct"/>
            <w:vAlign w:val="bottom"/>
          </w:tcPr>
          <w:p w:rsidR="008465E7" w:rsidRPr="008C7813" w:rsidRDefault="008465E7" w:rsidP="006C7DAA">
            <w:pPr>
              <w:pStyle w:val="Tabelltextsiffror"/>
            </w:pPr>
            <w:r w:rsidRPr="008C7813">
              <w:t>39 336</w:t>
            </w:r>
          </w:p>
        </w:tc>
        <w:tc>
          <w:tcPr>
            <w:tcW w:w="684" w:type="pct"/>
            <w:vAlign w:val="bottom"/>
          </w:tcPr>
          <w:p w:rsidR="008465E7" w:rsidRPr="008C7813" w:rsidRDefault="008465E7" w:rsidP="006C7DAA">
            <w:pPr>
              <w:pStyle w:val="Tabelltextsiffror"/>
            </w:pPr>
            <w:r w:rsidRPr="008C7813">
              <w:t>40 327</w:t>
            </w:r>
          </w:p>
        </w:tc>
      </w:tr>
      <w:tr w:rsidR="006C7DAA" w:rsidRPr="008C7813">
        <w:tblPrEx>
          <w:tblCellMar>
            <w:top w:w="0" w:type="dxa"/>
            <w:bottom w:w="0" w:type="dxa"/>
          </w:tblCellMar>
        </w:tblPrEx>
        <w:tc>
          <w:tcPr>
            <w:tcW w:w="1301" w:type="pct"/>
            <w:tcBorders>
              <w:bottom w:val="single" w:sz="4" w:space="0" w:color="auto"/>
            </w:tcBorders>
            <w:vAlign w:val="bottom"/>
          </w:tcPr>
          <w:p w:rsidR="008465E7" w:rsidRPr="008C7813" w:rsidRDefault="008465E7" w:rsidP="006C7DAA">
            <w:pPr>
              <w:pStyle w:val="Tabelltext"/>
            </w:pPr>
            <w:r w:rsidRPr="008C7813">
              <w:t>Totalt för utgiftso</w:t>
            </w:r>
            <w:r w:rsidRPr="008C7813">
              <w:t>m</w:t>
            </w:r>
            <w:r w:rsidRPr="008C7813">
              <w:t>råde 6</w:t>
            </w:r>
          </w:p>
        </w:tc>
        <w:tc>
          <w:tcPr>
            <w:tcW w:w="594" w:type="pct"/>
            <w:tcBorders>
              <w:bottom w:val="single" w:sz="4" w:space="0" w:color="auto"/>
            </w:tcBorders>
            <w:vAlign w:val="bottom"/>
          </w:tcPr>
          <w:p w:rsidR="008465E7" w:rsidRPr="008C7813" w:rsidRDefault="008465E7" w:rsidP="006C7DAA">
            <w:pPr>
              <w:pStyle w:val="Tabelltextsiffror"/>
            </w:pPr>
            <w:r w:rsidRPr="008C7813">
              <w:t>42 846</w:t>
            </w:r>
          </w:p>
        </w:tc>
        <w:tc>
          <w:tcPr>
            <w:tcW w:w="594" w:type="pct"/>
            <w:tcBorders>
              <w:bottom w:val="single" w:sz="4" w:space="0" w:color="auto"/>
            </w:tcBorders>
            <w:vAlign w:val="bottom"/>
          </w:tcPr>
          <w:p w:rsidR="008465E7" w:rsidRPr="008C7813" w:rsidRDefault="008465E7" w:rsidP="006C7DAA">
            <w:pPr>
              <w:pStyle w:val="Tabelltextsiffror"/>
            </w:pPr>
            <w:r w:rsidRPr="008C7813">
              <w:t>44 055</w:t>
            </w:r>
          </w:p>
        </w:tc>
        <w:tc>
          <w:tcPr>
            <w:tcW w:w="594" w:type="pct"/>
            <w:tcBorders>
              <w:bottom w:val="single" w:sz="4" w:space="0" w:color="auto"/>
            </w:tcBorders>
            <w:vAlign w:val="bottom"/>
          </w:tcPr>
          <w:p w:rsidR="008465E7" w:rsidRPr="008C7813" w:rsidRDefault="008465E7" w:rsidP="006C7DAA">
            <w:pPr>
              <w:pStyle w:val="Tabelltextsiffror"/>
            </w:pPr>
            <w:r w:rsidRPr="008C7813">
              <w:t>43 650</w:t>
            </w:r>
          </w:p>
        </w:tc>
        <w:tc>
          <w:tcPr>
            <w:tcW w:w="594" w:type="pct"/>
            <w:tcBorders>
              <w:bottom w:val="single" w:sz="4" w:space="0" w:color="auto"/>
            </w:tcBorders>
            <w:vAlign w:val="bottom"/>
          </w:tcPr>
          <w:p w:rsidR="008465E7" w:rsidRPr="008C7813" w:rsidRDefault="008465E7" w:rsidP="006C7DAA">
            <w:pPr>
              <w:pStyle w:val="Tabelltextsiffror"/>
            </w:pPr>
            <w:r w:rsidRPr="008C7813">
              <w:t>43 433</w:t>
            </w:r>
          </w:p>
        </w:tc>
        <w:tc>
          <w:tcPr>
            <w:tcW w:w="639" w:type="pct"/>
            <w:tcBorders>
              <w:bottom w:val="single" w:sz="4" w:space="0" w:color="auto"/>
            </w:tcBorders>
            <w:vAlign w:val="bottom"/>
          </w:tcPr>
          <w:p w:rsidR="008465E7" w:rsidRPr="008C7813" w:rsidRDefault="008465E7" w:rsidP="006C7DAA">
            <w:pPr>
              <w:pStyle w:val="Tabelltextsiffror"/>
            </w:pPr>
            <w:r w:rsidRPr="008C7813">
              <w:t>42 701</w:t>
            </w:r>
          </w:p>
        </w:tc>
        <w:tc>
          <w:tcPr>
            <w:tcW w:w="684" w:type="pct"/>
            <w:tcBorders>
              <w:bottom w:val="single" w:sz="4" w:space="0" w:color="auto"/>
            </w:tcBorders>
            <w:vAlign w:val="bottom"/>
          </w:tcPr>
          <w:p w:rsidR="008465E7" w:rsidRPr="008C7813" w:rsidRDefault="008465E7" w:rsidP="006C7DAA">
            <w:pPr>
              <w:pStyle w:val="Tabelltextsiffror"/>
            </w:pPr>
            <w:r w:rsidRPr="008C7813">
              <w:t>43 792</w:t>
            </w:r>
          </w:p>
        </w:tc>
      </w:tr>
    </w:tbl>
    <w:p w:rsidR="008465E7" w:rsidRPr="008C7813" w:rsidRDefault="00A34493" w:rsidP="00704813">
      <w:pPr>
        <w:spacing w:line="200" w:lineRule="exact"/>
        <w:rPr>
          <w:rStyle w:val="FotnotstextChar"/>
        </w:rPr>
      </w:pPr>
      <w:r w:rsidRPr="008C7813">
        <w:rPr>
          <w:rStyle w:val="Fotnotsreferens"/>
        </w:rPr>
        <w:t xml:space="preserve">1 </w:t>
      </w:r>
      <w:r w:rsidR="008465E7" w:rsidRPr="008C7813">
        <w:rPr>
          <w:rStyle w:val="FotnotstextChar"/>
        </w:rPr>
        <w:t>Inklusive tilläggsbudget i samband med 200</w:t>
      </w:r>
      <w:r w:rsidR="006C7DAA" w:rsidRPr="008C7813">
        <w:rPr>
          <w:rStyle w:val="FotnotstextChar"/>
        </w:rPr>
        <w:t xml:space="preserve">5 års ekonomiska vårproposition </w:t>
      </w:r>
      <w:r w:rsidR="008465E7" w:rsidRPr="008C7813">
        <w:rPr>
          <w:rStyle w:val="FotnotstextChar"/>
        </w:rPr>
        <w:t>(bet. 2004/05:FiU21) och förslag på tilläggsbudget i samband med budgetpropositi</w:t>
      </w:r>
      <w:r w:rsidR="008465E7" w:rsidRPr="008C7813">
        <w:rPr>
          <w:rStyle w:val="FotnotstextChar"/>
        </w:rPr>
        <w:t>o</w:t>
      </w:r>
      <w:r w:rsidR="008465E7" w:rsidRPr="008C7813">
        <w:rPr>
          <w:rStyle w:val="FotnotstextChar"/>
        </w:rPr>
        <w:t>nen för 2006</w:t>
      </w:r>
      <w:r w:rsidR="00A173FE" w:rsidRPr="008C7813">
        <w:rPr>
          <w:rStyle w:val="FotnotstextChar"/>
        </w:rPr>
        <w:t>.</w:t>
      </w:r>
    </w:p>
    <w:p w:rsidR="00985921" w:rsidRPr="008C7813" w:rsidRDefault="00985921" w:rsidP="000973A8">
      <w:bookmarkStart w:id="4" w:name="TextStart"/>
      <w:bookmarkEnd w:id="4"/>
    </w:p>
    <w:p w:rsidR="00F53A97" w:rsidRPr="008C7813" w:rsidRDefault="00985921" w:rsidP="00704813">
      <w:pPr>
        <w:pStyle w:val="R1"/>
        <w:spacing w:before="250" w:after="360"/>
      </w:pPr>
      <w:bookmarkStart w:id="5" w:name="_Toc116973490"/>
      <w:r w:rsidRPr="008C7813">
        <w:t>Motionerna</w:t>
      </w:r>
      <w:bookmarkEnd w:id="5"/>
    </w:p>
    <w:p w:rsidR="004E06C6" w:rsidRPr="008C7813" w:rsidRDefault="004E06C6" w:rsidP="00EC1760">
      <w:pPr>
        <w:spacing w:before="0"/>
      </w:pPr>
      <w:r w:rsidRPr="008C7813">
        <w:t xml:space="preserve">I </w:t>
      </w:r>
      <w:r w:rsidRPr="008C7813">
        <w:rPr>
          <w:i/>
        </w:rPr>
        <w:t>partimotionerna</w:t>
      </w:r>
      <w:r w:rsidRPr="008C7813">
        <w:t xml:space="preserve"> Fi240 av </w:t>
      </w:r>
      <w:r w:rsidRPr="008C7813">
        <w:rPr>
          <w:i/>
        </w:rPr>
        <w:t>Fredrik Reinfeldt m.fl. (m)</w:t>
      </w:r>
      <w:r w:rsidR="00AD4A53" w:rsidRPr="008C7813">
        <w:t>, Fi2</w:t>
      </w:r>
      <w:r w:rsidRPr="008C7813">
        <w:t xml:space="preserve">41 av </w:t>
      </w:r>
      <w:r w:rsidRPr="008C7813">
        <w:rPr>
          <w:i/>
        </w:rPr>
        <w:t>Lars Leijo</w:t>
      </w:r>
      <w:r w:rsidRPr="008C7813">
        <w:rPr>
          <w:i/>
        </w:rPr>
        <w:t>n</w:t>
      </w:r>
      <w:r w:rsidRPr="008C7813">
        <w:rPr>
          <w:i/>
        </w:rPr>
        <w:t>borg m.fl. (fp)</w:t>
      </w:r>
      <w:r w:rsidR="00A173FE" w:rsidRPr="008C7813">
        <w:t>, Fi</w:t>
      </w:r>
      <w:r w:rsidRPr="008C7813">
        <w:t xml:space="preserve">242 av </w:t>
      </w:r>
      <w:r w:rsidRPr="008C7813">
        <w:rPr>
          <w:i/>
        </w:rPr>
        <w:t>Göran Hägglund m.fl</w:t>
      </w:r>
      <w:r w:rsidR="00EA23DC" w:rsidRPr="008C7813">
        <w:rPr>
          <w:i/>
        </w:rPr>
        <w:t>.</w:t>
      </w:r>
      <w:r w:rsidRPr="008C7813">
        <w:rPr>
          <w:i/>
        </w:rPr>
        <w:t xml:space="preserve"> (kd</w:t>
      </w:r>
      <w:r w:rsidRPr="008C7813">
        <w:t xml:space="preserve">) samt Fi243 av </w:t>
      </w:r>
      <w:r w:rsidRPr="008C7813">
        <w:rPr>
          <w:i/>
        </w:rPr>
        <w:t>Maud Olofsson m.fl. (c)</w:t>
      </w:r>
      <w:r w:rsidRPr="008C7813">
        <w:t xml:space="preserve"> föreslås att utgiftsramen ökas med 400 miljoner kr</w:t>
      </w:r>
      <w:r w:rsidR="00A173FE" w:rsidRPr="008C7813">
        <w:t>onor</w:t>
      </w:r>
      <w:r w:rsidRPr="008C7813">
        <w:t xml:space="preserve"> år 2006 jämfört med regeringens förslag.</w:t>
      </w:r>
    </w:p>
    <w:p w:rsidR="004E06C6" w:rsidRPr="008C7813" w:rsidRDefault="004E06C6" w:rsidP="004E06C6">
      <w:r w:rsidRPr="008C7813">
        <w:t>Motionärernas uppfattning är att Sverige skall öka sin förmåga att medverka i inte</w:t>
      </w:r>
      <w:r w:rsidRPr="008C7813">
        <w:t>r</w:t>
      </w:r>
      <w:r w:rsidRPr="008C7813">
        <w:t>nationella operationer. Sverige skall aktivt delta i uppbyggnaden av EU:s nya snabbinsatsstyrkor och på sikt kunna bidra med en egen snabbinsatsstyrka (”battle group”).</w:t>
      </w:r>
    </w:p>
    <w:p w:rsidR="004E06C6" w:rsidRPr="008C7813" w:rsidRDefault="004E06C6" w:rsidP="004E06C6">
      <w:pPr>
        <w:pStyle w:val="Normaltindrag"/>
        <w:rPr>
          <w:color w:val="000000"/>
          <w:szCs w:val="19"/>
        </w:rPr>
      </w:pPr>
      <w:r w:rsidRPr="008C7813">
        <w:t xml:space="preserve">Risken att omställningskostnaderna inom Försvarsmakten är underskattade liksom att den önskade utvecklingen inte ryms inom </w:t>
      </w:r>
      <w:r w:rsidR="00EA23DC" w:rsidRPr="008C7813">
        <w:t xml:space="preserve">den </w:t>
      </w:r>
      <w:r w:rsidRPr="008C7813">
        <w:t>av regeringen för</w:t>
      </w:r>
      <w:r w:rsidRPr="008C7813">
        <w:t>e</w:t>
      </w:r>
      <w:r w:rsidR="001829E5" w:rsidRPr="008C7813">
        <w:t>slagna</w:t>
      </w:r>
      <w:r w:rsidRPr="008C7813">
        <w:t xml:space="preserve"> ram</w:t>
      </w:r>
      <w:r w:rsidR="00EA23DC" w:rsidRPr="008C7813">
        <w:t>en,</w:t>
      </w:r>
      <w:r w:rsidRPr="008C7813">
        <w:t xml:space="preserve"> innebär att </w:t>
      </w:r>
      <w:r w:rsidR="00B66FEF" w:rsidRPr="008C7813">
        <w:t xml:space="preserve">motionerna </w:t>
      </w:r>
      <w:r w:rsidRPr="008C7813">
        <w:t>förordar en väsentligt mindre besparing på ansl</w:t>
      </w:r>
      <w:r w:rsidRPr="008C7813">
        <w:t>a</w:t>
      </w:r>
      <w:r w:rsidRPr="008C7813">
        <w:t>g</w:t>
      </w:r>
      <w:r w:rsidR="00B66FEF" w:rsidRPr="008C7813">
        <w:t xml:space="preserve">en till Försvarsmakten </w:t>
      </w:r>
      <w:r w:rsidRPr="008C7813">
        <w:t xml:space="preserve">än regeringen. </w:t>
      </w:r>
    </w:p>
    <w:p w:rsidR="004E06C6" w:rsidRPr="008C7813" w:rsidRDefault="004E06C6" w:rsidP="004E06C6">
      <w:r w:rsidRPr="008C7813">
        <w:t xml:space="preserve">I den </w:t>
      </w:r>
      <w:r w:rsidR="001829E5" w:rsidRPr="008C7813">
        <w:t>materiel</w:t>
      </w:r>
      <w:r w:rsidRPr="008C7813">
        <w:t>redovisning regeringen nu lämnar riksdagen anges inte kostn</w:t>
      </w:r>
      <w:r w:rsidRPr="008C7813">
        <w:t>a</w:t>
      </w:r>
      <w:r w:rsidRPr="008C7813">
        <w:t xml:space="preserve">derna för de enskilda materielprojekten, inte heller om materielen finns att köpa på annat håll eller ens om insatsförsvaret har behov av den. Därför är det </w:t>
      </w:r>
      <w:r w:rsidR="00B66FEF" w:rsidRPr="008C7813">
        <w:t xml:space="preserve">enligt motionärernas mening </w:t>
      </w:r>
      <w:r w:rsidRPr="008C7813">
        <w:t>viktigt att den materielplan som föreläggs rik</w:t>
      </w:r>
      <w:r w:rsidRPr="008C7813">
        <w:t>s</w:t>
      </w:r>
      <w:r w:rsidRPr="008C7813">
        <w:t>dagen är spå</w:t>
      </w:r>
      <w:r w:rsidRPr="008C7813">
        <w:t>r</w:t>
      </w:r>
      <w:r w:rsidRPr="008C7813">
        <w:t xml:space="preserve">bar. </w:t>
      </w:r>
    </w:p>
    <w:p w:rsidR="00594D67" w:rsidRPr="008C7813" w:rsidRDefault="002C2197" w:rsidP="00193C96">
      <w:pPr>
        <w:pStyle w:val="R1"/>
        <w:pageBreakBefore/>
      </w:pPr>
      <w:bookmarkStart w:id="6" w:name="_Toc116973491"/>
      <w:r w:rsidRPr="008C7813">
        <w:t>Utskottet</w:t>
      </w:r>
      <w:bookmarkEnd w:id="6"/>
    </w:p>
    <w:p w:rsidR="00594D67" w:rsidRPr="008C7813" w:rsidRDefault="00594D67" w:rsidP="00EC1760">
      <w:pPr>
        <w:spacing w:before="0"/>
      </w:pPr>
      <w:r w:rsidRPr="008C7813">
        <w:t xml:space="preserve">Mot bakgrund av bl.a. den förändrade hotbilden har riksdagen i december 2004 </w:t>
      </w:r>
      <w:r w:rsidR="00DD2E3D" w:rsidRPr="008C7813">
        <w:t>beslutat (prop</w:t>
      </w:r>
      <w:r w:rsidRPr="008C7813">
        <w:t>. 2004/05:5, bet. 2004/05:FöU5, rskr. 2004/05:143) att resurserna inom utgiftsområde 6 Försvar och beredskap mot sårbarhet skall begränsas. Riksdagen beslutade att den ekonomiska ramen successivt skall minskas med 3 miljarder kronor jämfört med ramen år 2004. Reduceringen av ramen bör ske stegvis under perioden 2005–2007.</w:t>
      </w:r>
    </w:p>
    <w:p w:rsidR="00594D67" w:rsidRPr="008C7813" w:rsidRDefault="00594D67" w:rsidP="00FA4A20">
      <w:pPr>
        <w:pStyle w:val="Normaltindrag"/>
      </w:pPr>
      <w:r w:rsidRPr="008C7813">
        <w:t>Den nu föreslagna reduceringen av utgiftsramen med 900 miljoner kronor år 2006 ligger sålunda i linje med riksdagens försvarspolitiska besl</w:t>
      </w:r>
      <w:r w:rsidR="00A173FE" w:rsidRPr="008C7813">
        <w:t>ut år 2004 avseende åren 2005–</w:t>
      </w:r>
      <w:r w:rsidRPr="008C7813">
        <w:t xml:space="preserve">2007. </w:t>
      </w:r>
    </w:p>
    <w:p w:rsidR="00594D67" w:rsidRPr="008C7813" w:rsidRDefault="00594D67" w:rsidP="00FA4A20">
      <w:pPr>
        <w:pStyle w:val="Normaltindrag"/>
      </w:pPr>
      <w:r w:rsidRPr="008C7813">
        <w:t xml:space="preserve">Utskottet </w:t>
      </w:r>
      <w:r w:rsidRPr="008C7813">
        <w:rPr>
          <w:i/>
        </w:rPr>
        <w:t>tillstyrker</w:t>
      </w:r>
      <w:r w:rsidRPr="008C7813">
        <w:t xml:space="preserve"> därför regeringens förslag till utgiftsram för år 2006. M</w:t>
      </w:r>
      <w:r w:rsidRPr="008C7813">
        <w:t>o</w:t>
      </w:r>
      <w:r w:rsidRPr="008C7813">
        <w:t xml:space="preserve">tionerna Fi240, Fi241, Fi242 och Fi243 </w:t>
      </w:r>
      <w:r w:rsidRPr="008C7813">
        <w:rPr>
          <w:i/>
        </w:rPr>
        <w:t>avstyrks</w:t>
      </w:r>
      <w:r w:rsidRPr="008C7813">
        <w:t xml:space="preserve"> såvitt avser förslagen till u</w:t>
      </w:r>
      <w:r w:rsidRPr="008C7813">
        <w:t>t</w:t>
      </w:r>
      <w:r w:rsidRPr="008C7813">
        <w:t>giftsram för utgiftsområde 6.</w:t>
      </w:r>
    </w:p>
    <w:p w:rsidR="00594D67" w:rsidRPr="008C7813" w:rsidRDefault="00594D67" w:rsidP="00FA4A20">
      <w:r w:rsidRPr="008C7813">
        <w:t xml:space="preserve">Utskottet behandlade i december 2004 (bet. 2004/05:FöU4) även frågan om hur riksdagens ökade </w:t>
      </w:r>
      <w:r w:rsidR="00D731D4" w:rsidRPr="008C7813">
        <w:t>insyn i</w:t>
      </w:r>
      <w:r w:rsidR="00FA4A20" w:rsidRPr="008C7813">
        <w:t>,</w:t>
      </w:r>
      <w:r w:rsidR="00D731D4" w:rsidRPr="008C7813">
        <w:t xml:space="preserve"> </w:t>
      </w:r>
      <w:r w:rsidR="00FA4A20" w:rsidRPr="008C7813">
        <w:t xml:space="preserve">och </w:t>
      </w:r>
      <w:r w:rsidRPr="008C7813">
        <w:t>inflytande över</w:t>
      </w:r>
      <w:r w:rsidR="00FA4A20" w:rsidRPr="008C7813">
        <w:t>,</w:t>
      </w:r>
      <w:r w:rsidRPr="008C7813">
        <w:t xml:space="preserve"> materielförsörjningen till Fö</w:t>
      </w:r>
      <w:r w:rsidRPr="008C7813">
        <w:t>r</w:t>
      </w:r>
      <w:r w:rsidRPr="008C7813">
        <w:t>svarsmakten skall tillgodoses. Genom ett tillkännagivande till regeringen preciserade riksdagen hur beslutsunderlaget borde förbättras. I motione</w:t>
      </w:r>
      <w:r w:rsidRPr="008C7813">
        <w:t>r</w:t>
      </w:r>
      <w:r w:rsidR="00A173FE" w:rsidRPr="008C7813">
        <w:t>na Fi240–Fi</w:t>
      </w:r>
      <w:r w:rsidRPr="008C7813">
        <w:t>242 ifrågasätts propositionens beslutsunderlag</w:t>
      </w:r>
      <w:r w:rsidR="003C6734" w:rsidRPr="008C7813">
        <w:t xml:space="preserve"> i det avseendet</w:t>
      </w:r>
      <w:r w:rsidRPr="008C7813">
        <w:t>. Enligt motionärerna motsvarar inte</w:t>
      </w:r>
      <w:r w:rsidR="00D731D4" w:rsidRPr="008C7813">
        <w:t xml:space="preserve"> propositionens redovisning </w:t>
      </w:r>
      <w:r w:rsidRPr="008C7813">
        <w:t>det som rik</w:t>
      </w:r>
      <w:r w:rsidRPr="008C7813">
        <w:t>s</w:t>
      </w:r>
      <w:r w:rsidRPr="008C7813">
        <w:t>dagen har begärt</w:t>
      </w:r>
      <w:r w:rsidR="00D731D4" w:rsidRPr="008C7813">
        <w:t xml:space="preserve"> i det avseendet</w:t>
      </w:r>
      <w:r w:rsidRPr="008C7813">
        <w:t>. Försvarsutskottet återkommer till denna fråga i utsko</w:t>
      </w:r>
      <w:r w:rsidRPr="008C7813">
        <w:t>t</w:t>
      </w:r>
      <w:r w:rsidRPr="008C7813">
        <w:t xml:space="preserve">tets eget budgetbetänkande i anslutning till behandlingen av </w:t>
      </w:r>
      <w:r w:rsidR="00892AB1" w:rsidRPr="008C7813">
        <w:t>förslaget till anslag</w:t>
      </w:r>
      <w:r w:rsidRPr="008C7813">
        <w:t xml:space="preserve"> till Försvarsmaktens materielanskaffning, </w:t>
      </w:r>
      <w:r w:rsidR="00892AB1" w:rsidRPr="008C7813">
        <w:t xml:space="preserve">förslaget </w:t>
      </w:r>
      <w:r w:rsidRPr="008C7813">
        <w:t>till bestäl</w:t>
      </w:r>
      <w:r w:rsidRPr="008C7813">
        <w:t>l</w:t>
      </w:r>
      <w:r w:rsidRPr="008C7813">
        <w:t>ningsbemyndigan</w:t>
      </w:r>
      <w:r w:rsidR="00892AB1" w:rsidRPr="008C7813">
        <w:t>de</w:t>
      </w:r>
      <w:r w:rsidRPr="008C7813">
        <w:t xml:space="preserve"> och till </w:t>
      </w:r>
      <w:r w:rsidR="00892AB1" w:rsidRPr="008C7813">
        <w:t xml:space="preserve">förslag till </w:t>
      </w:r>
      <w:r w:rsidRPr="008C7813">
        <w:t>investeringsplanen</w:t>
      </w:r>
      <w:r w:rsidR="00892AB1" w:rsidRPr="008C7813">
        <w:t xml:space="preserve"> för Fö</w:t>
      </w:r>
      <w:r w:rsidR="00892AB1" w:rsidRPr="008C7813">
        <w:t>r</w:t>
      </w:r>
      <w:r w:rsidR="00A173FE" w:rsidRPr="008C7813">
        <w:t>svarsmakten åren 2006–</w:t>
      </w:r>
      <w:r w:rsidR="00892AB1" w:rsidRPr="008C7813">
        <w:t>2008</w:t>
      </w:r>
      <w:r w:rsidRPr="008C7813">
        <w:t>.</w:t>
      </w:r>
    </w:p>
    <w:p w:rsidR="000973A8" w:rsidRPr="008C7813" w:rsidRDefault="000973A8" w:rsidP="00A173FE">
      <w:pPr>
        <w:pStyle w:val="OrtochDatum"/>
        <w:spacing w:before="625"/>
      </w:pPr>
      <w:r w:rsidRPr="008C7813">
        <w:t>Stockholm den</w:t>
      </w:r>
      <w:r w:rsidR="003C6734" w:rsidRPr="008C7813">
        <w:t xml:space="preserve"> 18 oktober 2005</w:t>
      </w:r>
      <w:r w:rsidRPr="008C7813">
        <w:t xml:space="preserve"> </w:t>
      </w:r>
    </w:p>
    <w:p w:rsidR="000973A8" w:rsidRPr="008C7813" w:rsidRDefault="000973A8" w:rsidP="00A173FE">
      <w:pPr>
        <w:pStyle w:val="Pxx-utskottetsvgnar"/>
      </w:pPr>
      <w:r w:rsidRPr="008C7813">
        <w:t>På försvarsutskottets vägnar</w:t>
      </w:r>
    </w:p>
    <w:p w:rsidR="003C6734" w:rsidRPr="008C7813" w:rsidRDefault="003C6734" w:rsidP="00A173FE">
      <w:pPr>
        <w:pStyle w:val="Ordfranden"/>
        <w:rPr>
          <w:noProof w:val="0"/>
        </w:rPr>
      </w:pPr>
      <w:r w:rsidRPr="008C7813">
        <w:rPr>
          <w:noProof w:val="0"/>
        </w:rPr>
        <w:t>Eskil Erlandsson</w:t>
      </w:r>
    </w:p>
    <w:p w:rsidR="000973A8" w:rsidRPr="008C7813" w:rsidRDefault="00A173FE" w:rsidP="00894B6B">
      <w:pPr>
        <w:pStyle w:val="Deltagare"/>
        <w:rPr>
          <w:noProof w:val="0"/>
        </w:rPr>
      </w:pPr>
      <w:bookmarkStart w:id="7" w:name="Deltagare"/>
      <w:bookmarkEnd w:id="7"/>
      <w:r w:rsidRPr="008C7813">
        <w:rPr>
          <w:noProof w:val="0"/>
        </w:rPr>
        <w:t>Följande ledamöter har deltagit i beslutet: Eskil Erlandsson (c), Tone Tingsgård (s), Ola Rask (s), Ola Sundell (m), Allan Widman (fp), Berndt Sköldestig (s), Erling Wälivaara (kd), Berit Jóhannesson (v), Rolf Gunnarsson (m), Åsa Lindestam (s), Heli Berg (fp), Peter Jonsson (s), Marie Nordén (s), Lars Ångström (mp) och Carl-Axel Roslund (m).</w:t>
      </w:r>
    </w:p>
    <w:p w:rsidR="000973A8" w:rsidRPr="008C7813" w:rsidRDefault="000973A8" w:rsidP="000973A8">
      <w:pPr>
        <w:pStyle w:val="Normaltindrag"/>
      </w:pPr>
    </w:p>
    <w:p w:rsidR="00704813" w:rsidRPr="008C7813" w:rsidRDefault="00704813" w:rsidP="000973A8">
      <w:pPr>
        <w:pStyle w:val="Normaltindrag"/>
      </w:pPr>
    </w:p>
    <w:p w:rsidR="000973A8" w:rsidRPr="008C7813" w:rsidRDefault="000973A8" w:rsidP="00704813">
      <w:pPr>
        <w:pStyle w:val="R1"/>
        <w:spacing w:after="360"/>
      </w:pPr>
      <w:bookmarkStart w:id="8" w:name="_Toc116973492"/>
      <w:r w:rsidRPr="008C7813">
        <w:t>Avvikande mening</w:t>
      </w:r>
      <w:bookmarkEnd w:id="8"/>
    </w:p>
    <w:p w:rsidR="003C6734" w:rsidRPr="008C7813" w:rsidRDefault="003C6734" w:rsidP="003C6734">
      <w:r w:rsidRPr="008C7813">
        <w:t xml:space="preserve">Ola Sundell, Rolf Gunnarsson och </w:t>
      </w:r>
      <w:r w:rsidR="001829E5" w:rsidRPr="008C7813">
        <w:t>Carl-Axel Roslund (alla m), Allan Wi</w:t>
      </w:r>
      <w:r w:rsidR="001829E5" w:rsidRPr="008C7813">
        <w:t>d</w:t>
      </w:r>
      <w:r w:rsidR="001829E5" w:rsidRPr="008C7813">
        <w:t>man och Heli Berg (båda fp), Erling Wälivaara (kd) samt Eskil Erlandsson (c) anför:</w:t>
      </w:r>
    </w:p>
    <w:p w:rsidR="003C6734" w:rsidRPr="008C7813" w:rsidRDefault="001829E5" w:rsidP="003C6734">
      <w:r w:rsidRPr="008C7813">
        <w:t xml:space="preserve">Vår </w:t>
      </w:r>
      <w:r w:rsidR="003C6734" w:rsidRPr="008C7813">
        <w:t>uppfattning är att Sverige skall öka sin förmåga att medverka i internati</w:t>
      </w:r>
      <w:r w:rsidR="003C6734" w:rsidRPr="008C7813">
        <w:t>o</w:t>
      </w:r>
      <w:r w:rsidR="003C6734" w:rsidRPr="008C7813">
        <w:t>nella operationer. Sverige skall aktivt delta i uppbyggnaden av EU:s nya snab</w:t>
      </w:r>
      <w:r w:rsidR="003C6734" w:rsidRPr="008C7813">
        <w:t>b</w:t>
      </w:r>
      <w:r w:rsidR="003C6734" w:rsidRPr="008C7813">
        <w:t>insatsstyrkor och på sikt kunna bidra m</w:t>
      </w:r>
      <w:r w:rsidR="00FC7DF1" w:rsidRPr="008C7813">
        <w:t>ed en egen snabbinsatsstyrka (”b</w:t>
      </w:r>
      <w:r w:rsidR="003C6734" w:rsidRPr="008C7813">
        <w:t>attle group”).</w:t>
      </w:r>
    </w:p>
    <w:p w:rsidR="003C6734" w:rsidRPr="008C7813" w:rsidRDefault="003C6734" w:rsidP="001829E5">
      <w:pPr>
        <w:pStyle w:val="Normaltindrag"/>
      </w:pPr>
      <w:r w:rsidRPr="008C7813">
        <w:t>Risken att omställningskostnaderna</w:t>
      </w:r>
      <w:r w:rsidR="001829E5" w:rsidRPr="008C7813">
        <w:t>,</w:t>
      </w:r>
      <w:r w:rsidRPr="008C7813">
        <w:t xml:space="preserve"> </w:t>
      </w:r>
      <w:r w:rsidR="001829E5" w:rsidRPr="008C7813">
        <w:t>som en följd av förra årets försvarsp</w:t>
      </w:r>
      <w:r w:rsidR="001829E5" w:rsidRPr="008C7813">
        <w:t>o</w:t>
      </w:r>
      <w:r w:rsidR="001829E5" w:rsidRPr="008C7813">
        <w:t xml:space="preserve">litiska beslut, </w:t>
      </w:r>
      <w:r w:rsidRPr="008C7813">
        <w:t>inom Försvarsmakten är underskattade liksom att den önskade u</w:t>
      </w:r>
      <w:r w:rsidRPr="008C7813">
        <w:t>t</w:t>
      </w:r>
      <w:r w:rsidRPr="008C7813">
        <w:t>vecklingen inte ryms inom den av regeringen före</w:t>
      </w:r>
      <w:r w:rsidR="001829E5" w:rsidRPr="008C7813">
        <w:t>slagna ramen</w:t>
      </w:r>
      <w:r w:rsidRPr="008C7813">
        <w:t xml:space="preserve">, innebär att </w:t>
      </w:r>
      <w:r w:rsidR="00FC7DF1" w:rsidRPr="008C7813">
        <w:t>vi</w:t>
      </w:r>
      <w:r w:rsidRPr="008C7813">
        <w:t xml:space="preserve"> förordar en väsentligt mindre besparing på anslagen till Fö</w:t>
      </w:r>
      <w:r w:rsidRPr="008C7813">
        <w:t>r</w:t>
      </w:r>
      <w:r w:rsidRPr="008C7813">
        <w:t>svarsmakten än rege</w:t>
      </w:r>
      <w:r w:rsidRPr="008C7813">
        <w:t>r</w:t>
      </w:r>
      <w:r w:rsidRPr="008C7813">
        <w:t xml:space="preserve">ingen. </w:t>
      </w:r>
    </w:p>
    <w:p w:rsidR="00B45034" w:rsidRPr="008C7813" w:rsidRDefault="003C6734" w:rsidP="00B45034">
      <w:pPr>
        <w:pStyle w:val="Normaltindrag"/>
      </w:pPr>
      <w:r w:rsidRPr="008C7813">
        <w:t xml:space="preserve">I den </w:t>
      </w:r>
      <w:r w:rsidR="001829E5" w:rsidRPr="008C7813">
        <w:t>materiel</w:t>
      </w:r>
      <w:r w:rsidRPr="008C7813">
        <w:t>redovisning regeringen nu lämnar riksdagen anges inte kos</w:t>
      </w:r>
      <w:r w:rsidRPr="008C7813">
        <w:t>t</w:t>
      </w:r>
      <w:r w:rsidRPr="008C7813">
        <w:t xml:space="preserve">naderna för de enskilda materielprojekten, inte heller om materielen finns att köpa på annat håll eller ens om insatsförsvaret har behov av den. Därför är det enligt </w:t>
      </w:r>
      <w:r w:rsidR="001829E5" w:rsidRPr="008C7813">
        <w:t xml:space="preserve">vår </w:t>
      </w:r>
      <w:r w:rsidRPr="008C7813">
        <w:t>mening viktigt att den materielplan som föreläggs riksdagen är spå</w:t>
      </w:r>
      <w:r w:rsidRPr="008C7813">
        <w:t>r</w:t>
      </w:r>
      <w:r w:rsidRPr="008C7813">
        <w:t>bar</w:t>
      </w:r>
      <w:r w:rsidR="00D70F4C" w:rsidRPr="008C7813">
        <w:t xml:space="preserve">. </w:t>
      </w:r>
    </w:p>
    <w:p w:rsidR="00B45034" w:rsidRPr="008C7813" w:rsidRDefault="00B45034" w:rsidP="00B45034">
      <w:pPr>
        <w:pStyle w:val="Tryckort"/>
        <w:framePr w:wrap="around"/>
        <w:jc w:val="right"/>
      </w:pPr>
      <w:r w:rsidRPr="008C7813">
        <w:t>Elanders Gotab, Stockholm  2005</w:t>
      </w:r>
    </w:p>
    <w:p w:rsidR="00B45034" w:rsidRPr="008C7813" w:rsidRDefault="00B45034" w:rsidP="00B45034">
      <w:pPr>
        <w:pStyle w:val="Normaltindrag"/>
      </w:pPr>
    </w:p>
    <w:sectPr w:rsidR="00B45034" w:rsidRPr="008C7813" w:rsidSect="00A3797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995" w:rsidRPr="008C7813" w:rsidRDefault="00EC6995">
      <w:r w:rsidRPr="008C7813">
        <w:separator/>
      </w:r>
    </w:p>
    <w:p w:rsidR="00EC6995" w:rsidRPr="008C7813" w:rsidRDefault="00EC6995"/>
    <w:p w:rsidR="00EC6995" w:rsidRPr="008C7813" w:rsidRDefault="00EC6995"/>
  </w:endnote>
  <w:endnote w:type="continuationSeparator" w:id="0">
    <w:p w:rsidR="00EC6995" w:rsidRPr="008C7813" w:rsidRDefault="00EC6995">
      <w:r w:rsidRPr="008C7813">
        <w:continuationSeparator/>
      </w:r>
    </w:p>
    <w:p w:rsidR="00EC6995" w:rsidRPr="008C7813" w:rsidRDefault="00EC6995"/>
    <w:p w:rsidR="00EC6995" w:rsidRPr="008C7813" w:rsidRDefault="00EC6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99" w:rsidRPr="008C7813" w:rsidRDefault="00111B99">
    <w:pPr>
      <w:pStyle w:val="SidfotV"/>
      <w:framePr w:w="8732" w:h="284" w:hRule="exact" w:hSpace="0" w:vSpace="0" w:wrap="around" w:xAlign="inside" w:y="13042" w:anchorLock="0"/>
    </w:pPr>
    <w:r w:rsidRPr="008C7813">
      <w:fldChar w:fldCharType="begin" w:fldLock="1"/>
    </w:r>
    <w:r w:rsidRPr="008C7813">
      <w:instrText xml:space="preserve"> P</w:instrText>
    </w:r>
    <w:r w:rsidRPr="008C7813">
      <w:instrText>A</w:instrText>
    </w:r>
    <w:r w:rsidRPr="008C7813">
      <w:instrText xml:space="preserve">GE </w:instrText>
    </w:r>
    <w:r w:rsidRPr="008C7813">
      <w:fldChar w:fldCharType="separate"/>
    </w:r>
    <w:r w:rsidR="0090145E" w:rsidRPr="008C7813">
      <w:t>4</w:t>
    </w:r>
    <w:r w:rsidRPr="008C7813">
      <w:fldChar w:fldCharType="end"/>
    </w:r>
  </w:p>
  <w:p w:rsidR="00111B99" w:rsidRPr="008C7813" w:rsidRDefault="00111B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99" w:rsidRPr="008C7813" w:rsidRDefault="00111B99">
    <w:pPr>
      <w:pStyle w:val="SidfotH"/>
      <w:framePr w:w="8732" w:h="284" w:hRule="exact" w:hSpace="0" w:vSpace="0" w:wrap="around" w:xAlign="inside" w:y="13042" w:anchorLock="0"/>
    </w:pPr>
    <w:r w:rsidRPr="008C7813">
      <w:fldChar w:fldCharType="begin" w:fldLock="1"/>
    </w:r>
    <w:r w:rsidRPr="008C7813">
      <w:instrText xml:space="preserve"> P</w:instrText>
    </w:r>
    <w:r w:rsidRPr="008C7813">
      <w:instrText>A</w:instrText>
    </w:r>
    <w:r w:rsidRPr="008C7813">
      <w:instrText xml:space="preserve">GE </w:instrText>
    </w:r>
    <w:r w:rsidRPr="008C7813">
      <w:fldChar w:fldCharType="separate"/>
    </w:r>
    <w:r w:rsidRPr="008C7813">
      <w:t>3</w:t>
    </w:r>
    <w:r w:rsidRPr="008C7813">
      <w:fldChar w:fldCharType="end"/>
    </w:r>
  </w:p>
  <w:p w:rsidR="00111B99" w:rsidRPr="008C7813" w:rsidRDefault="00111B99">
    <w:pPr>
      <w:pStyle w:val="Sidfot"/>
    </w:pPr>
  </w:p>
  <w:p w:rsidR="00111B99" w:rsidRPr="008C7813" w:rsidRDefault="00111B99"/>
  <w:p w:rsidR="00111B99" w:rsidRPr="008C7813" w:rsidRDefault="00111B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99" w:rsidRPr="008C7813" w:rsidRDefault="00111B99">
    <w:pPr>
      <w:pStyle w:val="SidfotV"/>
      <w:framePr w:w="8732" w:h="284" w:hRule="exact" w:hSpace="0" w:vSpace="0" w:wrap="around" w:xAlign="inside" w:y="13042" w:anchorLock="0"/>
    </w:pPr>
    <w:r w:rsidRPr="008C7813">
      <w:fldChar w:fldCharType="begin" w:fldLock="1"/>
    </w:r>
    <w:r w:rsidRPr="008C7813">
      <w:instrText xml:space="preserve"> if </w:instrText>
    </w:r>
    <w:r w:rsidRPr="008C7813">
      <w:fldChar w:fldCharType="begin" w:fldLock="1"/>
    </w:r>
    <w:r w:rsidRPr="008C7813">
      <w:instrText xml:space="preserve"> = </w:instrText>
    </w:r>
    <w:r w:rsidRPr="008C7813">
      <w:fldChar w:fldCharType="begin" w:fldLock="1"/>
    </w:r>
    <w:r w:rsidRPr="008C7813">
      <w:instrText xml:space="preserve"> = </w:instrText>
    </w:r>
    <w:r w:rsidRPr="008C7813">
      <w:fldChar w:fldCharType="begin" w:fldLock="1"/>
    </w:r>
    <w:r w:rsidRPr="008C7813">
      <w:instrText xml:space="preserve"> page</w:instrText>
    </w:r>
    <w:r w:rsidRPr="008C7813">
      <w:fldChar w:fldCharType="separate"/>
    </w:r>
    <w:r w:rsidR="008C7813">
      <w:rPr>
        <w:noProof/>
      </w:rPr>
      <w:instrText>1</w:instrText>
    </w:r>
    <w:r w:rsidRPr="008C7813">
      <w:fldChar w:fldCharType="end"/>
    </w:r>
    <w:r w:rsidRPr="008C7813">
      <w:instrText xml:space="preserve">/2 </w:instrText>
    </w:r>
    <w:r w:rsidRPr="008C7813">
      <w:fldChar w:fldCharType="separate"/>
    </w:r>
    <w:r w:rsidR="008C7813">
      <w:rPr>
        <w:noProof/>
      </w:rPr>
      <w:instrText>0,5</w:instrText>
    </w:r>
    <w:r w:rsidRPr="008C7813">
      <w:fldChar w:fldCharType="end"/>
    </w:r>
    <w:r w:rsidRPr="008C7813">
      <w:instrText xml:space="preserve"> - </w:instrText>
    </w:r>
    <w:r w:rsidRPr="008C7813">
      <w:fldChar w:fldCharType="begin" w:fldLock="1"/>
    </w:r>
    <w:r w:rsidRPr="008C7813">
      <w:instrText xml:space="preserve"> = int(</w:instrText>
    </w:r>
    <w:r w:rsidRPr="008C7813">
      <w:fldChar w:fldCharType="begin" w:fldLock="1"/>
    </w:r>
    <w:r w:rsidRPr="008C7813">
      <w:instrText xml:space="preserve"> page</w:instrText>
    </w:r>
    <w:r w:rsidRPr="008C7813">
      <w:fldChar w:fldCharType="separate"/>
    </w:r>
    <w:r w:rsidR="008C7813">
      <w:rPr>
        <w:noProof/>
      </w:rPr>
      <w:instrText>1</w:instrText>
    </w:r>
    <w:r w:rsidRPr="008C7813">
      <w:fldChar w:fldCharType="end"/>
    </w:r>
    <w:r w:rsidRPr="008C7813">
      <w:instrText xml:space="preserve">/2) </w:instrText>
    </w:r>
    <w:r w:rsidRPr="008C7813">
      <w:fldChar w:fldCharType="separate"/>
    </w:r>
    <w:r w:rsidR="008C7813">
      <w:rPr>
        <w:noProof/>
      </w:rPr>
      <w:instrText>0</w:instrText>
    </w:r>
    <w:r w:rsidRPr="008C7813">
      <w:fldChar w:fldCharType="end"/>
    </w:r>
    <w:r w:rsidRPr="008C7813">
      <w:fldChar w:fldCharType="separate"/>
    </w:r>
    <w:r w:rsidR="008C7813">
      <w:rPr>
        <w:noProof/>
      </w:rPr>
      <w:instrText>0,5</w:instrText>
    </w:r>
    <w:r w:rsidRPr="008C7813">
      <w:fldChar w:fldCharType="end"/>
    </w:r>
    <w:r w:rsidRPr="008C7813">
      <w:instrText xml:space="preserve"> = 0 "</w:instrText>
    </w:r>
    <w:r w:rsidRPr="008C7813">
      <w:fldChar w:fldCharType="begin" w:fldLock="1"/>
    </w:r>
    <w:r w:rsidRPr="008C7813">
      <w:instrText xml:space="preserve"> P</w:instrText>
    </w:r>
    <w:r w:rsidRPr="008C7813">
      <w:instrText>A</w:instrText>
    </w:r>
    <w:r w:rsidRPr="008C7813">
      <w:instrText xml:space="preserve">GE </w:instrText>
    </w:r>
    <w:r w:rsidRPr="008C7813">
      <w:fldChar w:fldCharType="separate"/>
    </w:r>
    <w:r w:rsidRPr="008C7813">
      <w:instrText>4</w:instrText>
    </w:r>
    <w:r w:rsidRPr="008C7813">
      <w:fldChar w:fldCharType="end"/>
    </w:r>
  </w:p>
  <w:p w:rsidR="00111B99" w:rsidRPr="008C7813" w:rsidRDefault="00111B99">
    <w:pPr>
      <w:pStyle w:val="SidfotH"/>
      <w:framePr w:w="8732" w:h="284" w:hRule="exact" w:hSpace="0" w:vSpace="0" w:wrap="around" w:xAlign="inside" w:y="13042" w:anchorLock="0"/>
    </w:pPr>
    <w:r w:rsidRPr="008C7813">
      <w:instrText>""</w:instrText>
    </w:r>
    <w:r w:rsidRPr="008C7813">
      <w:fldChar w:fldCharType="begin" w:fldLock="1"/>
    </w:r>
    <w:r w:rsidRPr="008C7813">
      <w:instrText xml:space="preserve"> P</w:instrText>
    </w:r>
    <w:r w:rsidRPr="008C7813">
      <w:instrText>A</w:instrText>
    </w:r>
    <w:r w:rsidRPr="008C7813">
      <w:instrText xml:space="preserve">GE </w:instrText>
    </w:r>
    <w:r w:rsidRPr="008C7813">
      <w:fldChar w:fldCharType="separate"/>
    </w:r>
    <w:r w:rsidR="008C7813">
      <w:rPr>
        <w:noProof/>
      </w:rPr>
      <w:instrText>1</w:instrText>
    </w:r>
    <w:r w:rsidRPr="008C7813">
      <w:fldChar w:fldCharType="end"/>
    </w:r>
    <w:r w:rsidRPr="008C7813">
      <w:instrText>"</w:instrText>
    </w:r>
    <w:r w:rsidR="0090145E" w:rsidRPr="008C7813">
      <w:fldChar w:fldCharType="separate"/>
    </w:r>
    <w:r w:rsidR="008C7813">
      <w:rPr>
        <w:noProof/>
      </w:rPr>
      <w:t>1</w:t>
    </w:r>
    <w:r w:rsidRPr="008C7813">
      <w:fldChar w:fldCharType="end"/>
    </w:r>
  </w:p>
  <w:p w:rsidR="00111B99" w:rsidRPr="008C7813" w:rsidRDefault="00111B99">
    <w:pPr>
      <w:pStyle w:val="Sidfot"/>
    </w:pPr>
  </w:p>
  <w:p w:rsidR="00111B99" w:rsidRPr="008C7813" w:rsidRDefault="00111B99"/>
  <w:p w:rsidR="00111B99" w:rsidRPr="008C7813" w:rsidRDefault="00111B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995" w:rsidRPr="008C7813" w:rsidRDefault="00EC6995">
      <w:r w:rsidRPr="008C7813">
        <w:separator/>
      </w:r>
    </w:p>
    <w:p w:rsidR="00EC6995" w:rsidRPr="008C7813" w:rsidRDefault="00EC6995"/>
    <w:p w:rsidR="00EC6995" w:rsidRPr="008C7813" w:rsidRDefault="00EC6995"/>
  </w:footnote>
  <w:footnote w:type="continuationSeparator" w:id="0">
    <w:p w:rsidR="00EC6995" w:rsidRPr="008C7813" w:rsidRDefault="00EC6995">
      <w:r w:rsidRPr="008C7813">
        <w:continuationSeparator/>
      </w:r>
    </w:p>
    <w:p w:rsidR="00EC6995" w:rsidRPr="008C7813" w:rsidRDefault="00EC6995"/>
    <w:p w:rsidR="00EC6995" w:rsidRPr="008C7813" w:rsidRDefault="00EC6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99" w:rsidRPr="008C7813" w:rsidRDefault="00111B99">
    <w:pPr>
      <w:pStyle w:val="SidhuvudKantJmn"/>
      <w:framePr w:w="8732" w:h="567" w:hRule="exact" w:vSpace="0" w:wrap="around" w:vAnchor="page" w:y="341" w:anchorLock="0"/>
    </w:pPr>
    <w:r w:rsidRPr="008C7813">
      <w:rPr>
        <w:rStyle w:val="SidhuvudUtskott"/>
      </w:rPr>
      <w:t>2005/06:FöU1y</w:t>
    </w:r>
    <w:r w:rsidRPr="008C7813">
      <w:t xml:space="preserve">     </w:t>
    </w:r>
    <w:r w:rsidRPr="008C7813">
      <w:rPr>
        <w:rStyle w:val="SidhuvudBilaga"/>
      </w:rPr>
      <w:t xml:space="preserve"> </w:t>
    </w:r>
    <w:r w:rsidRPr="008C7813">
      <w:rPr>
        <w:rStyle w:val="SidhuvudRubrikReferens"/>
      </w:rPr>
      <w:t>Försvarsutskottets yttrande</w:t>
    </w:r>
  </w:p>
  <w:p w:rsidR="00111B99" w:rsidRPr="008C7813" w:rsidRDefault="00111B99">
    <w:pPr>
      <w:pStyle w:val="SidhuvudKantJmn"/>
      <w:framePr w:w="8732" w:h="567" w:hRule="exact" w:vSpace="0" w:wrap="around" w:vAnchor="page" w:y="341" w:anchorLock="0"/>
    </w:pPr>
  </w:p>
  <w:p w:rsidR="00111B99" w:rsidRPr="008C7813" w:rsidRDefault="00111B9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99" w:rsidRPr="008C7813" w:rsidRDefault="00111B99">
    <w:pPr>
      <w:pStyle w:val="SidhuvudKantUdda"/>
      <w:framePr w:w="8732" w:h="567" w:hRule="exact" w:vSpace="0" w:wrap="around" w:vAnchor="page" w:y="341" w:anchorLock="0"/>
    </w:pPr>
    <w:r w:rsidRPr="008C7813">
      <w:rPr>
        <w:rStyle w:val="SidhuvudRubrikReferens"/>
      </w:rPr>
      <w:t>Försvarsutskottets yttrande</w:t>
    </w:r>
    <w:r w:rsidRPr="008C7813">
      <w:rPr>
        <w:rStyle w:val="SidhuvudBilaga"/>
      </w:rPr>
      <w:t xml:space="preserve"> </w:t>
    </w:r>
    <w:r w:rsidRPr="008C7813">
      <w:t xml:space="preserve">     </w:t>
    </w:r>
    <w:r w:rsidRPr="008C7813">
      <w:rPr>
        <w:rStyle w:val="SidhuvudUtskott"/>
      </w:rPr>
      <w:t>2005/06:FöU1y</w:t>
    </w:r>
  </w:p>
  <w:p w:rsidR="00111B99" w:rsidRPr="008C7813" w:rsidRDefault="00111B99">
    <w:pPr>
      <w:pStyle w:val="SidhuvudKantUdda"/>
      <w:framePr w:w="8732" w:h="567" w:hRule="exact" w:vSpace="0" w:wrap="around" w:vAnchor="page" w:y="341" w:anchorLock="0"/>
    </w:pPr>
  </w:p>
  <w:p w:rsidR="00111B99" w:rsidRPr="008C7813" w:rsidRDefault="00111B9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99" w:rsidRPr="008C7813" w:rsidRDefault="00111B99">
    <w:pPr>
      <w:pStyle w:val="SidhuvudKantUdda"/>
      <w:framePr w:w="8732" w:h="567" w:hRule="exact" w:vSpace="0" w:wrap="around" w:vAnchor="page" w:y="341" w:anchorLock="0"/>
    </w:pPr>
    <w:r w:rsidRPr="008C7813">
      <w:t xml:space="preserve"> </w:t>
    </w:r>
  </w:p>
  <w:p w:rsidR="00111B99" w:rsidRPr="008C7813" w:rsidRDefault="00111B9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D434E0"/>
    <w:multiLevelType w:val="hybridMultilevel"/>
    <w:tmpl w:val="6C82499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4EF67956"/>
    <w:multiLevelType w:val="hybridMultilevel"/>
    <w:tmpl w:val="79287F52"/>
    <w:lvl w:ilvl="0" w:tplc="041D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720"/>
        </w:tabs>
        <w:ind w:left="72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96855444">
    <w:abstractNumId w:val="11"/>
  </w:num>
  <w:num w:numId="2" w16cid:durableId="1889880187">
    <w:abstractNumId w:val="8"/>
  </w:num>
  <w:num w:numId="3" w16cid:durableId="1751848789">
    <w:abstractNumId w:val="3"/>
  </w:num>
  <w:num w:numId="4" w16cid:durableId="1466657153">
    <w:abstractNumId w:val="2"/>
  </w:num>
  <w:num w:numId="5" w16cid:durableId="1267733239">
    <w:abstractNumId w:val="1"/>
  </w:num>
  <w:num w:numId="6" w16cid:durableId="871846456">
    <w:abstractNumId w:val="0"/>
  </w:num>
  <w:num w:numId="7" w16cid:durableId="1771200289">
    <w:abstractNumId w:val="9"/>
  </w:num>
  <w:num w:numId="8" w16cid:durableId="1104499453">
    <w:abstractNumId w:val="7"/>
  </w:num>
  <w:num w:numId="9" w16cid:durableId="117341870">
    <w:abstractNumId w:val="6"/>
  </w:num>
  <w:num w:numId="10" w16cid:durableId="610934801">
    <w:abstractNumId w:val="5"/>
  </w:num>
  <w:num w:numId="11" w16cid:durableId="1430615306">
    <w:abstractNumId w:val="4"/>
  </w:num>
  <w:num w:numId="12" w16cid:durableId="1113405394">
    <w:abstractNumId w:val="12"/>
  </w:num>
  <w:num w:numId="13" w16cid:durableId="973556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506"/>
  </w:docVars>
  <w:rsids>
    <w:rsidRoot w:val="00AB035D"/>
    <w:rsid w:val="00006E58"/>
    <w:rsid w:val="00095F3E"/>
    <w:rsid w:val="000973A8"/>
    <w:rsid w:val="000D58E2"/>
    <w:rsid w:val="00111B99"/>
    <w:rsid w:val="0015385D"/>
    <w:rsid w:val="001829E5"/>
    <w:rsid w:val="00184886"/>
    <w:rsid w:val="00193C96"/>
    <w:rsid w:val="00256A5C"/>
    <w:rsid w:val="002C2197"/>
    <w:rsid w:val="0033302E"/>
    <w:rsid w:val="00396488"/>
    <w:rsid w:val="003C5547"/>
    <w:rsid w:val="003C6734"/>
    <w:rsid w:val="00466C0D"/>
    <w:rsid w:val="004A2E5F"/>
    <w:rsid w:val="004E06C6"/>
    <w:rsid w:val="005931B6"/>
    <w:rsid w:val="00594D67"/>
    <w:rsid w:val="0059534B"/>
    <w:rsid w:val="005C0229"/>
    <w:rsid w:val="005D1629"/>
    <w:rsid w:val="006C7DAA"/>
    <w:rsid w:val="00704813"/>
    <w:rsid w:val="00751D21"/>
    <w:rsid w:val="008465E7"/>
    <w:rsid w:val="00892AB1"/>
    <w:rsid w:val="00894B6B"/>
    <w:rsid w:val="008C7813"/>
    <w:rsid w:val="008F48B9"/>
    <w:rsid w:val="0090145E"/>
    <w:rsid w:val="00925577"/>
    <w:rsid w:val="00941CB3"/>
    <w:rsid w:val="00985921"/>
    <w:rsid w:val="00A173FE"/>
    <w:rsid w:val="00A34493"/>
    <w:rsid w:val="00A34FF2"/>
    <w:rsid w:val="00A37974"/>
    <w:rsid w:val="00AB035D"/>
    <w:rsid w:val="00AD4A53"/>
    <w:rsid w:val="00B45034"/>
    <w:rsid w:val="00B66FEF"/>
    <w:rsid w:val="00B7679F"/>
    <w:rsid w:val="00B907C9"/>
    <w:rsid w:val="00BA4FC2"/>
    <w:rsid w:val="00BF2486"/>
    <w:rsid w:val="00C153B3"/>
    <w:rsid w:val="00CF6AD4"/>
    <w:rsid w:val="00D05B93"/>
    <w:rsid w:val="00D42FCC"/>
    <w:rsid w:val="00D70F4C"/>
    <w:rsid w:val="00D731D4"/>
    <w:rsid w:val="00DD2E3D"/>
    <w:rsid w:val="00DF2D5F"/>
    <w:rsid w:val="00E5198E"/>
    <w:rsid w:val="00E929A4"/>
    <w:rsid w:val="00EA23DC"/>
    <w:rsid w:val="00EC01A5"/>
    <w:rsid w:val="00EC1760"/>
    <w:rsid w:val="00EC6995"/>
    <w:rsid w:val="00F3487B"/>
    <w:rsid w:val="00F40F05"/>
    <w:rsid w:val="00F53A97"/>
    <w:rsid w:val="00F960F1"/>
    <w:rsid w:val="00FA1260"/>
    <w:rsid w:val="00FA4A20"/>
    <w:rsid w:val="00FC7D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C7F367-5EE7-4D86-B4A5-4F6DAF48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Pr>
      <w:vertAlign w:val="superscript"/>
    </w:rPr>
  </w:style>
  <w:style w:type="paragraph" w:styleId="Fotnotstext">
    <w:name w:val="footnote text"/>
    <w:basedOn w:val="Normal"/>
    <w:next w:val="Fotnotstextindrag"/>
    <w:link w:val="FotnotstextChar"/>
    <w:rsid w:val="0033302E"/>
    <w:pPr>
      <w:spacing w:before="0" w:line="170" w:lineRule="exact"/>
    </w:pPr>
    <w:rPr>
      <w:sz w:val="16"/>
      <w:szCs w:val="16"/>
    </w:rPr>
  </w:style>
  <w:style w:type="paragraph" w:customStyle="1" w:styleId="Fotnotstextindrag">
    <w:name w:val="Fotnotstext indrag"/>
    <w:basedOn w:val="Fotnotstext"/>
    <w:link w:val="FotnotstextindragChar"/>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link w:val="TabelltextChar"/>
    <w:pPr>
      <w:spacing w:before="0" w:line="200" w:lineRule="exact"/>
      <w:jc w:val="left"/>
    </w:pPr>
    <w:rPr>
      <w:sz w:val="16"/>
    </w:rPr>
  </w:style>
  <w:style w:type="paragraph" w:customStyle="1" w:styleId="TabellNot">
    <w:name w:val="TabellNot"/>
    <w:basedOn w:val="Tabelltext"/>
    <w:link w:val="TabellNotChar"/>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TabellHuvud">
    <w:name w:val="Tabell Huvud"/>
    <w:basedOn w:val="Normal"/>
    <w:rsid w:val="008465E7"/>
    <w:pPr>
      <w:overflowPunct w:val="0"/>
      <w:autoSpaceDE w:val="0"/>
      <w:autoSpaceDN w:val="0"/>
      <w:adjustRightInd w:val="0"/>
      <w:spacing w:before="0" w:line="160" w:lineRule="exact"/>
      <w:jc w:val="right"/>
      <w:textAlignment w:val="baseline"/>
    </w:pPr>
    <w:rPr>
      <w:rFonts w:ascii="TradeGothic CondEighteen" w:hAnsi="TradeGothic CondEighteen"/>
      <w:spacing w:val="4"/>
      <w:sz w:val="14"/>
      <w:lang w:eastAsia="en-US"/>
    </w:rPr>
  </w:style>
  <w:style w:type="paragraph" w:customStyle="1" w:styleId="TabellRader">
    <w:name w:val="Tabell Rader"/>
    <w:basedOn w:val="Normal"/>
    <w:rsid w:val="008465E7"/>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lang w:eastAsia="en-US"/>
    </w:rPr>
  </w:style>
  <w:style w:type="paragraph" w:customStyle="1" w:styleId="TabellSlutsumma">
    <w:name w:val="Tabell Slutsumma"/>
    <w:basedOn w:val="TabellRader"/>
    <w:rsid w:val="008465E7"/>
    <w:rPr>
      <w:b/>
      <w:spacing w:val="0"/>
    </w:rPr>
  </w:style>
  <w:style w:type="paragraph" w:customStyle="1" w:styleId="TabellSummaText">
    <w:name w:val="Tabell SummaText"/>
    <w:basedOn w:val="TabellSlutsumma"/>
    <w:rsid w:val="008465E7"/>
    <w:pPr>
      <w:jc w:val="left"/>
    </w:pPr>
  </w:style>
  <w:style w:type="paragraph" w:customStyle="1" w:styleId="TabellUnderrubrik">
    <w:name w:val="Tabell Underrubrik"/>
    <w:basedOn w:val="Normal"/>
    <w:next w:val="Brdtext"/>
    <w:rsid w:val="005C0229"/>
    <w:pPr>
      <w:keepNext/>
      <w:overflowPunct w:val="0"/>
      <w:autoSpaceDE w:val="0"/>
      <w:autoSpaceDN w:val="0"/>
      <w:adjustRightInd w:val="0"/>
      <w:spacing w:before="0" w:after="120" w:line="200" w:lineRule="exact"/>
      <w:jc w:val="left"/>
      <w:textAlignment w:val="baseline"/>
    </w:pPr>
    <w:rPr>
      <w:rFonts w:ascii="TradeGothic" w:hAnsi="TradeGothic"/>
      <w:i/>
      <w:sz w:val="14"/>
      <w:lang w:eastAsia="en-US"/>
    </w:rPr>
  </w:style>
  <w:style w:type="paragraph" w:styleId="Brdtext">
    <w:name w:val="Body Text"/>
    <w:basedOn w:val="Normal"/>
    <w:rsid w:val="008465E7"/>
    <w:pPr>
      <w:spacing w:after="120"/>
    </w:pPr>
  </w:style>
  <w:style w:type="paragraph" w:customStyle="1" w:styleId="normalindent">
    <w:name w:val="normal indent"/>
    <w:aliases w:val="normal_indrag,normal indrag"/>
    <w:basedOn w:val="Normal"/>
    <w:rsid w:val="004E06C6"/>
    <w:pPr>
      <w:spacing w:before="0" w:line="240" w:lineRule="auto"/>
      <w:jc w:val="left"/>
    </w:pPr>
    <w:rPr>
      <w:rFonts w:ascii="Verdana" w:hAnsi="Verdana"/>
      <w:sz w:val="24"/>
      <w:szCs w:val="24"/>
    </w:rPr>
  </w:style>
  <w:style w:type="character" w:customStyle="1" w:styleId="FotnotstextChar">
    <w:name w:val="Fotnotstext Char"/>
    <w:basedOn w:val="Standardstycketeckensnitt"/>
    <w:link w:val="Fotnotstext"/>
    <w:rsid w:val="0033302E"/>
    <w:rPr>
      <w:sz w:val="16"/>
      <w:szCs w:val="16"/>
      <w:lang w:val="sv-SE" w:eastAsia="sv-SE" w:bidi="ar-SA"/>
    </w:rPr>
  </w:style>
  <w:style w:type="character" w:customStyle="1" w:styleId="FotnotstextindragChar">
    <w:name w:val="Fotnotstext indrag Char"/>
    <w:basedOn w:val="FotnotstextChar"/>
    <w:link w:val="Fotnotstextindrag"/>
    <w:rsid w:val="00A173FE"/>
    <w:rPr>
      <w:sz w:val="16"/>
      <w:szCs w:val="16"/>
      <w:lang w:val="sv-SE" w:eastAsia="sv-SE" w:bidi="ar-SA"/>
    </w:rPr>
  </w:style>
  <w:style w:type="paragraph" w:styleId="Ballongtext">
    <w:name w:val="Balloon Text"/>
    <w:basedOn w:val="Normal"/>
    <w:semiHidden/>
    <w:rsid w:val="00A37974"/>
    <w:rPr>
      <w:rFonts w:ascii="Tahoma" w:hAnsi="Tahoma" w:cs="Tahoma"/>
      <w:sz w:val="16"/>
      <w:szCs w:val="16"/>
    </w:rPr>
  </w:style>
  <w:style w:type="character" w:customStyle="1" w:styleId="TabelltextChar">
    <w:name w:val="Tabelltext Char"/>
    <w:basedOn w:val="Standardstycketeckensnitt"/>
    <w:link w:val="Tabelltext"/>
    <w:rsid w:val="006C7DAA"/>
    <w:rPr>
      <w:sz w:val="16"/>
      <w:lang w:val="sv-SE" w:eastAsia="sv-SE" w:bidi="ar-SA"/>
    </w:rPr>
  </w:style>
  <w:style w:type="character" w:customStyle="1" w:styleId="TabellNotChar">
    <w:name w:val="TabellNot Char"/>
    <w:basedOn w:val="TabelltextChar"/>
    <w:link w:val="TabellNot"/>
    <w:rsid w:val="006C7DAA"/>
    <w:rPr>
      <w:sz w:val="1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5307</Characters>
  <Application>Microsoft Office Word</Application>
  <DocSecurity>4</DocSecurity>
  <Lines>156</Lines>
  <Paragraphs>73</Paragraphs>
  <ScaleCrop>false</ScaleCrop>
  <HeadingPairs>
    <vt:vector size="2" baseType="variant">
      <vt:variant>
        <vt:lpstr>Rubrik</vt:lpstr>
      </vt:variant>
      <vt:variant>
        <vt:i4>1</vt:i4>
      </vt:variant>
    </vt:vector>
  </HeadingPairs>
  <TitlesOfParts>
    <vt:vector size="1" baseType="lpstr">
      <vt:lpstr>Försvarsutskottets yttrande</vt:lpstr>
    </vt:vector>
  </TitlesOfParts>
  <Company>Riksdagen</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dc:description/>
  <cp:lastModifiedBy>Lars Brink</cp:lastModifiedBy>
  <cp:revision>2</cp:revision>
  <cp:lastPrinted>2005-10-19T10:05:00Z</cp:lastPrinted>
  <dcterms:created xsi:type="dcterms:W3CDTF">2025-12-16T22:26:00Z</dcterms:created>
  <dcterms:modified xsi:type="dcterms:W3CDTF">2025-12-16T22:26:00Z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