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30BF" w:rsidRPr="009E351A" w:rsidRDefault="00DC30BF">
      <w:pPr>
        <w:pStyle w:val="Langue"/>
      </w:pPr>
      <w:r w:rsidRPr="009E351A">
        <w:t>EN</w:t>
      </w:r>
    </w:p>
    <w:p w:rsidR="00DE2864" w:rsidRPr="009E351A" w:rsidRDefault="00DE2864" w:rsidP="00DE2864">
      <w:pPr>
        <w:sectPr w:rsidR="00DE2864" w:rsidRPr="009E351A" w:rsidSect="00B2551F">
          <w:footerReference w:type="default" r:id="rId7"/>
          <w:pgSz w:w="11907" w:h="16839"/>
          <w:pgMar w:top="1134" w:right="1417" w:bottom="1134" w:left="1417" w:header="720" w:footer="720" w:gutter="0"/>
          <w:pgNumType w:start="0"/>
          <w:cols w:space="720"/>
          <w:docGrid w:linePitch="326"/>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DE2864" w:rsidRPr="009E351A">
        <w:tblPrEx>
          <w:tblCellMar>
            <w:top w:w="0" w:type="dxa"/>
            <w:left w:w="0" w:type="dxa"/>
            <w:bottom w:w="0" w:type="dxa"/>
            <w:right w:w="0" w:type="dxa"/>
          </w:tblCellMar>
        </w:tblPrEx>
        <w:trPr>
          <w:trHeight w:hRule="exact" w:val="1440"/>
        </w:trPr>
        <w:tc>
          <w:tcPr>
            <w:tcW w:w="1814" w:type="dxa"/>
          </w:tcPr>
          <w:p w:rsidR="00DE2864" w:rsidRPr="009E351A" w:rsidRDefault="009E351A" w:rsidP="00DE2864">
            <w:pPr>
              <w:pStyle w:val="Nomdelinstitution"/>
            </w:pPr>
            <w:r w:rsidRPr="009E351A">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DE2864" w:rsidRPr="009E351A" w:rsidRDefault="00DE2864" w:rsidP="00DE2864">
            <w:pPr>
              <w:pStyle w:val="Nomdelinstitution"/>
            </w:pPr>
            <w:r w:rsidRPr="009E351A">
              <w:t>COMMISSION OF THE EUROPEAN COMMUNITIES</w:t>
            </w:r>
          </w:p>
        </w:tc>
      </w:tr>
    </w:tbl>
    <w:p w:rsidR="00DE2864" w:rsidRPr="009E351A" w:rsidRDefault="00DE2864" w:rsidP="00DE2864">
      <w:pPr>
        <w:pStyle w:val="Emission"/>
      </w:pPr>
      <w:r w:rsidRPr="009E351A">
        <w:t>Brussels, xxx</w:t>
      </w:r>
    </w:p>
    <w:p w:rsidR="00DE2864" w:rsidRPr="009E351A" w:rsidRDefault="00DE2864" w:rsidP="00DE2864">
      <w:pPr>
        <w:pStyle w:val="Rfrenceinstitutionelle"/>
      </w:pPr>
      <w:r w:rsidRPr="009E351A">
        <w:t>COM(2006) yyy final</w:t>
      </w:r>
    </w:p>
    <w:p w:rsidR="00DE2864" w:rsidRPr="009E351A" w:rsidRDefault="00DE2864" w:rsidP="00DE2864">
      <w:pPr>
        <w:pStyle w:val="Rfrenceinterinstitutionelle"/>
      </w:pPr>
      <w:r w:rsidRPr="009E351A">
        <w:t>2006/aaaa (CNS)</w:t>
      </w:r>
    </w:p>
    <w:p w:rsidR="00DE2864" w:rsidRPr="009E351A" w:rsidRDefault="00DE2864" w:rsidP="00DE2864">
      <w:pPr>
        <w:pStyle w:val="Confidentialit"/>
      </w:pPr>
      <w:r w:rsidRPr="009E351A">
        <w:fldChar w:fldCharType="begin" w:fldLock="1"/>
      </w:r>
      <w:r w:rsidRPr="009E351A">
        <w:instrText xml:space="preserve"> DOCPROPERTY "Classification" </w:instrText>
      </w:r>
      <w:r w:rsidRPr="009E351A">
        <w:fldChar w:fldCharType="separate"/>
      </w:r>
      <w:r w:rsidR="00C93605" w:rsidRPr="009E351A">
        <w:t xml:space="preserve"> </w:t>
      </w:r>
      <w:r w:rsidRPr="009E351A">
        <w:fldChar w:fldCharType="end"/>
      </w:r>
    </w:p>
    <w:p w:rsidR="00DE2864" w:rsidRPr="009E351A" w:rsidRDefault="00DE2864" w:rsidP="00DE2864">
      <w:pPr>
        <w:pStyle w:val="Statut"/>
      </w:pPr>
      <w:r w:rsidRPr="009E351A">
        <w:t>Proposal for a</w:t>
      </w:r>
    </w:p>
    <w:p w:rsidR="00DE2864" w:rsidRPr="009E351A" w:rsidRDefault="00DE2864" w:rsidP="00DE2864">
      <w:pPr>
        <w:pStyle w:val="Typedudocument"/>
      </w:pPr>
      <w:r w:rsidRPr="009E351A">
        <w:t>COUNCIL DECISION</w:t>
      </w:r>
    </w:p>
    <w:p w:rsidR="00DE2864" w:rsidRPr="009E351A" w:rsidRDefault="00DE2864" w:rsidP="00DE2864">
      <w:pPr>
        <w:pStyle w:val="Titreobjet"/>
      </w:pPr>
      <w:r w:rsidRPr="009E351A">
        <w:t xml:space="preserve">granting a Community guarantee to the European Investment Bank against losses under loans and guarantees for projects outside the Community </w:t>
      </w:r>
    </w:p>
    <w:p w:rsidR="00DE2864" w:rsidRPr="009E351A" w:rsidRDefault="00DE2864" w:rsidP="00DE2864">
      <w:pPr>
        <w:pStyle w:val="Phrasefinale"/>
      </w:pPr>
      <w:r w:rsidRPr="009E351A">
        <w:t>(presented by the Commission)</w:t>
      </w:r>
    </w:p>
    <w:p w:rsidR="00DC30BF" w:rsidRPr="009E351A" w:rsidRDefault="00DC30BF">
      <w:pPr>
        <w:sectPr w:rsidR="00DC30BF" w:rsidRPr="009E351A" w:rsidSect="00B2551F">
          <w:footerReference w:type="default" r:id="rId9"/>
          <w:footerReference w:type="first" r:id="rId10"/>
          <w:pgSz w:w="11907" w:h="16839"/>
          <w:pgMar w:top="1134" w:right="1417" w:bottom="1134" w:left="1417" w:header="720" w:footer="720" w:gutter="0"/>
          <w:cols w:space="720"/>
          <w:docGrid w:linePitch="326"/>
        </w:sectPr>
      </w:pPr>
    </w:p>
    <w:p w:rsidR="00DC30BF" w:rsidRPr="009E351A" w:rsidRDefault="00DC30BF">
      <w:pPr>
        <w:pStyle w:val="Exposdesmotifstitre"/>
      </w:pPr>
      <w:r w:rsidRPr="009E351A">
        <w:t>EXPLANATORY MEMORANDUM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719"/>
        <w:gridCol w:w="8635"/>
      </w:tblGrid>
      <w:tr w:rsidR="00DC30BF" w:rsidRPr="009E351A">
        <w:tblPrEx>
          <w:tblCellMar>
            <w:top w:w="0" w:type="dxa"/>
            <w:bottom w:w="0" w:type="dxa"/>
          </w:tblCellMar>
        </w:tblPrEx>
        <w:tc>
          <w:tcPr>
            <w:tcW w:w="9354" w:type="dxa"/>
            <w:gridSpan w:val="2"/>
          </w:tcPr>
          <w:p w:rsidR="00DC30BF" w:rsidRPr="009E351A" w:rsidRDefault="00DC30BF">
            <w:pPr>
              <w:numPr>
                <w:ilvl w:val="0"/>
                <w:numId w:val="32"/>
              </w:numPr>
              <w:rPr>
                <w:b/>
                <w:smallCaps/>
              </w:rPr>
            </w:pPr>
            <w:r w:rsidRPr="009E351A">
              <w:rPr>
                <w:b/>
                <w:smallCaps/>
              </w:rPr>
              <w:t>Context of the proposal</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110</w:t>
            </w:r>
          </w:p>
        </w:tc>
        <w:tc>
          <w:tcPr>
            <w:tcW w:w="8635" w:type="dxa"/>
          </w:tcPr>
          <w:p w:rsidR="00DC30BF" w:rsidRPr="009E351A" w:rsidRDefault="00DC30BF">
            <w:pPr>
              <w:numPr>
                <w:ilvl w:val="1"/>
                <w:numId w:val="32"/>
              </w:numPr>
              <w:tabs>
                <w:tab w:val="clear" w:pos="1443"/>
              </w:tabs>
              <w:ind w:left="363"/>
            </w:pPr>
            <w:r w:rsidRPr="009E351A">
              <w:rPr>
                <w:b/>
              </w:rPr>
              <w:t>Grounds for and objectives of the proposal</w:t>
            </w:r>
          </w:p>
          <w:p w:rsidR="00DC30BF" w:rsidRPr="009E351A" w:rsidRDefault="00DC30BF">
            <w:r w:rsidRPr="009E351A">
              <w:t>This proposal for a Council Decision deals with the renewal of the Community budget guarantee to the European Investment Bank (EIB) for financing operations from its own resources in various non-member countries. The current EIB mandates, i.e. the general external lending mandate (Council Decision 200</w:t>
            </w:r>
            <w:r w:rsidR="00A54499" w:rsidRPr="009E351A">
              <w:t>0</w:t>
            </w:r>
            <w:r w:rsidRPr="009E351A">
              <w:t>/24/EC, as amended) and the separate mandate for projects in Russia, Ukraine, Moldova and Belarus (Council Decision 2005/48/EC) will expire at end January 2007, with a possible 6-month extension, in case the loans granted by the EIB have not attained the overall amounts set out in the relevant Council Decisions.</w:t>
            </w:r>
          </w:p>
          <w:p w:rsidR="00DC30BF" w:rsidRPr="009E351A" w:rsidRDefault="00DC30BF">
            <w:r w:rsidRPr="009E351A">
              <w:t xml:space="preserve">The legislation on the EIB general external lending mandate requires the Commission to report on its application by 31 July 2006. The report accompanying the legislative proposal (COM (2006) </w:t>
            </w:r>
            <w:r w:rsidR="00837F60" w:rsidRPr="009E351A">
              <w:t>323</w:t>
            </w:r>
            <w:r w:rsidRPr="009E351A">
              <w:t xml:space="preserve">), hereinafter referred to as 'Report', summarizes the results of the activities carried out by the EIB under the current mandates and sets out the orientations of future EIB activities. Two Staff Working Papers, one reviewing regional outlook (SEC (2006) </w:t>
            </w:r>
            <w:r w:rsidR="00837F60" w:rsidRPr="009E351A">
              <w:t>790</w:t>
            </w:r>
            <w:r w:rsidRPr="009E351A">
              <w:t xml:space="preserve">) and the other providing a detailed assessment of the existing mandate (SEC (2006) </w:t>
            </w:r>
            <w:r w:rsidR="00837F60" w:rsidRPr="009E351A">
              <w:t>789</w:t>
            </w:r>
            <w:r w:rsidRPr="009E351A">
              <w:t>) are annexed to the Report.</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120</w:t>
            </w:r>
          </w:p>
        </w:tc>
        <w:tc>
          <w:tcPr>
            <w:tcW w:w="8635" w:type="dxa"/>
          </w:tcPr>
          <w:p w:rsidR="00DC30BF" w:rsidRPr="009E351A" w:rsidRDefault="00DC30BF">
            <w:pPr>
              <w:numPr>
                <w:ilvl w:val="1"/>
                <w:numId w:val="32"/>
              </w:numPr>
              <w:tabs>
                <w:tab w:val="clear" w:pos="1443"/>
              </w:tabs>
              <w:ind w:left="363"/>
            </w:pPr>
            <w:r w:rsidRPr="009E351A">
              <w:rPr>
                <w:b/>
              </w:rPr>
              <w:t>General context</w:t>
            </w:r>
          </w:p>
          <w:p w:rsidR="00DC30BF" w:rsidRPr="009E351A" w:rsidRDefault="00DC30BF">
            <w:r w:rsidRPr="009E351A">
              <w:t>The EIB's activities outside the EU have traditionally made up around 10% of its total activities (EUR 5.1 billion in 2005, of which EUR 3.7 billion under Community guarantee). The main regions of its current activity are pre-</w:t>
            </w:r>
            <w:r w:rsidR="00BC4553" w:rsidRPr="009E351A">
              <w:t>a</w:t>
            </w:r>
            <w:r w:rsidRPr="009E351A">
              <w:t>ccession and Mediterranean countries, though it also undertakes substantial operations in Asia, Latin America and South Africa, and is progressively expanding its operations in Russia and Ukraine. Activities in ACP countries are carried out under the Cotonou Agreement with European Development Fund resources or with EIB resources with a guarantee from Member States.</w:t>
            </w:r>
          </w:p>
          <w:p w:rsidR="00DC30BF" w:rsidRPr="009E351A" w:rsidRDefault="00DC30BF">
            <w:r w:rsidRPr="009E351A">
              <w:t>The EIB traditionally undertakes operations outside the EU in support of EU external relations policies based on formal mandates from the Council; successive Council mandates have widened the geographical scope of EIB's activity. The financing operations provided for in such Council Decisions are recognised by non-EU partner countries as visible support from the EU. Furthermore, the Community guarantee prevents such operations, which often bear a significantly higher level of risk than the EIB's operations within the EU, from affecting the credit standing of the Bank, and allows the EIB to maintain attractive lending rates outside the EU.</w:t>
            </w:r>
          </w:p>
          <w:p w:rsidR="00DC30BF" w:rsidRPr="009E351A" w:rsidRDefault="00DC30BF">
            <w:r w:rsidRPr="009E351A">
              <w:t xml:space="preserve">Table 1 of the Report shows that loan signatures as at 31 December 2005 (i.e. around 85% of the duration of the lending mandates) represent 87% of the overall lending ceiling of EUR 20,660 million, but that there are significant differences by region. The EIB expects to sign the balance of the amounts available under the different regional ceilings in 2006, except under the Russia, Ukraine, Moldova and Belarus mandate, where first operations are expected to be signed in 2006 and the remainder in </w:t>
            </w:r>
            <w:r w:rsidR="00734F64" w:rsidRPr="009E351A">
              <w:t xml:space="preserve">the first half of </w:t>
            </w:r>
            <w:r w:rsidRPr="009E351A">
              <w:t>2007.</w:t>
            </w:r>
          </w:p>
          <w:p w:rsidR="00DC30BF" w:rsidRPr="009E351A" w:rsidRDefault="00DC30BF">
            <w:r w:rsidRPr="009E351A">
              <w:t>EIB's operations in third countries represent a crucial complement to limited EU budget funds to increase the effectiveness and the visibility of the EU's external action. While the Community budgetary external assistance is focused on lower income countries and support to the social sectors, EIB operations are of particular relevance in middle-income countries and in infrastructure, financial and commercial sectors.</w:t>
            </w:r>
          </w:p>
          <w:p w:rsidR="00DC30BF" w:rsidRPr="009E351A" w:rsidRDefault="00DC30BF">
            <w:r w:rsidRPr="009E351A">
              <w:t>Considering that the EIB has originally been set up and structured financially to operate within the EU, the mandates under Community guarantee cover represent the key tools which allow the EIB to carry out operations outside the EU, by providing the necessary political and financial backing by the Community for countries and projects which would not normally fit within the EIB's standard guidelines and criteria.</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130</w:t>
            </w:r>
          </w:p>
        </w:tc>
        <w:tc>
          <w:tcPr>
            <w:tcW w:w="8635" w:type="dxa"/>
          </w:tcPr>
          <w:p w:rsidR="00DC30BF" w:rsidRPr="009E351A" w:rsidRDefault="00DC30BF">
            <w:pPr>
              <w:numPr>
                <w:ilvl w:val="1"/>
                <w:numId w:val="32"/>
              </w:numPr>
              <w:tabs>
                <w:tab w:val="clear" w:pos="1443"/>
              </w:tabs>
              <w:ind w:left="363"/>
            </w:pPr>
            <w:r w:rsidRPr="009E351A">
              <w:rPr>
                <w:b/>
              </w:rPr>
              <w:t>Existing provisions in the area of the proposal</w:t>
            </w:r>
          </w:p>
          <w:p w:rsidR="00DC30BF" w:rsidRPr="009E351A" w:rsidRDefault="00DC30BF">
            <w:r w:rsidRPr="009E351A">
              <w:t>As noted above, there are currently two Council Decisions in force (2000/24/EC, as amended, and 2005/48/EC) which provide a Community guarantee to the EIB for extra-EU operations. The existing mandates under Community guarantee expire in January 2007 and this proposal would put in place a Community guarantee for the period 2007-2013.</w:t>
            </w:r>
          </w:p>
          <w:p w:rsidR="00DC30BF" w:rsidRPr="009E351A" w:rsidRDefault="00DC30BF">
            <w:r w:rsidRPr="009E351A">
              <w:t>The proposed Decision would continue the provision of a Community guarantee to EIB external lending, whilst making some modifications, as follows:</w:t>
            </w:r>
          </w:p>
          <w:p w:rsidR="00DC30BF" w:rsidRPr="009E351A" w:rsidRDefault="00DC30BF">
            <w:r w:rsidRPr="009E351A">
              <w:t>* A single legal basis will cover all different regions as well as the Reserve Mandate mentioned below. The blanket guarantee coverage of 65% will be applied to the whole mandate.</w:t>
            </w:r>
          </w:p>
          <w:p w:rsidR="00DC30BF" w:rsidRPr="009E351A" w:rsidRDefault="00DC30BF">
            <w:r w:rsidRPr="009E351A">
              <w:t xml:space="preserve">* Introduction of a new geographical breakdown of the ceilings to reflect the existing proposals for new </w:t>
            </w:r>
            <w:r w:rsidR="00AD3C02" w:rsidRPr="009E351A">
              <w:t>EU</w:t>
            </w:r>
            <w:r w:rsidRPr="009E351A">
              <w:t xml:space="preserve"> external relations policies and instruments.</w:t>
            </w:r>
          </w:p>
          <w:p w:rsidR="00DC30BF" w:rsidRPr="009E351A" w:rsidRDefault="00DC30BF">
            <w:r w:rsidRPr="009E351A">
              <w:t>* A clearer definition of the EU policy objectives in each region to be sought by EIB operations under the mandate.</w:t>
            </w:r>
          </w:p>
          <w:p w:rsidR="00DC30BF" w:rsidRPr="009E351A" w:rsidRDefault="00DC30BF">
            <w:r w:rsidRPr="009E351A">
              <w:t>* Introduction of a Reserve Mandate, not allocated to any single region, for activation in cases of natural disasters, post-conflict reconstruction or developments in strategically important countries.</w:t>
            </w:r>
          </w:p>
          <w:p w:rsidR="00DC30BF" w:rsidRPr="009E351A" w:rsidRDefault="00DC30BF">
            <w:r w:rsidRPr="009E351A">
              <w:t>* Clarification of the nature of the Community guarantee so as covering risks of a political or sovereign nature. The guarantee coverage would be extended to both types of financing operations mentioned in the EIB Statute, i.e. loans and guarantees (under the current mandates only loans are covered)</w:t>
            </w:r>
          </w:p>
          <w:p w:rsidR="00DC30BF" w:rsidRPr="009E351A" w:rsidRDefault="00DC30BF">
            <w:r w:rsidRPr="009E351A">
              <w:t>* Reinforcement of the requirements relating to the linkage of EIB external activities with EU policies, through strengthened cooperation between the Commission and the EIB and enhanced reporting.</w:t>
            </w:r>
          </w:p>
          <w:p w:rsidR="00DC30BF" w:rsidRPr="009E351A" w:rsidRDefault="00DC30BF">
            <w:r w:rsidRPr="009E351A">
              <w:t>* In line with the practice established under the existing mandate for Russia, Ukraine, Moldova and Belarus, selected individual countries shall become eligible as and when they fulfil appropriate conditionality consistent with EU high level agreements with the country in question on political and macro-economic aspects, as determined by the Commission in consultation with the EIB. EIB operations will take place following the signature and ratification of the necessary Framework Agreement between EIB and the country concerned.</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140</w:t>
            </w:r>
          </w:p>
        </w:tc>
        <w:tc>
          <w:tcPr>
            <w:tcW w:w="8635" w:type="dxa"/>
          </w:tcPr>
          <w:p w:rsidR="00DC30BF" w:rsidRPr="009E351A" w:rsidRDefault="00DC30BF">
            <w:pPr>
              <w:numPr>
                <w:ilvl w:val="1"/>
                <w:numId w:val="32"/>
              </w:numPr>
              <w:tabs>
                <w:tab w:val="clear" w:pos="1443"/>
              </w:tabs>
              <w:ind w:left="363"/>
            </w:pPr>
            <w:r w:rsidRPr="009E351A">
              <w:rPr>
                <w:b/>
              </w:rPr>
              <w:t>Consistency with other policies and objectives of the Union</w:t>
            </w:r>
          </w:p>
          <w:p w:rsidR="00DC30BF" w:rsidRPr="009E351A" w:rsidRDefault="00DC30BF">
            <w:r w:rsidRPr="009E351A">
              <w:t xml:space="preserve">As highlighted in the Report, EIB external operations, and notably those covered by the current proposal, will complement the activities </w:t>
            </w:r>
            <w:r w:rsidR="00526034" w:rsidRPr="009E351A">
              <w:t xml:space="preserve">to be </w:t>
            </w:r>
            <w:r w:rsidRPr="009E351A">
              <w:t>carried out under the external assistance instruments, i.e. Pre-Accession, European Neighbourhood and Partnership, Development Cooperation and Economic Cooperation</w:t>
            </w:r>
            <w:r w:rsidR="00DF6D5A" w:rsidRPr="009E351A">
              <w:t xml:space="preserve"> as well as the Instrument for Stability</w:t>
            </w:r>
            <w:r w:rsidRPr="009E351A">
              <w:t>.</w:t>
            </w:r>
          </w:p>
          <w:p w:rsidR="00DC30BF" w:rsidRPr="009E351A" w:rsidRDefault="00DC30BF">
            <w:r w:rsidRPr="009E351A">
              <w:t>EIB operations will fully support EU external action, as determined in the various policy papers mentioned in the proposed legal act or as eventually laid out in future EU policy documents. The linkage of EIB external activity with EU policies will be strengthened via reinforced cooperation between the Commission and the EIB. This will begin with an enhanced association in the planning process, notably in the context of action plans or pre-accession documents and country or regional strategy papers, and during upstream identification and implementation of projects. Strengthening cooperation in this fashion will help ensure that the policy driven character of the new EC instruments is likewise reflected in the implementation of the mandate.</w:t>
            </w:r>
          </w:p>
          <w:p w:rsidR="00DC30BF" w:rsidRPr="009E351A" w:rsidRDefault="00DC30BF">
            <w:r w:rsidRPr="009E351A">
              <w:t xml:space="preserve">The extent of this cooperation will progress on a regionally differentiated basis, taking into consideration the EIB's importance in the region but also the scope for linkage with EU policies, </w:t>
            </w:r>
            <w:r w:rsidR="008C7EAA" w:rsidRPr="009E351A">
              <w:t>with</w:t>
            </w:r>
            <w:r w:rsidRPr="009E351A">
              <w:t xml:space="preserve">in the framework of </w:t>
            </w:r>
            <w:r w:rsidR="008C7EAA" w:rsidRPr="009E351A">
              <w:t>the P</w:t>
            </w:r>
            <w:r w:rsidRPr="009E351A">
              <w:t>re-</w:t>
            </w:r>
            <w:r w:rsidR="008C7EAA" w:rsidRPr="009E351A">
              <w:t>A</w:t>
            </w:r>
            <w:r w:rsidRPr="009E351A">
              <w:t xml:space="preserve">ccession, </w:t>
            </w:r>
            <w:r w:rsidR="008C7EAA" w:rsidRPr="009E351A">
              <w:t>European N</w:t>
            </w:r>
            <w:r w:rsidRPr="009E351A">
              <w:t>eighbourhood</w:t>
            </w:r>
            <w:r w:rsidR="00401D03" w:rsidRPr="009E351A">
              <w:t xml:space="preserve"> and Partnership,</w:t>
            </w:r>
            <w:r w:rsidR="008C7EAA" w:rsidRPr="009E351A">
              <w:t xml:space="preserve"> and</w:t>
            </w:r>
            <w:r w:rsidRPr="009E351A">
              <w:t xml:space="preserve"> </w:t>
            </w:r>
            <w:r w:rsidR="008C7EAA" w:rsidRPr="009E351A">
              <w:t>D</w:t>
            </w:r>
            <w:r w:rsidRPr="009E351A">
              <w:t xml:space="preserve">evelopment </w:t>
            </w:r>
            <w:r w:rsidR="008C7EAA" w:rsidRPr="009E351A">
              <w:t xml:space="preserve">Cooperation </w:t>
            </w:r>
            <w:r w:rsidRPr="009E351A">
              <w:t xml:space="preserve">and </w:t>
            </w:r>
            <w:r w:rsidR="008C7EAA" w:rsidRPr="009E351A">
              <w:t>E</w:t>
            </w:r>
            <w:r w:rsidRPr="009E351A">
              <w:t xml:space="preserve">conomic </w:t>
            </w:r>
            <w:r w:rsidR="008C7EAA" w:rsidRPr="009E351A">
              <w:t>C</w:t>
            </w:r>
            <w:r w:rsidRPr="009E351A">
              <w:t>ooperation</w:t>
            </w:r>
            <w:r w:rsidR="008C7EAA" w:rsidRPr="009E351A">
              <w:t xml:space="preserve"> </w:t>
            </w:r>
            <w:r w:rsidR="00496B5D" w:rsidRPr="009E351A">
              <w:t>strategies</w:t>
            </w:r>
            <w:r w:rsidRPr="009E351A">
              <w:t>.</w:t>
            </w:r>
          </w:p>
          <w:p w:rsidR="00DC30BF" w:rsidRPr="009E351A" w:rsidRDefault="00DC30BF">
            <w:r w:rsidRPr="009E351A">
              <w:t xml:space="preserve">Furthermore, the Commission envisages </w:t>
            </w:r>
            <w:r w:rsidR="00496B5D" w:rsidRPr="009E351A">
              <w:t>early</w:t>
            </w:r>
            <w:r w:rsidRPr="009E351A">
              <w:t xml:space="preserve"> consultation by the EIB on individual projects</w:t>
            </w:r>
            <w:r w:rsidR="00F00561" w:rsidRPr="009E351A">
              <w:t xml:space="preserve">. </w:t>
            </w:r>
            <w:r w:rsidR="000C18EF" w:rsidRPr="009E351A">
              <w:t>An EIB Financing Operation will not be included under the cover of the Community guarantee in case the Commission delivers a negative opinion on such operation within the framework of the procedure provided for in Article 21 of the Statutes of the EIB.</w:t>
            </w:r>
          </w:p>
          <w:p w:rsidR="00DC30BF" w:rsidRPr="009E351A" w:rsidRDefault="00DC30BF">
            <w:r w:rsidRPr="009E351A">
              <w:t>The EIB would endeavour to further enhance co-ordination and co-operation with International Financial Institutions, such as the EBRD or the World Bank, and with European bilateral institutions, where relevant, on the basis of Memoranda of Understanding covering the different regions under the mandate.</w:t>
            </w:r>
          </w:p>
          <w:p w:rsidR="00DC30BF" w:rsidRPr="009E351A" w:rsidRDefault="00DC30BF">
            <w:r w:rsidRPr="009E351A">
              <w:t>In the framework of the new mandate, enhanced reporting procedures will be put in place to ensure that consistency with the external policies and objectives of the Union, as well as cooperation with other IFIs, are adequately monitored.</w:t>
            </w:r>
          </w:p>
        </w:tc>
      </w:tr>
      <w:tr w:rsidR="00DC30BF" w:rsidRPr="009E351A">
        <w:tblPrEx>
          <w:tblCellMar>
            <w:top w:w="0" w:type="dxa"/>
            <w:bottom w:w="0" w:type="dxa"/>
          </w:tblCellMar>
        </w:tblPrEx>
        <w:tc>
          <w:tcPr>
            <w:tcW w:w="9354" w:type="dxa"/>
            <w:gridSpan w:val="2"/>
          </w:tcPr>
          <w:p w:rsidR="00DC30BF" w:rsidRPr="009E351A" w:rsidRDefault="00DC30BF">
            <w:pPr>
              <w:numPr>
                <w:ilvl w:val="0"/>
                <w:numId w:val="32"/>
              </w:numPr>
              <w:rPr>
                <w:b/>
                <w:smallCaps/>
              </w:rPr>
            </w:pPr>
            <w:r w:rsidRPr="009E351A">
              <w:rPr>
                <w:b/>
                <w:smallCaps/>
              </w:rPr>
              <w:t>Consultation of interested parties and impact assessment</w:t>
            </w:r>
          </w:p>
        </w:tc>
      </w:tr>
      <w:tr w:rsidR="00DC30BF" w:rsidRPr="009E351A">
        <w:tblPrEx>
          <w:tblCellMar>
            <w:top w:w="0" w:type="dxa"/>
            <w:bottom w:w="0" w:type="dxa"/>
          </w:tblCellMar>
        </w:tblPrEx>
        <w:tc>
          <w:tcPr>
            <w:tcW w:w="719" w:type="dxa"/>
          </w:tcPr>
          <w:p w:rsidR="00DC30BF" w:rsidRPr="009E351A" w:rsidRDefault="00DC30BF"/>
        </w:tc>
        <w:tc>
          <w:tcPr>
            <w:tcW w:w="8635" w:type="dxa"/>
          </w:tcPr>
          <w:p w:rsidR="00DC30BF" w:rsidRPr="009E351A" w:rsidRDefault="00DC30BF">
            <w:pPr>
              <w:numPr>
                <w:ilvl w:val="1"/>
                <w:numId w:val="32"/>
              </w:numPr>
              <w:tabs>
                <w:tab w:val="clear" w:pos="1443"/>
              </w:tabs>
              <w:ind w:left="363"/>
            </w:pPr>
            <w:r w:rsidRPr="009E351A">
              <w:rPr>
                <w:b/>
              </w:rPr>
              <w:t>Consultation of interested parties</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211</w:t>
            </w:r>
          </w:p>
        </w:tc>
        <w:tc>
          <w:tcPr>
            <w:tcW w:w="8635" w:type="dxa"/>
          </w:tcPr>
          <w:p w:rsidR="00DC30BF" w:rsidRPr="009E351A" w:rsidRDefault="00DC30BF">
            <w:r w:rsidRPr="009E351A">
              <w:rPr>
                <w:i/>
                <w:u w:val="single"/>
              </w:rPr>
              <w:t>Consultation methods, main sectors targeted and general profile of respondents</w:t>
            </w:r>
          </w:p>
          <w:p w:rsidR="00DC30BF" w:rsidRPr="009E351A" w:rsidRDefault="00DC30BF">
            <w:r w:rsidRPr="009E351A">
              <w:t>A joint working party, including representatives from the relevant services of the Commission and the EIB, worked on the preparation of the current proposal and on the accompanying Report.</w:t>
            </w:r>
          </w:p>
          <w:p w:rsidR="00DC30BF" w:rsidRPr="009E351A" w:rsidRDefault="00DC30BF">
            <w:r w:rsidRPr="009E351A">
              <w:t xml:space="preserve">The Commission and the EIB provided the EFC with a progress report and supplementary information providing the main orientations of the current proposal. The EFC, which includes senior officials expert in the economic and financial field from all Member States, discussed this matter during two successive meetings in February and March 2006. As a result, the EFC produced a report providing the initial views of the Member States on the main orientations put forward by the Commission and the EIB. </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212</w:t>
            </w:r>
          </w:p>
        </w:tc>
        <w:tc>
          <w:tcPr>
            <w:tcW w:w="8635" w:type="dxa"/>
          </w:tcPr>
          <w:p w:rsidR="00DC30BF" w:rsidRPr="009E351A" w:rsidRDefault="00DC30BF">
            <w:r w:rsidRPr="009E351A">
              <w:rPr>
                <w:i/>
                <w:u w:val="single"/>
              </w:rPr>
              <w:t>Summary of responses and how they have been taken into account</w:t>
            </w:r>
          </w:p>
          <w:p w:rsidR="002D7792" w:rsidRPr="009E351A" w:rsidRDefault="00F00561" w:rsidP="002D7792">
            <w:r w:rsidRPr="009E351A">
              <w:t>The EIB's views are fully reflected in the current proposal.</w:t>
            </w:r>
          </w:p>
          <w:p w:rsidR="00DC30BF" w:rsidRPr="009E351A" w:rsidRDefault="00DC30BF">
            <w:r w:rsidRPr="009E351A">
              <w:t>The above-mentioned EFC report requests the Commission to provide additional information regarding a comprehensive evaluation of the existing mandates and a fuller description of EIB external activity in the global picture of the EU's external instruments, comprising a needs assessment of the recipient countries, the role of other IFIs and the EIB comparative advantage. The additional information requirements are addressed in the Report and the annexed Staff Working Papers.</w:t>
            </w:r>
          </w:p>
          <w:p w:rsidR="00DC30BF" w:rsidRPr="009E351A" w:rsidRDefault="00DC30BF">
            <w:r w:rsidRPr="009E351A">
              <w:t>The EFC report also includes general recommendations, including a) the need to ensure good co-operation between the EIB and other donors or lenders such as IFIs (in particular the EBRD) and other bilateral agencies; b) the need to clarify the nature of the risks covered by the Community guarantee; c) the need to make concrete proposals for a more coherent deployment of EIB operations and Community grants and to clarify the necessary working arrangements; d) the involvement of the Council in the governance of the Reserve Mandate; e) the need for a mid-term review to be based on an independent evaluation. The above recommendations were taken into account in the proposed legal act. Point c) above can only be addressed in the framework of the appropriate legal bases.</w:t>
            </w:r>
          </w:p>
        </w:tc>
      </w:tr>
      <w:tr w:rsidR="00DC30BF" w:rsidRPr="009E351A">
        <w:tblPrEx>
          <w:tblCellMar>
            <w:top w:w="0" w:type="dxa"/>
            <w:bottom w:w="0" w:type="dxa"/>
          </w:tblCellMar>
        </w:tblPrEx>
        <w:tc>
          <w:tcPr>
            <w:tcW w:w="719" w:type="dxa"/>
          </w:tcPr>
          <w:p w:rsidR="00DC30BF" w:rsidRPr="009E351A" w:rsidRDefault="00DC30BF"/>
        </w:tc>
        <w:tc>
          <w:tcPr>
            <w:tcW w:w="8635" w:type="dxa"/>
          </w:tcPr>
          <w:p w:rsidR="00DC30BF" w:rsidRPr="009E351A" w:rsidRDefault="00DC30BF">
            <w:pPr>
              <w:numPr>
                <w:ilvl w:val="1"/>
                <w:numId w:val="32"/>
              </w:numPr>
              <w:tabs>
                <w:tab w:val="clear" w:pos="1443"/>
              </w:tabs>
              <w:ind w:left="363"/>
            </w:pPr>
            <w:r w:rsidRPr="009E351A">
              <w:rPr>
                <w:b/>
              </w:rPr>
              <w:t>Collection and use of expertise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221</w:t>
            </w:r>
          </w:p>
        </w:tc>
        <w:tc>
          <w:tcPr>
            <w:tcW w:w="8635" w:type="dxa"/>
          </w:tcPr>
          <w:p w:rsidR="00DC30BF" w:rsidRPr="009E351A" w:rsidRDefault="00DC30BF">
            <w:r w:rsidRPr="009E351A">
              <w:rPr>
                <w:i/>
                <w:u w:val="single"/>
              </w:rPr>
              <w:t>Scientific/expertise domains concerned</w:t>
            </w:r>
          </w:p>
          <w:p w:rsidR="00DC30BF" w:rsidRPr="009E351A" w:rsidRDefault="00DC30BF">
            <w:r w:rsidRPr="009E351A">
              <w:t>Financial and economic expertise.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222</w:t>
            </w:r>
          </w:p>
        </w:tc>
        <w:tc>
          <w:tcPr>
            <w:tcW w:w="8635" w:type="dxa"/>
          </w:tcPr>
          <w:p w:rsidR="00DC30BF" w:rsidRPr="009E351A" w:rsidRDefault="00DC30BF">
            <w:r w:rsidRPr="009E351A">
              <w:rPr>
                <w:i/>
                <w:u w:val="single"/>
              </w:rPr>
              <w:t>Methodology used</w:t>
            </w:r>
          </w:p>
          <w:p w:rsidR="00DC30BF" w:rsidRPr="009E351A" w:rsidRDefault="00DC30BF">
            <w:r w:rsidRPr="009E351A">
              <w:t>Not applicable.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223</w:t>
            </w:r>
          </w:p>
        </w:tc>
        <w:tc>
          <w:tcPr>
            <w:tcW w:w="8635" w:type="dxa"/>
          </w:tcPr>
          <w:p w:rsidR="00DC30BF" w:rsidRPr="009E351A" w:rsidRDefault="00DC30BF">
            <w:r w:rsidRPr="009E351A">
              <w:rPr>
                <w:i/>
                <w:u w:val="single"/>
              </w:rPr>
              <w:t>Main organisations/experts consulted</w:t>
            </w:r>
          </w:p>
          <w:p w:rsidR="00DC30BF" w:rsidRPr="009E351A" w:rsidRDefault="00DC30BF">
            <w:r w:rsidRPr="009E351A">
              <w:t>EIB.</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2249</w:t>
            </w:r>
          </w:p>
        </w:tc>
        <w:tc>
          <w:tcPr>
            <w:tcW w:w="8635" w:type="dxa"/>
          </w:tcPr>
          <w:p w:rsidR="00DC30BF" w:rsidRPr="009E351A" w:rsidRDefault="00DC30BF">
            <w:r w:rsidRPr="009E351A">
              <w:rPr>
                <w:i/>
                <w:u w:val="single"/>
              </w:rPr>
              <w:t>Summary of advice received and used</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225</w:t>
            </w:r>
          </w:p>
        </w:tc>
        <w:tc>
          <w:tcPr>
            <w:tcW w:w="8635" w:type="dxa"/>
          </w:tcPr>
          <w:p w:rsidR="00DC30BF" w:rsidRPr="009E351A" w:rsidRDefault="00DC30BF">
            <w:r w:rsidRPr="009E351A">
              <w:t>The views of the EIB are reflected in the current proposal and in the accompanying Report.</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226</w:t>
            </w:r>
          </w:p>
        </w:tc>
        <w:tc>
          <w:tcPr>
            <w:tcW w:w="8635" w:type="dxa"/>
          </w:tcPr>
          <w:p w:rsidR="00DC30BF" w:rsidRPr="009E351A" w:rsidRDefault="00DC30BF">
            <w:r w:rsidRPr="009E351A">
              <w:rPr>
                <w:i/>
                <w:u w:val="single"/>
              </w:rPr>
              <w:t>Means used to make the expert advice publicly available</w:t>
            </w:r>
          </w:p>
          <w:p w:rsidR="00DC30BF" w:rsidRPr="009E351A" w:rsidRDefault="00DC30BF">
            <w:r w:rsidRPr="009E351A">
              <w:t>Not applicable.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br w:type="page"/>
            </w:r>
            <w:r w:rsidRPr="009E351A">
              <w:rPr>
                <w:color w:val="FFFFFF"/>
                <w:sz w:val="12"/>
              </w:rPr>
              <w:t>230</w:t>
            </w:r>
          </w:p>
        </w:tc>
        <w:tc>
          <w:tcPr>
            <w:tcW w:w="8635" w:type="dxa"/>
          </w:tcPr>
          <w:p w:rsidR="00DC30BF" w:rsidRPr="009E351A" w:rsidRDefault="00DC30BF">
            <w:pPr>
              <w:numPr>
                <w:ilvl w:val="1"/>
                <w:numId w:val="32"/>
              </w:numPr>
              <w:tabs>
                <w:tab w:val="clear" w:pos="1443"/>
              </w:tabs>
              <w:ind w:left="363"/>
            </w:pPr>
            <w:r w:rsidRPr="009E351A">
              <w:rPr>
                <w:b/>
              </w:rPr>
              <w:t>Impact assessment</w:t>
            </w:r>
          </w:p>
          <w:p w:rsidR="00DC30BF" w:rsidRPr="009E351A" w:rsidRDefault="00DC30BF">
            <w:r w:rsidRPr="009E351A">
              <w:t xml:space="preserve">The third countries to be covered by EIB operations under Community guarantee generally have a greater risk profile than EU countries, mainly because of macro-economic, financial and/or political instability, as reflected in the external credit ratings of such countries. The EIB operates on sound banking principles and its </w:t>
            </w:r>
            <w:r w:rsidR="008C7EAA" w:rsidRPr="009E351A">
              <w:t>S</w:t>
            </w:r>
            <w:r w:rsidRPr="009E351A">
              <w:t>tatute is restrictive in terms of the risks it can take. Therefore, without a guarantee from the Community covering political and sovereign risks, the EIB could normally assume the relevant risks only in investment grade countries.</w:t>
            </w:r>
          </w:p>
          <w:p w:rsidR="00DC30BF" w:rsidRPr="009E351A" w:rsidRDefault="00DC30BF">
            <w:r w:rsidRPr="009E351A">
              <w:t>A Community guarantee for extra-EU projects provides the EIB with the security required to allow it to finance projects contributing to Community external relations policies without affecting the EIB's AAA credit rating.</w:t>
            </w:r>
          </w:p>
          <w:p w:rsidR="00DC30BF" w:rsidRPr="009E351A" w:rsidRDefault="00DC30BF">
            <w:r w:rsidRPr="009E351A">
              <w:t>An alternative option examined was not to provide a Community guarantee. However this would have led to a non-entry in - or a withdrawal of the EIB from a number of countries and a significant increase in funding costs for projects located in other countries. This was deemed not to be politically desirable, considering the need to have balanced EU intervention across the various countries in the different regions. Furthermore, the increase of financing costs for project promoters in acceptable countries would have rendered EIB operations less attractive, thus diminishing the EIB's leverage to impose EU policy conditions (e.g. procurement, environment, etc.). The same reasoning would also apply if the Community were to charge the guarantee to the EIB, as this would also ultimately increase the cost for promoters.</w:t>
            </w:r>
          </w:p>
          <w:p w:rsidR="00DC30BF" w:rsidRPr="009E351A" w:rsidRDefault="00DC30BF">
            <w:r w:rsidRPr="009E351A">
              <w:t xml:space="preserve">The current proposal strikes a proportionate balance between the need to leave the EIB operational freedom to pursue financing activities according to its own modalities, whilst supporting EU external relation policies, and </w:t>
            </w:r>
            <w:r w:rsidR="008C7EAA" w:rsidRPr="009E351A">
              <w:t xml:space="preserve">to </w:t>
            </w:r>
            <w:r w:rsidRPr="009E351A">
              <w:t>ensur</w:t>
            </w:r>
            <w:r w:rsidR="008C7EAA" w:rsidRPr="009E351A">
              <w:t>e</w:t>
            </w:r>
            <w:r w:rsidRPr="009E351A">
              <w:t xml:space="preserve"> that the Community's guarantee is limited, both in terms of exposure to risk and the nature of the projects which it will cover. Furthermore, the involvement of the Commission as responsible for the Community guarantee ensures a strong political backing to the financing provided by the EIB. A major effect of such backing is to significantly increase the probability of recovery of defaulted amounts thanks to the joint pressure exercised by the EIB and the Commission on defaulting borrowers. This is witnessed by the fact that the only cases where the EIB called on the guarantee in the past (ex-Yugoslavia and Argentina) have been eventually paid back.</w:t>
            </w:r>
          </w:p>
        </w:tc>
      </w:tr>
      <w:tr w:rsidR="00DC30BF" w:rsidRPr="009E351A">
        <w:tblPrEx>
          <w:tblCellMar>
            <w:top w:w="0" w:type="dxa"/>
            <w:bottom w:w="0" w:type="dxa"/>
          </w:tblCellMar>
        </w:tblPrEx>
        <w:tc>
          <w:tcPr>
            <w:tcW w:w="9354" w:type="dxa"/>
            <w:gridSpan w:val="2"/>
          </w:tcPr>
          <w:p w:rsidR="00DC30BF" w:rsidRPr="009E351A" w:rsidRDefault="00DC30BF">
            <w:pPr>
              <w:numPr>
                <w:ilvl w:val="0"/>
                <w:numId w:val="32"/>
              </w:numPr>
              <w:rPr>
                <w:b/>
                <w:smallCaps/>
              </w:rPr>
            </w:pPr>
            <w:r w:rsidRPr="009E351A">
              <w:rPr>
                <w:b/>
                <w:smallCaps/>
              </w:rPr>
              <w:t>Legal elements of the proposal</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305</w:t>
            </w:r>
          </w:p>
        </w:tc>
        <w:tc>
          <w:tcPr>
            <w:tcW w:w="8635" w:type="dxa"/>
          </w:tcPr>
          <w:p w:rsidR="00DC30BF" w:rsidRPr="009E351A" w:rsidRDefault="00DC30BF">
            <w:pPr>
              <w:numPr>
                <w:ilvl w:val="1"/>
                <w:numId w:val="32"/>
              </w:numPr>
              <w:tabs>
                <w:tab w:val="clear" w:pos="1443"/>
              </w:tabs>
              <w:ind w:left="363"/>
            </w:pPr>
            <w:r w:rsidRPr="009E351A">
              <w:rPr>
                <w:b/>
              </w:rPr>
              <w:t>Summary of the proposed action</w:t>
            </w:r>
          </w:p>
          <w:p w:rsidR="00DC30BF" w:rsidRPr="009E351A" w:rsidRDefault="00DC30BF">
            <w:r w:rsidRPr="009E351A">
              <w:t xml:space="preserve">The Commission proposes a single legal basis covering the different regions under the mandate. The period covered by the future mandate will coincide with the next Financial </w:t>
            </w:r>
            <w:r w:rsidR="00C41CA8" w:rsidRPr="009E351A">
              <w:t>Framework</w:t>
            </w:r>
            <w:r w:rsidRPr="009E351A">
              <w:t xml:space="preserve"> 2007-2013. The action will provide a guarantee to the EIB for extra-EU operations, up to certain ceilings established within the proposal. A mid-term review of the mandate will be carried out in 2010, which will allow, where necessary, for a refocusing of the priorities set out in the legal basis.</w:t>
            </w:r>
          </w:p>
        </w:tc>
      </w:tr>
      <w:tr w:rsidR="00DC30BF" w:rsidRPr="009E351A">
        <w:tblPrEx>
          <w:tblCellMar>
            <w:top w:w="0" w:type="dxa"/>
            <w:bottom w:w="0" w:type="dxa"/>
          </w:tblCellMar>
        </w:tblPrEx>
        <w:tc>
          <w:tcPr>
            <w:tcW w:w="719" w:type="dxa"/>
          </w:tcPr>
          <w:p w:rsidR="00DC30BF" w:rsidRPr="009E351A" w:rsidRDefault="00DC30BF" w:rsidP="00AF07BD">
            <w:pPr>
              <w:pageBreakBefore/>
              <w:rPr>
                <w:color w:val="FFFFFF"/>
                <w:sz w:val="12"/>
              </w:rPr>
            </w:pPr>
            <w:r w:rsidRPr="009E351A">
              <w:rPr>
                <w:color w:val="FFFFFF"/>
                <w:sz w:val="12"/>
              </w:rPr>
              <w:t>310</w:t>
            </w:r>
          </w:p>
        </w:tc>
        <w:tc>
          <w:tcPr>
            <w:tcW w:w="8635" w:type="dxa"/>
          </w:tcPr>
          <w:p w:rsidR="00DC30BF" w:rsidRPr="009E351A" w:rsidRDefault="00DC30BF" w:rsidP="00AF07BD">
            <w:pPr>
              <w:pageBreakBefore/>
              <w:numPr>
                <w:ilvl w:val="1"/>
                <w:numId w:val="32"/>
              </w:numPr>
              <w:tabs>
                <w:tab w:val="clear" w:pos="1443"/>
              </w:tabs>
              <w:ind w:left="363"/>
            </w:pPr>
            <w:r w:rsidRPr="009E351A">
              <w:rPr>
                <w:b/>
              </w:rPr>
              <w:t>Legal basis</w:t>
            </w:r>
          </w:p>
          <w:p w:rsidR="00DC30BF" w:rsidRPr="009E351A" w:rsidRDefault="00DC30BF" w:rsidP="00AF07BD">
            <w:pPr>
              <w:pageBreakBefore/>
            </w:pPr>
            <w:r w:rsidRPr="009E351A">
              <w:t>The legislative proposal will be based on Article 181a which provides for economic, financial and technical cooperation with third countries. This legal basis was already used for the revision of the general lending mandate (Council Decision 2005/47/EC) and for the new Russia, Ukraine, Moldova and Belarus mandate (Council Decision 2005/48/EC).</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329</w:t>
            </w:r>
          </w:p>
        </w:tc>
        <w:tc>
          <w:tcPr>
            <w:tcW w:w="8635" w:type="dxa"/>
          </w:tcPr>
          <w:p w:rsidR="00DC30BF" w:rsidRPr="009E351A" w:rsidRDefault="00DC30BF">
            <w:pPr>
              <w:numPr>
                <w:ilvl w:val="1"/>
                <w:numId w:val="32"/>
              </w:numPr>
              <w:tabs>
                <w:tab w:val="clear" w:pos="1443"/>
              </w:tabs>
              <w:ind w:left="363"/>
            </w:pPr>
            <w:r w:rsidRPr="009E351A">
              <w:rPr>
                <w:b/>
              </w:rPr>
              <w:t>Subsidiarity principle</w:t>
            </w:r>
          </w:p>
          <w:p w:rsidR="00DC30BF" w:rsidRPr="009E351A" w:rsidRDefault="00DC30BF">
            <w:r w:rsidRPr="009E351A">
              <w:t>The proposal falls under the exclusive competence of the Community. The subsidiarity principle therefore does not apply.</w:t>
            </w:r>
          </w:p>
        </w:tc>
      </w:tr>
      <w:tr w:rsidR="00DC30BF" w:rsidRPr="009E351A">
        <w:tblPrEx>
          <w:tblCellMar>
            <w:top w:w="0" w:type="dxa"/>
            <w:bottom w:w="0" w:type="dxa"/>
          </w:tblCellMar>
        </w:tblPrEx>
        <w:tc>
          <w:tcPr>
            <w:tcW w:w="719" w:type="dxa"/>
          </w:tcPr>
          <w:p w:rsidR="00DC30BF" w:rsidRPr="009E351A" w:rsidRDefault="00DC30BF"/>
        </w:tc>
        <w:tc>
          <w:tcPr>
            <w:tcW w:w="8635" w:type="dxa"/>
          </w:tcPr>
          <w:p w:rsidR="00DC30BF" w:rsidRPr="009E351A" w:rsidRDefault="00DC30BF">
            <w:pPr>
              <w:numPr>
                <w:ilvl w:val="1"/>
                <w:numId w:val="32"/>
              </w:numPr>
              <w:tabs>
                <w:tab w:val="clear" w:pos="1443"/>
              </w:tabs>
              <w:ind w:left="363"/>
            </w:pPr>
            <w:r w:rsidRPr="009E351A">
              <w:rPr>
                <w:b/>
              </w:rPr>
              <w:t>Proportionality principle</w:t>
            </w:r>
          </w:p>
          <w:p w:rsidR="00DC30BF" w:rsidRPr="009E351A" w:rsidRDefault="00DC30BF">
            <w:r w:rsidRPr="009E351A">
              <w:t>The proposal complies with the proportionality principle for the following reasons</w:t>
            </w:r>
            <w:r w:rsidR="008C7EAA" w:rsidRPr="009E351A">
              <w:t>:</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331</w:t>
            </w:r>
          </w:p>
        </w:tc>
        <w:tc>
          <w:tcPr>
            <w:tcW w:w="8635" w:type="dxa"/>
          </w:tcPr>
          <w:p w:rsidR="00DC30BF" w:rsidRPr="009E351A" w:rsidRDefault="00DC30BF">
            <w:r w:rsidRPr="009E351A">
              <w:t>EIB financing operations shall continue to be managed in accordance with the EIB's own rules and procedures.</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332</w:t>
            </w:r>
          </w:p>
        </w:tc>
        <w:tc>
          <w:tcPr>
            <w:tcW w:w="8635" w:type="dxa"/>
          </w:tcPr>
          <w:p w:rsidR="00DC30BF" w:rsidRPr="009E351A" w:rsidRDefault="00DC30BF">
            <w:r w:rsidRPr="009E351A">
              <w:t>The Community guarantee has proved to be an efficient and inexpensive means of covering the political and sovereign risks relating to EIB external operations. Since 1994, a Community Guarantee Fund for External Action is in place to provide a liquidity cushion for the Community budget against defaults on guaranteed operations. The renewal of a Community guarantee will allow the existing efficient and economically sound practice to continue.</w:t>
            </w:r>
          </w:p>
          <w:p w:rsidR="00DC30BF" w:rsidRPr="009E351A" w:rsidRDefault="00DC30BF">
            <w:r w:rsidRPr="009E351A">
              <w:t>The Commission and the EIB will sign an agreement on the provisions and procedures for granting the Community guarantee. In order to streamline the preparation and appraisal of projects, the EIB will further enhance coordination and cooperation with other IFIs and with European bilateral institutions where relevant.</w:t>
            </w:r>
          </w:p>
        </w:tc>
      </w:tr>
      <w:tr w:rsidR="00DC30BF" w:rsidRPr="009E351A">
        <w:tblPrEx>
          <w:tblCellMar>
            <w:top w:w="0" w:type="dxa"/>
            <w:bottom w:w="0" w:type="dxa"/>
          </w:tblCellMar>
        </w:tblPrEx>
        <w:tc>
          <w:tcPr>
            <w:tcW w:w="719" w:type="dxa"/>
          </w:tcPr>
          <w:p w:rsidR="00DC30BF" w:rsidRPr="009E351A" w:rsidRDefault="00DC30BF"/>
        </w:tc>
        <w:tc>
          <w:tcPr>
            <w:tcW w:w="8635" w:type="dxa"/>
          </w:tcPr>
          <w:p w:rsidR="00DC30BF" w:rsidRPr="009E351A" w:rsidRDefault="00DC30BF">
            <w:pPr>
              <w:numPr>
                <w:ilvl w:val="1"/>
                <w:numId w:val="32"/>
              </w:numPr>
              <w:tabs>
                <w:tab w:val="clear" w:pos="1443"/>
              </w:tabs>
              <w:ind w:left="363"/>
            </w:pPr>
            <w:r w:rsidRPr="009E351A">
              <w:rPr>
                <w:b/>
              </w:rPr>
              <w:t>Choice of instruments</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341</w:t>
            </w:r>
          </w:p>
        </w:tc>
        <w:tc>
          <w:tcPr>
            <w:tcW w:w="8635" w:type="dxa"/>
          </w:tcPr>
          <w:p w:rsidR="00DC30BF" w:rsidRPr="009E351A" w:rsidRDefault="00DC30BF">
            <w:r w:rsidRPr="009E351A">
              <w:t>Proposed instruments: other.</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342</w:t>
            </w:r>
          </w:p>
        </w:tc>
        <w:tc>
          <w:tcPr>
            <w:tcW w:w="8635" w:type="dxa"/>
          </w:tcPr>
          <w:p w:rsidR="00DC30BF" w:rsidRPr="009E351A" w:rsidRDefault="00DC30BF">
            <w:r w:rsidRPr="009E351A">
              <w:t>Other means would not be adequate for the following reason</w:t>
            </w:r>
            <w:r w:rsidR="008C7EAA" w:rsidRPr="009E351A">
              <w:t>:</w:t>
            </w:r>
          </w:p>
          <w:p w:rsidR="00DC30BF" w:rsidRPr="009E351A" w:rsidRDefault="00DC30BF">
            <w:r w:rsidRPr="009E351A">
              <w:t>A Council Decision is required to establish a guarantee at Community level.</w:t>
            </w:r>
          </w:p>
        </w:tc>
      </w:tr>
      <w:tr w:rsidR="00DC30BF" w:rsidRPr="009E351A">
        <w:tblPrEx>
          <w:tblCellMar>
            <w:top w:w="0" w:type="dxa"/>
            <w:bottom w:w="0" w:type="dxa"/>
          </w:tblCellMar>
        </w:tblPrEx>
        <w:tc>
          <w:tcPr>
            <w:tcW w:w="9354" w:type="dxa"/>
            <w:gridSpan w:val="2"/>
          </w:tcPr>
          <w:p w:rsidR="00DC30BF" w:rsidRPr="009E351A" w:rsidRDefault="00DC30BF">
            <w:pPr>
              <w:numPr>
                <w:ilvl w:val="0"/>
                <w:numId w:val="32"/>
              </w:numPr>
              <w:rPr>
                <w:b/>
                <w:smallCaps/>
              </w:rPr>
            </w:pPr>
            <w:r w:rsidRPr="009E351A">
              <w:rPr>
                <w:b/>
                <w:smallCaps/>
              </w:rPr>
              <w:t>Budgetary implication</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401</w:t>
            </w:r>
          </w:p>
        </w:tc>
        <w:tc>
          <w:tcPr>
            <w:tcW w:w="8635" w:type="dxa"/>
          </w:tcPr>
          <w:p w:rsidR="00DC30BF" w:rsidRPr="009E351A" w:rsidRDefault="00DC30BF">
            <w:r w:rsidRPr="009E351A">
              <w:t xml:space="preserve">The financial statement included in the legislative proposal summarises the relevant budgetary implications. These implications stem from the need to set aside provisions for the Community guarantee in the Guarantee Fund for External Action over the period of the next Financial </w:t>
            </w:r>
            <w:r w:rsidR="00C41CA8" w:rsidRPr="009E351A">
              <w:t>Framework 2007-2013</w:t>
            </w:r>
            <w:r w:rsidRPr="009E351A">
              <w:t>.</w:t>
            </w:r>
          </w:p>
        </w:tc>
      </w:tr>
      <w:tr w:rsidR="00DC30BF" w:rsidRPr="009E351A">
        <w:tblPrEx>
          <w:tblCellMar>
            <w:top w:w="0" w:type="dxa"/>
            <w:bottom w:w="0" w:type="dxa"/>
          </w:tblCellMar>
        </w:tblPrEx>
        <w:tc>
          <w:tcPr>
            <w:tcW w:w="9354" w:type="dxa"/>
            <w:gridSpan w:val="2"/>
          </w:tcPr>
          <w:p w:rsidR="00DC30BF" w:rsidRPr="009E351A" w:rsidRDefault="00DC30BF" w:rsidP="00AF07BD">
            <w:pPr>
              <w:pageBreakBefore/>
              <w:numPr>
                <w:ilvl w:val="0"/>
                <w:numId w:val="32"/>
              </w:numPr>
              <w:rPr>
                <w:b/>
                <w:smallCaps/>
              </w:rPr>
            </w:pPr>
            <w:r w:rsidRPr="009E351A">
              <w:rPr>
                <w:b/>
                <w:smallCaps/>
              </w:rPr>
              <w:t>Additional information</w:t>
            </w:r>
          </w:p>
        </w:tc>
      </w:tr>
      <w:tr w:rsidR="00DC30BF" w:rsidRPr="009E351A">
        <w:tblPrEx>
          <w:tblCellMar>
            <w:top w:w="0" w:type="dxa"/>
            <w:bottom w:w="0" w:type="dxa"/>
          </w:tblCellMar>
        </w:tblPrEx>
        <w:tc>
          <w:tcPr>
            <w:tcW w:w="719" w:type="dxa"/>
          </w:tcPr>
          <w:p w:rsidR="00DC30BF" w:rsidRPr="009E351A" w:rsidRDefault="00DC30BF"/>
        </w:tc>
        <w:tc>
          <w:tcPr>
            <w:tcW w:w="8635" w:type="dxa"/>
          </w:tcPr>
          <w:p w:rsidR="00DC30BF" w:rsidRPr="009E351A" w:rsidRDefault="00DC30BF">
            <w:pPr>
              <w:numPr>
                <w:ilvl w:val="1"/>
                <w:numId w:val="32"/>
              </w:numPr>
              <w:tabs>
                <w:tab w:val="clear" w:pos="1443"/>
              </w:tabs>
              <w:ind w:left="363"/>
            </w:pPr>
            <w:r w:rsidRPr="009E351A">
              <w:rPr>
                <w:b/>
              </w:rPr>
              <w:t>Review/revision/sunset clause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531</w:t>
            </w:r>
          </w:p>
        </w:tc>
        <w:tc>
          <w:tcPr>
            <w:tcW w:w="8635" w:type="dxa"/>
          </w:tcPr>
          <w:p w:rsidR="00DC30BF" w:rsidRPr="009E351A" w:rsidRDefault="00DC30BF">
            <w:r w:rsidRPr="009E351A">
              <w:t>The proposal includes a review clause.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532</w:t>
            </w:r>
          </w:p>
        </w:tc>
        <w:tc>
          <w:tcPr>
            <w:tcW w:w="8635" w:type="dxa"/>
          </w:tcPr>
          <w:p w:rsidR="00DC30BF" w:rsidRPr="009E351A" w:rsidRDefault="00DC30BF">
            <w:r w:rsidRPr="009E351A">
              <w:t>The proposal includes a revision clause.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533</w:t>
            </w:r>
          </w:p>
        </w:tc>
        <w:tc>
          <w:tcPr>
            <w:tcW w:w="8635" w:type="dxa"/>
          </w:tcPr>
          <w:p w:rsidR="00DC30BF" w:rsidRPr="009E351A" w:rsidRDefault="00DC30BF">
            <w:r w:rsidRPr="009E351A">
              <w:t>The proposal includes a sunset clause.</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570</w:t>
            </w:r>
          </w:p>
        </w:tc>
        <w:tc>
          <w:tcPr>
            <w:tcW w:w="8635" w:type="dxa"/>
          </w:tcPr>
          <w:p w:rsidR="00DC30BF" w:rsidRPr="009E351A" w:rsidRDefault="00DC30BF">
            <w:pPr>
              <w:numPr>
                <w:ilvl w:val="1"/>
                <w:numId w:val="32"/>
              </w:numPr>
              <w:tabs>
                <w:tab w:val="clear" w:pos="1443"/>
              </w:tabs>
              <w:ind w:left="363"/>
            </w:pPr>
            <w:r w:rsidRPr="009E351A">
              <w:rPr>
                <w:b/>
              </w:rPr>
              <w:t>Detailed explanation of the proposal</w:t>
            </w:r>
          </w:p>
          <w:p w:rsidR="00DC30BF" w:rsidRPr="009E351A" w:rsidRDefault="00DC30BF">
            <w:r w:rsidRPr="009E351A">
              <w:t>Article 1 mentions that the Community guarantee will cover EIB financing operations up to a global amount of EUR 33 billion, including a reserve of EUR 1.5 billion, over the period 2007-2013. The guarantee shall be restricted to 65% of the aggregate amount of the financing operations plus related sums. The overall ceiling shall be broken down by region with the following binding regional ceilings:</w:t>
            </w:r>
          </w:p>
          <w:p w:rsidR="00DC30BF" w:rsidRPr="009E351A" w:rsidRDefault="00DC30BF">
            <w:r w:rsidRPr="009E351A">
              <w:t>A) Pre-accession countries: EUR 9 billion</w:t>
            </w:r>
          </w:p>
          <w:p w:rsidR="00DC30BF" w:rsidRPr="009E351A" w:rsidRDefault="00DC30BF">
            <w:r w:rsidRPr="009E351A">
              <w:t>B) Neighbourhood and Partnership countries: EUR 15 billion. This is broken down into two indicative sub-ceilings, i.e. Mediterranean countries: EUR 10 billion, and Eastern Europe, Southern Caucasus and Russia: EUR 5 billion.</w:t>
            </w:r>
          </w:p>
          <w:p w:rsidR="00DC30BF" w:rsidRPr="009E351A" w:rsidRDefault="00DC30BF">
            <w:r w:rsidRPr="009E351A">
              <w:t>C) Development and Economic Cooperation countries: EUR 7.5 billion, broken down into three indicative sub-ceilings, i.e. Latin America: EUR 4 billion, Asia: EUR 2 billion, and Republic of South Africa: EUR 1.5 billion.</w:t>
            </w:r>
          </w:p>
          <w:p w:rsidR="00DC30BF" w:rsidRPr="009E351A" w:rsidRDefault="00DC30BF">
            <w:r w:rsidRPr="009E351A">
              <w:t>D) Reserve Mandate: EUR 1.5 billion.</w:t>
            </w:r>
          </w:p>
          <w:p w:rsidR="00DC30BF" w:rsidRPr="009E351A" w:rsidRDefault="00DC30BF">
            <w:r w:rsidRPr="009E351A">
              <w:t>Article 2 deals with the list of countries concerned by the legal act and their eligibility.</w:t>
            </w:r>
          </w:p>
          <w:p w:rsidR="00DC30BF" w:rsidRPr="009E351A" w:rsidRDefault="00DC30BF">
            <w:r w:rsidRPr="009E351A">
              <w:t>Article 3 specifies that the Reserve Mandate is not allocated to any single region and will be activated in cases of natural disasters, post-conflict reconstruction or developments in strategically important countries. The activation will be decided jointly by the Commission and the EIB, following consultation with the EFC. The European Parliament will be informed about the activation of the Reserve Mandate.</w:t>
            </w:r>
          </w:p>
          <w:p w:rsidR="00DC30BF" w:rsidRPr="009E351A" w:rsidRDefault="00DC30BF">
            <w:r w:rsidRPr="009E351A">
              <w:t xml:space="preserve">Article 4 details the requirements relating to the linkage of EIB external activities with EU policies, through reinforced cooperation between the Commission and the EIB and enhanced reporting. Furthermore, </w:t>
            </w:r>
            <w:r w:rsidR="00E3298F" w:rsidRPr="009E351A">
              <w:t>an EIB Financing Operation will not be included under the cover of the Community guarantee in case the Commission delivers a negative opinion on such operation within the framework of the procedure provided for in Article 21 of the Statutes of the EIB</w:t>
            </w:r>
            <w:r w:rsidRPr="009E351A">
              <w:t>.</w:t>
            </w:r>
          </w:p>
          <w:p w:rsidR="00DC30BF" w:rsidRPr="009E351A" w:rsidRDefault="00DC30BF">
            <w:r w:rsidRPr="009E351A">
              <w:t>Article 5 details the modalities of the enhanced cooperation with other IFIs.</w:t>
            </w:r>
          </w:p>
          <w:p w:rsidR="00DC30BF" w:rsidRPr="009E351A" w:rsidRDefault="00DC30BF">
            <w:r w:rsidRPr="009E351A">
              <w:t>Article 6 clarifies the nature of the Community guarantee which will cover risks of a political or sovereign nature for financing operations entered into by the EIB.</w:t>
            </w:r>
          </w:p>
          <w:p w:rsidR="00DC30BF" w:rsidRPr="009E351A" w:rsidRDefault="00DC30BF">
            <w:r w:rsidRPr="009E351A">
              <w:t xml:space="preserve">Article 7 includes enhanced reporting and accounting information requirements for both the EIB and the Commission. </w:t>
            </w:r>
          </w:p>
          <w:p w:rsidR="00DC30BF" w:rsidRPr="009E351A" w:rsidRDefault="00DC30BF">
            <w:r w:rsidRPr="009E351A">
              <w:t>Article 8 specifies the responsibility of the EIB to pursue possible recovery claims on behalf of the Commission.</w:t>
            </w:r>
          </w:p>
          <w:p w:rsidR="00DC30BF" w:rsidRPr="009E351A" w:rsidRDefault="00DC30BF">
            <w:r w:rsidRPr="009E351A">
              <w:t>Article 9 mentions that the detailed provisions and procedures relating to the Community guarantee shall be laid down in a guarantee agreement between the Commission and the EIB.</w:t>
            </w:r>
          </w:p>
          <w:p w:rsidR="00DC30BF" w:rsidRPr="009E351A" w:rsidRDefault="00DC30BF">
            <w:r w:rsidRPr="009E351A">
              <w:t>Article 10 mentions that a mid-term review of the mandate would be carried out in 2010 by the Commission on the basis</w:t>
            </w:r>
            <w:r w:rsidR="008C7EAA" w:rsidRPr="009E351A">
              <w:t>, inter alia,</w:t>
            </w:r>
            <w:r w:rsidRPr="009E351A">
              <w:t xml:space="preserve"> of an activity report from the EIB as well as an evaluation prepared by the EIB's independent evaluation department.</w:t>
            </w:r>
          </w:p>
          <w:p w:rsidR="00DC30BF" w:rsidRPr="009E351A" w:rsidRDefault="00DC30BF">
            <w:r w:rsidRPr="009E351A">
              <w:t>The 'Recitals' section includes, amongst other things, the political background to the proposal and the detailed scope of EIB operations in the different regions.</w:t>
            </w:r>
          </w:p>
        </w:tc>
      </w:tr>
      <w:tr w:rsidR="00DC30BF" w:rsidRPr="009E351A">
        <w:tblPrEx>
          <w:tblCellMar>
            <w:top w:w="0" w:type="dxa"/>
            <w:bottom w:w="0" w:type="dxa"/>
          </w:tblCellMar>
        </w:tblPrEx>
        <w:tc>
          <w:tcPr>
            <w:tcW w:w="719" w:type="dxa"/>
          </w:tcPr>
          <w:p w:rsidR="00DC30BF" w:rsidRPr="009E351A" w:rsidRDefault="00DC30BF">
            <w:pPr>
              <w:rPr>
                <w:color w:val="FFFFFF"/>
                <w:sz w:val="12"/>
              </w:rPr>
            </w:pPr>
            <w:r w:rsidRPr="009E351A">
              <w:rPr>
                <w:color w:val="FFFFFF"/>
                <w:sz w:val="12"/>
              </w:rPr>
              <w:t>E-12466</w:t>
            </w:r>
          </w:p>
        </w:tc>
        <w:tc>
          <w:tcPr>
            <w:tcW w:w="8635" w:type="dxa"/>
          </w:tcPr>
          <w:p w:rsidR="00DC30BF" w:rsidRPr="009E351A" w:rsidRDefault="00DC30BF">
            <w:pPr>
              <w:rPr>
                <w:sz w:val="20"/>
              </w:rPr>
            </w:pPr>
          </w:p>
        </w:tc>
      </w:tr>
    </w:tbl>
    <w:p w:rsidR="00DC30BF" w:rsidRPr="009E351A" w:rsidRDefault="00DC30BF"/>
    <w:p w:rsidR="00DC30BF" w:rsidRPr="009E351A" w:rsidRDefault="00DC30BF">
      <w:pPr>
        <w:sectPr w:rsidR="00DC30BF" w:rsidRPr="009E351A" w:rsidSect="00B2551F">
          <w:footerReference w:type="default" r:id="rId11"/>
          <w:footerReference w:type="first" r:id="rId12"/>
          <w:pgSz w:w="11907" w:h="16839"/>
          <w:pgMar w:top="1134" w:right="1417" w:bottom="1134" w:left="1417" w:header="720" w:footer="720" w:gutter="0"/>
          <w:cols w:space="720"/>
          <w:docGrid w:linePitch="326"/>
        </w:sectPr>
      </w:pPr>
    </w:p>
    <w:p w:rsidR="00DE2864" w:rsidRPr="009E351A" w:rsidRDefault="00DE2864" w:rsidP="00DE2864">
      <w:pPr>
        <w:pStyle w:val="Rfrenceinterinstitutionelle"/>
      </w:pPr>
      <w:r w:rsidRPr="009E351A">
        <w:t>2006/aaaa (CNS)</w:t>
      </w:r>
    </w:p>
    <w:p w:rsidR="006B3DEC" w:rsidRPr="009E351A" w:rsidRDefault="006B3DEC" w:rsidP="006B3DEC">
      <w:pPr>
        <w:pStyle w:val="Statut"/>
      </w:pPr>
      <w:r w:rsidRPr="009E351A">
        <w:t>Proposal for a</w:t>
      </w:r>
    </w:p>
    <w:p w:rsidR="006B3DEC" w:rsidRPr="009E351A" w:rsidRDefault="006B3DEC" w:rsidP="006B3DEC">
      <w:pPr>
        <w:pStyle w:val="Typedudocument"/>
      </w:pPr>
      <w:r w:rsidRPr="009E351A">
        <w:t>COUNCIL DECISION</w:t>
      </w:r>
    </w:p>
    <w:p w:rsidR="00DC30BF" w:rsidRPr="009E351A" w:rsidRDefault="00F35622" w:rsidP="006B3DEC">
      <w:pPr>
        <w:pStyle w:val="Titreobjet"/>
      </w:pPr>
      <w:r w:rsidRPr="009E351A">
        <w:t>g</w:t>
      </w:r>
      <w:r w:rsidR="00DC30BF" w:rsidRPr="009E351A">
        <w:t xml:space="preserve">ranting a Community guarantee to the European Investment Bank against losses under loans and guarantees for projects outside the Community </w:t>
      </w:r>
    </w:p>
    <w:p w:rsidR="006B3DEC" w:rsidRPr="009E351A" w:rsidRDefault="006B3DEC" w:rsidP="006B3DEC">
      <w:pPr>
        <w:pStyle w:val="Institutionquiagit"/>
      </w:pPr>
      <w:r w:rsidRPr="009E351A">
        <w:t>THE COUNCIL OF THE EUROPEAN UNION,</w:t>
      </w:r>
    </w:p>
    <w:p w:rsidR="00DC30BF" w:rsidRPr="009E351A" w:rsidRDefault="00DC30BF">
      <w:r w:rsidRPr="009E351A">
        <w:t>Having regard to the Treaty establishing the European Community, and in particular Article 181a thereof,</w:t>
      </w:r>
    </w:p>
    <w:p w:rsidR="00DC30BF" w:rsidRPr="009E351A" w:rsidRDefault="00DC30BF">
      <w:r w:rsidRPr="009E351A">
        <w:t>Having regard to the proposal from the Commission</w:t>
      </w:r>
      <w:r w:rsidRPr="009E351A">
        <w:rPr>
          <w:rStyle w:val="Fotnotsreferens"/>
        </w:rPr>
        <w:footnoteReference w:id="1"/>
      </w:r>
      <w:r w:rsidRPr="009E351A">
        <w:t>,</w:t>
      </w:r>
    </w:p>
    <w:p w:rsidR="00DC30BF" w:rsidRPr="009E351A" w:rsidRDefault="00DC30BF">
      <w:r w:rsidRPr="009E351A">
        <w:t>Having regard to the opinion of the European Parliament</w:t>
      </w:r>
      <w:r w:rsidRPr="009E351A">
        <w:rPr>
          <w:rStyle w:val="Fotnotsreferens"/>
        </w:rPr>
        <w:footnoteReference w:id="2"/>
      </w:r>
      <w:r w:rsidRPr="009E351A">
        <w:t>,</w:t>
      </w:r>
    </w:p>
    <w:p w:rsidR="00DC30BF" w:rsidRPr="009E351A" w:rsidRDefault="00DC30BF">
      <w:r w:rsidRPr="009E351A">
        <w:t>Whereas:</w:t>
      </w:r>
    </w:p>
    <w:p w:rsidR="00DC30BF" w:rsidRPr="009E351A" w:rsidRDefault="00F35622">
      <w:pPr>
        <w:pStyle w:val="Considrant"/>
      </w:pPr>
      <w:r w:rsidRPr="009E351A">
        <w:t>Since 1963, t</w:t>
      </w:r>
      <w:r w:rsidR="00DC30BF" w:rsidRPr="009E351A">
        <w:t xml:space="preserve">he European Investment Bank (hereinafter referred to as the “EIB”) has undertaken operations outside the </w:t>
      </w:r>
      <w:r w:rsidRPr="009E351A">
        <w:t>Community</w:t>
      </w:r>
      <w:r w:rsidR="00DC30BF" w:rsidRPr="009E351A">
        <w:t xml:space="preserve"> in support of the </w:t>
      </w:r>
      <w:r w:rsidRPr="009E351A">
        <w:t xml:space="preserve">Community's </w:t>
      </w:r>
      <w:r w:rsidR="00DC30BF" w:rsidRPr="009E351A">
        <w:t>external policies</w:t>
      </w:r>
      <w:r w:rsidR="00EE532D" w:rsidRPr="009E351A">
        <w:t>,</w:t>
      </w:r>
    </w:p>
    <w:p w:rsidR="00DC30BF" w:rsidRPr="009E351A" w:rsidRDefault="00DC30BF">
      <w:pPr>
        <w:pStyle w:val="Considrant"/>
      </w:pPr>
      <w:r w:rsidRPr="009E351A">
        <w:t>Most of th</w:t>
      </w:r>
      <w:r w:rsidR="00F35622" w:rsidRPr="009E351A">
        <w:t>o</w:t>
      </w:r>
      <w:r w:rsidRPr="009E351A">
        <w:t xml:space="preserve">se operations have been carried out upon request by the Council and have benefited from a Community budgetary guarantee administered by the Commission. Most recently, the Community guarantee was established </w:t>
      </w:r>
      <w:r w:rsidR="00F35622" w:rsidRPr="009E351A">
        <w:t>for the period 2000-2007 by</w:t>
      </w:r>
      <w:r w:rsidRPr="009E351A">
        <w:t xml:space="preserve"> Council Decision 2000/24/EC</w:t>
      </w:r>
      <w:r w:rsidR="00F35622" w:rsidRPr="009E351A">
        <w:t xml:space="preserve"> of 22 December 1999 granting a Community guarantee against losses under loans for projects outside the Community (Central and Eastern Europe, Mediterranean countries, Latin America and Asia and the Republic of South Africa)</w:t>
      </w:r>
      <w:r w:rsidRPr="009E351A">
        <w:rPr>
          <w:rStyle w:val="Fotnotsreferens"/>
        </w:rPr>
        <w:footnoteReference w:id="3"/>
      </w:r>
      <w:r w:rsidRPr="009E351A">
        <w:t xml:space="preserve"> and </w:t>
      </w:r>
      <w:r w:rsidR="00F35622" w:rsidRPr="009E351A">
        <w:t>by Council Decisions 2001/777/EC</w:t>
      </w:r>
      <w:r w:rsidR="00F35622" w:rsidRPr="009E351A">
        <w:rPr>
          <w:rStyle w:val="Fotnotsreferens"/>
        </w:rPr>
        <w:footnoteReference w:id="4"/>
      </w:r>
      <w:r w:rsidR="00F35622" w:rsidRPr="009E351A">
        <w:t xml:space="preserve"> </w:t>
      </w:r>
      <w:r w:rsidR="00FE3775" w:rsidRPr="009E351A">
        <w:t>and 2005/48/EC</w:t>
      </w:r>
      <w:r w:rsidR="00FE3775" w:rsidRPr="009E351A">
        <w:rPr>
          <w:rStyle w:val="Fotnotsreferens"/>
        </w:rPr>
        <w:footnoteReference w:id="5"/>
      </w:r>
      <w:r w:rsidR="00FE3775" w:rsidRPr="009E351A">
        <w:t xml:space="preserve"> for </w:t>
      </w:r>
      <w:r w:rsidRPr="009E351A">
        <w:t xml:space="preserve">regionally specific </w:t>
      </w:r>
      <w:r w:rsidR="00FE3775" w:rsidRPr="009E351A">
        <w:t xml:space="preserve">lending </w:t>
      </w:r>
      <w:r w:rsidR="00974CF7" w:rsidRPr="009E351A">
        <w:t>actions</w:t>
      </w:r>
      <w:r w:rsidR="00EE532D" w:rsidRPr="009E351A">
        <w:t>,</w:t>
      </w:r>
    </w:p>
    <w:p w:rsidR="00DC30BF" w:rsidRPr="009E351A" w:rsidRDefault="00DC30BF">
      <w:pPr>
        <w:pStyle w:val="Considrant"/>
      </w:pPr>
      <w:r w:rsidRPr="009E351A">
        <w:t xml:space="preserve">With a view to supporting EU external action without affecting </w:t>
      </w:r>
      <w:r w:rsidR="00FE3775" w:rsidRPr="009E351A">
        <w:t xml:space="preserve">the </w:t>
      </w:r>
      <w:r w:rsidRPr="009E351A">
        <w:t xml:space="preserve">EIB’s credit standing, the EIB </w:t>
      </w:r>
      <w:r w:rsidR="00FE3775" w:rsidRPr="009E351A">
        <w:t xml:space="preserve">should be </w:t>
      </w:r>
      <w:r w:rsidRPr="009E351A">
        <w:t>offer</w:t>
      </w:r>
      <w:r w:rsidR="00FE3775" w:rsidRPr="009E351A">
        <w:t>ed</w:t>
      </w:r>
      <w:r w:rsidRPr="009E351A">
        <w:t xml:space="preserve"> a Community budgetary guarantee for operations</w:t>
      </w:r>
      <w:r w:rsidR="00FE3775" w:rsidRPr="009E351A">
        <w:t xml:space="preserve"> carried out outside the Community</w:t>
      </w:r>
      <w:r w:rsidRPr="009E351A">
        <w:t xml:space="preserve">. </w:t>
      </w:r>
      <w:r w:rsidR="00FE3775" w:rsidRPr="009E351A">
        <w:t xml:space="preserve">The EIB should be </w:t>
      </w:r>
      <w:r w:rsidRPr="009E351A">
        <w:t>encourag</w:t>
      </w:r>
      <w:r w:rsidR="00FE3775" w:rsidRPr="009E351A">
        <w:t>ed</w:t>
      </w:r>
      <w:r w:rsidRPr="009E351A">
        <w:t xml:space="preserve"> to increase its operations </w:t>
      </w:r>
      <w:r w:rsidR="00FE3775" w:rsidRPr="009E351A">
        <w:t xml:space="preserve">outside the Community </w:t>
      </w:r>
      <w:r w:rsidRPr="009E351A">
        <w:t xml:space="preserve">without recourse to </w:t>
      </w:r>
      <w:r w:rsidR="00BF6F58" w:rsidRPr="009E351A">
        <w:t xml:space="preserve">the </w:t>
      </w:r>
      <w:r w:rsidRPr="009E351A">
        <w:t xml:space="preserve">Community guarantee, particularly in the </w:t>
      </w:r>
      <w:r w:rsidR="00FE3775" w:rsidRPr="009E351A">
        <w:t>p</w:t>
      </w:r>
      <w:r w:rsidRPr="009E351A">
        <w:t>re-</w:t>
      </w:r>
      <w:r w:rsidR="00FE3775" w:rsidRPr="009E351A">
        <w:t>a</w:t>
      </w:r>
      <w:r w:rsidRPr="009E351A">
        <w:t xml:space="preserve">ccession countries and the Mediterranean countries as well as in investment grade countries in other regions, </w:t>
      </w:r>
      <w:r w:rsidR="00FE3775" w:rsidRPr="009E351A">
        <w:t xml:space="preserve">while </w:t>
      </w:r>
      <w:r w:rsidRPr="009E351A">
        <w:t xml:space="preserve">the nature of the coverage of the Community guarantee </w:t>
      </w:r>
      <w:r w:rsidR="00FE3775" w:rsidRPr="009E351A">
        <w:t xml:space="preserve">should be clarified </w:t>
      </w:r>
      <w:r w:rsidRPr="009E351A">
        <w:t>as covering risks of a political or sovereign nature</w:t>
      </w:r>
      <w:r w:rsidR="00EE532D" w:rsidRPr="009E351A">
        <w:t>,</w:t>
      </w:r>
    </w:p>
    <w:p w:rsidR="00DC30BF" w:rsidRPr="009E351A" w:rsidRDefault="00DC30BF" w:rsidP="005E6B39">
      <w:pPr>
        <w:pStyle w:val="Considrant"/>
      </w:pPr>
      <w:r w:rsidRPr="009E351A">
        <w:t>The Community guarantee sh</w:t>
      </w:r>
      <w:r w:rsidR="00FE3775" w:rsidRPr="009E351A">
        <w:t>ould</w:t>
      </w:r>
      <w:r w:rsidRPr="009E351A">
        <w:t xml:space="preserve"> cover losses under loans and loan guarantees for EIB eligible investment projects carried out in countries covered by the Instrument for Pre-Accession Assistance</w:t>
      </w:r>
      <w:r w:rsidR="00FE3775" w:rsidRPr="009E351A">
        <w:rPr>
          <w:rStyle w:val="Fotnotsreferens"/>
        </w:rPr>
        <w:footnoteReference w:id="6"/>
      </w:r>
      <w:r w:rsidRPr="009E351A">
        <w:t xml:space="preserve"> (hereinafter the “IPA”), the European Neighbourhood and Partnership Instrument</w:t>
      </w:r>
      <w:r w:rsidR="00FE3775" w:rsidRPr="009E351A">
        <w:rPr>
          <w:rStyle w:val="Fotnotsreferens"/>
        </w:rPr>
        <w:footnoteReference w:id="7"/>
      </w:r>
      <w:r w:rsidRPr="009E351A">
        <w:t xml:space="preserve"> (hereinafter the “ENPI”) and the Development Cooperation and Economic Cooperation Instrument</w:t>
      </w:r>
      <w:r w:rsidR="00FE3775" w:rsidRPr="009E351A">
        <w:rPr>
          <w:rStyle w:val="Fotnotsreferens"/>
        </w:rPr>
        <w:footnoteReference w:id="8"/>
      </w:r>
      <w:r w:rsidRPr="009E351A">
        <w:t xml:space="preserve"> (hereinafter the “DCECI”), where the said loan financing or guarantee has been granted according to a signed agreement which has neither expired nor been cancelled (hereinafter referred to as “EIB Financing Operations”)</w:t>
      </w:r>
      <w:r w:rsidR="00EE532D" w:rsidRPr="009E351A">
        <w:t>,</w:t>
      </w:r>
    </w:p>
    <w:p w:rsidR="00DC30BF" w:rsidRPr="009E351A" w:rsidRDefault="00DC30BF" w:rsidP="00974CF7">
      <w:pPr>
        <w:pStyle w:val="Considrant"/>
      </w:pPr>
      <w:r w:rsidRPr="009E351A">
        <w:t>The EU’s external relations policies have been revised and broadened in recent years. This has notably been the case for the Pre-Accession Strategy as set out in</w:t>
      </w:r>
      <w:r w:rsidR="004F79C3" w:rsidRPr="009E351A">
        <w:t xml:space="preserve"> the Commission's 2005 Enlargement Strategy Paper</w:t>
      </w:r>
      <w:r w:rsidR="004F79C3" w:rsidRPr="009E351A">
        <w:rPr>
          <w:rStyle w:val="Fotnotsreferens"/>
        </w:rPr>
        <w:footnoteReference w:id="9"/>
      </w:r>
      <w:r w:rsidRPr="009E351A">
        <w:t>, for the European Neighbourhood Policy, as set out in the Commission’s Strategy Paper of 12 May 2004</w:t>
      </w:r>
      <w:r w:rsidRPr="009E351A">
        <w:rPr>
          <w:rStyle w:val="Fotnotsreferens"/>
        </w:rPr>
        <w:footnoteReference w:id="10"/>
      </w:r>
      <w:r w:rsidRPr="009E351A">
        <w:t xml:space="preserve">, for the </w:t>
      </w:r>
      <w:r w:rsidR="001A4D30" w:rsidRPr="009E351A">
        <w:t>re</w:t>
      </w:r>
      <w:r w:rsidRPr="009E351A">
        <w:t>new</w:t>
      </w:r>
      <w:r w:rsidR="001A4D30" w:rsidRPr="009E351A">
        <w:t xml:space="preserve">ed partnerships with </w:t>
      </w:r>
      <w:r w:rsidR="00350F55" w:rsidRPr="009E351A">
        <w:t>L</w:t>
      </w:r>
      <w:r w:rsidRPr="009E351A">
        <w:t>atin America</w:t>
      </w:r>
      <w:r w:rsidRPr="009E351A">
        <w:rPr>
          <w:rStyle w:val="Fotnotsreferens"/>
        </w:rPr>
        <w:footnoteReference w:id="11"/>
      </w:r>
      <w:r w:rsidRPr="009E351A">
        <w:t xml:space="preserve"> and South-East Asia</w:t>
      </w:r>
      <w:r w:rsidRPr="009E351A">
        <w:rPr>
          <w:rStyle w:val="Fotnotsreferens"/>
        </w:rPr>
        <w:footnoteReference w:id="12"/>
      </w:r>
      <w:r w:rsidRPr="009E351A">
        <w:t xml:space="preserve"> a</w:t>
      </w:r>
      <w:r w:rsidR="001A4D30" w:rsidRPr="009E351A">
        <w:t>nd</w:t>
      </w:r>
      <w:r w:rsidRPr="009E351A">
        <w:t xml:space="preserve"> for the EU's Strategic Partnership with Russia, China and India</w:t>
      </w:r>
      <w:r w:rsidR="00EE532D" w:rsidRPr="009E351A">
        <w:t>,</w:t>
      </w:r>
    </w:p>
    <w:p w:rsidR="00DC30BF" w:rsidRPr="009E351A" w:rsidRDefault="0059187E" w:rsidP="00750F08">
      <w:pPr>
        <w:pStyle w:val="Considrant"/>
      </w:pPr>
      <w:r w:rsidRPr="009E351A">
        <w:t>From 2007, t</w:t>
      </w:r>
      <w:r w:rsidR="00DC30BF" w:rsidRPr="009E351A">
        <w:t>he EU’s external relations will also be supported by the new financial instruments, i.e. the IPA, the ENPI</w:t>
      </w:r>
      <w:r w:rsidR="00CF5815" w:rsidRPr="009E351A">
        <w:t xml:space="preserve">, </w:t>
      </w:r>
      <w:r w:rsidR="00DC30BF" w:rsidRPr="009E351A">
        <w:t>the DCECI</w:t>
      </w:r>
      <w:r w:rsidR="00F00561" w:rsidRPr="009E351A">
        <w:t xml:space="preserve"> </w:t>
      </w:r>
      <w:r w:rsidR="00CF5815" w:rsidRPr="009E351A">
        <w:t xml:space="preserve">and </w:t>
      </w:r>
      <w:r w:rsidR="00EA246D" w:rsidRPr="009E351A">
        <w:t>by the Instrument for Stability</w:t>
      </w:r>
      <w:r w:rsidR="00EA246D" w:rsidRPr="009E351A">
        <w:rPr>
          <w:rStyle w:val="Fotnotsreferens"/>
        </w:rPr>
        <w:footnoteReference w:id="13"/>
      </w:r>
      <w:r w:rsidR="00EE532D" w:rsidRPr="009E351A">
        <w:t>,</w:t>
      </w:r>
    </w:p>
    <w:p w:rsidR="00DC30BF" w:rsidRPr="009E351A" w:rsidRDefault="00DC30BF" w:rsidP="009B509E">
      <w:pPr>
        <w:pStyle w:val="Considrant"/>
      </w:pPr>
      <w:r w:rsidRPr="009E351A">
        <w:t>EIB Financing Operations should be consistent with and support EU external policies including specific regional objectives. EIB Financing Operations should take place in countries complying with appropriate conditionality consistent with EU high level agreements on political and macro-economic aspects</w:t>
      </w:r>
      <w:r w:rsidR="00EE532D" w:rsidRPr="009E351A">
        <w:t>,</w:t>
      </w:r>
    </w:p>
    <w:p w:rsidR="00DC30BF" w:rsidRPr="009E351A" w:rsidRDefault="00DC30BF">
      <w:pPr>
        <w:pStyle w:val="Considrant"/>
      </w:pPr>
      <w:r w:rsidRPr="009E351A">
        <w:t>The link</w:t>
      </w:r>
      <w:r w:rsidR="006E71BF" w:rsidRPr="009E351A">
        <w:t xml:space="preserve"> between</w:t>
      </w:r>
      <w:r w:rsidRPr="009E351A">
        <w:t xml:space="preserve"> EIB activities outside the Community </w:t>
      </w:r>
      <w:r w:rsidR="006E71BF" w:rsidRPr="009E351A">
        <w:t xml:space="preserve">and </w:t>
      </w:r>
      <w:r w:rsidRPr="009E351A">
        <w:t>EU policies should be strengthened via enhanced cooperation between the EIB and the Commission at central as well as at field level. S</w:t>
      </w:r>
      <w:r w:rsidR="006E71BF" w:rsidRPr="009E351A">
        <w:t>uch s</w:t>
      </w:r>
      <w:r w:rsidRPr="009E351A">
        <w:t xml:space="preserve">trengthened coordination should </w:t>
      </w:r>
      <w:r w:rsidR="00974CF7" w:rsidRPr="009E351A">
        <w:t xml:space="preserve">include, </w:t>
      </w:r>
      <w:r w:rsidRPr="009E351A">
        <w:t>inter alia</w:t>
      </w:r>
      <w:r w:rsidR="00974CF7" w:rsidRPr="009E351A">
        <w:t>,</w:t>
      </w:r>
      <w:r w:rsidRPr="009E351A">
        <w:t xml:space="preserve"> early mutual consultation with respect to policy matters, preparation of papers of mutual significance and project pipelines. Of particular importance will be early consultation on strategic programming documents prepared by the Commission</w:t>
      </w:r>
      <w:r w:rsidR="00CF373E" w:rsidRPr="009E351A">
        <w:t xml:space="preserve"> or by the </w:t>
      </w:r>
      <w:r w:rsidRPr="009E351A">
        <w:t xml:space="preserve">EIB, to maximise synergies between EIB and Commission activities and measure progress towards the fulfilment of relevant </w:t>
      </w:r>
      <w:r w:rsidR="00CF373E" w:rsidRPr="009E351A">
        <w:t xml:space="preserve">EU </w:t>
      </w:r>
      <w:r w:rsidRPr="009E351A">
        <w:t>policy objectives</w:t>
      </w:r>
      <w:r w:rsidR="00EE532D" w:rsidRPr="009E351A">
        <w:t>,</w:t>
      </w:r>
    </w:p>
    <w:p w:rsidR="00DC30BF" w:rsidRPr="009E351A" w:rsidRDefault="00DC30BF" w:rsidP="00C579DB">
      <w:pPr>
        <w:pStyle w:val="Considrant"/>
      </w:pPr>
      <w:r w:rsidRPr="009E351A">
        <w:t xml:space="preserve">With regard to </w:t>
      </w:r>
      <w:r w:rsidR="00CF373E" w:rsidRPr="009E351A">
        <w:t>p</w:t>
      </w:r>
      <w:r w:rsidRPr="009E351A">
        <w:t>re-</w:t>
      </w:r>
      <w:r w:rsidR="00CF373E" w:rsidRPr="009E351A">
        <w:t>a</w:t>
      </w:r>
      <w:r w:rsidRPr="009E351A">
        <w:t xml:space="preserve">ccession countries, EIB financing in those countries should reflect the priorities established in the Accession and European Partnerships, in the Stabilisation and Association agreements and in negotiations with the EU. The focus of EU action in the Western Balkans should continue to </w:t>
      </w:r>
      <w:r w:rsidR="00142B38" w:rsidRPr="009E351A">
        <w:t xml:space="preserve">shift </w:t>
      </w:r>
      <w:r w:rsidRPr="009E351A">
        <w:t>progressively from reconstruction to pre-accession support. In this context, the EIB activity should also seek to encourage the institution building aspect, where relevant, in cooperation with other International Financial Institutions (“IFIs”) active in the region. Over the period 2007-2013, financing to candidate countries (Croatia, Turkey and the Former Yugoslav Republic of Macedonia) should increasingly take place under the Pre-Accession Facility made available by the EIB, which should be extended over time to cover the potential candidate countries in the Western Balkans in line with the progress of their accession process</w:t>
      </w:r>
      <w:r w:rsidR="00EE532D" w:rsidRPr="009E351A">
        <w:t>,</w:t>
      </w:r>
    </w:p>
    <w:p w:rsidR="00DC30BF" w:rsidRPr="009E351A" w:rsidRDefault="00142B38">
      <w:pPr>
        <w:pStyle w:val="Considrant"/>
      </w:pPr>
      <w:r w:rsidRPr="009E351A">
        <w:t>With regard to countries covered by the ENPI</w:t>
      </w:r>
      <w:r w:rsidR="00DC30BF" w:rsidRPr="009E351A">
        <w:t>, the EIB should continue and consolidate its activities</w:t>
      </w:r>
      <w:r w:rsidR="00BC4553" w:rsidRPr="009E351A">
        <w:t xml:space="preserve"> </w:t>
      </w:r>
      <w:r w:rsidR="00DC30BF" w:rsidRPr="009E351A">
        <w:t xml:space="preserve">in the Mediterranean region with its focus on private sector development. As regards Eastern Europe, Southern Caucasus and Russia, the EIB should enhance its activities in Russia and Ukraine and prepare to enter other countries in the region as soon as they fulfil appropriate conditionality consistent with EU high level agreements with the country in question on political and macro-economic aspects. In this region, the EIB should finance projects of significant interest to the EU in transport, energy, telecommunications and environmental infrastructure. Priority should be given to projects on </w:t>
      </w:r>
      <w:r w:rsidR="00AB549F" w:rsidRPr="009E351A">
        <w:t>extended major</w:t>
      </w:r>
      <w:r w:rsidR="00DC30BF" w:rsidRPr="009E351A">
        <w:t xml:space="preserve"> Trans European Network axes, projects with cross-border implications for one or more Member States and major projects favouring regional integration through increased connectivity. In the environment</w:t>
      </w:r>
      <w:r w:rsidR="00006878" w:rsidRPr="009E351A">
        <w:t>al</w:t>
      </w:r>
      <w:r w:rsidR="00DC30BF" w:rsidRPr="009E351A">
        <w:t xml:space="preserve"> sector, the EIB should </w:t>
      </w:r>
      <w:r w:rsidR="009250D2" w:rsidRPr="009E351A">
        <w:t xml:space="preserve">in Russia </w:t>
      </w:r>
      <w:r w:rsidR="00006878" w:rsidRPr="009E351A">
        <w:t xml:space="preserve">give particular priority to </w:t>
      </w:r>
      <w:r w:rsidR="00DC30BF" w:rsidRPr="009E351A">
        <w:t>projects within the framework of the Nor</w:t>
      </w:r>
      <w:r w:rsidR="00006878" w:rsidRPr="009E351A">
        <w:t>thern</w:t>
      </w:r>
      <w:r w:rsidR="00DC30BF" w:rsidRPr="009E351A">
        <w:t xml:space="preserve"> Dimension Environmental Partnership. In the energy sector, strategic energy supply and energy transport projects are of particular importance. EIB Financing Operations in this region should be carried out in close cooperation with the European Bank for Reconstruction and Development (“the EBRD”), in particular according to</w:t>
      </w:r>
      <w:r w:rsidR="00006878" w:rsidRPr="009E351A">
        <w:t xml:space="preserve"> </w:t>
      </w:r>
      <w:r w:rsidR="00DC30BF" w:rsidRPr="009E351A">
        <w:t>the terms to be set out in a tripartite Memorandum of Understanding between the Commission, the EIB and the EBRD</w:t>
      </w:r>
      <w:r w:rsidR="00EE532D" w:rsidRPr="009E351A">
        <w:t>,</w:t>
      </w:r>
    </w:p>
    <w:p w:rsidR="00DC30BF" w:rsidRPr="009E351A" w:rsidRDefault="00EE532D">
      <w:pPr>
        <w:pStyle w:val="Considrant"/>
        <w:spacing w:before="0"/>
      </w:pPr>
      <w:r w:rsidRPr="009E351A">
        <w:t>With regard to countries covered by the DCECI</w:t>
      </w:r>
      <w:r w:rsidR="00DC30BF" w:rsidRPr="009E351A">
        <w:t xml:space="preserve">, EIB financing in the Asian and Latin American countries will be progressively aligned </w:t>
      </w:r>
      <w:r w:rsidRPr="009E351A">
        <w:t>with</w:t>
      </w:r>
      <w:r w:rsidR="005E6B39" w:rsidRPr="009E351A">
        <w:t xml:space="preserve"> </w:t>
      </w:r>
      <w:r w:rsidR="00DC30BF" w:rsidRPr="009E351A">
        <w:t>the EU cooperation strategy in th</w:t>
      </w:r>
      <w:r w:rsidRPr="009E351A">
        <w:t>o</w:t>
      </w:r>
      <w:r w:rsidR="00DC30BF" w:rsidRPr="009E351A">
        <w:t>se regions and be complementary to instruments financed by Community budgetary resources. The concept of “mutual interest”, so far limited in practice to the financing of projects involving EU companies, will be broadened to take into account the promotion of environmental sustainability and regional integration (such as transport, telecom and energy projects favouring interconnectivity). The EIB should endeavour to progressively expand its activities across a larger number of countries in th</w:t>
      </w:r>
      <w:r w:rsidRPr="009E351A">
        <w:t>o</w:t>
      </w:r>
      <w:r w:rsidR="00DC30BF" w:rsidRPr="009E351A">
        <w:t>se regions, including in the less prosperous countries. In Central Asia, the EIB should focus on major energy supply and energy transport projects with cross-border implications. EIB financing in Central Asia should be carried out in close cooperation with the EBRD</w:t>
      </w:r>
      <w:r w:rsidR="00006878" w:rsidRPr="009E351A">
        <w:t>, in particular according to the terms to be set out</w:t>
      </w:r>
      <w:r w:rsidR="00DC30BF" w:rsidRPr="009E351A">
        <w:t xml:space="preserve"> </w:t>
      </w:r>
      <w:r w:rsidR="00006878" w:rsidRPr="009E351A">
        <w:t xml:space="preserve">in a </w:t>
      </w:r>
      <w:r w:rsidR="00DC30BF" w:rsidRPr="009E351A">
        <w:t xml:space="preserve">tripartite Memorandum of Understanding between the Commission, the EIB and the EBRD. To enhance visibility of EU intervention in Latin America, a specific amount </w:t>
      </w:r>
      <w:r w:rsidRPr="009E351A">
        <w:t>should</w:t>
      </w:r>
      <w:r w:rsidR="00DC30BF" w:rsidRPr="009E351A">
        <w:t xml:space="preserve"> be identified for a Latin America facility</w:t>
      </w:r>
      <w:r w:rsidRPr="009E351A">
        <w:t>,</w:t>
      </w:r>
      <w:r w:rsidR="00DC30BF" w:rsidRPr="009E351A">
        <w:t xml:space="preserve"> </w:t>
      </w:r>
    </w:p>
    <w:p w:rsidR="00DC30BF" w:rsidRPr="009E351A" w:rsidRDefault="00DC30BF" w:rsidP="00750F08">
      <w:pPr>
        <w:pStyle w:val="Considrant"/>
      </w:pPr>
      <w:r w:rsidRPr="009E351A">
        <w:t xml:space="preserve">To complement the EIB activities under the Cotonou Agreement for the ACP countries, a separate facility for South Africa </w:t>
      </w:r>
      <w:r w:rsidR="00EE532D" w:rsidRPr="009E351A">
        <w:t>should</w:t>
      </w:r>
      <w:r w:rsidRPr="009E351A">
        <w:t xml:space="preserve"> be renewed, focusing on infrastructure projects of a public interest (including municipal infrastructure, power and water supply) and private sector support, including SMEs. The implementation of the provisions on economic cooperation under the EU-South Africa Trade and Development Cooperation Agreement will further promote EIB activities in this region</w:t>
      </w:r>
      <w:r w:rsidR="00EE532D" w:rsidRPr="009E351A">
        <w:t>,</w:t>
      </w:r>
      <w:r w:rsidRPr="009E351A">
        <w:t xml:space="preserve"> </w:t>
      </w:r>
    </w:p>
    <w:p w:rsidR="00DC30BF" w:rsidRPr="009E351A" w:rsidRDefault="004E27D9">
      <w:pPr>
        <w:pStyle w:val="Considrant"/>
      </w:pPr>
      <w:r w:rsidRPr="009E351A">
        <w:t xml:space="preserve">It is </w:t>
      </w:r>
      <w:r w:rsidR="00DC30BF" w:rsidRPr="009E351A">
        <w:t>importan</w:t>
      </w:r>
      <w:r w:rsidRPr="009E351A">
        <w:t xml:space="preserve">t to </w:t>
      </w:r>
      <w:r w:rsidR="00DC30BF" w:rsidRPr="009E351A">
        <w:t>combin</w:t>
      </w:r>
      <w:r w:rsidRPr="009E351A">
        <w:t>e</w:t>
      </w:r>
      <w:r w:rsidR="00DC30BF" w:rsidRPr="009E351A">
        <w:t xml:space="preserve"> EIB financing with EU budgetary resources in the form of grant support, risk capital and interest rate subsidies alongside technical assistance for project preparation, implementation or enhancement of the legal and regulatory framework, through the IPA, the ENPI</w:t>
      </w:r>
      <w:r w:rsidR="00DA6D94" w:rsidRPr="009E351A">
        <w:t>,</w:t>
      </w:r>
      <w:r w:rsidR="00DC30BF" w:rsidRPr="009E351A">
        <w:t xml:space="preserve"> </w:t>
      </w:r>
      <w:r w:rsidR="00DA6D94" w:rsidRPr="009E351A">
        <w:t xml:space="preserve">the Instrument for Stability </w:t>
      </w:r>
      <w:r w:rsidR="00DC30BF" w:rsidRPr="009E351A">
        <w:t>and, for South Africa, the DCECI</w:t>
      </w:r>
      <w:r w:rsidR="00DD39F9" w:rsidRPr="009E351A">
        <w:t>.</w:t>
      </w:r>
    </w:p>
    <w:p w:rsidR="00DC30BF" w:rsidRPr="009E351A" w:rsidRDefault="004E27D9">
      <w:pPr>
        <w:pStyle w:val="Considrant"/>
      </w:pPr>
      <w:r w:rsidRPr="009E351A">
        <w:t>In the past,</w:t>
      </w:r>
      <w:r w:rsidR="00DC30BF" w:rsidRPr="009E351A">
        <w:t xml:space="preserve"> there have been cases of natural disasters or post-conflict reconstruction where the EIB has been called </w:t>
      </w:r>
      <w:r w:rsidRPr="009E351A">
        <w:t xml:space="preserve">upon </w:t>
      </w:r>
      <w:r w:rsidR="00DC30BF" w:rsidRPr="009E351A">
        <w:t xml:space="preserve">to play a significant and unforeseen role. To ensure that such developments do not put a burden on </w:t>
      </w:r>
      <w:r w:rsidRPr="009E351A">
        <w:t xml:space="preserve">the </w:t>
      </w:r>
      <w:r w:rsidR="00DC30BF" w:rsidRPr="009E351A">
        <w:t>regional ceilings</w:t>
      </w:r>
      <w:r w:rsidRPr="009E351A">
        <w:t xml:space="preserve"> set out in </w:t>
      </w:r>
      <w:r w:rsidR="001C3D3C" w:rsidRPr="009E351A">
        <w:t>this Decision,</w:t>
      </w:r>
      <w:r w:rsidR="00DC30BF" w:rsidRPr="009E351A">
        <w:t xml:space="preserve"> a “Reserve Mandate” </w:t>
      </w:r>
      <w:r w:rsidRPr="009E351A">
        <w:t xml:space="preserve">should be established. The Reserve mandate should </w:t>
      </w:r>
      <w:r w:rsidR="00DC30BF" w:rsidRPr="009E351A">
        <w:t xml:space="preserve">not </w:t>
      </w:r>
      <w:r w:rsidRPr="009E351A">
        <w:t xml:space="preserve">be </w:t>
      </w:r>
      <w:r w:rsidR="00DC30BF" w:rsidRPr="009E351A">
        <w:t xml:space="preserve">specifically attributed to any single region, </w:t>
      </w:r>
      <w:r w:rsidRPr="009E351A">
        <w:t xml:space="preserve">but should </w:t>
      </w:r>
      <w:r w:rsidR="00DC30BF" w:rsidRPr="009E351A">
        <w:t xml:space="preserve">be </w:t>
      </w:r>
      <w:r w:rsidRPr="009E351A">
        <w:t xml:space="preserve">available for </w:t>
      </w:r>
      <w:r w:rsidR="00DC30BF" w:rsidRPr="009E351A">
        <w:t>use – where appropriate in combination with EU budgetary resources – in cases of natural disasters, post-conflict reconstruction or developments in strategically important countries.</w:t>
      </w:r>
      <w:r w:rsidR="00DC30BF" w:rsidRPr="009E351A">
        <w:rPr>
          <w:rStyle w:val="Fotnotstext"/>
        </w:rPr>
        <w:t xml:space="preserve"> </w:t>
      </w:r>
      <w:r w:rsidR="00DC30BF" w:rsidRPr="009E351A">
        <w:t>In order to enable the EIB to take urgent action to help re-establish or safeguard normal conditions, measures for the activation of the Reserve Mandate should be adopted by use of the advisory procedure provided for in Article 3 of Council Decision 1999/468/EC</w:t>
      </w:r>
      <w:r w:rsidRPr="009E351A">
        <w:t xml:space="preserve"> of 28 June 1999 laying down the procedures for the exercise of implementing powers conferred on the Commission</w:t>
      </w:r>
      <w:r w:rsidRPr="009E351A">
        <w:rPr>
          <w:rStyle w:val="Fotnotsreferens"/>
        </w:rPr>
        <w:footnoteReference w:id="14"/>
      </w:r>
      <w:r w:rsidR="00EE532D" w:rsidRPr="009E351A">
        <w:t>,</w:t>
      </w:r>
    </w:p>
    <w:p w:rsidR="00DC30BF" w:rsidRPr="009E351A" w:rsidRDefault="00DC30BF" w:rsidP="00974CF7">
      <w:pPr>
        <w:pStyle w:val="Considrant"/>
      </w:pPr>
      <w:r w:rsidRPr="009E351A">
        <w:t>The EIB already closely cooperates with IFIs and with European bilateral institutions. This cooperation is guided by regionally-specific Memoranda of Understanding. In its Financing Operations outside the EU falling within the scope of this Decision, the EIB should endeavour to further enhance coordination and cooperation with IFIs and with European bilateral institutions where relevant</w:t>
      </w:r>
      <w:r w:rsidR="00EE532D" w:rsidRPr="009E351A">
        <w:t>,</w:t>
      </w:r>
    </w:p>
    <w:p w:rsidR="00DC30BF" w:rsidRPr="009E351A" w:rsidRDefault="00DC30BF">
      <w:pPr>
        <w:pStyle w:val="Considrant"/>
      </w:pPr>
      <w:r w:rsidRPr="009E351A">
        <w:t>Reporting by the EIB and the Commission on EIB Financing Operations should be strengthened. On the basis of the information received from the EIB, the Commission should report</w:t>
      </w:r>
      <w:r w:rsidR="00F254D2" w:rsidRPr="009E351A">
        <w:t>,</w:t>
      </w:r>
      <w:r w:rsidRPr="009E351A">
        <w:t xml:space="preserve"> </w:t>
      </w:r>
      <w:r w:rsidR="00F254D2" w:rsidRPr="009E351A">
        <w:t xml:space="preserve">on an annual basis, </w:t>
      </w:r>
      <w:r w:rsidRPr="009E351A">
        <w:t>to the European Parliament and the Council on the EIB Financing Operations carried out under this Decision</w:t>
      </w:r>
      <w:r w:rsidR="00EE532D" w:rsidRPr="009E351A">
        <w:t>,</w:t>
      </w:r>
      <w:r w:rsidRPr="009E351A">
        <w:t xml:space="preserve"> </w:t>
      </w:r>
    </w:p>
    <w:p w:rsidR="00DC30BF" w:rsidRPr="009E351A" w:rsidRDefault="00F254D2" w:rsidP="00795A25">
      <w:pPr>
        <w:pStyle w:val="Considrant"/>
      </w:pPr>
      <w:r w:rsidRPr="009E351A">
        <w:t xml:space="preserve">The Community guarantee established by this Decision should cover EIB Financing Operations signed during a seven-year period beginning on 1 January 2007. </w:t>
      </w:r>
      <w:r w:rsidR="00DC30BF" w:rsidRPr="009E351A">
        <w:t>In order to be able to take stock of the developments during the first half of th</w:t>
      </w:r>
      <w:r w:rsidRPr="009E351A">
        <w:t>at period</w:t>
      </w:r>
      <w:r w:rsidR="00DC30BF" w:rsidRPr="009E351A">
        <w:t>, the EIB and the Commission sh</w:t>
      </w:r>
      <w:r w:rsidRPr="009E351A">
        <w:t>ould</w:t>
      </w:r>
      <w:r w:rsidR="00DC30BF" w:rsidRPr="009E351A">
        <w:t xml:space="preserve"> prepare a mid</w:t>
      </w:r>
      <w:r w:rsidR="00DC30BF" w:rsidRPr="009E351A">
        <w:noBreakHyphen/>
        <w:t>term review of th</w:t>
      </w:r>
      <w:r w:rsidRPr="009E351A">
        <w:t>e</w:t>
      </w:r>
      <w:r w:rsidR="00DC30BF" w:rsidRPr="009E351A">
        <w:t xml:space="preserve"> Decision</w:t>
      </w:r>
      <w:r w:rsidR="00EE532D" w:rsidRPr="009E351A">
        <w:t>,</w:t>
      </w:r>
    </w:p>
    <w:p w:rsidR="00DC30BF" w:rsidRPr="009E351A" w:rsidRDefault="00DC30BF">
      <w:pPr>
        <w:pStyle w:val="Considrant"/>
      </w:pPr>
      <w:r w:rsidRPr="009E351A">
        <w:t>EIB Financing Operations should continue to be managed in accordance with the Bank’s own rules and procedures, including appropriate control measures, as well as with the relevant rules and procedures concerning the Court of Auditors and OLAF</w:t>
      </w:r>
      <w:r w:rsidR="00EE532D" w:rsidRPr="009E351A">
        <w:t>,</w:t>
      </w:r>
    </w:p>
    <w:p w:rsidR="00DC30BF" w:rsidRPr="009E351A" w:rsidRDefault="00DC30BF">
      <w:pPr>
        <w:pStyle w:val="Considrant"/>
      </w:pPr>
      <w:r w:rsidRPr="009E351A">
        <w:tab/>
        <w:t xml:space="preserve">The Guarantee Fund for External Action (hereinafter referred to as the “Guarantee Fund”), established by Council Regulation </w:t>
      </w:r>
      <w:r w:rsidR="00F254D2" w:rsidRPr="009E351A">
        <w:t xml:space="preserve">(EC, Euratom) </w:t>
      </w:r>
      <w:r w:rsidRPr="009E351A">
        <w:t>No 2728/94</w:t>
      </w:r>
      <w:r w:rsidR="00F254D2" w:rsidRPr="009E351A">
        <w:t xml:space="preserve"> of 31 October 1994</w:t>
      </w:r>
      <w:r w:rsidRPr="009E351A">
        <w:rPr>
          <w:rStyle w:val="Fotnotsreferens"/>
        </w:rPr>
        <w:footnoteReference w:id="15"/>
      </w:r>
      <w:r w:rsidRPr="009E351A">
        <w:t>, sh</w:t>
      </w:r>
      <w:r w:rsidR="00F254D2" w:rsidRPr="009E351A">
        <w:t>ould</w:t>
      </w:r>
      <w:r w:rsidRPr="009E351A">
        <w:t xml:space="preserve"> continue to provide a liquidity cushion for the Community budget against losses on EIB Financing Operations. In April 2005 the Commission presented a proposal to the Council with a view to changing the provisioning system for the Guarantee Fund so as to ensure a more transparent and efficient system</w:t>
      </w:r>
      <w:r w:rsidR="00FF76BD" w:rsidRPr="009E351A">
        <w:rPr>
          <w:rStyle w:val="Fotnotsreferens"/>
        </w:rPr>
        <w:footnoteReference w:id="16"/>
      </w:r>
      <w:r w:rsidRPr="009E351A">
        <w:t xml:space="preserve">. </w:t>
      </w:r>
      <w:r w:rsidR="00795A25" w:rsidRPr="009E351A">
        <w:t>[to be updated in the event of adoption by the Council]</w:t>
      </w:r>
      <w:r w:rsidR="00EE532D" w:rsidRPr="009E351A">
        <w:t>,</w:t>
      </w:r>
    </w:p>
    <w:p w:rsidR="00DC30BF" w:rsidRPr="009E351A" w:rsidRDefault="00DC30BF">
      <w:pPr>
        <w:pStyle w:val="Considrant"/>
      </w:pPr>
      <w:r w:rsidRPr="009E351A">
        <w:tab/>
        <w:t xml:space="preserve">The EIB </w:t>
      </w:r>
      <w:r w:rsidR="00BF6F58" w:rsidRPr="009E351A">
        <w:t>should</w:t>
      </w:r>
      <w:r w:rsidRPr="009E351A">
        <w:t xml:space="preserve"> prepare, in consultation with the Commission, an indicative multi-annual programming </w:t>
      </w:r>
      <w:r w:rsidR="00DD61E3" w:rsidRPr="009E351A">
        <w:t xml:space="preserve">of </w:t>
      </w:r>
      <w:r w:rsidR="00F00561" w:rsidRPr="009E351A">
        <w:t xml:space="preserve">the volume </w:t>
      </w:r>
      <w:r w:rsidRPr="009E351A">
        <w:t>of signatures of EIB Financing Operations so as to ensure an appropriate budgetary planning for the provisioning of the Guarantee Fund.</w:t>
      </w:r>
    </w:p>
    <w:p w:rsidR="00DC30BF" w:rsidRPr="009E351A" w:rsidRDefault="00DC30BF">
      <w:pPr>
        <w:pStyle w:val="Formuledadoption"/>
      </w:pPr>
      <w:r w:rsidRPr="009E351A">
        <w:t>HAS DECIDED AS FOLLOWS:</w:t>
      </w:r>
    </w:p>
    <w:p w:rsidR="00DC30BF" w:rsidRPr="009E351A" w:rsidRDefault="00DC30BF" w:rsidP="006B3DEC">
      <w:pPr>
        <w:pStyle w:val="Titrearticle"/>
      </w:pPr>
      <w:r w:rsidRPr="009E351A">
        <w:t>Article 1</w:t>
      </w:r>
    </w:p>
    <w:p w:rsidR="00DC30BF" w:rsidRPr="009E351A" w:rsidRDefault="00DC30BF">
      <w:pPr>
        <w:spacing w:before="0"/>
        <w:jc w:val="center"/>
        <w:rPr>
          <w:i/>
        </w:rPr>
      </w:pPr>
      <w:r w:rsidRPr="009E351A">
        <w:rPr>
          <w:i/>
        </w:rPr>
        <w:t>Guarantee and Ceilings</w:t>
      </w:r>
    </w:p>
    <w:p w:rsidR="00DC30BF" w:rsidRPr="009E351A" w:rsidRDefault="00DC30BF">
      <w:r w:rsidRPr="009E351A">
        <w:t>1.</w:t>
      </w:r>
      <w:r w:rsidRPr="009E351A">
        <w:tab/>
        <w:t xml:space="preserve">The Community shall grant the </w:t>
      </w:r>
      <w:r w:rsidR="005E6B39" w:rsidRPr="009E351A">
        <w:t xml:space="preserve">European Investment Bank (hereinafter referred to as "the </w:t>
      </w:r>
      <w:r w:rsidRPr="009E351A">
        <w:t>EIB</w:t>
      </w:r>
      <w:r w:rsidR="005E6B39" w:rsidRPr="009E351A">
        <w:t>")</w:t>
      </w:r>
      <w:r w:rsidRPr="009E351A">
        <w:t xml:space="preserve"> a global guarantee </w:t>
      </w:r>
      <w:r w:rsidR="00CD17BC" w:rsidRPr="009E351A">
        <w:t xml:space="preserve">(hereinafter referred to as the “Community guarantee”) </w:t>
      </w:r>
      <w:r w:rsidRPr="009E351A">
        <w:t xml:space="preserve">in respect of payments not received by the </w:t>
      </w:r>
      <w:r w:rsidR="005E6B39" w:rsidRPr="009E351A">
        <w:t>EI</w:t>
      </w:r>
      <w:r w:rsidR="00CD17BC" w:rsidRPr="009E351A">
        <w:t>B</w:t>
      </w:r>
      <w:r w:rsidRPr="009E351A">
        <w:t xml:space="preserve"> but due to it, in respect of </w:t>
      </w:r>
      <w:r w:rsidR="009B509E" w:rsidRPr="009E351A">
        <w:t xml:space="preserve">loans and loan guarantees for EIB eligible investment projects carried out in countries covered by </w:t>
      </w:r>
      <w:r w:rsidR="00B21623" w:rsidRPr="009E351A">
        <w:t>this</w:t>
      </w:r>
      <w:r w:rsidR="009B509E" w:rsidRPr="009E351A">
        <w:t xml:space="preserve"> Decision, where the said loan financing or guarantee has been granted according to a signed agreement which has neither expired nor been cancelled (hereinafter referred to as "EIB Financing Operations") and has been</w:t>
      </w:r>
      <w:r w:rsidRPr="009E351A">
        <w:t xml:space="preserve"> granted in accordance with the EIB’s own rules and procedures and in support of the relevant external policy objectives </w:t>
      </w:r>
      <w:r w:rsidR="005E6B39" w:rsidRPr="009E351A">
        <w:t>of the European Union</w:t>
      </w:r>
      <w:r w:rsidRPr="009E351A">
        <w:t>.</w:t>
      </w:r>
    </w:p>
    <w:p w:rsidR="00DC30BF" w:rsidRPr="009E351A" w:rsidRDefault="00DC30BF">
      <w:r w:rsidRPr="009E351A">
        <w:t>2.</w:t>
      </w:r>
      <w:r w:rsidRPr="009E351A">
        <w:tab/>
        <w:t>The Community guarantee shall be restricted to 65% of the aggregate amount of credits disbursed and guarantees provided under EIB Financing Operations, less amounts reimbursed, plus all related sums</w:t>
      </w:r>
      <w:r w:rsidR="009B509E" w:rsidRPr="009E351A">
        <w:t>.</w:t>
      </w:r>
      <w:r w:rsidRPr="009E351A">
        <w:t xml:space="preserve"> </w:t>
      </w:r>
    </w:p>
    <w:p w:rsidR="00DC30BF" w:rsidRPr="009E351A" w:rsidRDefault="00DC30BF">
      <w:pPr>
        <w:spacing w:after="240"/>
      </w:pPr>
      <w:r w:rsidRPr="009E351A">
        <w:t>3.</w:t>
      </w:r>
      <w:r w:rsidRPr="009E351A">
        <w:tab/>
        <w:t xml:space="preserve">The overall ceiling of the EIB Financing Operations, less amounts cancelled, shall be equivalent to EUR 33 000 million. It </w:t>
      </w:r>
      <w:r w:rsidR="005314A2" w:rsidRPr="009E351A">
        <w:t xml:space="preserve">shall be </w:t>
      </w:r>
      <w:r w:rsidRPr="009E351A">
        <w:t>broken down by region with the following binding regional ceilings:</w:t>
      </w:r>
    </w:p>
    <w:p w:rsidR="00DC30BF" w:rsidRPr="009E351A" w:rsidRDefault="005314A2">
      <w:pPr>
        <w:spacing w:before="0" w:after="0"/>
      </w:pPr>
      <w:r w:rsidRPr="009E351A">
        <w:t>(a)</w:t>
      </w:r>
      <w:r w:rsidR="00DC30BF" w:rsidRPr="009E351A">
        <w:tab/>
        <w:t>Pre-Accession countries:</w:t>
      </w:r>
    </w:p>
    <w:p w:rsidR="00DC30BF" w:rsidRPr="009E351A" w:rsidRDefault="00DC30BF">
      <w:pPr>
        <w:pStyle w:val="Point1"/>
      </w:pPr>
      <w:r w:rsidRPr="009E351A">
        <w:t xml:space="preserve">EUR 9 000 million </w:t>
      </w:r>
    </w:p>
    <w:p w:rsidR="00DC30BF" w:rsidRPr="009E351A" w:rsidRDefault="005314A2">
      <w:pPr>
        <w:spacing w:before="0" w:after="0"/>
      </w:pPr>
      <w:r w:rsidRPr="009E351A">
        <w:t>(b)</w:t>
      </w:r>
      <w:r w:rsidR="00DC30BF" w:rsidRPr="009E351A">
        <w:tab/>
        <w:t>Neighbourhood and Partnership countries:</w:t>
      </w:r>
    </w:p>
    <w:p w:rsidR="00DC30BF" w:rsidRPr="009E351A" w:rsidRDefault="00DC30BF">
      <w:pPr>
        <w:pStyle w:val="Point1"/>
        <w:spacing w:after="0"/>
        <w:ind w:left="1418"/>
      </w:pPr>
      <w:r w:rsidRPr="009E351A">
        <w:t xml:space="preserve">EUR 15 000 million, </w:t>
      </w:r>
    </w:p>
    <w:p w:rsidR="00DC30BF" w:rsidRPr="009E351A" w:rsidRDefault="00DC30BF">
      <w:pPr>
        <w:pStyle w:val="Point1"/>
        <w:spacing w:before="0"/>
        <w:ind w:left="1418"/>
      </w:pPr>
      <w:r w:rsidRPr="009E351A">
        <w:t>broken down into the following indicative sub-ceilings:</w:t>
      </w:r>
    </w:p>
    <w:p w:rsidR="00DC30BF" w:rsidRPr="009E351A" w:rsidRDefault="00DC30BF">
      <w:pPr>
        <w:pStyle w:val="Point1"/>
        <w:spacing w:after="0"/>
        <w:ind w:left="1418"/>
      </w:pPr>
      <w:r w:rsidRPr="009E351A">
        <w:t>(</w:t>
      </w:r>
      <w:r w:rsidR="005314A2" w:rsidRPr="009E351A">
        <w:t>i</w:t>
      </w:r>
      <w:r w:rsidRPr="009E351A">
        <w:t>)</w:t>
      </w:r>
      <w:r w:rsidRPr="009E351A">
        <w:tab/>
        <w:t xml:space="preserve">Mediterranean countries: </w:t>
      </w:r>
    </w:p>
    <w:p w:rsidR="00DC30BF" w:rsidRPr="009E351A" w:rsidRDefault="00DC30BF">
      <w:pPr>
        <w:pStyle w:val="Point1"/>
      </w:pPr>
      <w:r w:rsidRPr="009E351A">
        <w:tab/>
        <w:t>EUR 10 000 million</w:t>
      </w:r>
    </w:p>
    <w:p w:rsidR="00DC30BF" w:rsidRPr="009E351A" w:rsidRDefault="00DC30BF">
      <w:pPr>
        <w:pStyle w:val="Point1"/>
        <w:spacing w:after="0"/>
        <w:ind w:left="1418"/>
      </w:pPr>
      <w:r w:rsidRPr="009E351A">
        <w:t>(</w:t>
      </w:r>
      <w:r w:rsidR="005314A2" w:rsidRPr="009E351A">
        <w:t>ii</w:t>
      </w:r>
      <w:r w:rsidRPr="009E351A">
        <w:t>)</w:t>
      </w:r>
      <w:r w:rsidRPr="009E351A">
        <w:tab/>
        <w:t xml:space="preserve">Eastern Europe, Southern Caucasus and Russia: </w:t>
      </w:r>
    </w:p>
    <w:p w:rsidR="00DC30BF" w:rsidRPr="009E351A" w:rsidRDefault="00DC30BF">
      <w:pPr>
        <w:pStyle w:val="Point1"/>
      </w:pPr>
      <w:r w:rsidRPr="009E351A">
        <w:tab/>
        <w:t>EUR 5 000 million</w:t>
      </w:r>
    </w:p>
    <w:p w:rsidR="00DC30BF" w:rsidRPr="009E351A" w:rsidRDefault="005314A2">
      <w:pPr>
        <w:spacing w:before="0" w:after="0"/>
      </w:pPr>
      <w:r w:rsidRPr="009E351A">
        <w:t>(c)</w:t>
      </w:r>
      <w:r w:rsidR="00DC30BF" w:rsidRPr="009E351A">
        <w:tab/>
        <w:t>Development and Economic Cooperation countries:</w:t>
      </w:r>
    </w:p>
    <w:p w:rsidR="00DC30BF" w:rsidRPr="009E351A" w:rsidRDefault="00DC30BF">
      <w:pPr>
        <w:pStyle w:val="Point1"/>
        <w:spacing w:after="0"/>
        <w:ind w:left="1418"/>
      </w:pPr>
      <w:r w:rsidRPr="009E351A">
        <w:t xml:space="preserve">EUR 7 500 million, </w:t>
      </w:r>
    </w:p>
    <w:p w:rsidR="00DC30BF" w:rsidRPr="009E351A" w:rsidRDefault="00DC30BF">
      <w:pPr>
        <w:pStyle w:val="Point1"/>
        <w:spacing w:before="0"/>
        <w:ind w:left="1418"/>
      </w:pPr>
      <w:r w:rsidRPr="009E351A">
        <w:t>broken down into the following indicative sub-ceilings:</w:t>
      </w:r>
    </w:p>
    <w:p w:rsidR="00DC30BF" w:rsidRPr="009E351A" w:rsidRDefault="00DC30BF">
      <w:pPr>
        <w:pStyle w:val="Point1"/>
        <w:spacing w:after="0"/>
        <w:ind w:left="1418"/>
      </w:pPr>
      <w:r w:rsidRPr="009E351A">
        <w:t>(</w:t>
      </w:r>
      <w:r w:rsidR="005314A2" w:rsidRPr="009E351A">
        <w:t>i</w:t>
      </w:r>
      <w:r w:rsidRPr="009E351A">
        <w:t>)</w:t>
      </w:r>
      <w:r w:rsidRPr="009E351A">
        <w:tab/>
        <w:t>Latin America:</w:t>
      </w:r>
    </w:p>
    <w:p w:rsidR="00DC30BF" w:rsidRPr="009E351A" w:rsidRDefault="00DC30BF">
      <w:pPr>
        <w:pStyle w:val="Point1"/>
      </w:pPr>
      <w:r w:rsidRPr="009E351A">
        <w:tab/>
        <w:t>EUR 4 000 million</w:t>
      </w:r>
    </w:p>
    <w:p w:rsidR="00DC30BF" w:rsidRPr="009E351A" w:rsidRDefault="00DC30BF">
      <w:pPr>
        <w:pStyle w:val="Point1"/>
        <w:spacing w:after="0"/>
        <w:ind w:left="1418"/>
      </w:pPr>
      <w:r w:rsidRPr="009E351A">
        <w:t>(</w:t>
      </w:r>
      <w:r w:rsidR="005314A2" w:rsidRPr="009E351A">
        <w:t>ii</w:t>
      </w:r>
      <w:r w:rsidRPr="009E351A">
        <w:t>)</w:t>
      </w:r>
      <w:r w:rsidRPr="009E351A">
        <w:tab/>
        <w:t>Asia:</w:t>
      </w:r>
    </w:p>
    <w:p w:rsidR="00DC30BF" w:rsidRPr="009E351A" w:rsidRDefault="00DC30BF">
      <w:pPr>
        <w:pStyle w:val="Point1"/>
      </w:pPr>
      <w:r w:rsidRPr="009E351A">
        <w:tab/>
        <w:t>EUR 2 000 million</w:t>
      </w:r>
    </w:p>
    <w:p w:rsidR="00DC30BF" w:rsidRPr="009E351A" w:rsidRDefault="00DC30BF">
      <w:pPr>
        <w:pStyle w:val="Point1"/>
        <w:spacing w:after="0"/>
        <w:ind w:left="1418"/>
      </w:pPr>
      <w:r w:rsidRPr="009E351A">
        <w:t>(</w:t>
      </w:r>
      <w:r w:rsidR="005314A2" w:rsidRPr="009E351A">
        <w:t>iii</w:t>
      </w:r>
      <w:r w:rsidRPr="009E351A">
        <w:t>)</w:t>
      </w:r>
      <w:r w:rsidRPr="009E351A">
        <w:tab/>
        <w:t>Republic of South Africa:</w:t>
      </w:r>
    </w:p>
    <w:p w:rsidR="00DC30BF" w:rsidRPr="009E351A" w:rsidRDefault="00DC30BF">
      <w:pPr>
        <w:pStyle w:val="Point1"/>
      </w:pPr>
      <w:r w:rsidRPr="009E351A">
        <w:tab/>
        <w:t>EUR 1 500 million</w:t>
      </w:r>
    </w:p>
    <w:p w:rsidR="00DC30BF" w:rsidRPr="009E351A" w:rsidRDefault="005314A2">
      <w:pPr>
        <w:spacing w:before="0" w:after="0"/>
      </w:pPr>
      <w:r w:rsidRPr="009E351A">
        <w:t>(d)</w:t>
      </w:r>
      <w:r w:rsidR="00DC30BF" w:rsidRPr="009E351A">
        <w:tab/>
        <w:t>Reserve Mandate:</w:t>
      </w:r>
    </w:p>
    <w:p w:rsidR="00DC30BF" w:rsidRPr="009E351A" w:rsidRDefault="00DC30BF">
      <w:pPr>
        <w:pStyle w:val="Point1"/>
        <w:ind w:left="1418"/>
      </w:pPr>
      <w:r w:rsidRPr="009E351A">
        <w:t>EUR 1 500 million.</w:t>
      </w:r>
    </w:p>
    <w:p w:rsidR="00DC30BF" w:rsidRPr="009E351A" w:rsidRDefault="00DC30BF">
      <w:r w:rsidRPr="009E351A">
        <w:t>4.</w:t>
      </w:r>
      <w:r w:rsidRPr="009E351A">
        <w:tab/>
        <w:t xml:space="preserve">The Community guarantee shall cover EIB Financing Operations signed during </w:t>
      </w:r>
      <w:r w:rsidR="005314A2" w:rsidRPr="009E351A">
        <w:t>the</w:t>
      </w:r>
      <w:r w:rsidRPr="009E351A">
        <w:t xml:space="preserve"> period of seven years beginning on 1 January 2007 and ending on 31 December 2013.</w:t>
      </w:r>
    </w:p>
    <w:p w:rsidR="00DC30BF" w:rsidRPr="009E351A" w:rsidRDefault="00DC30BF">
      <w:r w:rsidRPr="009E351A">
        <w:t>5.</w:t>
      </w:r>
      <w:r w:rsidRPr="009E351A">
        <w:tab/>
        <w:t xml:space="preserve">If, on expiry of the period referred to in paragraph </w:t>
      </w:r>
      <w:r w:rsidR="005314A2" w:rsidRPr="009E351A">
        <w:t>4</w:t>
      </w:r>
      <w:r w:rsidRPr="009E351A">
        <w:t xml:space="preserve">, the EIB Financing Operations have not attained the overall amounts referred to in paragraph </w:t>
      </w:r>
      <w:r w:rsidR="005314A2" w:rsidRPr="009E351A">
        <w:t>3</w:t>
      </w:r>
      <w:r w:rsidRPr="009E351A">
        <w:t>, th</w:t>
      </w:r>
      <w:r w:rsidR="005314A2" w:rsidRPr="009E351A">
        <w:t>at</w:t>
      </w:r>
      <w:r w:rsidRPr="009E351A">
        <w:t xml:space="preserve"> period shall be automatically extended by six months.</w:t>
      </w:r>
    </w:p>
    <w:p w:rsidR="00DC30BF" w:rsidRPr="009E351A" w:rsidRDefault="00DC30BF">
      <w:pPr>
        <w:pStyle w:val="Titrearticle"/>
      </w:pPr>
      <w:r w:rsidRPr="009E351A">
        <w:t>Article 2</w:t>
      </w:r>
    </w:p>
    <w:p w:rsidR="00DC30BF" w:rsidRPr="009E351A" w:rsidRDefault="00DC30BF">
      <w:pPr>
        <w:pStyle w:val="Titrearticle"/>
        <w:spacing w:before="0"/>
      </w:pPr>
      <w:r w:rsidRPr="009E351A">
        <w:t>Countries covered</w:t>
      </w:r>
    </w:p>
    <w:p w:rsidR="00DC30BF" w:rsidRPr="009E351A" w:rsidRDefault="00DC30BF">
      <w:r w:rsidRPr="009E351A">
        <w:t>1.</w:t>
      </w:r>
      <w:r w:rsidRPr="009E351A">
        <w:tab/>
        <w:t>The countries covered by Article 1 and their attribution to regions are set out in the Annex.</w:t>
      </w:r>
    </w:p>
    <w:p w:rsidR="00DC30BF" w:rsidRPr="009E351A" w:rsidRDefault="00DC30BF">
      <w:r w:rsidRPr="009E351A">
        <w:t>2.</w:t>
      </w:r>
      <w:r w:rsidRPr="009E351A">
        <w:tab/>
        <w:t xml:space="preserve">Individual countries shall become eligible under the regional ceilings and sub-ceilings as and when they fulfil appropriate conditionality consistent with EU high level agreements with the country in question on political and macro-economic aspects. The Commission, in consultation with the EIB, shall determine when an individual country has fulfilled the appropriate conditionality and shall notify the EIB thereof. </w:t>
      </w:r>
    </w:p>
    <w:p w:rsidR="00DC30BF" w:rsidRPr="009E351A" w:rsidRDefault="00DC30BF">
      <w:r w:rsidRPr="009E351A">
        <w:t>3.</w:t>
      </w:r>
      <w:r w:rsidRPr="009E351A">
        <w:tab/>
      </w:r>
      <w:r w:rsidR="005314A2" w:rsidRPr="009E351A">
        <w:t xml:space="preserve">The Community guarantee shall only cover </w:t>
      </w:r>
      <w:r w:rsidRPr="009E351A">
        <w:t xml:space="preserve">EIB Financing Operations carried out in countries having concluded a framework agreement with the EIB establishing the legal conditions under which such EIB Financing Operations </w:t>
      </w:r>
      <w:r w:rsidR="00A33E8E" w:rsidRPr="009E351A">
        <w:t>are to</w:t>
      </w:r>
      <w:r w:rsidRPr="009E351A">
        <w:t xml:space="preserve"> be carried out.</w:t>
      </w:r>
    </w:p>
    <w:p w:rsidR="00DC30BF" w:rsidRPr="009E351A" w:rsidRDefault="00DC30BF">
      <w:r w:rsidRPr="009E351A">
        <w:t>4.</w:t>
      </w:r>
      <w:r w:rsidRPr="009E351A">
        <w:tab/>
        <w:t xml:space="preserve">In </w:t>
      </w:r>
      <w:r w:rsidR="00A33E8E" w:rsidRPr="009E351A">
        <w:t xml:space="preserve">the event </w:t>
      </w:r>
      <w:r w:rsidRPr="009E351A">
        <w:t>of serious concerns o</w:t>
      </w:r>
      <w:r w:rsidR="00A33E8E" w:rsidRPr="009E351A">
        <w:t>ver</w:t>
      </w:r>
      <w:r w:rsidRPr="009E351A">
        <w:t xml:space="preserve"> the political or economic situation in a specific country, the Commission and the EIB m</w:t>
      </w:r>
      <w:r w:rsidR="00A33E8E" w:rsidRPr="009E351A">
        <w:t>ay</w:t>
      </w:r>
      <w:r w:rsidRPr="009E351A">
        <w:t xml:space="preserve"> decide to suspend EIB Financing Operations in such country.</w:t>
      </w:r>
    </w:p>
    <w:p w:rsidR="00DC30BF" w:rsidRPr="009E351A" w:rsidRDefault="00DC30BF">
      <w:r w:rsidRPr="009E351A">
        <w:t>5.</w:t>
      </w:r>
      <w:r w:rsidRPr="009E351A">
        <w:tab/>
        <w:t xml:space="preserve">The Community guarantee shall not cover EIB Financing Operations in a </w:t>
      </w:r>
      <w:r w:rsidR="00BF6F58" w:rsidRPr="009E351A">
        <w:t xml:space="preserve">specific </w:t>
      </w:r>
      <w:r w:rsidRPr="009E351A">
        <w:t>country</w:t>
      </w:r>
      <w:r w:rsidR="00A33E8E" w:rsidRPr="009E351A">
        <w:t>,</w:t>
      </w:r>
      <w:r w:rsidRPr="009E351A">
        <w:t xml:space="preserve"> </w:t>
      </w:r>
      <w:r w:rsidR="00A33E8E" w:rsidRPr="009E351A">
        <w:t xml:space="preserve">when the agreement concerning such EIB Financing Operations has been </w:t>
      </w:r>
      <w:r w:rsidRPr="009E351A">
        <w:t>signed after that country’s accession to the EU.</w:t>
      </w:r>
    </w:p>
    <w:p w:rsidR="00DC30BF" w:rsidRPr="009E351A" w:rsidRDefault="00DC30BF">
      <w:pPr>
        <w:pStyle w:val="Titrearticle"/>
      </w:pPr>
      <w:r w:rsidRPr="009E351A">
        <w:t>Article 3</w:t>
      </w:r>
    </w:p>
    <w:p w:rsidR="00DC30BF" w:rsidRPr="009E351A" w:rsidRDefault="00DC30BF">
      <w:pPr>
        <w:jc w:val="center"/>
        <w:rPr>
          <w:i/>
        </w:rPr>
      </w:pPr>
      <w:r w:rsidRPr="009E351A">
        <w:rPr>
          <w:i/>
        </w:rPr>
        <w:t>Reserve Mandate</w:t>
      </w:r>
    </w:p>
    <w:p w:rsidR="00DC30BF" w:rsidRPr="009E351A" w:rsidRDefault="00DC30BF">
      <w:r w:rsidRPr="009E351A">
        <w:t>1.</w:t>
      </w:r>
      <w:r w:rsidRPr="009E351A">
        <w:tab/>
        <w:t xml:space="preserve">A Reserve Mandate shall be established to be used in cases where EIB Financing Operations can assist in the financing of reconstruction of infrastructure as well as business and social sector premises and equipment damaged or destroyed by natural disasters or post conflict reconstruction or </w:t>
      </w:r>
      <w:r w:rsidR="00BF6F58" w:rsidRPr="009E351A">
        <w:t xml:space="preserve">to </w:t>
      </w:r>
      <w:r w:rsidRPr="009E351A">
        <w:t>be deployed in the case of developments in strategically important countries.</w:t>
      </w:r>
    </w:p>
    <w:p w:rsidR="00DC30BF" w:rsidRPr="009E351A" w:rsidRDefault="00DC30BF">
      <w:r w:rsidRPr="009E351A">
        <w:t>2.</w:t>
      </w:r>
      <w:r w:rsidRPr="009E351A">
        <w:tab/>
        <w:t xml:space="preserve">The Commission and the EIB shall decide jointly on the use of the Reserve Mandate. The Commission and the EIB shall be assisted by the Economic and Financial Committee </w:t>
      </w:r>
      <w:r w:rsidR="00A33E8E" w:rsidRPr="009E351A">
        <w:t>set up</w:t>
      </w:r>
      <w:r w:rsidRPr="009E351A">
        <w:t xml:space="preserve"> by Article 114</w:t>
      </w:r>
      <w:r w:rsidR="00A33E8E" w:rsidRPr="009E351A">
        <w:t>(</w:t>
      </w:r>
      <w:r w:rsidRPr="009E351A">
        <w:t>2</w:t>
      </w:r>
      <w:r w:rsidR="00A33E8E" w:rsidRPr="009E351A">
        <w:t>)</w:t>
      </w:r>
      <w:r w:rsidRPr="009E351A">
        <w:t xml:space="preserve"> of the Treaty.</w:t>
      </w:r>
    </w:p>
    <w:p w:rsidR="00DC30BF" w:rsidRPr="009E351A" w:rsidRDefault="00DC30BF">
      <w:r w:rsidRPr="009E351A">
        <w:t>3.</w:t>
      </w:r>
      <w:r w:rsidRPr="009E351A">
        <w:tab/>
        <w:t>The advisory procedure laid down in Article 3 of Decision 1999/468/EC shall apply, in compliance with Article 7</w:t>
      </w:r>
      <w:r w:rsidR="00A33E8E" w:rsidRPr="009E351A">
        <w:t>(</w:t>
      </w:r>
      <w:r w:rsidRPr="009E351A">
        <w:t>3</w:t>
      </w:r>
      <w:r w:rsidR="00A33E8E" w:rsidRPr="009E351A">
        <w:t>)</w:t>
      </w:r>
      <w:r w:rsidRPr="009E351A">
        <w:t xml:space="preserve"> thereof. </w:t>
      </w:r>
    </w:p>
    <w:p w:rsidR="00DC30BF" w:rsidRPr="009E351A" w:rsidRDefault="00DC30BF" w:rsidP="006B3DEC">
      <w:pPr>
        <w:pStyle w:val="Titrearticle"/>
      </w:pPr>
      <w:r w:rsidRPr="009E351A">
        <w:t>Article 4</w:t>
      </w:r>
    </w:p>
    <w:p w:rsidR="00DC30BF" w:rsidRPr="009E351A" w:rsidRDefault="00DC30BF">
      <w:pPr>
        <w:jc w:val="center"/>
        <w:rPr>
          <w:i/>
        </w:rPr>
      </w:pPr>
      <w:r w:rsidRPr="009E351A">
        <w:rPr>
          <w:i/>
        </w:rPr>
        <w:t>Consistency with policies</w:t>
      </w:r>
      <w:r w:rsidR="00A33E8E" w:rsidRPr="009E351A">
        <w:rPr>
          <w:i/>
        </w:rPr>
        <w:t xml:space="preserve"> of the European Union</w:t>
      </w:r>
    </w:p>
    <w:p w:rsidR="00DC30BF" w:rsidRPr="009E351A" w:rsidRDefault="00DC30BF">
      <w:r w:rsidRPr="009E351A">
        <w:t>1.</w:t>
      </w:r>
      <w:r w:rsidRPr="009E351A">
        <w:tab/>
        <w:t>The consistency of EIB external actions with the external policies and objectives of the E</w:t>
      </w:r>
      <w:r w:rsidR="00A33E8E" w:rsidRPr="009E351A">
        <w:t xml:space="preserve">uropean </w:t>
      </w:r>
      <w:r w:rsidRPr="009E351A">
        <w:t>U</w:t>
      </w:r>
      <w:r w:rsidR="00A33E8E" w:rsidRPr="009E351A">
        <w:t>nion</w:t>
      </w:r>
      <w:r w:rsidRPr="009E351A">
        <w:t xml:space="preserve"> </w:t>
      </w:r>
      <w:r w:rsidR="00A33E8E" w:rsidRPr="009E351A">
        <w:t>shall</w:t>
      </w:r>
      <w:r w:rsidRPr="009E351A">
        <w:t xml:space="preserve"> be strengthened with a view to maximising synergies of EIB lending and budgetary resources</w:t>
      </w:r>
      <w:r w:rsidR="00A33E8E" w:rsidRPr="009E351A">
        <w:t xml:space="preserve"> of the European Union</w:t>
      </w:r>
      <w:r w:rsidRPr="009E351A">
        <w:t>, notably through regular dialogue and early consultation on:</w:t>
      </w:r>
    </w:p>
    <w:p w:rsidR="00DC30BF" w:rsidRPr="009E351A" w:rsidRDefault="00A33E8E">
      <w:r w:rsidRPr="009E351A">
        <w:t>(a)</w:t>
      </w:r>
      <w:r w:rsidR="00DC30BF" w:rsidRPr="009E351A">
        <w:tab/>
        <w:t>strategic documents prepared by the Commission, such as country and regional strategy papers, action plans and pre-accession documents;</w:t>
      </w:r>
    </w:p>
    <w:p w:rsidR="00DC30BF" w:rsidRPr="009E351A" w:rsidRDefault="00A33E8E">
      <w:r w:rsidRPr="009E351A">
        <w:t>(b)</w:t>
      </w:r>
      <w:r w:rsidR="00DC30BF" w:rsidRPr="009E351A">
        <w:tab/>
        <w:t>the EIB's strategic planning documents</w:t>
      </w:r>
      <w:r w:rsidRPr="009E351A">
        <w:t xml:space="preserve"> and project pipelines</w:t>
      </w:r>
      <w:r w:rsidR="00DC30BF" w:rsidRPr="009E351A">
        <w:t>;</w:t>
      </w:r>
    </w:p>
    <w:p w:rsidR="00DC30BF" w:rsidRPr="009E351A" w:rsidRDefault="00A33E8E">
      <w:r w:rsidRPr="009E351A">
        <w:t>(c)</w:t>
      </w:r>
      <w:r w:rsidR="00DC30BF" w:rsidRPr="009E351A">
        <w:tab/>
        <w:t xml:space="preserve">other policy and operational aspects. </w:t>
      </w:r>
    </w:p>
    <w:p w:rsidR="00DC30BF" w:rsidRPr="009E351A" w:rsidRDefault="00DC30BF">
      <w:r w:rsidRPr="009E351A">
        <w:t>2.</w:t>
      </w:r>
      <w:r w:rsidRPr="009E351A">
        <w:tab/>
        <w:t>Th</w:t>
      </w:r>
      <w:r w:rsidR="00DC76F1" w:rsidRPr="009E351A">
        <w:t>e</w:t>
      </w:r>
      <w:r w:rsidRPr="009E351A">
        <w:t xml:space="preserve"> cooperation </w:t>
      </w:r>
      <w:r w:rsidR="00DC76F1" w:rsidRPr="009E351A">
        <w:t>shall</w:t>
      </w:r>
      <w:r w:rsidRPr="009E351A">
        <w:t xml:space="preserve"> be carried </w:t>
      </w:r>
      <w:r w:rsidR="00DC76F1" w:rsidRPr="009E351A">
        <w:t>out</w:t>
      </w:r>
      <w:r w:rsidRPr="009E351A">
        <w:t xml:space="preserve"> on a regionally differentiated basis, taking into consideration the EIB's role as well as the policies </w:t>
      </w:r>
      <w:r w:rsidR="00DC76F1" w:rsidRPr="009E351A">
        <w:t xml:space="preserve">of the European Union </w:t>
      </w:r>
      <w:r w:rsidRPr="009E351A">
        <w:t>in each region.</w:t>
      </w:r>
    </w:p>
    <w:p w:rsidR="00DC30BF" w:rsidRPr="009E351A" w:rsidRDefault="00DC30BF">
      <w:r w:rsidRPr="009E351A">
        <w:t>3.</w:t>
      </w:r>
      <w:r w:rsidRPr="009E351A">
        <w:tab/>
      </w:r>
      <w:r w:rsidR="00D11451" w:rsidRPr="009E351A">
        <w:t>A</w:t>
      </w:r>
      <w:r w:rsidRPr="009E351A">
        <w:t xml:space="preserve">n EIB Financing Operation </w:t>
      </w:r>
      <w:r w:rsidR="00D11451" w:rsidRPr="009E351A">
        <w:t xml:space="preserve">will not </w:t>
      </w:r>
      <w:r w:rsidRPr="009E351A">
        <w:t xml:space="preserve">be included under the cover of the Community guarantee </w:t>
      </w:r>
      <w:r w:rsidR="00D11451" w:rsidRPr="009E351A">
        <w:t xml:space="preserve">in case </w:t>
      </w:r>
      <w:r w:rsidRPr="009E351A">
        <w:t xml:space="preserve">the Commission </w:t>
      </w:r>
      <w:r w:rsidR="00D11451" w:rsidRPr="009E351A">
        <w:t>delivers</w:t>
      </w:r>
      <w:r w:rsidRPr="009E351A">
        <w:t xml:space="preserve"> a </w:t>
      </w:r>
      <w:r w:rsidR="00D11451" w:rsidRPr="009E351A">
        <w:t xml:space="preserve">negative </w:t>
      </w:r>
      <w:r w:rsidRPr="009E351A">
        <w:t>opinion o</w:t>
      </w:r>
      <w:r w:rsidR="00B21623" w:rsidRPr="009E351A">
        <w:t>n</w:t>
      </w:r>
      <w:r w:rsidRPr="009E351A">
        <w:t xml:space="preserve"> such operation within the framework of the procedure provided for in Article 21 of the Statutes of the EIB.</w:t>
      </w:r>
    </w:p>
    <w:p w:rsidR="00DC30BF" w:rsidRPr="009E351A" w:rsidRDefault="00DC30BF">
      <w:pPr>
        <w:rPr>
          <w:i/>
        </w:rPr>
      </w:pPr>
      <w:r w:rsidRPr="009E351A">
        <w:t>4.</w:t>
      </w:r>
      <w:r w:rsidRPr="009E351A">
        <w:tab/>
        <w:t xml:space="preserve">The consistency of EIB Financing Operations with </w:t>
      </w:r>
      <w:r w:rsidR="00DC76F1" w:rsidRPr="009E351A">
        <w:t xml:space="preserve">the </w:t>
      </w:r>
      <w:r w:rsidRPr="009E351A">
        <w:t>external policies and objectives</w:t>
      </w:r>
      <w:r w:rsidR="00DC76F1" w:rsidRPr="009E351A">
        <w:t xml:space="preserve"> </w:t>
      </w:r>
      <w:r w:rsidR="00B21623" w:rsidRPr="009E351A">
        <w:t>of</w:t>
      </w:r>
      <w:r w:rsidR="00DC76F1" w:rsidRPr="009E351A">
        <w:t xml:space="preserve"> the European Union shall be monitored in accordance with Article 7</w:t>
      </w:r>
      <w:r w:rsidRPr="009E351A">
        <w:t xml:space="preserve">. </w:t>
      </w:r>
    </w:p>
    <w:p w:rsidR="00DC30BF" w:rsidRPr="009E351A" w:rsidRDefault="00DC30BF">
      <w:pPr>
        <w:pStyle w:val="Titrearticle"/>
      </w:pPr>
      <w:r w:rsidRPr="009E351A">
        <w:t>Article 5</w:t>
      </w:r>
    </w:p>
    <w:p w:rsidR="00DC30BF" w:rsidRPr="009E351A" w:rsidRDefault="00DC30BF">
      <w:pPr>
        <w:jc w:val="center"/>
        <w:rPr>
          <w:i/>
        </w:rPr>
      </w:pPr>
      <w:r w:rsidRPr="009E351A">
        <w:rPr>
          <w:i/>
        </w:rPr>
        <w:t>Cooperation with other I</w:t>
      </w:r>
      <w:r w:rsidR="00A17C80" w:rsidRPr="009E351A">
        <w:rPr>
          <w:i/>
        </w:rPr>
        <w:t>nternational Financial Institutions</w:t>
      </w:r>
    </w:p>
    <w:p w:rsidR="00DC30BF" w:rsidRPr="009E351A" w:rsidRDefault="00DC30BF">
      <w:r w:rsidRPr="009E351A">
        <w:t>1.</w:t>
      </w:r>
      <w:r w:rsidRPr="009E351A">
        <w:tab/>
        <w:t>EIB Financing Operations sh</w:t>
      </w:r>
      <w:r w:rsidR="002104F1" w:rsidRPr="009E351A">
        <w:t>all</w:t>
      </w:r>
      <w:r w:rsidRPr="009E351A">
        <w:t xml:space="preserve"> be carried out, where appropriate, in cooperation</w:t>
      </w:r>
      <w:r w:rsidR="002104F1" w:rsidRPr="009E351A">
        <w:t xml:space="preserve"> between</w:t>
      </w:r>
      <w:r w:rsidRPr="009E351A">
        <w:t xml:space="preserve"> and/or </w:t>
      </w:r>
      <w:r w:rsidR="002104F1" w:rsidRPr="009E351A">
        <w:t xml:space="preserve">by means of </w:t>
      </w:r>
      <w:r w:rsidRPr="009E351A">
        <w:t xml:space="preserve">co-financing </w:t>
      </w:r>
      <w:r w:rsidR="002104F1" w:rsidRPr="009E351A">
        <w:t>by</w:t>
      </w:r>
      <w:r w:rsidRPr="009E351A">
        <w:t xml:space="preserve"> the EIB and other </w:t>
      </w:r>
      <w:r w:rsidR="002104F1" w:rsidRPr="009E351A">
        <w:t>International Financial Institutions (</w:t>
      </w:r>
      <w:r w:rsidRPr="009E351A">
        <w:t>IFIs</w:t>
      </w:r>
      <w:r w:rsidR="002104F1" w:rsidRPr="009E351A">
        <w:t>),</w:t>
      </w:r>
      <w:r w:rsidRPr="009E351A">
        <w:t xml:space="preserve"> or European bilateral institutions</w:t>
      </w:r>
      <w:r w:rsidR="002104F1" w:rsidRPr="009E351A">
        <w:t>,</w:t>
      </w:r>
      <w:r w:rsidRPr="009E351A">
        <w:t xml:space="preserve"> in order to ensure reasonable sharing of risks and coherent project and sector conditionality. </w:t>
      </w:r>
    </w:p>
    <w:p w:rsidR="00DC30BF" w:rsidRPr="009E351A" w:rsidRDefault="00DC30BF">
      <w:r w:rsidRPr="009E351A">
        <w:t>2.</w:t>
      </w:r>
      <w:r w:rsidRPr="009E351A">
        <w:tab/>
        <w:t>Th</w:t>
      </w:r>
      <w:r w:rsidR="002104F1" w:rsidRPr="009E351A">
        <w:t>is</w:t>
      </w:r>
      <w:r w:rsidRPr="009E351A">
        <w:t xml:space="preserve"> cooperation shall be facilitated by coordination</w:t>
      </w:r>
      <w:r w:rsidR="002104F1" w:rsidRPr="009E351A">
        <w:t>,</w:t>
      </w:r>
      <w:r w:rsidRPr="009E351A">
        <w:t xml:space="preserve"> carried out notably in the context of Memoranda of Understanding, where appropriate, between the Commission, the EIB and the main IFIs and European bilateral institutions operating in the different regions. </w:t>
      </w:r>
    </w:p>
    <w:p w:rsidR="00DC30BF" w:rsidRPr="009E351A" w:rsidRDefault="00DC30BF" w:rsidP="00AF07BD">
      <w:pPr>
        <w:pStyle w:val="Titrearticle"/>
        <w:keepNext w:val="0"/>
        <w:pageBreakBefore/>
      </w:pPr>
      <w:r w:rsidRPr="009E351A">
        <w:t>Article 6</w:t>
      </w:r>
    </w:p>
    <w:p w:rsidR="00DC30BF" w:rsidRPr="009E351A" w:rsidRDefault="00DC30BF">
      <w:pPr>
        <w:jc w:val="center"/>
        <w:rPr>
          <w:i/>
        </w:rPr>
      </w:pPr>
      <w:r w:rsidRPr="009E351A">
        <w:rPr>
          <w:i/>
        </w:rPr>
        <w:t xml:space="preserve">Coverage and terms of the </w:t>
      </w:r>
      <w:r w:rsidRPr="009E351A">
        <w:t xml:space="preserve">Community </w:t>
      </w:r>
      <w:r w:rsidRPr="009E351A">
        <w:rPr>
          <w:i/>
        </w:rPr>
        <w:t>Guarantee</w:t>
      </w:r>
    </w:p>
    <w:p w:rsidR="002F29CF" w:rsidRPr="009E351A" w:rsidRDefault="00DC30BF" w:rsidP="002104F1">
      <w:r w:rsidRPr="009E351A">
        <w:t>1.</w:t>
      </w:r>
      <w:r w:rsidRPr="009E351A">
        <w:tab/>
        <w:t xml:space="preserve">For EIB Financing Operations entered into with </w:t>
      </w:r>
      <w:r w:rsidR="002104F1" w:rsidRPr="009E351A">
        <w:t>a</w:t>
      </w:r>
      <w:r w:rsidRPr="009E351A">
        <w:t xml:space="preserve"> State</w:t>
      </w:r>
      <w:r w:rsidR="002104F1" w:rsidRPr="009E351A">
        <w:t>,</w:t>
      </w:r>
      <w:r w:rsidRPr="009E351A">
        <w:t xml:space="preserve"> or guaranteed by </w:t>
      </w:r>
      <w:r w:rsidR="008E0A41" w:rsidRPr="009E351A">
        <w:t xml:space="preserve">a </w:t>
      </w:r>
      <w:r w:rsidRPr="009E351A">
        <w:t>State, a</w:t>
      </w:r>
      <w:r w:rsidR="002104F1" w:rsidRPr="009E351A">
        <w:t xml:space="preserve">nd for </w:t>
      </w:r>
      <w:r w:rsidRPr="009E351A">
        <w:t>other EIB Financing Operations entered into with regional or local authorities or government-owned and/or -controlled public enterprises or institutions, where such other EIB Financing Operations have an appropriate EIB credit risk assessment taking into account the credit risk situation of the country concerned</w:t>
      </w:r>
      <w:r w:rsidR="002104F1" w:rsidRPr="009E351A">
        <w:t>, the Community guarantee shall cover</w:t>
      </w:r>
      <w:r w:rsidRPr="009E351A">
        <w:t xml:space="preserve"> all payments not received by the Bank but due to it (hereinafter the “Comprehensive Guarantee”).</w:t>
      </w:r>
    </w:p>
    <w:p w:rsidR="00B21623" w:rsidRPr="009E351A" w:rsidRDefault="00B21623" w:rsidP="002104F1">
      <w:r w:rsidRPr="009E351A">
        <w:t>For the purposes of Article 6 and Article 7</w:t>
      </w:r>
      <w:r w:rsidR="00510481" w:rsidRPr="009E351A">
        <w:t xml:space="preserve"> (</w:t>
      </w:r>
      <w:r w:rsidRPr="009E351A">
        <w:t>4</w:t>
      </w:r>
      <w:r w:rsidR="00510481" w:rsidRPr="009E351A">
        <w:t>)</w:t>
      </w:r>
      <w:r w:rsidRPr="009E351A">
        <w:t>, the notion of State includes the West Bank</w:t>
      </w:r>
      <w:r w:rsidR="00130CD1" w:rsidRPr="009E351A">
        <w:t xml:space="preserve"> and Gaza Strip</w:t>
      </w:r>
      <w:r w:rsidRPr="009E351A">
        <w:t>, as represented by the Palestinian Authority, and Kosovo, as represented by the UN Interim Administration Mission.</w:t>
      </w:r>
    </w:p>
    <w:p w:rsidR="00DC30BF" w:rsidRPr="009E351A" w:rsidRDefault="002F29CF" w:rsidP="002F29CF">
      <w:r w:rsidRPr="009E351A">
        <w:t>2.</w:t>
      </w:r>
      <w:r w:rsidRPr="009E351A">
        <w:tab/>
      </w:r>
      <w:r w:rsidR="00DC30BF" w:rsidRPr="009E351A">
        <w:t xml:space="preserve">For EIB Financing Operations </w:t>
      </w:r>
      <w:r w:rsidRPr="009E351A">
        <w:t xml:space="preserve">other </w:t>
      </w:r>
      <w:r w:rsidR="00DC30BF" w:rsidRPr="009E351A">
        <w:t xml:space="preserve">than those indicated </w:t>
      </w:r>
      <w:r w:rsidRPr="009E351A">
        <w:t xml:space="preserve">in </w:t>
      </w:r>
      <w:r w:rsidR="00DC30BF" w:rsidRPr="009E351A">
        <w:t xml:space="preserve">paragraph </w:t>
      </w:r>
      <w:r w:rsidRPr="009E351A">
        <w:t>1, the Community guarantee shall cover</w:t>
      </w:r>
      <w:r w:rsidR="00DC30BF" w:rsidRPr="009E351A">
        <w:t xml:space="preserve"> all payments not received by the Bank but due to it where the non-receipt has been caused by the realisation of one of the following political risks (the “Political Risk Guarantee”):</w:t>
      </w:r>
    </w:p>
    <w:p w:rsidR="00DC30BF" w:rsidRPr="009E351A" w:rsidRDefault="00DC30BF">
      <w:r w:rsidRPr="009E351A">
        <w:tab/>
      </w:r>
      <w:r w:rsidR="002F29CF" w:rsidRPr="009E351A">
        <w:t>(a)</w:t>
      </w:r>
      <w:r w:rsidRPr="009E351A">
        <w:tab/>
      </w:r>
      <w:r w:rsidR="002F29CF" w:rsidRPr="009E351A">
        <w:t>n</w:t>
      </w:r>
      <w:r w:rsidRPr="009E351A">
        <w:t>on-transfer of currency;</w:t>
      </w:r>
    </w:p>
    <w:p w:rsidR="00DC30BF" w:rsidRPr="009E351A" w:rsidRDefault="00DC30BF">
      <w:r w:rsidRPr="009E351A">
        <w:tab/>
      </w:r>
      <w:r w:rsidR="002F29CF" w:rsidRPr="009E351A">
        <w:t>(b)</w:t>
      </w:r>
      <w:r w:rsidRPr="009E351A">
        <w:tab/>
      </w:r>
      <w:r w:rsidR="002F29CF" w:rsidRPr="009E351A">
        <w:t>e</w:t>
      </w:r>
      <w:r w:rsidRPr="009E351A">
        <w:t>xpropriation;</w:t>
      </w:r>
    </w:p>
    <w:p w:rsidR="00DC30BF" w:rsidRPr="009E351A" w:rsidRDefault="00DC30BF">
      <w:r w:rsidRPr="009E351A">
        <w:tab/>
      </w:r>
      <w:r w:rsidR="002F29CF" w:rsidRPr="009E351A">
        <w:t>(c)</w:t>
      </w:r>
      <w:r w:rsidRPr="009E351A">
        <w:tab/>
      </w:r>
      <w:r w:rsidR="002F29CF" w:rsidRPr="009E351A">
        <w:t>w</w:t>
      </w:r>
      <w:r w:rsidRPr="009E351A">
        <w:t>ar or civil disturbance;</w:t>
      </w:r>
    </w:p>
    <w:p w:rsidR="00DC30BF" w:rsidRPr="009E351A" w:rsidRDefault="00DC30BF">
      <w:r w:rsidRPr="009E351A">
        <w:tab/>
      </w:r>
      <w:r w:rsidR="002F29CF" w:rsidRPr="009E351A">
        <w:t>(d)</w:t>
      </w:r>
      <w:r w:rsidRPr="009E351A">
        <w:tab/>
      </w:r>
      <w:r w:rsidR="002F29CF" w:rsidRPr="009E351A">
        <w:t>d</w:t>
      </w:r>
      <w:r w:rsidRPr="009E351A">
        <w:t>enial of justice upon breach of contract.</w:t>
      </w:r>
    </w:p>
    <w:p w:rsidR="00DC30BF" w:rsidRPr="009E351A" w:rsidRDefault="00DC30BF">
      <w:pPr>
        <w:pStyle w:val="Titrearticle"/>
      </w:pPr>
      <w:r w:rsidRPr="009E351A">
        <w:t>Article 7</w:t>
      </w:r>
    </w:p>
    <w:p w:rsidR="00DC30BF" w:rsidRPr="009E351A" w:rsidRDefault="00DC30BF">
      <w:pPr>
        <w:jc w:val="center"/>
        <w:rPr>
          <w:i/>
        </w:rPr>
      </w:pPr>
      <w:r w:rsidRPr="009E351A">
        <w:rPr>
          <w:i/>
        </w:rPr>
        <w:t>Reporting and accounting</w:t>
      </w:r>
    </w:p>
    <w:p w:rsidR="00DC30BF" w:rsidRPr="009E351A" w:rsidRDefault="00DC30BF">
      <w:r w:rsidRPr="009E351A">
        <w:t>1.</w:t>
      </w:r>
      <w:r w:rsidRPr="009E351A">
        <w:tab/>
        <w:t>The Commission shall report annually to the European Parliament and the Council on the EIB Financing Operations carried out under this Decision. Th</w:t>
      </w:r>
      <w:r w:rsidR="002F29CF" w:rsidRPr="009E351A">
        <w:t>e</w:t>
      </w:r>
      <w:r w:rsidRPr="009E351A">
        <w:t xml:space="preserve"> report shall include an assessment of the contribution of the EIB Financing Operations to the fulfilment of the external policy objectives</w:t>
      </w:r>
      <w:r w:rsidR="002F29CF" w:rsidRPr="009E351A">
        <w:t xml:space="preserve"> of the European Union</w:t>
      </w:r>
      <w:r w:rsidRPr="009E351A">
        <w:t>, taking into account the operational objectives of the EIB.</w:t>
      </w:r>
    </w:p>
    <w:p w:rsidR="00DC30BF" w:rsidRPr="009E351A" w:rsidRDefault="00DC30BF">
      <w:r w:rsidRPr="009E351A">
        <w:t>2.</w:t>
      </w:r>
      <w:r w:rsidRPr="009E351A">
        <w:tab/>
        <w:t>For the purposes of paragraph 1, the EIB shall provide the Commission with yearly reports of EIB Financing Operations carried out under this Decision and of the fulfilment of the external policy objectives</w:t>
      </w:r>
      <w:r w:rsidR="002F29CF" w:rsidRPr="009E351A">
        <w:t xml:space="preserve"> of the European Union</w:t>
      </w:r>
      <w:r w:rsidRPr="009E351A">
        <w:t>, including cooperation with other IFIs.</w:t>
      </w:r>
    </w:p>
    <w:p w:rsidR="00DC30BF" w:rsidRPr="009E351A" w:rsidRDefault="00DC30BF">
      <w:r w:rsidRPr="009E351A">
        <w:t>3.</w:t>
      </w:r>
      <w:r w:rsidRPr="009E351A">
        <w:tab/>
        <w:t xml:space="preserve">The EIB shall provide the Commission with statistical, financial and accounting data on each of the EIB Financing Operations as necessary to fulfil its reporting duties or requests by the European Court of Auditors as well as with an auditor’s certificate on the outstanding </w:t>
      </w:r>
      <w:r w:rsidR="002F29CF" w:rsidRPr="009E351A">
        <w:t xml:space="preserve">amounts </w:t>
      </w:r>
      <w:r w:rsidRPr="009E351A">
        <w:t>of the EIB Financing Operations.</w:t>
      </w:r>
    </w:p>
    <w:p w:rsidR="00DC30BF" w:rsidRPr="009E351A" w:rsidRDefault="00DC30BF">
      <w:r w:rsidRPr="009E351A">
        <w:t>4.</w:t>
      </w:r>
      <w:r w:rsidRPr="009E351A">
        <w:tab/>
        <w:t xml:space="preserve">For the purposes of the Commission’s accounting and reporting of the risks covered by the Comprehensive Guarantee, the EIB shall provide the Commission with the </w:t>
      </w:r>
      <w:r w:rsidR="002F29CF" w:rsidRPr="009E351A">
        <w:t>EIB</w:t>
      </w:r>
      <w:r w:rsidRPr="009E351A">
        <w:t>'s risk assessment and grading information concerning EIB Financing Operations with borrowers or guaranteed obligors other than States.</w:t>
      </w:r>
    </w:p>
    <w:p w:rsidR="00DC30BF" w:rsidRPr="009E351A" w:rsidRDefault="00DC30BF">
      <w:r w:rsidRPr="009E351A">
        <w:t>5.</w:t>
      </w:r>
      <w:r w:rsidRPr="009E351A">
        <w:tab/>
        <w:t xml:space="preserve">The EIB shall provide the information </w:t>
      </w:r>
      <w:r w:rsidR="002F29CF" w:rsidRPr="009E351A">
        <w:t>referred to in</w:t>
      </w:r>
      <w:r w:rsidRPr="009E351A">
        <w:t xml:space="preserve"> paragraphs 2, 3 and 4 at its own expense. </w:t>
      </w:r>
    </w:p>
    <w:p w:rsidR="00DC30BF" w:rsidRPr="009E351A" w:rsidRDefault="00DC30BF">
      <w:pPr>
        <w:pStyle w:val="Titrearticle"/>
      </w:pPr>
      <w:r w:rsidRPr="009E351A">
        <w:t>Article 8</w:t>
      </w:r>
    </w:p>
    <w:p w:rsidR="00DC30BF" w:rsidRPr="009E351A" w:rsidRDefault="00DC30BF">
      <w:pPr>
        <w:jc w:val="center"/>
        <w:rPr>
          <w:i/>
        </w:rPr>
      </w:pPr>
      <w:r w:rsidRPr="009E351A">
        <w:rPr>
          <w:i/>
        </w:rPr>
        <w:t>Recovery of payments made by the Commission</w:t>
      </w:r>
    </w:p>
    <w:p w:rsidR="00DC30BF" w:rsidRPr="009E351A" w:rsidRDefault="00DC30BF">
      <w:r w:rsidRPr="009E351A">
        <w:t>1. I</w:t>
      </w:r>
      <w:r w:rsidR="002345F8" w:rsidRPr="009E351A">
        <w:t>f</w:t>
      </w:r>
      <w:r w:rsidRPr="009E351A">
        <w:t xml:space="preserve"> </w:t>
      </w:r>
      <w:r w:rsidR="002F29CF" w:rsidRPr="009E351A">
        <w:t>the Commission makes any</w:t>
      </w:r>
      <w:r w:rsidRPr="009E351A">
        <w:t xml:space="preserve"> payment under the Community guarantee, the EIB shall, in the name and on behalf of the Commission, pursue the recovery of claims for the amounts paid. </w:t>
      </w:r>
    </w:p>
    <w:p w:rsidR="00DC30BF" w:rsidRPr="009E351A" w:rsidRDefault="00DC30BF">
      <w:r w:rsidRPr="009E351A">
        <w:t xml:space="preserve">2. The EIB and the Commission shall enter into an agreement laying down the detailed provisions and procedures relating to recovery of claims no later than the </w:t>
      </w:r>
      <w:r w:rsidR="002F29CF" w:rsidRPr="009E351A">
        <w:t xml:space="preserve">date of </w:t>
      </w:r>
      <w:r w:rsidRPr="009E351A">
        <w:t>conclusion of the agreement referred to in Article 9 below.</w:t>
      </w:r>
    </w:p>
    <w:p w:rsidR="00DC30BF" w:rsidRPr="009E351A" w:rsidRDefault="00DC30BF">
      <w:pPr>
        <w:pStyle w:val="Titrearticle"/>
      </w:pPr>
      <w:r w:rsidRPr="009E351A">
        <w:t>Article 9</w:t>
      </w:r>
    </w:p>
    <w:p w:rsidR="00DC30BF" w:rsidRPr="009E351A" w:rsidRDefault="00DC30BF">
      <w:pPr>
        <w:jc w:val="center"/>
        <w:rPr>
          <w:i/>
        </w:rPr>
      </w:pPr>
      <w:r w:rsidRPr="009E351A">
        <w:rPr>
          <w:i/>
        </w:rPr>
        <w:t xml:space="preserve">Guarantee </w:t>
      </w:r>
      <w:r w:rsidR="002F29CF" w:rsidRPr="009E351A">
        <w:rPr>
          <w:i/>
        </w:rPr>
        <w:t>a</w:t>
      </w:r>
      <w:r w:rsidRPr="009E351A">
        <w:rPr>
          <w:i/>
        </w:rPr>
        <w:t>greement</w:t>
      </w:r>
    </w:p>
    <w:p w:rsidR="00DC30BF" w:rsidRPr="009E351A" w:rsidRDefault="00DC30BF">
      <w:r w:rsidRPr="009E351A">
        <w:t>The EIB and the Commission shall enter into a guarantee agreement laying down the detailed provisions and procedures relating to the Community guarantee</w:t>
      </w:r>
      <w:r w:rsidR="002B2808" w:rsidRPr="009E351A">
        <w:t>.</w:t>
      </w:r>
    </w:p>
    <w:p w:rsidR="00DC30BF" w:rsidRPr="009E351A" w:rsidRDefault="00DC30BF">
      <w:pPr>
        <w:pStyle w:val="Titrearticle"/>
      </w:pPr>
      <w:r w:rsidRPr="009E351A">
        <w:t>Article 10</w:t>
      </w:r>
    </w:p>
    <w:p w:rsidR="00DC30BF" w:rsidRPr="009E351A" w:rsidRDefault="00DC30BF">
      <w:pPr>
        <w:jc w:val="center"/>
        <w:rPr>
          <w:i/>
        </w:rPr>
      </w:pPr>
      <w:r w:rsidRPr="009E351A">
        <w:rPr>
          <w:i/>
        </w:rPr>
        <w:t>Review of the Decision</w:t>
      </w:r>
    </w:p>
    <w:p w:rsidR="00DC30BF" w:rsidRPr="009E351A" w:rsidRDefault="00DC30BF">
      <w:r w:rsidRPr="009E351A">
        <w:t>1.</w:t>
      </w:r>
      <w:r w:rsidRPr="009E351A">
        <w:tab/>
        <w:t xml:space="preserve">Drawing </w:t>
      </w:r>
      <w:r w:rsidR="002F29CF" w:rsidRPr="009E351A">
        <w:t xml:space="preserve">inter alia </w:t>
      </w:r>
      <w:r w:rsidRPr="009E351A">
        <w:t>upon an activity report from the EIB as well as an evaluation provided by the independent evaluation department of the EIB, the Commission shall pre</w:t>
      </w:r>
      <w:r w:rsidR="002F29CF" w:rsidRPr="009E351A">
        <w:t>sent to the Council and the European Parliament</w:t>
      </w:r>
      <w:r w:rsidRPr="009E351A">
        <w:t xml:space="preserve"> a midterm report on the application of this Decision </w:t>
      </w:r>
      <w:r w:rsidR="002F29CF" w:rsidRPr="009E351A">
        <w:t>by</w:t>
      </w:r>
      <w:r w:rsidRPr="009E351A">
        <w:t xml:space="preserve"> 30 June 2010 </w:t>
      </w:r>
      <w:r w:rsidR="002F29CF" w:rsidRPr="009E351A">
        <w:t xml:space="preserve">at the latest, accompanied, as appropriate, by a </w:t>
      </w:r>
      <w:r w:rsidRPr="009E351A">
        <w:t xml:space="preserve">proposal for </w:t>
      </w:r>
      <w:r w:rsidR="002F29CF" w:rsidRPr="009E351A">
        <w:t xml:space="preserve">its </w:t>
      </w:r>
      <w:r w:rsidRPr="009E351A">
        <w:t xml:space="preserve">amendment, in particular </w:t>
      </w:r>
      <w:r w:rsidR="00052D16" w:rsidRPr="009E351A">
        <w:t xml:space="preserve">with regard to </w:t>
      </w:r>
      <w:r w:rsidRPr="009E351A">
        <w:t>the ceilings set out in Article 1.</w:t>
      </w:r>
    </w:p>
    <w:p w:rsidR="00DC30BF" w:rsidRPr="009E351A" w:rsidRDefault="00DC30BF">
      <w:pPr>
        <w:rPr>
          <w:i/>
        </w:rPr>
      </w:pPr>
      <w:r w:rsidRPr="009E351A">
        <w:t>2.</w:t>
      </w:r>
      <w:r w:rsidRPr="009E351A">
        <w:tab/>
        <w:t xml:space="preserve">The Commission shall </w:t>
      </w:r>
      <w:r w:rsidR="00052D16" w:rsidRPr="009E351A">
        <w:t>present a</w:t>
      </w:r>
      <w:r w:rsidR="002345F8" w:rsidRPr="009E351A">
        <w:t xml:space="preserve"> final</w:t>
      </w:r>
      <w:r w:rsidR="00052D16" w:rsidRPr="009E351A">
        <w:t xml:space="preserve"> </w:t>
      </w:r>
      <w:r w:rsidRPr="009E351A">
        <w:t>report on the application of this Decision by 31 July 2013 at the latest.</w:t>
      </w:r>
    </w:p>
    <w:p w:rsidR="00DC30BF" w:rsidRPr="009E351A" w:rsidRDefault="00DC30BF" w:rsidP="00AF07BD">
      <w:pPr>
        <w:pStyle w:val="Titrearticle"/>
        <w:keepNext w:val="0"/>
        <w:pageBreakBefore/>
      </w:pPr>
      <w:r w:rsidRPr="009E351A">
        <w:t>Article 11</w:t>
      </w:r>
    </w:p>
    <w:p w:rsidR="00DC30BF" w:rsidRPr="009E351A" w:rsidRDefault="00DC30BF">
      <w:pPr>
        <w:jc w:val="center"/>
        <w:rPr>
          <w:i/>
        </w:rPr>
      </w:pPr>
      <w:r w:rsidRPr="009E351A">
        <w:rPr>
          <w:i/>
        </w:rPr>
        <w:t>Application</w:t>
      </w:r>
    </w:p>
    <w:p w:rsidR="00DC30BF" w:rsidRPr="009E351A" w:rsidRDefault="00DC30BF">
      <w:r w:rsidRPr="009E351A">
        <w:t>This Decision shall take effect on the third day following its publication in the Official Journal of the European Union.</w:t>
      </w:r>
    </w:p>
    <w:p w:rsidR="00DC30BF" w:rsidRPr="009E351A" w:rsidRDefault="00DC30BF">
      <w:pPr>
        <w:pStyle w:val="Fait"/>
      </w:pPr>
      <w:r w:rsidRPr="009E351A">
        <w:t xml:space="preserve">Done at Brussels, </w:t>
      </w:r>
    </w:p>
    <w:p w:rsidR="00DC30BF" w:rsidRPr="009E351A" w:rsidRDefault="00DC30BF">
      <w:pPr>
        <w:pStyle w:val="Institutionquisigne"/>
      </w:pPr>
      <w:r w:rsidRPr="009E351A">
        <w:tab/>
        <w:t>For the Council</w:t>
      </w:r>
    </w:p>
    <w:p w:rsidR="00DC30BF" w:rsidRPr="009E351A" w:rsidRDefault="00DC30BF">
      <w:pPr>
        <w:pStyle w:val="Personnequisigne"/>
      </w:pPr>
      <w:r w:rsidRPr="009E351A">
        <w:tab/>
        <w:t>The President</w:t>
      </w:r>
    </w:p>
    <w:p w:rsidR="00DC30BF" w:rsidRPr="009E351A" w:rsidRDefault="00DC30BF">
      <w:pPr>
        <w:pStyle w:val="Annexetitreglobale"/>
        <w:sectPr w:rsidR="00DC30BF" w:rsidRPr="009E351A" w:rsidSect="00B2551F">
          <w:pgSz w:w="11907" w:h="16839"/>
          <w:pgMar w:top="1134" w:right="1417" w:bottom="1134" w:left="1417" w:header="720" w:footer="720" w:gutter="0"/>
          <w:cols w:space="720"/>
          <w:docGrid w:linePitch="326"/>
        </w:sectPr>
      </w:pPr>
    </w:p>
    <w:p w:rsidR="00DC30BF" w:rsidRPr="009E351A" w:rsidRDefault="00DC30BF" w:rsidP="006B3DEC">
      <w:pPr>
        <w:pStyle w:val="Annexetitreglobale"/>
      </w:pPr>
      <w:r w:rsidRPr="009E351A">
        <w:t>ANNEX</w:t>
      </w:r>
    </w:p>
    <w:p w:rsidR="00DC30BF" w:rsidRPr="009E351A" w:rsidRDefault="00DC30BF">
      <w:pPr>
        <w:jc w:val="center"/>
        <w:rPr>
          <w:u w:val="single"/>
        </w:rPr>
      </w:pPr>
      <w:r w:rsidRPr="009E351A">
        <w:rPr>
          <w:u w:val="single"/>
        </w:rPr>
        <w:t>Regions and countries covered by Article 1</w:t>
      </w:r>
    </w:p>
    <w:p w:rsidR="00DC30BF" w:rsidRPr="009E351A" w:rsidRDefault="00DC30BF">
      <w:pPr>
        <w:tabs>
          <w:tab w:val="left" w:pos="600"/>
        </w:tabs>
        <w:spacing w:before="240" w:after="240"/>
        <w:jc w:val="left"/>
      </w:pPr>
      <w:r w:rsidRPr="009E351A">
        <w:t>for countries marked with (*) the Commission must still approve eligibility under Article 2</w:t>
      </w:r>
      <w:r w:rsidR="00A71FE3" w:rsidRPr="009E351A">
        <w:t>(</w:t>
      </w:r>
      <w:r w:rsidRPr="009E351A">
        <w:t>2</w:t>
      </w:r>
      <w:r w:rsidR="00A71FE3" w:rsidRPr="009E351A">
        <w:t>)</w:t>
      </w:r>
      <w:r w:rsidRPr="009E351A">
        <w:t>.</w:t>
      </w:r>
    </w:p>
    <w:p w:rsidR="00DC30BF" w:rsidRPr="009E351A" w:rsidRDefault="00DC30BF">
      <w:pPr>
        <w:tabs>
          <w:tab w:val="left" w:pos="600"/>
        </w:tabs>
        <w:spacing w:before="240"/>
        <w:jc w:val="left"/>
        <w:rPr>
          <w:b/>
          <w:caps/>
        </w:rPr>
      </w:pPr>
      <w:r w:rsidRPr="009E351A">
        <w:rPr>
          <w:b/>
        </w:rPr>
        <w:t>A.</w:t>
      </w:r>
      <w:r w:rsidRPr="009E351A">
        <w:rPr>
          <w:b/>
        </w:rPr>
        <w:tab/>
      </w:r>
      <w:r w:rsidRPr="009E351A">
        <w:rPr>
          <w:b/>
          <w:caps/>
        </w:rPr>
        <w:t>Pre-accession countries</w:t>
      </w:r>
    </w:p>
    <w:p w:rsidR="00DC30BF" w:rsidRPr="009E351A" w:rsidRDefault="00DC30BF">
      <w:pPr>
        <w:pStyle w:val="Point1"/>
        <w:spacing w:after="0"/>
        <w:ind w:left="1418"/>
        <w:rPr>
          <w:b/>
          <w:i/>
        </w:rPr>
      </w:pPr>
      <w:r w:rsidRPr="009E351A">
        <w:rPr>
          <w:b/>
          <w:i/>
        </w:rPr>
        <w:t>(1)</w:t>
      </w:r>
      <w:r w:rsidRPr="009E351A">
        <w:rPr>
          <w:b/>
          <w:i/>
        </w:rPr>
        <w:tab/>
        <w:t>Candidate countries</w:t>
      </w:r>
      <w:r w:rsidRPr="009E351A">
        <w:rPr>
          <w:b/>
          <w:i/>
        </w:rPr>
        <w:tab/>
      </w:r>
    </w:p>
    <w:p w:rsidR="00DC30BF" w:rsidRPr="009E351A" w:rsidRDefault="00DC30BF">
      <w:pPr>
        <w:pStyle w:val="Point2"/>
        <w:ind w:left="1985"/>
      </w:pPr>
      <w:r w:rsidRPr="009E351A">
        <w:t>Croatia, Turkey, the Former Yugoslav Republic of Macedonia.</w:t>
      </w:r>
    </w:p>
    <w:p w:rsidR="00DC30BF" w:rsidRPr="009E351A" w:rsidRDefault="00DC30BF">
      <w:pPr>
        <w:pStyle w:val="Point1"/>
        <w:spacing w:after="0"/>
        <w:ind w:left="1418"/>
        <w:rPr>
          <w:b/>
          <w:i/>
        </w:rPr>
      </w:pPr>
      <w:r w:rsidRPr="009E351A">
        <w:rPr>
          <w:b/>
          <w:i/>
        </w:rPr>
        <w:t>(2)</w:t>
      </w:r>
      <w:r w:rsidRPr="009E351A">
        <w:rPr>
          <w:b/>
          <w:i/>
        </w:rPr>
        <w:tab/>
        <w:t>Potential candidate countries</w:t>
      </w:r>
    </w:p>
    <w:p w:rsidR="00DC30BF" w:rsidRPr="009E351A" w:rsidRDefault="00DC30BF" w:rsidP="000F4390">
      <w:pPr>
        <w:pStyle w:val="Point2"/>
      </w:pPr>
      <w:r w:rsidRPr="009E351A">
        <w:t xml:space="preserve">Albania, Bosnia and Herzegovina, </w:t>
      </w:r>
      <w:r w:rsidR="00593429" w:rsidRPr="009E351A">
        <w:t xml:space="preserve">Montenegro, </w:t>
      </w:r>
      <w:r w:rsidRPr="009E351A">
        <w:t>Serbia</w:t>
      </w:r>
      <w:r w:rsidR="00593429" w:rsidRPr="009E351A">
        <w:t xml:space="preserve">, </w:t>
      </w:r>
      <w:r w:rsidR="00593429" w:rsidRPr="009E351A">
        <w:rPr>
          <w:szCs w:val="24"/>
          <w:lang w:eastAsia="en-GB"/>
        </w:rPr>
        <w:t>Kosovo under United Nations Security Council Resolution 1244</w:t>
      </w:r>
      <w:r w:rsidRPr="009E351A">
        <w:t>.</w:t>
      </w:r>
    </w:p>
    <w:p w:rsidR="00DC30BF" w:rsidRPr="009E351A" w:rsidRDefault="00DC30BF">
      <w:pPr>
        <w:tabs>
          <w:tab w:val="left" w:pos="600"/>
        </w:tabs>
        <w:spacing w:before="240"/>
        <w:rPr>
          <w:b/>
        </w:rPr>
      </w:pPr>
      <w:r w:rsidRPr="009E351A">
        <w:rPr>
          <w:b/>
        </w:rPr>
        <w:t>B.</w:t>
      </w:r>
      <w:r w:rsidRPr="009E351A">
        <w:rPr>
          <w:b/>
        </w:rPr>
        <w:tab/>
        <w:t>NEIGHBOURHOOD AND PARTNERSHIP COUNTRIES</w:t>
      </w:r>
    </w:p>
    <w:p w:rsidR="00DC30BF" w:rsidRPr="009E351A" w:rsidRDefault="00DC30BF">
      <w:pPr>
        <w:pStyle w:val="Point1"/>
        <w:spacing w:after="0"/>
        <w:ind w:left="1418"/>
        <w:rPr>
          <w:b/>
          <w:i/>
        </w:rPr>
      </w:pPr>
      <w:r w:rsidRPr="009E351A">
        <w:rPr>
          <w:b/>
          <w:i/>
        </w:rPr>
        <w:t>(1)</w:t>
      </w:r>
      <w:r w:rsidRPr="009E351A">
        <w:rPr>
          <w:b/>
          <w:i/>
        </w:rPr>
        <w:tab/>
        <w:t>Mediterranean countries</w:t>
      </w:r>
    </w:p>
    <w:p w:rsidR="00ED2D23" w:rsidRPr="009E351A" w:rsidRDefault="00DC30BF" w:rsidP="00350F55">
      <w:pPr>
        <w:pStyle w:val="Point2"/>
      </w:pPr>
      <w:r w:rsidRPr="009E351A">
        <w:t>Algeria, Egypt, West Bank</w:t>
      </w:r>
      <w:r w:rsidR="003B2EEE" w:rsidRPr="009E351A">
        <w:t xml:space="preserve"> and Gaza Strip</w:t>
      </w:r>
      <w:r w:rsidRPr="009E351A">
        <w:t>, Israel, Jordan, Lebanon, Libya*,</w:t>
      </w:r>
      <w:r w:rsidR="00A71FE3" w:rsidRPr="009E351A">
        <w:t xml:space="preserve"> </w:t>
      </w:r>
      <w:r w:rsidRPr="009E351A">
        <w:t>Morocco,</w:t>
      </w:r>
      <w:r w:rsidR="00ED2D23" w:rsidRPr="009E351A">
        <w:t xml:space="preserve"> </w:t>
      </w:r>
      <w:r w:rsidRPr="009E351A">
        <w:t>Syria, Tunisia.</w:t>
      </w:r>
    </w:p>
    <w:p w:rsidR="00DC30BF" w:rsidRPr="009E351A" w:rsidRDefault="00DC30BF">
      <w:pPr>
        <w:pStyle w:val="Point1"/>
        <w:spacing w:after="0"/>
        <w:ind w:left="1418"/>
        <w:rPr>
          <w:b/>
          <w:i/>
        </w:rPr>
      </w:pPr>
      <w:r w:rsidRPr="009E351A">
        <w:rPr>
          <w:b/>
          <w:i/>
        </w:rPr>
        <w:t>(2)</w:t>
      </w:r>
      <w:r w:rsidRPr="009E351A">
        <w:rPr>
          <w:b/>
          <w:i/>
        </w:rPr>
        <w:tab/>
        <w:t>Eastern Europe, Southern Caucasus and Russia</w:t>
      </w:r>
    </w:p>
    <w:p w:rsidR="00DC30BF" w:rsidRPr="009E351A" w:rsidRDefault="00DC30BF">
      <w:pPr>
        <w:pStyle w:val="Point2"/>
        <w:spacing w:after="0"/>
        <w:ind w:left="1985"/>
        <w:rPr>
          <w:i/>
        </w:rPr>
      </w:pPr>
      <w:r w:rsidRPr="009E351A">
        <w:rPr>
          <w:i/>
        </w:rPr>
        <w:t xml:space="preserve">Eastern Europe: </w:t>
      </w:r>
      <w:r w:rsidRPr="009E351A">
        <w:t>Belarus*, Moldova</w:t>
      </w:r>
      <w:r w:rsidR="00536F3A" w:rsidRPr="009E351A">
        <w:t xml:space="preserve"> </w:t>
      </w:r>
      <w:r w:rsidR="00ED2D23" w:rsidRPr="009E351A">
        <w:t>[</w:t>
      </w:r>
      <w:r w:rsidRPr="009E351A">
        <w:t>*], Ukraine</w:t>
      </w:r>
      <w:r w:rsidRPr="009E351A">
        <w:rPr>
          <w:i/>
        </w:rPr>
        <w:t>;</w:t>
      </w:r>
    </w:p>
    <w:p w:rsidR="00DC30BF" w:rsidRPr="009E351A" w:rsidRDefault="00DC30BF">
      <w:pPr>
        <w:pStyle w:val="Point2"/>
        <w:spacing w:after="0"/>
        <w:ind w:left="1985"/>
      </w:pPr>
      <w:r w:rsidRPr="009E351A">
        <w:rPr>
          <w:i/>
        </w:rPr>
        <w:t>Southern Caucasus</w:t>
      </w:r>
      <w:r w:rsidRPr="009E351A">
        <w:t>: Armenia*, Azerbaijan*, Georgia*;</w:t>
      </w:r>
    </w:p>
    <w:p w:rsidR="00DC30BF" w:rsidRPr="009E351A" w:rsidRDefault="00DC30BF">
      <w:pPr>
        <w:pStyle w:val="Point2"/>
        <w:spacing w:after="240"/>
        <w:ind w:left="1985"/>
      </w:pPr>
      <w:r w:rsidRPr="009E351A">
        <w:rPr>
          <w:i/>
        </w:rPr>
        <w:t>Russia</w:t>
      </w:r>
      <w:r w:rsidRPr="009E351A">
        <w:t>: Russia.</w:t>
      </w:r>
    </w:p>
    <w:p w:rsidR="00DC30BF" w:rsidRPr="009E351A" w:rsidRDefault="00DC30BF">
      <w:pPr>
        <w:tabs>
          <w:tab w:val="left" w:pos="600"/>
        </w:tabs>
        <w:spacing w:before="240"/>
        <w:rPr>
          <w:b/>
        </w:rPr>
      </w:pPr>
      <w:r w:rsidRPr="009E351A">
        <w:rPr>
          <w:b/>
        </w:rPr>
        <w:t>C.</w:t>
      </w:r>
      <w:r w:rsidRPr="009E351A">
        <w:rPr>
          <w:b/>
        </w:rPr>
        <w:tab/>
        <w:t>DEVELOPMENT AND ECONOMIC COOPERATION COUNTRIES</w:t>
      </w:r>
    </w:p>
    <w:p w:rsidR="00DC30BF" w:rsidRPr="009E351A" w:rsidRDefault="00DC30BF">
      <w:pPr>
        <w:pStyle w:val="Point1"/>
        <w:rPr>
          <w:b/>
          <w:i/>
        </w:rPr>
      </w:pPr>
      <w:r w:rsidRPr="009E351A">
        <w:rPr>
          <w:b/>
          <w:i/>
        </w:rPr>
        <w:t>(1)</w:t>
      </w:r>
      <w:r w:rsidRPr="009E351A">
        <w:rPr>
          <w:b/>
          <w:i/>
        </w:rPr>
        <w:tab/>
        <w:t>Latin America</w:t>
      </w:r>
    </w:p>
    <w:p w:rsidR="00DC30BF" w:rsidRPr="009E351A" w:rsidRDefault="00DC30BF" w:rsidP="000F4390">
      <w:pPr>
        <w:pStyle w:val="Point2"/>
        <w:rPr>
          <w:b/>
          <w:i/>
        </w:rPr>
      </w:pPr>
      <w:r w:rsidRPr="009E351A">
        <w:t>Argentina, Bolivia, Brazil, Chile, Colombia, Costa Rica, Ecuador,</w:t>
      </w:r>
      <w:r w:rsidR="00ED2D23" w:rsidRPr="009E351A">
        <w:t xml:space="preserve"> </w:t>
      </w:r>
      <w:r w:rsidRPr="009E351A">
        <w:t>El Salvador,</w:t>
      </w:r>
      <w:r w:rsidR="00ED2D23" w:rsidRPr="009E351A">
        <w:t xml:space="preserve"> </w:t>
      </w:r>
      <w:r w:rsidRPr="009E351A">
        <w:t>Guatemala, Honduras, Mexico, Nicaragua, Panama, Paraguay,</w:t>
      </w:r>
      <w:r w:rsidR="00ED2D23" w:rsidRPr="009E351A">
        <w:t xml:space="preserve"> </w:t>
      </w:r>
      <w:r w:rsidRPr="009E351A">
        <w:t>Peru, Uruguay, Venezuela.</w:t>
      </w:r>
      <w:r w:rsidRPr="009E351A">
        <w:tab/>
      </w:r>
    </w:p>
    <w:p w:rsidR="00DC30BF" w:rsidRPr="009E351A" w:rsidRDefault="00DC30BF">
      <w:pPr>
        <w:pStyle w:val="Point1"/>
        <w:rPr>
          <w:b/>
          <w:i/>
        </w:rPr>
      </w:pPr>
      <w:r w:rsidRPr="009E351A">
        <w:rPr>
          <w:b/>
          <w:i/>
        </w:rPr>
        <w:t>(2)</w:t>
      </w:r>
      <w:r w:rsidRPr="009E351A">
        <w:rPr>
          <w:b/>
          <w:i/>
        </w:rPr>
        <w:tab/>
        <w:t>Asia</w:t>
      </w:r>
    </w:p>
    <w:p w:rsidR="00DC30BF" w:rsidRPr="009E351A" w:rsidRDefault="00DC30BF">
      <w:pPr>
        <w:pStyle w:val="Point2"/>
        <w:ind w:left="1985"/>
        <w:rPr>
          <w:i/>
        </w:rPr>
      </w:pPr>
      <w:r w:rsidRPr="009E351A">
        <w:rPr>
          <w:i/>
        </w:rPr>
        <w:t>Asia (without Central Asia):</w:t>
      </w:r>
    </w:p>
    <w:p w:rsidR="00DC30BF" w:rsidRPr="009E351A" w:rsidRDefault="00DC30BF">
      <w:pPr>
        <w:pStyle w:val="Point2"/>
        <w:spacing w:before="0" w:after="0"/>
        <w:ind w:left="1985"/>
      </w:pPr>
      <w:r w:rsidRPr="009E351A">
        <w:t>Afghanistan*, Bangladesh, Bhutan, Brunei, Burma/Myanmar*, Cambodia,</w:t>
      </w:r>
      <w:r w:rsidR="00ED2D23" w:rsidRPr="009E351A">
        <w:t xml:space="preserve"> </w:t>
      </w:r>
      <w:r w:rsidRPr="009E351A">
        <w:t>China, Hong Kong, India, Indonesia, Iran*, Iraq*, Republic of Korea (South Korea), Lao PDR (Laos), Macao, Malaysia, Maldives, Mongolia, Nepal,</w:t>
      </w:r>
      <w:r w:rsidR="00ED2D23" w:rsidRPr="009E351A">
        <w:t xml:space="preserve"> </w:t>
      </w:r>
      <w:r w:rsidRPr="009E351A">
        <w:t>Pakistan, Philippines, Singapore, Sri Lanka, Chinese Taipei, Thailand,</w:t>
      </w:r>
      <w:r w:rsidR="00ED2D23" w:rsidRPr="009E351A">
        <w:t xml:space="preserve"> </w:t>
      </w:r>
      <w:r w:rsidRPr="009E351A">
        <w:t>Vietnam, Yemen*.</w:t>
      </w:r>
    </w:p>
    <w:p w:rsidR="006B3DEC" w:rsidRPr="009E351A" w:rsidRDefault="006B3DEC" w:rsidP="006B3DEC">
      <w:pPr>
        <w:sectPr w:rsidR="006B3DEC" w:rsidRPr="009E351A" w:rsidSect="00B2551F">
          <w:pgSz w:w="11907" w:h="16840" w:code="9"/>
          <w:pgMar w:top="1134" w:right="1418" w:bottom="1134" w:left="1418" w:header="720" w:footer="720" w:gutter="0"/>
          <w:cols w:space="708"/>
          <w:docGrid w:linePitch="360"/>
        </w:sectPr>
      </w:pPr>
    </w:p>
    <w:p w:rsidR="00DC30BF" w:rsidRPr="009E351A" w:rsidRDefault="00DC30BF">
      <w:pPr>
        <w:pStyle w:val="Point2"/>
        <w:ind w:left="1985"/>
      </w:pPr>
      <w:r w:rsidRPr="009E351A">
        <w:rPr>
          <w:i/>
        </w:rPr>
        <w:t>Central Asia</w:t>
      </w:r>
      <w:r w:rsidRPr="009E351A">
        <w:t>:</w:t>
      </w:r>
    </w:p>
    <w:p w:rsidR="00DC30BF" w:rsidRPr="009E351A" w:rsidRDefault="00DC30BF">
      <w:pPr>
        <w:pStyle w:val="Point2"/>
        <w:spacing w:before="0"/>
        <w:ind w:left="1985"/>
      </w:pPr>
      <w:r w:rsidRPr="009E351A">
        <w:t>Kazakhstan*, Kyrgyz Republic*, Tajikistan*, Turkmenistan*, Uzbekistan*.</w:t>
      </w:r>
    </w:p>
    <w:p w:rsidR="00DC30BF" w:rsidRPr="009E351A" w:rsidRDefault="00DC30BF">
      <w:pPr>
        <w:pStyle w:val="Point1"/>
        <w:spacing w:after="0"/>
        <w:ind w:left="1418"/>
        <w:rPr>
          <w:b/>
          <w:i/>
        </w:rPr>
      </w:pPr>
      <w:r w:rsidRPr="009E351A">
        <w:rPr>
          <w:b/>
          <w:i/>
        </w:rPr>
        <w:t>(3)</w:t>
      </w:r>
      <w:r w:rsidRPr="009E351A">
        <w:rPr>
          <w:b/>
          <w:i/>
        </w:rPr>
        <w:tab/>
        <w:t>South Africa</w:t>
      </w:r>
    </w:p>
    <w:p w:rsidR="00DC30BF" w:rsidRPr="009E351A" w:rsidRDefault="00DC30BF">
      <w:pPr>
        <w:pStyle w:val="Point2"/>
        <w:spacing w:after="240"/>
        <w:ind w:left="1985"/>
      </w:pPr>
      <w:r w:rsidRPr="009E351A">
        <w:t>Republic of South Africa.</w:t>
      </w:r>
    </w:p>
    <w:p w:rsidR="00DC30BF" w:rsidRPr="009E351A" w:rsidRDefault="00DC30BF">
      <w:pPr>
        <w:tabs>
          <w:tab w:val="left" w:pos="600"/>
        </w:tabs>
        <w:spacing w:before="240"/>
        <w:rPr>
          <w:b/>
        </w:rPr>
      </w:pPr>
      <w:r w:rsidRPr="009E351A">
        <w:rPr>
          <w:b/>
        </w:rPr>
        <w:t>D.</w:t>
      </w:r>
      <w:r w:rsidRPr="009E351A">
        <w:rPr>
          <w:b/>
        </w:rPr>
        <w:tab/>
        <w:t>RESERVE</w:t>
      </w:r>
    </w:p>
    <w:p w:rsidR="00936CFB" w:rsidRPr="009E351A" w:rsidRDefault="00DC30BF">
      <w:pPr>
        <w:tabs>
          <w:tab w:val="left" w:pos="600"/>
        </w:tabs>
        <w:spacing w:before="240"/>
        <w:rPr>
          <w:b/>
        </w:rPr>
      </w:pPr>
      <w:r w:rsidRPr="009E351A">
        <w:tab/>
        <w:t xml:space="preserve">Potentially eligible countries for the Reserve Mandate are those listed in this </w:t>
      </w:r>
      <w:r w:rsidR="00ED2D23" w:rsidRPr="009E351A">
        <w:t>Annex</w:t>
      </w:r>
      <w:r w:rsidRPr="009E351A">
        <w:t>.</w:t>
      </w:r>
    </w:p>
    <w:p w:rsidR="00936CFB" w:rsidRPr="009E351A" w:rsidRDefault="00936CFB" w:rsidP="00936CFB">
      <w:pPr>
        <w:tabs>
          <w:tab w:val="left" w:pos="600"/>
        </w:tabs>
        <w:spacing w:before="240"/>
        <w:rPr>
          <w:b/>
        </w:rPr>
        <w:sectPr w:rsidR="00936CFB" w:rsidRPr="009E351A" w:rsidSect="00B2551F">
          <w:pgSz w:w="11907" w:h="16840" w:code="9"/>
          <w:pgMar w:top="1134" w:right="1418" w:bottom="1134" w:left="1418" w:header="720" w:footer="720" w:gutter="0"/>
          <w:cols w:space="708"/>
          <w:docGrid w:linePitch="360"/>
        </w:sectPr>
      </w:pPr>
    </w:p>
    <w:p w:rsidR="00DC30BF" w:rsidRPr="009E351A" w:rsidRDefault="00DC30BF" w:rsidP="00DE2864">
      <w:pPr>
        <w:pStyle w:val="Fichefinanciretitre"/>
      </w:pPr>
      <w:r w:rsidRPr="009E351A">
        <w:t>LEGISLATIVE FINANCIAL ST</w:t>
      </w:r>
      <w:r w:rsidRPr="009E351A">
        <w:rPr>
          <w:rStyle w:val="FichefinancirestandardtitreChar"/>
          <w:lang w:val="sv-SE" w:eastAsia="en-US"/>
        </w:rPr>
        <w:t>A</w:t>
      </w:r>
      <w:r w:rsidRPr="009E351A">
        <w:t>TEMENT</w:t>
      </w:r>
    </w:p>
    <w:p w:rsidR="00DC30BF" w:rsidRPr="009E351A" w:rsidRDefault="00DC30BF">
      <w:pPr>
        <w:pStyle w:val="ManualHeading1"/>
      </w:pPr>
      <w:r w:rsidRPr="009E351A">
        <w:t>1.</w:t>
      </w:r>
      <w:r w:rsidRPr="009E351A">
        <w:tab/>
        <w:t>NAME OF THE PROPOSAL:</w:t>
      </w:r>
    </w:p>
    <w:p w:rsidR="00DC30BF" w:rsidRPr="009E351A" w:rsidRDefault="00DC30BF">
      <w:pPr>
        <w:pStyle w:val="Text1"/>
      </w:pPr>
      <w:r w:rsidRPr="009E351A">
        <w:t>Proposal for a Council decision granting a Community guarantee to the European Investment Bank against losses under loans and guarantees for projects outside the Community.</w:t>
      </w:r>
    </w:p>
    <w:p w:rsidR="00DC30BF" w:rsidRPr="009E351A" w:rsidRDefault="00DC30BF">
      <w:pPr>
        <w:pStyle w:val="ManualHeading1"/>
      </w:pPr>
      <w:r w:rsidRPr="009E351A">
        <w:t>2.</w:t>
      </w:r>
      <w:r w:rsidRPr="009E351A">
        <w:tab/>
        <w:t>ABM / ABB FRAMEWORK</w:t>
      </w:r>
    </w:p>
    <w:p w:rsidR="00DC30BF" w:rsidRPr="009E351A" w:rsidRDefault="00DC30BF">
      <w:pPr>
        <w:pStyle w:val="Text1"/>
      </w:pPr>
      <w:r w:rsidRPr="009E351A">
        <w:t>Policy Area(s) concerned and associated Activity/Activities:</w:t>
      </w:r>
    </w:p>
    <w:p w:rsidR="00DC30BF" w:rsidRPr="009E351A" w:rsidRDefault="00DC30BF">
      <w:pPr>
        <w:pStyle w:val="Text1"/>
      </w:pPr>
      <w:r w:rsidRPr="009E351A">
        <w:t>Policy area : Economic and Financial Affairs</w:t>
      </w:r>
    </w:p>
    <w:p w:rsidR="00DC30BF" w:rsidRPr="009E351A" w:rsidRDefault="00DC30BF">
      <w:pPr>
        <w:pStyle w:val="Text1"/>
      </w:pPr>
      <w:r w:rsidRPr="009E351A">
        <w:t>ABB activity : Financial Operations and Instruments</w:t>
      </w:r>
    </w:p>
    <w:p w:rsidR="00DC30BF" w:rsidRPr="009E351A" w:rsidRDefault="00DC30BF">
      <w:pPr>
        <w:pStyle w:val="ManualHeading1"/>
      </w:pPr>
      <w:r w:rsidRPr="009E351A">
        <w:t>3.</w:t>
      </w:r>
      <w:r w:rsidRPr="009E351A">
        <w:tab/>
        <w:t>BUDGET LINES</w:t>
      </w:r>
    </w:p>
    <w:p w:rsidR="00DC30BF" w:rsidRPr="009E351A" w:rsidRDefault="00DC30BF">
      <w:pPr>
        <w:pStyle w:val="ManualHeading2"/>
      </w:pPr>
      <w:r w:rsidRPr="009E351A">
        <w:t>3.1.</w:t>
      </w:r>
      <w:r w:rsidRPr="009E351A">
        <w:tab/>
        <w:t>Budget lines (operational lines and related technical and administrative assistance lines (ex- B..A lines)) including headings: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7"/>
        <w:gridCol w:w="7420"/>
      </w:tblGrid>
      <w:tr w:rsidR="00DC30BF" w:rsidRPr="009E351A">
        <w:tblPrEx>
          <w:tblCellMar>
            <w:top w:w="0" w:type="dxa"/>
            <w:bottom w:w="0" w:type="dxa"/>
          </w:tblCellMar>
        </w:tblPrEx>
        <w:trPr>
          <w:trHeight w:val="810"/>
        </w:trPr>
        <w:tc>
          <w:tcPr>
            <w:tcW w:w="1867" w:type="dxa"/>
            <w:tcBorders>
              <w:top w:val="single" w:sz="4" w:space="0" w:color="auto"/>
              <w:left w:val="single" w:sz="4" w:space="0" w:color="auto"/>
              <w:bottom w:val="single" w:sz="4" w:space="0" w:color="auto"/>
              <w:right w:val="single" w:sz="4" w:space="0" w:color="auto"/>
            </w:tcBorders>
          </w:tcPr>
          <w:p w:rsidR="00DC30BF" w:rsidRPr="009E351A" w:rsidRDefault="00DC30BF">
            <w:pPr>
              <w:pStyle w:val="Text2"/>
              <w:ind w:left="120"/>
              <w:rPr>
                <w:lang w:eastAsia="ko-KR"/>
              </w:rPr>
            </w:pPr>
            <w:r w:rsidRPr="009E351A">
              <w:t>01 04 01 14</w:t>
            </w:r>
          </w:p>
        </w:tc>
        <w:tc>
          <w:tcPr>
            <w:tcW w:w="7420" w:type="dxa"/>
            <w:tcBorders>
              <w:top w:val="single" w:sz="4" w:space="0" w:color="auto"/>
              <w:left w:val="single" w:sz="4" w:space="0" w:color="auto"/>
              <w:bottom w:val="single" w:sz="4" w:space="0" w:color="auto"/>
              <w:right w:val="single" w:sz="4" w:space="0" w:color="auto"/>
            </w:tcBorders>
          </w:tcPr>
          <w:p w:rsidR="00DC30BF" w:rsidRPr="009E351A" w:rsidRDefault="00DC30BF">
            <w:pPr>
              <w:pStyle w:val="Text2"/>
              <w:ind w:left="173"/>
              <w:rPr>
                <w:lang w:eastAsia="ko-KR"/>
              </w:rPr>
            </w:pPr>
            <w:r w:rsidRPr="009E351A">
              <w:rPr>
                <w:rFonts w:ascii="Arial" w:hAnsi="Arial"/>
                <w:sz w:val="20"/>
              </w:rPr>
              <w:t>Payments to the Guarantee Fund in respect of new operations</w:t>
            </w:r>
          </w:p>
        </w:tc>
      </w:tr>
    </w:tbl>
    <w:p w:rsidR="00DC30BF" w:rsidRPr="009E351A" w:rsidRDefault="00DC30BF">
      <w:pPr>
        <w:pStyle w:val="ManualHeading2"/>
        <w:spacing w:before="240"/>
        <w:ind w:left="851" w:hanging="851"/>
      </w:pPr>
      <w:r w:rsidRPr="009E351A">
        <w:t>3.2.</w:t>
      </w:r>
      <w:r w:rsidRPr="009E351A">
        <w:tab/>
        <w:t>Duration of the action and of the financial impact:</w:t>
      </w:r>
    </w:p>
    <w:p w:rsidR="00DC30BF" w:rsidRPr="009E351A" w:rsidRDefault="00DC30BF">
      <w:pPr>
        <w:pStyle w:val="Text2"/>
      </w:pPr>
      <w:r w:rsidRPr="009E351A">
        <w:t>EIB loans and guarantees under Community guarantee cover ("EIB Financing Operations") can be signed by the EIB from 2007 to 2013. The total duration of the action and of its financial impact will be determined, however, by the maturity of the signed EIB Financing Operations.</w:t>
      </w:r>
    </w:p>
    <w:p w:rsidR="00DC30BF" w:rsidRPr="009E351A" w:rsidRDefault="00DC30BF">
      <w:pPr>
        <w:pStyle w:val="ManualHeading2"/>
      </w:pPr>
      <w:r w:rsidRPr="009E351A">
        <w:t>3.3.</w:t>
      </w:r>
      <w:r w:rsidRPr="009E351A">
        <w:tab/>
        <w:t>Budgetary characteristics: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762"/>
        <w:gridCol w:w="1038"/>
        <w:gridCol w:w="1049"/>
        <w:gridCol w:w="1497"/>
        <w:gridCol w:w="1657"/>
        <w:gridCol w:w="1376"/>
      </w:tblGrid>
      <w:tr w:rsidR="00DC30BF" w:rsidRPr="009E351A">
        <w:tblPrEx>
          <w:tblCellMar>
            <w:top w:w="0" w:type="dxa"/>
            <w:bottom w:w="0" w:type="dxa"/>
          </w:tblCellMar>
        </w:tblPrEx>
        <w:trPr>
          <w:jc w:val="right"/>
        </w:trPr>
        <w:tc>
          <w:tcPr>
            <w:tcW w:w="1369" w:type="dxa"/>
            <w:tcBorders>
              <w:bottom w:val="single" w:sz="4" w:space="0" w:color="auto"/>
            </w:tcBorders>
            <w:vAlign w:val="center"/>
          </w:tcPr>
          <w:p w:rsidR="00DC30BF" w:rsidRPr="009E351A" w:rsidRDefault="00DC30BF">
            <w:pPr>
              <w:jc w:val="center"/>
              <w:rPr>
                <w:b/>
                <w:sz w:val="20"/>
              </w:rPr>
            </w:pPr>
            <w:r w:rsidRPr="009E351A">
              <w:rPr>
                <w:b/>
                <w:sz w:val="20"/>
              </w:rPr>
              <w:t>Budget line</w:t>
            </w:r>
          </w:p>
        </w:tc>
        <w:tc>
          <w:tcPr>
            <w:tcW w:w="1800" w:type="dxa"/>
            <w:gridSpan w:val="2"/>
            <w:vAlign w:val="center"/>
          </w:tcPr>
          <w:p w:rsidR="00DC30BF" w:rsidRPr="009E351A" w:rsidRDefault="00DC30BF">
            <w:pPr>
              <w:jc w:val="center"/>
              <w:rPr>
                <w:b/>
                <w:sz w:val="20"/>
              </w:rPr>
            </w:pPr>
            <w:r w:rsidRPr="009E351A">
              <w:rPr>
                <w:b/>
                <w:sz w:val="20"/>
              </w:rPr>
              <w:t>Type of expenditure</w:t>
            </w:r>
          </w:p>
        </w:tc>
        <w:tc>
          <w:tcPr>
            <w:tcW w:w="1049" w:type="dxa"/>
            <w:vAlign w:val="center"/>
          </w:tcPr>
          <w:p w:rsidR="00DC30BF" w:rsidRPr="009E351A" w:rsidRDefault="00DC30BF">
            <w:pPr>
              <w:jc w:val="center"/>
              <w:rPr>
                <w:b/>
                <w:sz w:val="20"/>
              </w:rPr>
            </w:pPr>
            <w:r w:rsidRPr="009E351A">
              <w:rPr>
                <w:b/>
                <w:sz w:val="20"/>
              </w:rPr>
              <w:t>New</w:t>
            </w:r>
          </w:p>
        </w:tc>
        <w:tc>
          <w:tcPr>
            <w:tcW w:w="1497" w:type="dxa"/>
            <w:vAlign w:val="center"/>
          </w:tcPr>
          <w:p w:rsidR="00DC30BF" w:rsidRPr="009E351A" w:rsidRDefault="00DC30BF">
            <w:pPr>
              <w:jc w:val="center"/>
              <w:rPr>
                <w:b/>
                <w:sz w:val="20"/>
              </w:rPr>
            </w:pPr>
            <w:r w:rsidRPr="009E351A">
              <w:rPr>
                <w:b/>
                <w:sz w:val="20"/>
              </w:rPr>
              <w:t>EFTA contribution</w:t>
            </w:r>
          </w:p>
        </w:tc>
        <w:tc>
          <w:tcPr>
            <w:tcW w:w="1657" w:type="dxa"/>
            <w:vAlign w:val="center"/>
          </w:tcPr>
          <w:p w:rsidR="00DC30BF" w:rsidRPr="009E351A" w:rsidRDefault="00DC30BF">
            <w:pPr>
              <w:jc w:val="center"/>
              <w:rPr>
                <w:b/>
                <w:sz w:val="20"/>
              </w:rPr>
            </w:pPr>
            <w:r w:rsidRPr="009E351A">
              <w:rPr>
                <w:b/>
                <w:sz w:val="20"/>
              </w:rPr>
              <w:t>Contributions from applicant countries</w:t>
            </w:r>
          </w:p>
        </w:tc>
        <w:tc>
          <w:tcPr>
            <w:tcW w:w="1376" w:type="dxa"/>
            <w:vAlign w:val="center"/>
          </w:tcPr>
          <w:p w:rsidR="00DC30BF" w:rsidRPr="009E351A" w:rsidRDefault="00DC30BF">
            <w:pPr>
              <w:jc w:val="center"/>
              <w:rPr>
                <w:b/>
                <w:sz w:val="20"/>
              </w:rPr>
            </w:pPr>
            <w:r w:rsidRPr="009E351A">
              <w:rPr>
                <w:b/>
                <w:sz w:val="20"/>
              </w:rPr>
              <w:t xml:space="preserve">Heading in </w:t>
            </w:r>
            <w:r w:rsidR="00C41CA8" w:rsidRPr="009E351A">
              <w:rPr>
                <w:b/>
                <w:sz w:val="20"/>
              </w:rPr>
              <w:t>F</w:t>
            </w:r>
            <w:r w:rsidRPr="009E351A">
              <w:rPr>
                <w:b/>
                <w:sz w:val="20"/>
              </w:rPr>
              <w:t xml:space="preserve">inancial </w:t>
            </w:r>
            <w:r w:rsidR="00C41CA8" w:rsidRPr="009E351A">
              <w:rPr>
                <w:b/>
                <w:sz w:val="20"/>
              </w:rPr>
              <w:t>Framework</w:t>
            </w:r>
          </w:p>
        </w:tc>
      </w:tr>
      <w:tr w:rsidR="00DC30BF" w:rsidRPr="009E351A">
        <w:tblPrEx>
          <w:tblCellMar>
            <w:top w:w="0" w:type="dxa"/>
            <w:bottom w:w="0" w:type="dxa"/>
          </w:tblCellMar>
        </w:tblPrEx>
        <w:trPr>
          <w:jc w:val="right"/>
        </w:trPr>
        <w:tc>
          <w:tcPr>
            <w:tcW w:w="1369" w:type="dxa"/>
          </w:tcPr>
          <w:p w:rsidR="00DC30BF" w:rsidRPr="009E351A" w:rsidRDefault="00DC30BF">
            <w:pPr>
              <w:rPr>
                <w:sz w:val="20"/>
              </w:rPr>
            </w:pPr>
            <w:r w:rsidRPr="009E351A">
              <w:rPr>
                <w:rFonts w:ascii="Arial" w:hAnsi="Arial"/>
                <w:sz w:val="20"/>
              </w:rPr>
              <w:t>01 04 01 14</w:t>
            </w:r>
          </w:p>
        </w:tc>
        <w:tc>
          <w:tcPr>
            <w:tcW w:w="762" w:type="dxa"/>
            <w:vAlign w:val="center"/>
          </w:tcPr>
          <w:p w:rsidR="00DC30BF" w:rsidRPr="009E351A" w:rsidRDefault="00DC30BF">
            <w:pPr>
              <w:jc w:val="center"/>
              <w:rPr>
                <w:sz w:val="20"/>
              </w:rPr>
            </w:pPr>
            <w:r w:rsidRPr="009E351A">
              <w:t>Comp</w:t>
            </w:r>
          </w:p>
        </w:tc>
        <w:tc>
          <w:tcPr>
            <w:tcW w:w="1038" w:type="dxa"/>
            <w:vAlign w:val="center"/>
          </w:tcPr>
          <w:p w:rsidR="00DC30BF" w:rsidRPr="009E351A" w:rsidRDefault="00DC30BF">
            <w:pPr>
              <w:jc w:val="center"/>
              <w:rPr>
                <w:sz w:val="20"/>
              </w:rPr>
            </w:pPr>
            <w:r w:rsidRPr="009E351A">
              <w:t>Non-diff</w:t>
            </w:r>
            <w:r w:rsidRPr="009E351A">
              <w:rPr>
                <w:rStyle w:val="Fotnotsreferens"/>
                <w:sz w:val="20"/>
              </w:rPr>
              <w:footnoteReference w:id="17"/>
            </w:r>
          </w:p>
        </w:tc>
        <w:tc>
          <w:tcPr>
            <w:tcW w:w="1049" w:type="dxa"/>
            <w:vAlign w:val="center"/>
          </w:tcPr>
          <w:p w:rsidR="00DC30BF" w:rsidRPr="009E351A" w:rsidRDefault="00DC30BF">
            <w:pPr>
              <w:jc w:val="center"/>
              <w:rPr>
                <w:sz w:val="20"/>
              </w:rPr>
            </w:pPr>
            <w:r w:rsidRPr="009E351A">
              <w:t>NO</w:t>
            </w:r>
          </w:p>
        </w:tc>
        <w:tc>
          <w:tcPr>
            <w:tcW w:w="1497" w:type="dxa"/>
            <w:vAlign w:val="center"/>
          </w:tcPr>
          <w:p w:rsidR="00DC30BF" w:rsidRPr="009E351A" w:rsidRDefault="00DC30BF">
            <w:pPr>
              <w:jc w:val="center"/>
              <w:rPr>
                <w:sz w:val="20"/>
              </w:rPr>
            </w:pPr>
            <w:r w:rsidRPr="009E351A">
              <w:t>NO</w:t>
            </w:r>
          </w:p>
        </w:tc>
        <w:tc>
          <w:tcPr>
            <w:tcW w:w="1657" w:type="dxa"/>
            <w:vAlign w:val="center"/>
          </w:tcPr>
          <w:p w:rsidR="00DC30BF" w:rsidRPr="009E351A" w:rsidRDefault="00DC30BF">
            <w:pPr>
              <w:jc w:val="center"/>
              <w:rPr>
                <w:sz w:val="20"/>
              </w:rPr>
            </w:pPr>
            <w:r w:rsidRPr="009E351A">
              <w:t>NO</w:t>
            </w:r>
          </w:p>
        </w:tc>
        <w:tc>
          <w:tcPr>
            <w:tcW w:w="1376" w:type="dxa"/>
            <w:vAlign w:val="center"/>
          </w:tcPr>
          <w:p w:rsidR="00DC30BF" w:rsidRPr="009E351A" w:rsidRDefault="00DC30BF">
            <w:pPr>
              <w:jc w:val="center"/>
              <w:rPr>
                <w:sz w:val="20"/>
              </w:rPr>
            </w:pPr>
            <w:r w:rsidRPr="009E351A">
              <w:rPr>
                <w:b/>
                <w:sz w:val="20"/>
              </w:rPr>
              <w:t>4</w:t>
            </w:r>
          </w:p>
        </w:tc>
      </w:tr>
    </w:tbl>
    <w:p w:rsidR="00DC30BF" w:rsidRPr="009E351A" w:rsidRDefault="00DC30BF">
      <w:pPr>
        <w:pStyle w:val="ManualHeading1"/>
      </w:pPr>
      <w:r w:rsidRPr="009E351A">
        <w:t>4.</w:t>
      </w:r>
      <w:r w:rsidRPr="009E351A">
        <w:tab/>
        <w:t>SUMMARY OF RESOURCES</w:t>
      </w:r>
    </w:p>
    <w:p w:rsidR="00DC30BF" w:rsidRPr="009E351A" w:rsidRDefault="00DC30BF">
      <w:pPr>
        <w:pStyle w:val="ManualHeading2"/>
      </w:pPr>
      <w:r w:rsidRPr="009E351A">
        <w:t>4.1.</w:t>
      </w:r>
      <w:r w:rsidRPr="009E351A">
        <w:tab/>
        <w:t>Financial Resources</w:t>
      </w:r>
    </w:p>
    <w:p w:rsidR="00DC30BF" w:rsidRPr="009E351A" w:rsidRDefault="00DC30BF">
      <w:pPr>
        <w:pStyle w:val="ManualHeading3"/>
      </w:pPr>
      <w:r w:rsidRPr="009E351A">
        <w:t>4.1.1.</w:t>
      </w:r>
      <w:r w:rsidRPr="009E351A">
        <w:tab/>
        <w:t>Summary of commitment appropriations (CA) and payment appropriations (PA)</w:t>
      </w:r>
    </w:p>
    <w:p w:rsidR="00DC30BF" w:rsidRPr="009E351A" w:rsidRDefault="00DC30BF">
      <w:pPr>
        <w:pStyle w:val="Text2"/>
      </w:pPr>
      <w:r w:rsidRPr="009E351A">
        <w:t>The following table summarizes the estimated budgetary resources needed for funding the Guarantee Fund, calculated in line with the new provisioning mechanism proposed by the Commission (COM (2005) 130 of 5 April 2005) and based on the proposed EIB lending mandate of EUR 33 billion and a combined level of other guaranteed loans (Macro</w:t>
      </w:r>
      <w:r w:rsidRPr="009E351A">
        <w:noBreakHyphen/>
        <w:t>Financial Assistance and Euratom) of EUR 4.5 billion between 2007 and 2013. The estimates are based on reasonable indicative assumptions (level of signatures of EIB Financing Operations increasing by 10% a year, profile of disbursements and repayments in line with current patterns) and assume that the accession of Bulgaria and Romania would take place in 2007.</w:t>
      </w:r>
    </w:p>
    <w:p w:rsidR="00690E1A" w:rsidRPr="009E351A" w:rsidRDefault="00690E1A" w:rsidP="00690E1A">
      <w:pPr>
        <w:pStyle w:val="Text2"/>
      </w:pPr>
      <w:r w:rsidRPr="009E351A">
        <w:t xml:space="preserve">The figures for the calculations of the “normal” provisioning are detailed </w:t>
      </w:r>
      <w:r w:rsidR="006F4021" w:rsidRPr="009E351A">
        <w:t>in</w:t>
      </w:r>
      <w:r w:rsidRPr="009E351A">
        <w:t xml:space="preserve"> </w:t>
      </w:r>
      <w:r w:rsidR="006F4021" w:rsidRPr="009E351A">
        <w:t>T</w:t>
      </w:r>
      <w:r w:rsidRPr="009E351A">
        <w:t xml:space="preserve">able 8.1. It is assumed that the new </w:t>
      </w:r>
      <w:r w:rsidR="000B6419" w:rsidRPr="009E351A">
        <w:t xml:space="preserve">provisioning </w:t>
      </w:r>
      <w:r w:rsidRPr="009E351A">
        <w:t xml:space="preserve">mechanism </w:t>
      </w:r>
      <w:r w:rsidR="006F4021" w:rsidRPr="009E351A">
        <w:t xml:space="preserve">will </w:t>
      </w:r>
      <w:r w:rsidRPr="009E351A">
        <w:t xml:space="preserve">enter into force </w:t>
      </w:r>
      <w:r w:rsidR="006F4021" w:rsidRPr="009E351A">
        <w:t>on</w:t>
      </w:r>
      <w:r w:rsidRPr="009E351A">
        <w:t xml:space="preserve"> 01/01/2007.</w:t>
      </w:r>
    </w:p>
    <w:p w:rsidR="00690E1A" w:rsidRPr="009E351A" w:rsidRDefault="00690E1A" w:rsidP="00690E1A">
      <w:pPr>
        <w:pStyle w:val="Text2"/>
      </w:pPr>
      <w:r w:rsidRPr="009E351A">
        <w:t>•</w:t>
      </w:r>
      <w:r w:rsidRPr="009E351A">
        <w:tab/>
        <w:t xml:space="preserve">For 2007: no provisioning shall take place (switching year). However, it should be noted that an estimated </w:t>
      </w:r>
      <w:r w:rsidR="00A7293D" w:rsidRPr="009E351A">
        <w:t>lumpsum</w:t>
      </w:r>
      <w:r w:rsidRPr="009E351A">
        <w:t xml:space="preserve"> reimbursement of EUR 254 million from the Guarantee Fund to the General Budget should take place following the accession of Bulgaria and Romania, in line with Council regulation N° 2273/2204 of 22 December 2004. This exceptional operation will be performed through an Amending Budget, thus reimbursing Member States in 2007.</w:t>
      </w:r>
    </w:p>
    <w:p w:rsidR="00690E1A" w:rsidRPr="009E351A" w:rsidRDefault="00690E1A" w:rsidP="00690E1A">
      <w:pPr>
        <w:pStyle w:val="Text2"/>
      </w:pPr>
      <w:r w:rsidRPr="009E351A">
        <w:t>•</w:t>
      </w:r>
      <w:r w:rsidRPr="009E351A">
        <w:tab/>
        <w:t>For 2008: the calculations for PDB will be based on the target amount a</w:t>
      </w:r>
      <w:r w:rsidR="006F4021" w:rsidRPr="009E351A">
        <w:t>s of</w:t>
      </w:r>
      <w:r w:rsidRPr="009E351A">
        <w:t xml:space="preserve"> 31.12.2006. Estimates show that a surplus of </w:t>
      </w:r>
      <w:r w:rsidR="006F4021" w:rsidRPr="009E351A">
        <w:t xml:space="preserve">EUR </w:t>
      </w:r>
      <w:r w:rsidRPr="009E351A">
        <w:t xml:space="preserve">157 </w:t>
      </w:r>
      <w:r w:rsidR="006F4021" w:rsidRPr="009E351A">
        <w:t>million</w:t>
      </w:r>
      <w:r w:rsidRPr="009E351A">
        <w:t xml:space="preserve"> will appear and will be budgeted in 2008 as “revenues”. This amount stems from the “ex-ante” provisioning of the current system</w:t>
      </w:r>
      <w:r w:rsidR="006F4021" w:rsidRPr="009E351A">
        <w:t>,</w:t>
      </w:r>
      <w:r w:rsidRPr="009E351A">
        <w:t xml:space="preserve"> still in force in 2006</w:t>
      </w:r>
      <w:r w:rsidR="006F4021" w:rsidRPr="009E351A">
        <w:t>,</w:t>
      </w:r>
      <w:r w:rsidRPr="009E351A">
        <w:t xml:space="preserve"> which will create an “over-provisioning” a</w:t>
      </w:r>
      <w:r w:rsidR="006F4021" w:rsidRPr="009E351A">
        <w:t>s of</w:t>
      </w:r>
      <w:r w:rsidRPr="009E351A">
        <w:t xml:space="preserve"> 31.12.2006 as regards the target amount. According to the new provisioning, that amount shall be budgeted as “revenues” in the 2008 budget. </w:t>
      </w:r>
    </w:p>
    <w:p w:rsidR="00690E1A" w:rsidRPr="009E351A" w:rsidRDefault="00690E1A" w:rsidP="00690E1A">
      <w:pPr>
        <w:pStyle w:val="Text2"/>
      </w:pPr>
      <w:r w:rsidRPr="009E351A">
        <w:t>•</w:t>
      </w:r>
      <w:r w:rsidRPr="009E351A">
        <w:tab/>
        <w:t>For 2009: the calculations will be based on the target amount a</w:t>
      </w:r>
      <w:r w:rsidR="006F4021" w:rsidRPr="009E351A">
        <w:t>s of</w:t>
      </w:r>
      <w:r w:rsidRPr="009E351A">
        <w:t xml:space="preserve"> 31.12.2007. Estimates show a surplus of </w:t>
      </w:r>
      <w:r w:rsidR="00837F60" w:rsidRPr="009E351A">
        <w:t xml:space="preserve">EUR </w:t>
      </w:r>
      <w:r w:rsidRPr="009E351A">
        <w:t xml:space="preserve">2 </w:t>
      </w:r>
      <w:r w:rsidR="00837F60" w:rsidRPr="009E351A">
        <w:t>million.</w:t>
      </w:r>
    </w:p>
    <w:p w:rsidR="00DC30BF" w:rsidRPr="009E351A" w:rsidRDefault="00690E1A" w:rsidP="00690E1A">
      <w:pPr>
        <w:pStyle w:val="Text2"/>
      </w:pPr>
      <w:r w:rsidRPr="009E351A">
        <w:t>•</w:t>
      </w:r>
      <w:r w:rsidRPr="009E351A">
        <w:tab/>
        <w:t>For the years 2010-2013, calculations show a growing provisioning need, in line with the growing outstanding loans amount due to the new mandate.</w:t>
      </w:r>
    </w:p>
    <w:p w:rsidR="00DC30BF" w:rsidRPr="009E351A" w:rsidRDefault="00DC30BF">
      <w:pPr>
        <w:pStyle w:val="Text2"/>
      </w:pPr>
      <w:r w:rsidRPr="009E351A">
        <w:t xml:space="preserve">The envelope of EUR 1.4 billion has been set aside in the financial programming of Heading 4 with a flat profile of EUR 200 million per year. Although the total programmed amount of EUR 1.4 billion shall be maintained as the </w:t>
      </w:r>
      <w:r w:rsidR="006F4021" w:rsidRPr="009E351A">
        <w:t>"</w:t>
      </w:r>
      <w:r w:rsidRPr="009E351A">
        <w:t>maximum budgetary needs</w:t>
      </w:r>
      <w:r w:rsidR="006F4021" w:rsidRPr="009E351A">
        <w:t>"</w:t>
      </w:r>
      <w:r w:rsidRPr="009E351A">
        <w:t>, the profile might be adjusted during the programming period to take into account negative developments such as accumulation of defaults</w:t>
      </w:r>
      <w:r w:rsidR="00215FCD" w:rsidRPr="009E351A">
        <w:rPr>
          <w:rStyle w:val="Fotnotsreferens"/>
        </w:rPr>
        <w:footnoteReference w:id="18"/>
      </w:r>
      <w:r w:rsidR="0091384E" w:rsidRPr="009E351A">
        <w:t xml:space="preserve"> </w:t>
      </w:r>
      <w:r w:rsidRPr="009E351A">
        <w:t>and adverse assets valuation</w:t>
      </w:r>
      <w:r w:rsidR="00215FCD" w:rsidRPr="009E351A">
        <w:rPr>
          <w:rStyle w:val="Fotnotsreferens"/>
        </w:rPr>
        <w:footnoteReference w:id="19"/>
      </w:r>
      <w:r w:rsidRPr="009E351A">
        <w:t>, in order to cope with extreme situations as shown in the total “Maximum budgetary needs” (see table below). On the other hand, in the beginning of the period, practically no financial resources will be necessary due to the shift to the new provisioning system.</w:t>
      </w:r>
    </w:p>
    <w:tbl>
      <w:tblPr>
        <w:tblStyle w:val="Tabellrutnt"/>
        <w:tblW w:w="8352" w:type="dxa"/>
        <w:tblInd w:w="948" w:type="dxa"/>
        <w:tblLook w:val="01E0" w:firstRow="1" w:lastRow="1" w:firstColumn="1" w:lastColumn="1" w:noHBand="0" w:noVBand="0"/>
      </w:tblPr>
      <w:tblGrid>
        <w:gridCol w:w="3187"/>
        <w:gridCol w:w="637"/>
        <w:gridCol w:w="650"/>
        <w:gridCol w:w="694"/>
        <w:gridCol w:w="636"/>
        <w:gridCol w:w="636"/>
        <w:gridCol w:w="637"/>
        <w:gridCol w:w="636"/>
        <w:gridCol w:w="639"/>
      </w:tblGrid>
      <w:tr w:rsidR="006F4021" w:rsidRPr="009E351A">
        <w:tc>
          <w:tcPr>
            <w:tcW w:w="3187" w:type="dxa"/>
          </w:tcPr>
          <w:p w:rsidR="006F4021" w:rsidRPr="009E351A" w:rsidRDefault="006F4021" w:rsidP="009A14DA">
            <w:pPr>
              <w:pStyle w:val="Text2"/>
              <w:tabs>
                <w:tab w:val="left" w:pos="402"/>
              </w:tabs>
              <w:ind w:left="0"/>
              <w:rPr>
                <w:sz w:val="20"/>
              </w:rPr>
            </w:pPr>
            <w:r w:rsidRPr="009E351A">
              <w:rPr>
                <w:sz w:val="20"/>
              </w:rPr>
              <w:t>EUR Million</w:t>
            </w:r>
          </w:p>
        </w:tc>
        <w:tc>
          <w:tcPr>
            <w:tcW w:w="637" w:type="dxa"/>
          </w:tcPr>
          <w:p w:rsidR="006F4021" w:rsidRPr="009E351A" w:rsidRDefault="006F4021" w:rsidP="009A14DA">
            <w:pPr>
              <w:pStyle w:val="Text2"/>
              <w:tabs>
                <w:tab w:val="left" w:pos="402"/>
              </w:tabs>
              <w:ind w:left="0"/>
              <w:rPr>
                <w:sz w:val="20"/>
              </w:rPr>
            </w:pPr>
            <w:r w:rsidRPr="009E351A">
              <w:rPr>
                <w:sz w:val="20"/>
              </w:rPr>
              <w:t>2007</w:t>
            </w:r>
          </w:p>
        </w:tc>
        <w:tc>
          <w:tcPr>
            <w:tcW w:w="650" w:type="dxa"/>
          </w:tcPr>
          <w:p w:rsidR="006F4021" w:rsidRPr="009E351A" w:rsidRDefault="006F4021" w:rsidP="009A14DA">
            <w:pPr>
              <w:pStyle w:val="Text2"/>
              <w:tabs>
                <w:tab w:val="left" w:pos="402"/>
              </w:tabs>
              <w:ind w:left="0"/>
              <w:rPr>
                <w:sz w:val="20"/>
              </w:rPr>
            </w:pPr>
            <w:r w:rsidRPr="009E351A">
              <w:rPr>
                <w:sz w:val="20"/>
              </w:rPr>
              <w:t>2008</w:t>
            </w:r>
          </w:p>
        </w:tc>
        <w:tc>
          <w:tcPr>
            <w:tcW w:w="694" w:type="dxa"/>
          </w:tcPr>
          <w:p w:rsidR="006F4021" w:rsidRPr="009E351A" w:rsidRDefault="006F4021" w:rsidP="009A14DA">
            <w:pPr>
              <w:pStyle w:val="Text2"/>
              <w:tabs>
                <w:tab w:val="left" w:pos="402"/>
              </w:tabs>
              <w:ind w:left="0"/>
              <w:rPr>
                <w:sz w:val="20"/>
              </w:rPr>
            </w:pPr>
            <w:r w:rsidRPr="009E351A">
              <w:rPr>
                <w:sz w:val="20"/>
              </w:rPr>
              <w:t>2009</w:t>
            </w:r>
          </w:p>
        </w:tc>
        <w:tc>
          <w:tcPr>
            <w:tcW w:w="636" w:type="dxa"/>
          </w:tcPr>
          <w:p w:rsidR="006F4021" w:rsidRPr="009E351A" w:rsidRDefault="006F4021" w:rsidP="009A14DA">
            <w:pPr>
              <w:pStyle w:val="Text2"/>
              <w:tabs>
                <w:tab w:val="left" w:pos="402"/>
              </w:tabs>
              <w:ind w:left="0"/>
              <w:rPr>
                <w:sz w:val="20"/>
              </w:rPr>
            </w:pPr>
            <w:r w:rsidRPr="009E351A">
              <w:rPr>
                <w:sz w:val="20"/>
              </w:rPr>
              <w:t>2010</w:t>
            </w:r>
          </w:p>
        </w:tc>
        <w:tc>
          <w:tcPr>
            <w:tcW w:w="636" w:type="dxa"/>
          </w:tcPr>
          <w:p w:rsidR="006F4021" w:rsidRPr="009E351A" w:rsidRDefault="006F4021" w:rsidP="009A14DA">
            <w:pPr>
              <w:pStyle w:val="Text2"/>
              <w:tabs>
                <w:tab w:val="left" w:pos="402"/>
              </w:tabs>
              <w:ind w:left="0"/>
              <w:rPr>
                <w:sz w:val="20"/>
              </w:rPr>
            </w:pPr>
            <w:r w:rsidRPr="009E351A">
              <w:rPr>
                <w:sz w:val="20"/>
              </w:rPr>
              <w:t>2011</w:t>
            </w:r>
          </w:p>
        </w:tc>
        <w:tc>
          <w:tcPr>
            <w:tcW w:w="637" w:type="dxa"/>
          </w:tcPr>
          <w:p w:rsidR="006F4021" w:rsidRPr="009E351A" w:rsidRDefault="006F4021" w:rsidP="009A14DA">
            <w:pPr>
              <w:pStyle w:val="Text2"/>
              <w:tabs>
                <w:tab w:val="left" w:pos="402"/>
              </w:tabs>
              <w:ind w:left="0"/>
              <w:rPr>
                <w:sz w:val="20"/>
              </w:rPr>
            </w:pPr>
            <w:r w:rsidRPr="009E351A">
              <w:rPr>
                <w:sz w:val="20"/>
              </w:rPr>
              <w:t>2012</w:t>
            </w:r>
          </w:p>
        </w:tc>
        <w:tc>
          <w:tcPr>
            <w:tcW w:w="636" w:type="dxa"/>
          </w:tcPr>
          <w:p w:rsidR="006F4021" w:rsidRPr="009E351A" w:rsidRDefault="006F4021" w:rsidP="009A14DA">
            <w:pPr>
              <w:pStyle w:val="Text2"/>
              <w:tabs>
                <w:tab w:val="left" w:pos="402"/>
              </w:tabs>
              <w:ind w:left="0"/>
              <w:rPr>
                <w:sz w:val="20"/>
              </w:rPr>
            </w:pPr>
            <w:r w:rsidRPr="009E351A">
              <w:rPr>
                <w:sz w:val="20"/>
              </w:rPr>
              <w:t>2013</w:t>
            </w:r>
          </w:p>
        </w:tc>
        <w:tc>
          <w:tcPr>
            <w:tcW w:w="639" w:type="dxa"/>
          </w:tcPr>
          <w:p w:rsidR="006F4021" w:rsidRPr="009E351A" w:rsidRDefault="006F4021" w:rsidP="009A14DA">
            <w:pPr>
              <w:pStyle w:val="Text2"/>
              <w:tabs>
                <w:tab w:val="left" w:pos="402"/>
              </w:tabs>
              <w:ind w:left="0"/>
              <w:rPr>
                <w:sz w:val="20"/>
              </w:rPr>
            </w:pPr>
            <w:r w:rsidRPr="009E351A">
              <w:rPr>
                <w:sz w:val="20"/>
              </w:rPr>
              <w:t>Total</w:t>
            </w:r>
          </w:p>
        </w:tc>
      </w:tr>
      <w:tr w:rsidR="000B6419" w:rsidRPr="009E351A">
        <w:tc>
          <w:tcPr>
            <w:tcW w:w="3187" w:type="dxa"/>
          </w:tcPr>
          <w:p w:rsidR="000B6419" w:rsidRPr="009E351A" w:rsidRDefault="000B6419" w:rsidP="009A14DA">
            <w:pPr>
              <w:pStyle w:val="Text2"/>
              <w:tabs>
                <w:tab w:val="left" w:pos="402"/>
              </w:tabs>
              <w:ind w:left="0"/>
              <w:rPr>
                <w:sz w:val="20"/>
              </w:rPr>
            </w:pPr>
            <w:r w:rsidRPr="009E351A">
              <w:rPr>
                <w:sz w:val="20"/>
              </w:rPr>
              <w:t>Budgetary revenues</w:t>
            </w:r>
          </w:p>
        </w:tc>
        <w:tc>
          <w:tcPr>
            <w:tcW w:w="637" w:type="dxa"/>
            <w:vAlign w:val="center"/>
          </w:tcPr>
          <w:p w:rsidR="000B6419" w:rsidRPr="009E351A" w:rsidRDefault="000B6419" w:rsidP="009A14DA">
            <w:pPr>
              <w:pStyle w:val="Text2"/>
              <w:tabs>
                <w:tab w:val="left" w:pos="402"/>
              </w:tabs>
              <w:ind w:left="0"/>
              <w:jc w:val="right"/>
              <w:rPr>
                <w:sz w:val="20"/>
              </w:rPr>
            </w:pPr>
            <w:r w:rsidRPr="009E351A">
              <w:rPr>
                <w:sz w:val="20"/>
              </w:rPr>
              <w:t>0</w:t>
            </w:r>
          </w:p>
        </w:tc>
        <w:tc>
          <w:tcPr>
            <w:tcW w:w="650" w:type="dxa"/>
            <w:vAlign w:val="center"/>
          </w:tcPr>
          <w:p w:rsidR="000B6419" w:rsidRPr="009E351A" w:rsidRDefault="000B6419" w:rsidP="009A14DA">
            <w:pPr>
              <w:pStyle w:val="Text2"/>
              <w:tabs>
                <w:tab w:val="left" w:pos="402"/>
              </w:tabs>
              <w:ind w:left="0"/>
              <w:jc w:val="right"/>
              <w:rPr>
                <w:sz w:val="20"/>
              </w:rPr>
            </w:pPr>
            <w:r w:rsidRPr="009E351A">
              <w:rPr>
                <w:sz w:val="20"/>
              </w:rPr>
              <w:t>157</w:t>
            </w:r>
          </w:p>
        </w:tc>
        <w:tc>
          <w:tcPr>
            <w:tcW w:w="694" w:type="dxa"/>
            <w:vAlign w:val="center"/>
          </w:tcPr>
          <w:p w:rsidR="000B6419" w:rsidRPr="009E351A" w:rsidRDefault="000B6419" w:rsidP="009A14DA">
            <w:pPr>
              <w:pStyle w:val="Text2"/>
              <w:tabs>
                <w:tab w:val="left" w:pos="402"/>
              </w:tabs>
              <w:ind w:left="0"/>
              <w:jc w:val="right"/>
              <w:rPr>
                <w:sz w:val="20"/>
              </w:rPr>
            </w:pPr>
            <w:r w:rsidRPr="009E351A">
              <w:rPr>
                <w:sz w:val="20"/>
              </w:rPr>
              <w:t>2</w:t>
            </w:r>
          </w:p>
        </w:tc>
        <w:tc>
          <w:tcPr>
            <w:tcW w:w="636" w:type="dxa"/>
            <w:vAlign w:val="center"/>
          </w:tcPr>
          <w:p w:rsidR="000B6419" w:rsidRPr="009E351A" w:rsidRDefault="000B6419" w:rsidP="009A14DA">
            <w:pPr>
              <w:pStyle w:val="Text2"/>
              <w:tabs>
                <w:tab w:val="left" w:pos="402"/>
              </w:tabs>
              <w:ind w:left="0"/>
              <w:jc w:val="right"/>
              <w:rPr>
                <w:sz w:val="20"/>
              </w:rPr>
            </w:pPr>
            <w:r w:rsidRPr="009E351A">
              <w:rPr>
                <w:sz w:val="20"/>
              </w:rPr>
              <w:t>0</w:t>
            </w:r>
          </w:p>
        </w:tc>
        <w:tc>
          <w:tcPr>
            <w:tcW w:w="636" w:type="dxa"/>
            <w:vAlign w:val="center"/>
          </w:tcPr>
          <w:p w:rsidR="000B6419" w:rsidRPr="009E351A" w:rsidRDefault="000B6419" w:rsidP="009A14DA">
            <w:pPr>
              <w:pStyle w:val="Text2"/>
              <w:tabs>
                <w:tab w:val="left" w:pos="402"/>
              </w:tabs>
              <w:ind w:left="0"/>
              <w:jc w:val="right"/>
              <w:rPr>
                <w:sz w:val="20"/>
              </w:rPr>
            </w:pPr>
            <w:r w:rsidRPr="009E351A">
              <w:rPr>
                <w:sz w:val="20"/>
              </w:rPr>
              <w:t>0</w:t>
            </w:r>
          </w:p>
        </w:tc>
        <w:tc>
          <w:tcPr>
            <w:tcW w:w="637" w:type="dxa"/>
            <w:vAlign w:val="center"/>
          </w:tcPr>
          <w:p w:rsidR="000B6419" w:rsidRPr="009E351A" w:rsidRDefault="00837F60" w:rsidP="009A14DA">
            <w:pPr>
              <w:pStyle w:val="Text2"/>
              <w:tabs>
                <w:tab w:val="left" w:pos="402"/>
              </w:tabs>
              <w:ind w:left="0"/>
              <w:jc w:val="right"/>
              <w:rPr>
                <w:sz w:val="20"/>
              </w:rPr>
            </w:pPr>
            <w:r w:rsidRPr="009E351A">
              <w:rPr>
                <w:sz w:val="20"/>
              </w:rPr>
              <w:t>0</w:t>
            </w:r>
          </w:p>
        </w:tc>
        <w:tc>
          <w:tcPr>
            <w:tcW w:w="636" w:type="dxa"/>
            <w:vAlign w:val="center"/>
          </w:tcPr>
          <w:p w:rsidR="000B6419" w:rsidRPr="009E351A" w:rsidRDefault="000B6419" w:rsidP="009A14DA">
            <w:pPr>
              <w:pStyle w:val="Text2"/>
              <w:tabs>
                <w:tab w:val="left" w:pos="402"/>
              </w:tabs>
              <w:ind w:left="0"/>
              <w:jc w:val="right"/>
              <w:rPr>
                <w:sz w:val="20"/>
              </w:rPr>
            </w:pPr>
            <w:r w:rsidRPr="009E351A">
              <w:rPr>
                <w:sz w:val="20"/>
              </w:rPr>
              <w:t>0</w:t>
            </w:r>
          </w:p>
        </w:tc>
        <w:tc>
          <w:tcPr>
            <w:tcW w:w="639" w:type="dxa"/>
            <w:vAlign w:val="center"/>
          </w:tcPr>
          <w:p w:rsidR="000B6419" w:rsidRPr="009E351A" w:rsidRDefault="000B6419" w:rsidP="009A14DA">
            <w:pPr>
              <w:pStyle w:val="Text2"/>
              <w:tabs>
                <w:tab w:val="left" w:pos="402"/>
              </w:tabs>
              <w:ind w:left="0"/>
              <w:jc w:val="right"/>
              <w:rPr>
                <w:sz w:val="20"/>
              </w:rPr>
            </w:pPr>
            <w:r w:rsidRPr="009E351A">
              <w:rPr>
                <w:sz w:val="20"/>
              </w:rPr>
              <w:t>159</w:t>
            </w:r>
          </w:p>
        </w:tc>
      </w:tr>
      <w:tr w:rsidR="006F4021" w:rsidRPr="009E351A">
        <w:tc>
          <w:tcPr>
            <w:tcW w:w="3187" w:type="dxa"/>
          </w:tcPr>
          <w:p w:rsidR="006F4021" w:rsidRPr="009E351A" w:rsidRDefault="006F4021" w:rsidP="009A14DA">
            <w:pPr>
              <w:pStyle w:val="Text2"/>
              <w:tabs>
                <w:tab w:val="left" w:pos="402"/>
              </w:tabs>
              <w:ind w:left="0"/>
              <w:rPr>
                <w:sz w:val="20"/>
              </w:rPr>
            </w:pPr>
            <w:r w:rsidRPr="009E351A">
              <w:rPr>
                <w:sz w:val="20"/>
              </w:rPr>
              <w:t>Budgetary needs for normal provisioning</w:t>
            </w:r>
          </w:p>
        </w:tc>
        <w:tc>
          <w:tcPr>
            <w:tcW w:w="637" w:type="dxa"/>
            <w:vAlign w:val="center"/>
          </w:tcPr>
          <w:p w:rsidR="006F4021" w:rsidRPr="009E351A" w:rsidRDefault="006F4021" w:rsidP="009A14DA">
            <w:pPr>
              <w:pStyle w:val="Text2"/>
              <w:tabs>
                <w:tab w:val="left" w:pos="402"/>
              </w:tabs>
              <w:ind w:left="0"/>
              <w:jc w:val="right"/>
              <w:rPr>
                <w:sz w:val="20"/>
              </w:rPr>
            </w:pPr>
            <w:r w:rsidRPr="009E351A">
              <w:rPr>
                <w:sz w:val="20"/>
              </w:rPr>
              <w:t>0</w:t>
            </w:r>
          </w:p>
        </w:tc>
        <w:tc>
          <w:tcPr>
            <w:tcW w:w="650" w:type="dxa"/>
            <w:vAlign w:val="center"/>
          </w:tcPr>
          <w:p w:rsidR="006F4021" w:rsidRPr="009E351A" w:rsidRDefault="000B6419" w:rsidP="009A14DA">
            <w:pPr>
              <w:pStyle w:val="Text2"/>
              <w:tabs>
                <w:tab w:val="left" w:pos="402"/>
              </w:tabs>
              <w:ind w:left="0"/>
              <w:jc w:val="right"/>
              <w:rPr>
                <w:sz w:val="20"/>
              </w:rPr>
            </w:pPr>
            <w:r w:rsidRPr="009E351A">
              <w:rPr>
                <w:sz w:val="20"/>
              </w:rPr>
              <w:t>0</w:t>
            </w:r>
          </w:p>
        </w:tc>
        <w:tc>
          <w:tcPr>
            <w:tcW w:w="694" w:type="dxa"/>
            <w:vAlign w:val="center"/>
          </w:tcPr>
          <w:p w:rsidR="006F4021" w:rsidRPr="009E351A" w:rsidRDefault="000B6419" w:rsidP="009A14DA">
            <w:pPr>
              <w:pStyle w:val="Text2"/>
              <w:tabs>
                <w:tab w:val="left" w:pos="402"/>
              </w:tabs>
              <w:ind w:left="0"/>
              <w:jc w:val="right"/>
              <w:rPr>
                <w:sz w:val="20"/>
              </w:rPr>
            </w:pPr>
            <w:r w:rsidRPr="009E351A">
              <w:rPr>
                <w:sz w:val="20"/>
              </w:rPr>
              <w:t>0</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129</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153</w:t>
            </w:r>
          </w:p>
        </w:tc>
        <w:tc>
          <w:tcPr>
            <w:tcW w:w="637" w:type="dxa"/>
            <w:vAlign w:val="center"/>
          </w:tcPr>
          <w:p w:rsidR="006F4021" w:rsidRPr="009E351A" w:rsidRDefault="006F4021" w:rsidP="009A14DA">
            <w:pPr>
              <w:pStyle w:val="Text2"/>
              <w:tabs>
                <w:tab w:val="left" w:pos="402"/>
              </w:tabs>
              <w:ind w:left="0"/>
              <w:jc w:val="right"/>
              <w:rPr>
                <w:sz w:val="20"/>
              </w:rPr>
            </w:pPr>
            <w:r w:rsidRPr="009E351A">
              <w:rPr>
                <w:sz w:val="20"/>
              </w:rPr>
              <w:t>160</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165</w:t>
            </w:r>
          </w:p>
        </w:tc>
        <w:tc>
          <w:tcPr>
            <w:tcW w:w="639" w:type="dxa"/>
            <w:vAlign w:val="center"/>
          </w:tcPr>
          <w:p w:rsidR="006F4021" w:rsidRPr="009E351A" w:rsidRDefault="006F4021" w:rsidP="009A14DA">
            <w:pPr>
              <w:pStyle w:val="Text2"/>
              <w:tabs>
                <w:tab w:val="left" w:pos="402"/>
              </w:tabs>
              <w:ind w:left="0"/>
              <w:jc w:val="right"/>
              <w:rPr>
                <w:sz w:val="20"/>
              </w:rPr>
            </w:pPr>
            <w:r w:rsidRPr="009E351A">
              <w:rPr>
                <w:sz w:val="20"/>
              </w:rPr>
              <w:t>607</w:t>
            </w:r>
          </w:p>
        </w:tc>
      </w:tr>
      <w:tr w:rsidR="006F4021" w:rsidRPr="009E351A">
        <w:tc>
          <w:tcPr>
            <w:tcW w:w="3187" w:type="dxa"/>
          </w:tcPr>
          <w:p w:rsidR="006F4021" w:rsidRPr="009E351A" w:rsidRDefault="006F4021" w:rsidP="009A14DA">
            <w:pPr>
              <w:pStyle w:val="Text2"/>
              <w:tabs>
                <w:tab w:val="left" w:pos="402"/>
              </w:tabs>
              <w:ind w:left="0"/>
              <w:rPr>
                <w:sz w:val="20"/>
              </w:rPr>
            </w:pPr>
            <w:r w:rsidRPr="009E351A">
              <w:rPr>
                <w:sz w:val="20"/>
              </w:rPr>
              <w:t>Possible adjustments in the market valuation of the assets of the Guarantee Fund</w:t>
            </w:r>
          </w:p>
        </w:tc>
        <w:tc>
          <w:tcPr>
            <w:tcW w:w="637" w:type="dxa"/>
            <w:vAlign w:val="center"/>
          </w:tcPr>
          <w:p w:rsidR="006F4021" w:rsidRPr="009E351A" w:rsidRDefault="006F4021" w:rsidP="009A14DA">
            <w:pPr>
              <w:pStyle w:val="Text2"/>
              <w:tabs>
                <w:tab w:val="left" w:pos="402"/>
              </w:tabs>
              <w:ind w:left="0"/>
              <w:jc w:val="right"/>
              <w:rPr>
                <w:sz w:val="20"/>
              </w:rPr>
            </w:pPr>
            <w:r w:rsidRPr="009E351A">
              <w:rPr>
                <w:sz w:val="20"/>
              </w:rPr>
              <w:t>0</w:t>
            </w:r>
          </w:p>
        </w:tc>
        <w:tc>
          <w:tcPr>
            <w:tcW w:w="650" w:type="dxa"/>
            <w:vAlign w:val="center"/>
          </w:tcPr>
          <w:p w:rsidR="006F4021" w:rsidRPr="009E351A" w:rsidRDefault="006F4021" w:rsidP="009A14DA">
            <w:pPr>
              <w:pStyle w:val="Text2"/>
              <w:tabs>
                <w:tab w:val="left" w:pos="402"/>
              </w:tabs>
              <w:ind w:left="0"/>
              <w:jc w:val="right"/>
              <w:rPr>
                <w:sz w:val="20"/>
              </w:rPr>
            </w:pPr>
            <w:r w:rsidRPr="009E351A">
              <w:rPr>
                <w:sz w:val="20"/>
              </w:rPr>
              <w:t>0</w:t>
            </w:r>
          </w:p>
        </w:tc>
        <w:tc>
          <w:tcPr>
            <w:tcW w:w="694" w:type="dxa"/>
            <w:vAlign w:val="center"/>
          </w:tcPr>
          <w:p w:rsidR="006F4021" w:rsidRPr="009E351A" w:rsidRDefault="006F4021" w:rsidP="009A14DA">
            <w:pPr>
              <w:pStyle w:val="Text2"/>
              <w:tabs>
                <w:tab w:val="left" w:pos="402"/>
              </w:tabs>
              <w:ind w:left="0"/>
              <w:jc w:val="right"/>
              <w:rPr>
                <w:sz w:val="20"/>
              </w:rPr>
            </w:pPr>
            <w:r w:rsidRPr="009E351A">
              <w:rPr>
                <w:sz w:val="20"/>
              </w:rPr>
              <w:t>37</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42</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49</w:t>
            </w:r>
          </w:p>
        </w:tc>
        <w:tc>
          <w:tcPr>
            <w:tcW w:w="637" w:type="dxa"/>
            <w:vAlign w:val="center"/>
          </w:tcPr>
          <w:p w:rsidR="006F4021" w:rsidRPr="009E351A" w:rsidRDefault="006F4021" w:rsidP="009A14DA">
            <w:pPr>
              <w:pStyle w:val="Text2"/>
              <w:tabs>
                <w:tab w:val="left" w:pos="402"/>
              </w:tabs>
              <w:ind w:left="0"/>
              <w:jc w:val="right"/>
              <w:rPr>
                <w:sz w:val="20"/>
              </w:rPr>
            </w:pPr>
            <w:r w:rsidRPr="009E351A">
              <w:rPr>
                <w:sz w:val="20"/>
              </w:rPr>
              <w:t>56</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64</w:t>
            </w:r>
          </w:p>
        </w:tc>
        <w:tc>
          <w:tcPr>
            <w:tcW w:w="639" w:type="dxa"/>
            <w:vAlign w:val="center"/>
          </w:tcPr>
          <w:p w:rsidR="006F4021" w:rsidRPr="009E351A" w:rsidRDefault="003D45F8" w:rsidP="009A14DA">
            <w:pPr>
              <w:pStyle w:val="Text2"/>
              <w:tabs>
                <w:tab w:val="left" w:pos="402"/>
              </w:tabs>
              <w:ind w:left="0"/>
              <w:jc w:val="right"/>
              <w:rPr>
                <w:sz w:val="20"/>
              </w:rPr>
            </w:pPr>
            <w:r w:rsidRPr="009E351A">
              <w:rPr>
                <w:sz w:val="20"/>
              </w:rPr>
              <w:t>248</w:t>
            </w:r>
          </w:p>
        </w:tc>
      </w:tr>
      <w:tr w:rsidR="006F4021" w:rsidRPr="009E351A">
        <w:tc>
          <w:tcPr>
            <w:tcW w:w="3187" w:type="dxa"/>
          </w:tcPr>
          <w:p w:rsidR="006F4021" w:rsidRPr="009E351A" w:rsidRDefault="006F4021" w:rsidP="009A14DA">
            <w:pPr>
              <w:pStyle w:val="Text2"/>
              <w:tabs>
                <w:tab w:val="left" w:pos="402"/>
              </w:tabs>
              <w:ind w:left="0"/>
              <w:rPr>
                <w:sz w:val="20"/>
              </w:rPr>
            </w:pPr>
            <w:r w:rsidRPr="009E351A">
              <w:rPr>
                <w:sz w:val="20"/>
              </w:rPr>
              <w:t xml:space="preserve">Potential impact of possible calls </w:t>
            </w:r>
          </w:p>
        </w:tc>
        <w:tc>
          <w:tcPr>
            <w:tcW w:w="637" w:type="dxa"/>
            <w:vAlign w:val="center"/>
          </w:tcPr>
          <w:p w:rsidR="006F4021" w:rsidRPr="009E351A" w:rsidRDefault="006F4021" w:rsidP="009A14DA">
            <w:pPr>
              <w:pStyle w:val="Text2"/>
              <w:tabs>
                <w:tab w:val="left" w:pos="402"/>
              </w:tabs>
              <w:ind w:left="0"/>
              <w:jc w:val="right"/>
              <w:rPr>
                <w:sz w:val="20"/>
              </w:rPr>
            </w:pPr>
            <w:r w:rsidRPr="009E351A">
              <w:rPr>
                <w:sz w:val="20"/>
              </w:rPr>
              <w:t>0</w:t>
            </w:r>
          </w:p>
        </w:tc>
        <w:tc>
          <w:tcPr>
            <w:tcW w:w="650" w:type="dxa"/>
            <w:vAlign w:val="center"/>
          </w:tcPr>
          <w:p w:rsidR="006F4021" w:rsidRPr="009E351A" w:rsidRDefault="006F4021" w:rsidP="009A14DA">
            <w:pPr>
              <w:pStyle w:val="Text2"/>
              <w:tabs>
                <w:tab w:val="left" w:pos="402"/>
              </w:tabs>
              <w:ind w:left="0"/>
              <w:jc w:val="right"/>
              <w:rPr>
                <w:sz w:val="20"/>
              </w:rPr>
            </w:pPr>
            <w:r w:rsidRPr="009E351A">
              <w:rPr>
                <w:sz w:val="20"/>
              </w:rPr>
              <w:t>0</w:t>
            </w:r>
          </w:p>
        </w:tc>
        <w:tc>
          <w:tcPr>
            <w:tcW w:w="694" w:type="dxa"/>
            <w:vAlign w:val="center"/>
          </w:tcPr>
          <w:p w:rsidR="006F4021" w:rsidRPr="009E351A" w:rsidRDefault="006F4021" w:rsidP="009A14DA">
            <w:pPr>
              <w:pStyle w:val="Text2"/>
              <w:tabs>
                <w:tab w:val="left" w:pos="402"/>
              </w:tabs>
              <w:ind w:left="0"/>
              <w:jc w:val="right"/>
              <w:rPr>
                <w:sz w:val="20"/>
              </w:rPr>
            </w:pPr>
            <w:r w:rsidRPr="009E351A">
              <w:rPr>
                <w:sz w:val="20"/>
              </w:rPr>
              <w:t>100</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100</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100</w:t>
            </w:r>
          </w:p>
        </w:tc>
        <w:tc>
          <w:tcPr>
            <w:tcW w:w="637" w:type="dxa"/>
            <w:vAlign w:val="center"/>
          </w:tcPr>
          <w:p w:rsidR="006F4021" w:rsidRPr="009E351A" w:rsidRDefault="006F4021" w:rsidP="009A14DA">
            <w:pPr>
              <w:pStyle w:val="Text2"/>
              <w:tabs>
                <w:tab w:val="left" w:pos="402"/>
              </w:tabs>
              <w:ind w:left="0"/>
              <w:jc w:val="right"/>
              <w:rPr>
                <w:sz w:val="20"/>
              </w:rPr>
            </w:pPr>
            <w:r w:rsidRPr="009E351A">
              <w:rPr>
                <w:sz w:val="20"/>
              </w:rPr>
              <w:t>100</w:t>
            </w:r>
          </w:p>
        </w:tc>
        <w:tc>
          <w:tcPr>
            <w:tcW w:w="636" w:type="dxa"/>
            <w:vAlign w:val="center"/>
          </w:tcPr>
          <w:p w:rsidR="006F4021" w:rsidRPr="009E351A" w:rsidRDefault="006F4021" w:rsidP="009A14DA">
            <w:pPr>
              <w:pStyle w:val="Text2"/>
              <w:tabs>
                <w:tab w:val="left" w:pos="402"/>
              </w:tabs>
              <w:ind w:left="0"/>
              <w:jc w:val="right"/>
              <w:rPr>
                <w:sz w:val="20"/>
              </w:rPr>
            </w:pPr>
            <w:r w:rsidRPr="009E351A">
              <w:rPr>
                <w:sz w:val="20"/>
              </w:rPr>
              <w:t>100</w:t>
            </w:r>
          </w:p>
        </w:tc>
        <w:tc>
          <w:tcPr>
            <w:tcW w:w="639" w:type="dxa"/>
            <w:vAlign w:val="center"/>
          </w:tcPr>
          <w:p w:rsidR="006F4021" w:rsidRPr="009E351A" w:rsidRDefault="003D45F8" w:rsidP="009A14DA">
            <w:pPr>
              <w:pStyle w:val="Text2"/>
              <w:tabs>
                <w:tab w:val="left" w:pos="402"/>
              </w:tabs>
              <w:ind w:left="0"/>
              <w:jc w:val="right"/>
              <w:rPr>
                <w:sz w:val="20"/>
              </w:rPr>
            </w:pPr>
            <w:r w:rsidRPr="009E351A">
              <w:rPr>
                <w:sz w:val="20"/>
              </w:rPr>
              <w:t>500</w:t>
            </w:r>
          </w:p>
        </w:tc>
      </w:tr>
      <w:tr w:rsidR="006F4021" w:rsidRPr="009E351A">
        <w:tc>
          <w:tcPr>
            <w:tcW w:w="3187" w:type="dxa"/>
          </w:tcPr>
          <w:p w:rsidR="006F4021" w:rsidRPr="009E351A" w:rsidRDefault="006F4021" w:rsidP="009A14DA">
            <w:pPr>
              <w:pStyle w:val="Text2"/>
              <w:tabs>
                <w:tab w:val="left" w:pos="402"/>
              </w:tabs>
              <w:ind w:left="0"/>
              <w:rPr>
                <w:sz w:val="20"/>
              </w:rPr>
            </w:pPr>
            <w:r w:rsidRPr="009E351A">
              <w:rPr>
                <w:sz w:val="20"/>
              </w:rPr>
              <w:t>Maximum budgetary needs</w:t>
            </w:r>
          </w:p>
        </w:tc>
        <w:tc>
          <w:tcPr>
            <w:tcW w:w="637" w:type="dxa"/>
            <w:vAlign w:val="center"/>
          </w:tcPr>
          <w:p w:rsidR="006F4021" w:rsidRPr="009E351A" w:rsidRDefault="00837F60" w:rsidP="009A14DA">
            <w:pPr>
              <w:pStyle w:val="Text2"/>
              <w:tabs>
                <w:tab w:val="left" w:pos="402"/>
              </w:tabs>
              <w:ind w:left="0"/>
              <w:jc w:val="right"/>
              <w:rPr>
                <w:sz w:val="20"/>
              </w:rPr>
            </w:pPr>
            <w:r w:rsidRPr="009E351A">
              <w:rPr>
                <w:sz w:val="20"/>
              </w:rPr>
              <w:t>0</w:t>
            </w:r>
          </w:p>
        </w:tc>
        <w:tc>
          <w:tcPr>
            <w:tcW w:w="650" w:type="dxa"/>
            <w:vAlign w:val="center"/>
          </w:tcPr>
          <w:p w:rsidR="006F4021" w:rsidRPr="009E351A" w:rsidRDefault="006F4021" w:rsidP="009A14DA">
            <w:pPr>
              <w:pStyle w:val="Text2"/>
              <w:tabs>
                <w:tab w:val="left" w:pos="402"/>
              </w:tabs>
              <w:ind w:left="0"/>
              <w:jc w:val="right"/>
              <w:rPr>
                <w:sz w:val="20"/>
              </w:rPr>
            </w:pPr>
            <w:r w:rsidRPr="009E351A">
              <w:rPr>
                <w:sz w:val="20"/>
              </w:rPr>
              <w:t>0</w:t>
            </w:r>
          </w:p>
        </w:tc>
        <w:tc>
          <w:tcPr>
            <w:tcW w:w="694" w:type="dxa"/>
            <w:vAlign w:val="center"/>
          </w:tcPr>
          <w:p w:rsidR="006F4021" w:rsidRPr="009E351A" w:rsidRDefault="006F4021" w:rsidP="009A14DA">
            <w:pPr>
              <w:pStyle w:val="Text2"/>
              <w:tabs>
                <w:tab w:val="left" w:pos="402"/>
              </w:tabs>
              <w:ind w:left="0"/>
              <w:jc w:val="right"/>
              <w:rPr>
                <w:sz w:val="20"/>
              </w:rPr>
            </w:pPr>
            <w:r w:rsidRPr="009E351A">
              <w:rPr>
                <w:sz w:val="20"/>
              </w:rPr>
              <w:t>135</w:t>
            </w:r>
          </w:p>
        </w:tc>
        <w:tc>
          <w:tcPr>
            <w:tcW w:w="636" w:type="dxa"/>
            <w:vAlign w:val="center"/>
          </w:tcPr>
          <w:p w:rsidR="006F4021" w:rsidRPr="009E351A" w:rsidRDefault="00837F60" w:rsidP="009A14DA">
            <w:pPr>
              <w:pStyle w:val="Text2"/>
              <w:tabs>
                <w:tab w:val="left" w:pos="402"/>
              </w:tabs>
              <w:ind w:left="0"/>
              <w:jc w:val="right"/>
              <w:rPr>
                <w:sz w:val="20"/>
              </w:rPr>
            </w:pPr>
            <w:r w:rsidRPr="009E351A">
              <w:rPr>
                <w:sz w:val="20"/>
              </w:rPr>
              <w:t>271</w:t>
            </w:r>
          </w:p>
        </w:tc>
        <w:tc>
          <w:tcPr>
            <w:tcW w:w="636" w:type="dxa"/>
            <w:vAlign w:val="center"/>
          </w:tcPr>
          <w:p w:rsidR="006F4021" w:rsidRPr="009E351A" w:rsidRDefault="00837F60" w:rsidP="009A14DA">
            <w:pPr>
              <w:pStyle w:val="Text2"/>
              <w:tabs>
                <w:tab w:val="left" w:pos="402"/>
              </w:tabs>
              <w:ind w:left="0"/>
              <w:jc w:val="right"/>
              <w:rPr>
                <w:sz w:val="20"/>
              </w:rPr>
            </w:pPr>
            <w:r w:rsidRPr="009E351A">
              <w:rPr>
                <w:sz w:val="20"/>
              </w:rPr>
              <w:t>302</w:t>
            </w:r>
          </w:p>
        </w:tc>
        <w:tc>
          <w:tcPr>
            <w:tcW w:w="637" w:type="dxa"/>
            <w:vAlign w:val="center"/>
          </w:tcPr>
          <w:p w:rsidR="006F4021" w:rsidRPr="009E351A" w:rsidRDefault="00837F60" w:rsidP="009A14DA">
            <w:pPr>
              <w:pStyle w:val="Text2"/>
              <w:tabs>
                <w:tab w:val="left" w:pos="402"/>
              </w:tabs>
              <w:ind w:left="0"/>
              <w:jc w:val="right"/>
              <w:rPr>
                <w:sz w:val="20"/>
              </w:rPr>
            </w:pPr>
            <w:r w:rsidRPr="009E351A">
              <w:rPr>
                <w:sz w:val="20"/>
              </w:rPr>
              <w:t>316</w:t>
            </w:r>
          </w:p>
        </w:tc>
        <w:tc>
          <w:tcPr>
            <w:tcW w:w="636" w:type="dxa"/>
            <w:vAlign w:val="center"/>
          </w:tcPr>
          <w:p w:rsidR="006F4021" w:rsidRPr="009E351A" w:rsidRDefault="00837F60" w:rsidP="009A14DA">
            <w:pPr>
              <w:pStyle w:val="Text2"/>
              <w:tabs>
                <w:tab w:val="left" w:pos="402"/>
              </w:tabs>
              <w:ind w:left="0"/>
              <w:jc w:val="right"/>
              <w:rPr>
                <w:sz w:val="20"/>
              </w:rPr>
            </w:pPr>
            <w:r w:rsidRPr="009E351A">
              <w:rPr>
                <w:sz w:val="20"/>
              </w:rPr>
              <w:t>329</w:t>
            </w:r>
          </w:p>
        </w:tc>
        <w:tc>
          <w:tcPr>
            <w:tcW w:w="639" w:type="dxa"/>
            <w:vAlign w:val="center"/>
          </w:tcPr>
          <w:p w:rsidR="006F4021" w:rsidRPr="009E351A" w:rsidRDefault="006F4021" w:rsidP="009A14DA">
            <w:pPr>
              <w:pStyle w:val="Text2"/>
              <w:tabs>
                <w:tab w:val="left" w:pos="402"/>
              </w:tabs>
              <w:ind w:left="0"/>
              <w:jc w:val="right"/>
              <w:rPr>
                <w:sz w:val="20"/>
              </w:rPr>
            </w:pPr>
            <w:r w:rsidRPr="009E351A">
              <w:rPr>
                <w:sz w:val="20"/>
              </w:rPr>
              <w:t>1353</w:t>
            </w:r>
          </w:p>
        </w:tc>
      </w:tr>
    </w:tbl>
    <w:p w:rsidR="00DC30BF" w:rsidRPr="009E351A" w:rsidRDefault="00DC30BF">
      <w:pPr>
        <w:pStyle w:val="Text2"/>
        <w:rPr>
          <w:rStyle w:val="NormalRightChar"/>
          <w:lang w:val="sv-SE"/>
        </w:rPr>
      </w:pPr>
      <w:r w:rsidRPr="009E351A">
        <w:t>The following budgetary table takes into account the estimated maximum budgetary resources needed to provision the Guarantee Fund.</w:t>
      </w:r>
      <w:r w:rsidR="004F77DF" w:rsidRPr="009E351A">
        <w:t xml:space="preserve"> It should be stressed, however, that the amounts indicated will not necessarily correspond to the amounts to be budgeted each year: the exact budgetary amounts (classified as Compulsory Expenditure) in year n+1 will be determined based on the figures at 31</w:t>
      </w:r>
      <w:r w:rsidR="004F77DF" w:rsidRPr="009E351A">
        <w:rPr>
          <w:vertAlign w:val="superscript"/>
        </w:rPr>
        <w:t>st</w:t>
      </w:r>
      <w:r w:rsidR="004F77DF" w:rsidRPr="009E351A">
        <w:t xml:space="preserve"> December of year n-1 based on the outstanding amount of the loans covered by the Guarantee Fund, the corresponding target amount (i.e. 9% of the outstanding</w:t>
      </w:r>
      <w:r w:rsidR="006F4021" w:rsidRPr="009E351A">
        <w:t xml:space="preserve"> loans</w:t>
      </w:r>
      <w:r w:rsidR="004F77DF" w:rsidRPr="009E351A">
        <w:t xml:space="preserve">), the defaults </w:t>
      </w:r>
      <w:r w:rsidR="006F4021" w:rsidRPr="009E351A">
        <w:t xml:space="preserve">which have </w:t>
      </w:r>
      <w:r w:rsidR="004F77DF" w:rsidRPr="009E351A">
        <w:t xml:space="preserve">occurred during the year, and the valuation of the assets of the Fund. </w:t>
      </w:r>
      <w:r w:rsidR="005D37D3" w:rsidRPr="009E351A">
        <w:t>The 'maximum budgetary needs' must thus be considered as a worst case scenario which could exceptionally take place in given years.</w:t>
      </w:r>
    </w:p>
    <w:p w:rsidR="00DE2864" w:rsidRPr="009E351A" w:rsidRDefault="00DE2864">
      <w:pPr>
        <w:rPr>
          <w:rStyle w:val="NormalRightChar"/>
          <w:lang w:val="sv-SE"/>
        </w:rPr>
        <w:sectPr w:rsidR="00DE2864" w:rsidRPr="009E351A" w:rsidSect="00B2551F">
          <w:pgSz w:w="11907" w:h="16840" w:code="9"/>
          <w:pgMar w:top="1134" w:right="1418" w:bottom="1134" w:left="1418" w:header="720" w:footer="720" w:gutter="0"/>
          <w:cols w:space="708"/>
          <w:docGrid w:linePitch="360"/>
        </w:sectPr>
      </w:pPr>
    </w:p>
    <w:p w:rsidR="00DC30BF" w:rsidRPr="009E351A" w:rsidRDefault="00DC30BF">
      <w:pPr>
        <w:rPr>
          <w:rStyle w:val="NormalRightChar"/>
          <w:lang w:val="sv-SE"/>
        </w:rPr>
      </w:pPr>
      <w:r w:rsidRPr="009E351A">
        <w:rPr>
          <w:rStyle w:val="NormalRightChar"/>
          <w:lang w:val="sv-SE"/>
        </w:rPr>
        <w:t>EUR million (1 decimal place)</w:t>
      </w:r>
    </w:p>
    <w:tbl>
      <w:tblPr>
        <w:tblW w:w="0" w:type="auto"/>
        <w:jc w:val="right"/>
        <w:tblLayout w:type="fixed"/>
        <w:tblLook w:val="0000" w:firstRow="0" w:lastRow="0" w:firstColumn="0" w:lastColumn="0" w:noHBand="0" w:noVBand="0"/>
      </w:tblPr>
      <w:tblGrid>
        <w:gridCol w:w="108"/>
        <w:gridCol w:w="2431"/>
        <w:gridCol w:w="108"/>
        <w:gridCol w:w="768"/>
        <w:gridCol w:w="108"/>
        <w:gridCol w:w="414"/>
        <w:gridCol w:w="108"/>
        <w:gridCol w:w="612"/>
        <w:gridCol w:w="108"/>
        <w:gridCol w:w="612"/>
        <w:gridCol w:w="108"/>
        <w:gridCol w:w="635"/>
        <w:gridCol w:w="108"/>
        <w:gridCol w:w="612"/>
        <w:gridCol w:w="108"/>
        <w:gridCol w:w="612"/>
        <w:gridCol w:w="108"/>
        <w:gridCol w:w="612"/>
        <w:gridCol w:w="108"/>
        <w:gridCol w:w="768"/>
        <w:gridCol w:w="108"/>
      </w:tblGrid>
      <w:tr w:rsidR="00DC30BF" w:rsidRPr="009E351A">
        <w:tblPrEx>
          <w:tblCellMar>
            <w:top w:w="0" w:type="dxa"/>
            <w:bottom w:w="0" w:type="dxa"/>
          </w:tblCellMar>
        </w:tblPrEx>
        <w:trPr>
          <w:gridAfter w:val="1"/>
          <w:wAfter w:w="108" w:type="dxa"/>
          <w:cantSplit/>
          <w:jc w:val="right"/>
        </w:trPr>
        <w:tc>
          <w:tcPr>
            <w:tcW w:w="2539" w:type="dxa"/>
            <w:gridSpan w:val="2"/>
            <w:tcBorders>
              <w:top w:val="single" w:sz="8" w:space="0" w:color="auto"/>
              <w:left w:val="single" w:sz="8" w:space="0" w:color="auto"/>
              <w:bottom w:val="single" w:sz="8" w:space="0" w:color="auto"/>
              <w:right w:val="single" w:sz="6" w:space="0" w:color="auto"/>
            </w:tcBorders>
            <w:vAlign w:val="center"/>
          </w:tcPr>
          <w:p w:rsidR="00DC30BF" w:rsidRPr="009E351A" w:rsidRDefault="00DC30BF">
            <w:pPr>
              <w:jc w:val="center"/>
              <w:rPr>
                <w:b/>
                <w:sz w:val="20"/>
              </w:rPr>
            </w:pPr>
            <w:r w:rsidRPr="009E351A">
              <w:rPr>
                <w:b/>
                <w:sz w:val="20"/>
              </w:rPr>
              <w:t>Expenditure type</w:t>
            </w:r>
          </w:p>
        </w:tc>
        <w:tc>
          <w:tcPr>
            <w:tcW w:w="876" w:type="dxa"/>
            <w:gridSpan w:val="2"/>
            <w:tcBorders>
              <w:top w:val="single" w:sz="8" w:space="0" w:color="auto"/>
              <w:left w:val="single" w:sz="6" w:space="0" w:color="auto"/>
              <w:bottom w:val="single" w:sz="8" w:space="0" w:color="auto"/>
              <w:right w:val="single" w:sz="6" w:space="0" w:color="auto"/>
            </w:tcBorders>
            <w:vAlign w:val="center"/>
          </w:tcPr>
          <w:p w:rsidR="00DC30BF" w:rsidRPr="009E351A" w:rsidRDefault="00DC30BF">
            <w:pPr>
              <w:jc w:val="center"/>
              <w:rPr>
                <w:sz w:val="20"/>
              </w:rPr>
            </w:pPr>
            <w:r w:rsidRPr="009E351A">
              <w:rPr>
                <w:sz w:val="20"/>
              </w:rPr>
              <w:t>Section no.</w:t>
            </w:r>
          </w:p>
        </w:tc>
        <w:tc>
          <w:tcPr>
            <w:tcW w:w="522" w:type="dxa"/>
            <w:gridSpan w:val="2"/>
            <w:tcBorders>
              <w:top w:val="single" w:sz="8" w:space="0" w:color="auto"/>
              <w:left w:val="single" w:sz="6" w:space="0" w:color="auto"/>
              <w:bottom w:val="single" w:sz="8" w:space="0" w:color="auto"/>
              <w:right w:val="single" w:sz="6" w:space="0" w:color="auto"/>
            </w:tcBorders>
            <w:vAlign w:val="center"/>
          </w:tcPr>
          <w:p w:rsidR="00DC30BF" w:rsidRPr="009E351A" w:rsidRDefault="00DC30BF">
            <w:pPr>
              <w:jc w:val="center"/>
              <w:rPr>
                <w:sz w:val="20"/>
              </w:rPr>
            </w:pPr>
          </w:p>
        </w:tc>
        <w:tc>
          <w:tcPr>
            <w:tcW w:w="720" w:type="dxa"/>
            <w:gridSpan w:val="2"/>
            <w:tcBorders>
              <w:top w:val="single" w:sz="8" w:space="0" w:color="auto"/>
              <w:left w:val="single" w:sz="6" w:space="0" w:color="auto"/>
              <w:bottom w:val="single" w:sz="8" w:space="0" w:color="auto"/>
              <w:right w:val="single" w:sz="6" w:space="0" w:color="auto"/>
            </w:tcBorders>
            <w:vAlign w:val="center"/>
          </w:tcPr>
          <w:p w:rsidR="00DC30BF" w:rsidRPr="009E351A" w:rsidRDefault="00DC30BF">
            <w:pPr>
              <w:jc w:val="center"/>
              <w:rPr>
                <w:sz w:val="20"/>
              </w:rPr>
            </w:pPr>
            <w:r w:rsidRPr="009E351A">
              <w:rPr>
                <w:sz w:val="20"/>
              </w:rPr>
              <w:t>2007</w:t>
            </w:r>
          </w:p>
        </w:tc>
        <w:tc>
          <w:tcPr>
            <w:tcW w:w="720" w:type="dxa"/>
            <w:gridSpan w:val="2"/>
            <w:tcBorders>
              <w:top w:val="single" w:sz="8" w:space="0" w:color="auto"/>
              <w:left w:val="single" w:sz="6" w:space="0" w:color="auto"/>
              <w:bottom w:val="single" w:sz="8" w:space="0" w:color="auto"/>
              <w:right w:val="single" w:sz="6" w:space="0" w:color="auto"/>
            </w:tcBorders>
            <w:vAlign w:val="center"/>
          </w:tcPr>
          <w:p w:rsidR="00DC30BF" w:rsidRPr="009E351A" w:rsidRDefault="00DC30BF">
            <w:pPr>
              <w:jc w:val="center"/>
              <w:rPr>
                <w:rStyle w:val="Marker"/>
                <w:sz w:val="20"/>
              </w:rPr>
            </w:pPr>
            <w:r w:rsidRPr="009E351A">
              <w:t>2008</w:t>
            </w:r>
          </w:p>
        </w:tc>
        <w:tc>
          <w:tcPr>
            <w:tcW w:w="743" w:type="dxa"/>
            <w:gridSpan w:val="2"/>
            <w:tcBorders>
              <w:top w:val="single" w:sz="8" w:space="0" w:color="auto"/>
              <w:left w:val="single" w:sz="6" w:space="0" w:color="auto"/>
              <w:bottom w:val="single" w:sz="8" w:space="0" w:color="auto"/>
              <w:right w:val="single" w:sz="6" w:space="0" w:color="auto"/>
            </w:tcBorders>
            <w:vAlign w:val="center"/>
          </w:tcPr>
          <w:p w:rsidR="00DC30BF" w:rsidRPr="009E351A" w:rsidRDefault="00DC30BF">
            <w:pPr>
              <w:jc w:val="center"/>
              <w:rPr>
                <w:rStyle w:val="Marker"/>
                <w:sz w:val="20"/>
              </w:rPr>
            </w:pPr>
            <w:r w:rsidRPr="009E351A">
              <w:t>2009</w:t>
            </w:r>
          </w:p>
        </w:tc>
        <w:tc>
          <w:tcPr>
            <w:tcW w:w="720" w:type="dxa"/>
            <w:gridSpan w:val="2"/>
            <w:tcBorders>
              <w:top w:val="single" w:sz="8" w:space="0" w:color="auto"/>
              <w:left w:val="single" w:sz="6" w:space="0" w:color="auto"/>
              <w:bottom w:val="single" w:sz="8" w:space="0" w:color="auto"/>
              <w:right w:val="single" w:sz="6" w:space="0" w:color="auto"/>
            </w:tcBorders>
            <w:vAlign w:val="center"/>
          </w:tcPr>
          <w:p w:rsidR="00DC30BF" w:rsidRPr="009E351A" w:rsidRDefault="00DC30BF">
            <w:pPr>
              <w:jc w:val="center"/>
              <w:rPr>
                <w:rStyle w:val="Marker"/>
                <w:sz w:val="20"/>
              </w:rPr>
            </w:pPr>
            <w:r w:rsidRPr="009E351A">
              <w:t>2010</w:t>
            </w:r>
          </w:p>
        </w:tc>
        <w:tc>
          <w:tcPr>
            <w:tcW w:w="720" w:type="dxa"/>
            <w:gridSpan w:val="2"/>
            <w:tcBorders>
              <w:top w:val="single" w:sz="8" w:space="0" w:color="auto"/>
              <w:left w:val="single" w:sz="6" w:space="0" w:color="auto"/>
              <w:bottom w:val="single" w:sz="8" w:space="0" w:color="auto"/>
              <w:right w:val="single" w:sz="6" w:space="0" w:color="auto"/>
            </w:tcBorders>
            <w:vAlign w:val="center"/>
          </w:tcPr>
          <w:p w:rsidR="00DC30BF" w:rsidRPr="009E351A" w:rsidRDefault="00DC30BF">
            <w:pPr>
              <w:jc w:val="center"/>
            </w:pPr>
            <w:r w:rsidRPr="009E351A">
              <w:t>2011</w:t>
            </w:r>
          </w:p>
        </w:tc>
        <w:tc>
          <w:tcPr>
            <w:tcW w:w="720" w:type="dxa"/>
            <w:gridSpan w:val="2"/>
            <w:tcBorders>
              <w:top w:val="single" w:sz="8" w:space="0" w:color="auto"/>
              <w:left w:val="single" w:sz="6" w:space="0" w:color="auto"/>
              <w:bottom w:val="single" w:sz="8" w:space="0" w:color="auto"/>
              <w:right w:val="single" w:sz="8" w:space="0" w:color="auto"/>
            </w:tcBorders>
            <w:vAlign w:val="center"/>
          </w:tcPr>
          <w:p w:rsidR="00DC30BF" w:rsidRPr="009E351A" w:rsidRDefault="00DC30BF">
            <w:pPr>
              <w:jc w:val="center"/>
              <w:rPr>
                <w:sz w:val="20"/>
              </w:rPr>
            </w:pPr>
            <w:r w:rsidRPr="009E351A">
              <w:rPr>
                <w:sz w:val="20"/>
              </w:rPr>
              <w:t>2012-13</w:t>
            </w:r>
          </w:p>
        </w:tc>
        <w:tc>
          <w:tcPr>
            <w:tcW w:w="876" w:type="dxa"/>
            <w:gridSpan w:val="2"/>
            <w:tcBorders>
              <w:top w:val="single" w:sz="8" w:space="0" w:color="auto"/>
              <w:left w:val="single" w:sz="8" w:space="0" w:color="auto"/>
              <w:bottom w:val="single" w:sz="8" w:space="0" w:color="auto"/>
              <w:right w:val="single" w:sz="8" w:space="0" w:color="auto"/>
            </w:tcBorders>
            <w:vAlign w:val="center"/>
          </w:tcPr>
          <w:p w:rsidR="00DC30BF" w:rsidRPr="009E351A" w:rsidRDefault="00DC30BF">
            <w:pPr>
              <w:jc w:val="center"/>
              <w:rPr>
                <w:sz w:val="20"/>
              </w:rPr>
            </w:pPr>
            <w:r w:rsidRPr="009E351A">
              <w:rPr>
                <w:sz w:val="20"/>
              </w:rPr>
              <w:t>Total</w:t>
            </w:r>
          </w:p>
        </w:tc>
      </w:tr>
      <w:tr w:rsidR="00DC30BF" w:rsidRPr="009E351A">
        <w:tblPrEx>
          <w:tblCellMar>
            <w:top w:w="0" w:type="dxa"/>
            <w:bottom w:w="0" w:type="dxa"/>
          </w:tblCellMar>
        </w:tblPrEx>
        <w:trPr>
          <w:gridAfter w:val="1"/>
          <w:wAfter w:w="108" w:type="dxa"/>
          <w:cantSplit/>
          <w:jc w:val="right"/>
        </w:trPr>
        <w:tc>
          <w:tcPr>
            <w:tcW w:w="3415" w:type="dxa"/>
            <w:gridSpan w:val="4"/>
            <w:tcBorders>
              <w:top w:val="single" w:sz="8" w:space="0" w:color="auto"/>
              <w:bottom w:val="single" w:sz="8" w:space="0" w:color="auto"/>
            </w:tcBorders>
          </w:tcPr>
          <w:p w:rsidR="00DC30BF" w:rsidRPr="009E351A" w:rsidRDefault="00DC30BF">
            <w:pPr>
              <w:spacing w:before="60" w:after="60"/>
            </w:pPr>
            <w:r w:rsidRPr="009E351A">
              <w:rPr>
                <w:b/>
                <w:sz w:val="22"/>
              </w:rPr>
              <w:t>Operational expenditure</w:t>
            </w:r>
            <w:r w:rsidRPr="009E351A">
              <w:rPr>
                <w:rStyle w:val="Fotnotsreferens"/>
                <w:b/>
                <w:sz w:val="22"/>
              </w:rPr>
              <w:footnoteReference w:id="20"/>
            </w:r>
          </w:p>
        </w:tc>
        <w:tc>
          <w:tcPr>
            <w:tcW w:w="522" w:type="dxa"/>
            <w:gridSpan w:val="2"/>
            <w:tcBorders>
              <w:top w:val="single" w:sz="8" w:space="0" w:color="auto"/>
              <w:bottom w:val="single" w:sz="8" w:space="0" w:color="auto"/>
            </w:tcBorders>
            <w:vAlign w:val="center"/>
          </w:tcPr>
          <w:p w:rsidR="00DC30BF" w:rsidRPr="009E351A" w:rsidRDefault="00DC30BF">
            <w:pPr>
              <w:spacing w:before="60" w:after="60"/>
              <w:jc w:val="center"/>
              <w:rPr>
                <w:sz w:val="20"/>
              </w:rPr>
            </w:pPr>
          </w:p>
        </w:tc>
        <w:tc>
          <w:tcPr>
            <w:tcW w:w="720" w:type="dxa"/>
            <w:gridSpan w:val="2"/>
            <w:tcBorders>
              <w:top w:val="single" w:sz="8" w:space="0" w:color="auto"/>
              <w:bottom w:val="single" w:sz="8" w:space="0" w:color="auto"/>
            </w:tcBorders>
          </w:tcPr>
          <w:p w:rsidR="00DC30BF" w:rsidRPr="009E351A" w:rsidRDefault="00DC30BF">
            <w:pPr>
              <w:spacing w:before="60" w:after="60"/>
            </w:pPr>
          </w:p>
        </w:tc>
        <w:tc>
          <w:tcPr>
            <w:tcW w:w="720" w:type="dxa"/>
            <w:gridSpan w:val="2"/>
            <w:tcBorders>
              <w:top w:val="single" w:sz="8" w:space="0" w:color="auto"/>
              <w:bottom w:val="single" w:sz="8" w:space="0" w:color="auto"/>
            </w:tcBorders>
          </w:tcPr>
          <w:p w:rsidR="00DC30BF" w:rsidRPr="009E351A" w:rsidRDefault="00DC30BF">
            <w:pPr>
              <w:spacing w:before="60" w:after="60"/>
            </w:pPr>
          </w:p>
        </w:tc>
        <w:tc>
          <w:tcPr>
            <w:tcW w:w="743" w:type="dxa"/>
            <w:gridSpan w:val="2"/>
            <w:tcBorders>
              <w:top w:val="single" w:sz="8" w:space="0" w:color="auto"/>
              <w:bottom w:val="single" w:sz="8" w:space="0" w:color="auto"/>
            </w:tcBorders>
          </w:tcPr>
          <w:p w:rsidR="00DC30BF" w:rsidRPr="009E351A" w:rsidRDefault="00DC30BF">
            <w:pPr>
              <w:spacing w:before="60" w:after="60"/>
            </w:pPr>
          </w:p>
        </w:tc>
        <w:tc>
          <w:tcPr>
            <w:tcW w:w="720" w:type="dxa"/>
            <w:gridSpan w:val="2"/>
            <w:tcBorders>
              <w:top w:val="single" w:sz="8" w:space="0" w:color="auto"/>
              <w:bottom w:val="single" w:sz="8" w:space="0" w:color="auto"/>
            </w:tcBorders>
          </w:tcPr>
          <w:p w:rsidR="00DC30BF" w:rsidRPr="009E351A" w:rsidRDefault="00DC30BF">
            <w:pPr>
              <w:spacing w:before="60" w:after="60"/>
            </w:pPr>
          </w:p>
        </w:tc>
        <w:tc>
          <w:tcPr>
            <w:tcW w:w="720" w:type="dxa"/>
            <w:gridSpan w:val="2"/>
            <w:tcBorders>
              <w:top w:val="single" w:sz="8" w:space="0" w:color="auto"/>
              <w:bottom w:val="single" w:sz="8" w:space="0" w:color="auto"/>
            </w:tcBorders>
          </w:tcPr>
          <w:p w:rsidR="00DC30BF" w:rsidRPr="009E351A" w:rsidRDefault="00DC30BF">
            <w:pPr>
              <w:spacing w:before="60" w:after="60"/>
            </w:pPr>
          </w:p>
        </w:tc>
        <w:tc>
          <w:tcPr>
            <w:tcW w:w="720" w:type="dxa"/>
            <w:gridSpan w:val="2"/>
            <w:tcBorders>
              <w:top w:val="single" w:sz="8" w:space="0" w:color="auto"/>
              <w:bottom w:val="single" w:sz="8" w:space="0" w:color="auto"/>
            </w:tcBorders>
          </w:tcPr>
          <w:p w:rsidR="00DC30BF" w:rsidRPr="009E351A" w:rsidRDefault="00DC30BF">
            <w:pPr>
              <w:spacing w:before="60" w:after="60"/>
            </w:pPr>
          </w:p>
        </w:tc>
        <w:tc>
          <w:tcPr>
            <w:tcW w:w="876" w:type="dxa"/>
            <w:gridSpan w:val="2"/>
            <w:tcBorders>
              <w:top w:val="single" w:sz="8" w:space="0" w:color="auto"/>
              <w:bottom w:val="single" w:sz="8" w:space="0" w:color="auto"/>
            </w:tcBorders>
          </w:tcPr>
          <w:p w:rsidR="00DC30BF" w:rsidRPr="009E351A" w:rsidRDefault="00DC30BF">
            <w:pPr>
              <w:spacing w:before="60" w:after="60"/>
            </w:pPr>
          </w:p>
        </w:tc>
      </w:tr>
      <w:tr w:rsidR="00DC30BF" w:rsidRPr="009E351A">
        <w:tblPrEx>
          <w:tblCellMar>
            <w:top w:w="0" w:type="dxa"/>
            <w:bottom w:w="0" w:type="dxa"/>
          </w:tblCellMar>
        </w:tblPrEx>
        <w:trPr>
          <w:gridAfter w:val="1"/>
          <w:wAfter w:w="108" w:type="dxa"/>
          <w:cantSplit/>
          <w:jc w:val="right"/>
        </w:trPr>
        <w:tc>
          <w:tcPr>
            <w:tcW w:w="2539" w:type="dxa"/>
            <w:gridSpan w:val="2"/>
            <w:tcBorders>
              <w:top w:val="single" w:sz="8" w:space="0" w:color="auto"/>
              <w:left w:val="single" w:sz="8" w:space="0" w:color="auto"/>
              <w:bottom w:val="single" w:sz="4" w:space="0" w:color="auto"/>
              <w:right w:val="single" w:sz="4" w:space="0" w:color="auto"/>
            </w:tcBorders>
          </w:tcPr>
          <w:p w:rsidR="00DC30BF" w:rsidRPr="009E351A" w:rsidRDefault="00DC30BF">
            <w:pPr>
              <w:spacing w:before="60" w:after="60"/>
              <w:rPr>
                <w:sz w:val="20"/>
              </w:rPr>
            </w:pPr>
            <w:r w:rsidRPr="009E351A">
              <w:rPr>
                <w:sz w:val="20"/>
              </w:rPr>
              <w:t>Commitment Appropriations (CA)</w:t>
            </w:r>
          </w:p>
        </w:tc>
        <w:tc>
          <w:tcPr>
            <w:tcW w:w="876"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8.1.</w:t>
            </w:r>
          </w:p>
        </w:tc>
        <w:tc>
          <w:tcPr>
            <w:tcW w:w="522"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pPr>
            <w:r w:rsidRPr="009E351A">
              <w:t>a</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0.0</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0.0</w:t>
            </w:r>
          </w:p>
        </w:tc>
        <w:tc>
          <w:tcPr>
            <w:tcW w:w="743"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13</w:t>
            </w:r>
            <w:r w:rsidR="006F4021" w:rsidRPr="009E351A">
              <w:rPr>
                <w:sz w:val="20"/>
              </w:rPr>
              <w:t>5</w:t>
            </w:r>
            <w:r w:rsidRPr="009E351A">
              <w:rPr>
                <w:sz w:val="20"/>
              </w:rPr>
              <w:t>.0</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271.0</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302.0</w:t>
            </w:r>
          </w:p>
        </w:tc>
        <w:tc>
          <w:tcPr>
            <w:tcW w:w="720" w:type="dxa"/>
            <w:gridSpan w:val="2"/>
            <w:tcBorders>
              <w:top w:val="single" w:sz="8" w:space="0" w:color="auto"/>
              <w:left w:val="single" w:sz="4" w:space="0" w:color="auto"/>
              <w:bottom w:val="single" w:sz="4" w:space="0" w:color="auto"/>
              <w:right w:val="single" w:sz="8" w:space="0" w:color="auto"/>
            </w:tcBorders>
            <w:vAlign w:val="center"/>
          </w:tcPr>
          <w:p w:rsidR="00DC30BF" w:rsidRPr="009E351A" w:rsidRDefault="00DC30BF">
            <w:pPr>
              <w:spacing w:before="60" w:after="60"/>
              <w:jc w:val="right"/>
              <w:rPr>
                <w:sz w:val="20"/>
              </w:rPr>
            </w:pPr>
            <w:r w:rsidRPr="009E351A">
              <w:rPr>
                <w:sz w:val="20"/>
              </w:rPr>
              <w:t>645.0</w:t>
            </w:r>
          </w:p>
        </w:tc>
        <w:tc>
          <w:tcPr>
            <w:tcW w:w="876" w:type="dxa"/>
            <w:gridSpan w:val="2"/>
            <w:tcBorders>
              <w:top w:val="single" w:sz="8" w:space="0" w:color="auto"/>
              <w:left w:val="single" w:sz="8" w:space="0" w:color="auto"/>
              <w:bottom w:val="single" w:sz="8" w:space="0" w:color="auto"/>
              <w:right w:val="single" w:sz="8" w:space="0" w:color="auto"/>
            </w:tcBorders>
            <w:vAlign w:val="center"/>
          </w:tcPr>
          <w:p w:rsidR="00DC30BF" w:rsidRPr="009E351A" w:rsidRDefault="00DC30BF">
            <w:pPr>
              <w:spacing w:before="60" w:after="60"/>
              <w:jc w:val="right"/>
              <w:rPr>
                <w:sz w:val="20"/>
              </w:rPr>
            </w:pPr>
            <w:r w:rsidRPr="009E351A">
              <w:rPr>
                <w:sz w:val="20"/>
              </w:rPr>
              <w:t>135</w:t>
            </w:r>
            <w:r w:rsidR="006F4021" w:rsidRPr="009E351A">
              <w:rPr>
                <w:sz w:val="20"/>
              </w:rPr>
              <w:t>3</w:t>
            </w:r>
            <w:r w:rsidRPr="009E351A">
              <w:rPr>
                <w:sz w:val="20"/>
              </w:rPr>
              <w:t>.0</w:t>
            </w:r>
          </w:p>
        </w:tc>
      </w:tr>
      <w:tr w:rsidR="00DC30BF" w:rsidRPr="009E351A">
        <w:tblPrEx>
          <w:tblCellMar>
            <w:top w:w="0" w:type="dxa"/>
            <w:bottom w:w="0" w:type="dxa"/>
          </w:tblCellMar>
        </w:tblPrEx>
        <w:trPr>
          <w:gridAfter w:val="1"/>
          <w:wAfter w:w="108" w:type="dxa"/>
          <w:cantSplit/>
          <w:jc w:val="right"/>
        </w:trPr>
        <w:tc>
          <w:tcPr>
            <w:tcW w:w="2539" w:type="dxa"/>
            <w:gridSpan w:val="2"/>
            <w:tcBorders>
              <w:top w:val="single" w:sz="4" w:space="0" w:color="auto"/>
              <w:left w:val="single" w:sz="8" w:space="0" w:color="auto"/>
              <w:bottom w:val="single" w:sz="8" w:space="0" w:color="auto"/>
              <w:right w:val="single" w:sz="4" w:space="0" w:color="auto"/>
            </w:tcBorders>
          </w:tcPr>
          <w:p w:rsidR="00DC30BF" w:rsidRPr="009E351A" w:rsidRDefault="00DC30BF">
            <w:pPr>
              <w:spacing w:before="60" w:after="60"/>
              <w:rPr>
                <w:sz w:val="20"/>
              </w:rPr>
            </w:pPr>
            <w:r w:rsidRPr="009E351A">
              <w:rPr>
                <w:sz w:val="20"/>
              </w:rPr>
              <w:t>Payment Appropriations (PA)</w:t>
            </w:r>
          </w:p>
        </w:tc>
        <w:tc>
          <w:tcPr>
            <w:tcW w:w="876" w:type="dxa"/>
            <w:gridSpan w:val="2"/>
            <w:tcBorders>
              <w:top w:val="single" w:sz="4" w:space="0" w:color="auto"/>
              <w:left w:val="single" w:sz="4" w:space="0" w:color="auto"/>
              <w:bottom w:val="single" w:sz="8" w:space="0" w:color="auto"/>
              <w:right w:val="single" w:sz="4" w:space="0" w:color="auto"/>
            </w:tcBorders>
          </w:tcPr>
          <w:p w:rsidR="00DC30BF" w:rsidRPr="009E351A" w:rsidRDefault="00DC30BF">
            <w:pPr>
              <w:spacing w:before="60" w:after="60"/>
              <w:jc w:val="center"/>
              <w:rPr>
                <w:sz w:val="20"/>
              </w:rPr>
            </w:pPr>
          </w:p>
        </w:tc>
        <w:tc>
          <w:tcPr>
            <w:tcW w:w="522" w:type="dxa"/>
            <w:gridSpan w:val="2"/>
            <w:tcBorders>
              <w:top w:val="single" w:sz="4"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pPr>
            <w:r w:rsidRPr="009E351A">
              <w:t>b</w:t>
            </w:r>
          </w:p>
        </w:tc>
        <w:tc>
          <w:tcPr>
            <w:tcW w:w="720" w:type="dxa"/>
            <w:gridSpan w:val="2"/>
            <w:tcBorders>
              <w:top w:val="single" w:sz="4"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right"/>
              <w:rPr>
                <w:sz w:val="20"/>
              </w:rPr>
            </w:pPr>
            <w:r w:rsidRPr="009E351A">
              <w:rPr>
                <w:sz w:val="20"/>
              </w:rPr>
              <w:t>0.0</w:t>
            </w:r>
          </w:p>
        </w:tc>
        <w:tc>
          <w:tcPr>
            <w:tcW w:w="720" w:type="dxa"/>
            <w:gridSpan w:val="2"/>
            <w:tcBorders>
              <w:top w:val="single" w:sz="4"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right"/>
              <w:rPr>
                <w:sz w:val="20"/>
              </w:rPr>
            </w:pPr>
            <w:r w:rsidRPr="009E351A">
              <w:rPr>
                <w:sz w:val="20"/>
              </w:rPr>
              <w:t>0.0</w:t>
            </w:r>
          </w:p>
        </w:tc>
        <w:tc>
          <w:tcPr>
            <w:tcW w:w="743" w:type="dxa"/>
            <w:gridSpan w:val="2"/>
            <w:tcBorders>
              <w:top w:val="single" w:sz="4"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right"/>
              <w:rPr>
                <w:sz w:val="20"/>
              </w:rPr>
            </w:pPr>
            <w:r w:rsidRPr="009E351A">
              <w:rPr>
                <w:sz w:val="20"/>
              </w:rPr>
              <w:t>13</w:t>
            </w:r>
            <w:r w:rsidR="006F4021" w:rsidRPr="009E351A">
              <w:rPr>
                <w:sz w:val="20"/>
              </w:rPr>
              <w:t>5</w:t>
            </w:r>
            <w:r w:rsidRPr="009E351A">
              <w:rPr>
                <w:sz w:val="20"/>
              </w:rPr>
              <w:t>.0</w:t>
            </w:r>
          </w:p>
        </w:tc>
        <w:tc>
          <w:tcPr>
            <w:tcW w:w="720" w:type="dxa"/>
            <w:gridSpan w:val="2"/>
            <w:tcBorders>
              <w:top w:val="single" w:sz="4"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right"/>
              <w:rPr>
                <w:sz w:val="20"/>
              </w:rPr>
            </w:pPr>
            <w:r w:rsidRPr="009E351A">
              <w:rPr>
                <w:sz w:val="20"/>
              </w:rPr>
              <w:t>271.0</w:t>
            </w:r>
          </w:p>
        </w:tc>
        <w:tc>
          <w:tcPr>
            <w:tcW w:w="720" w:type="dxa"/>
            <w:gridSpan w:val="2"/>
            <w:tcBorders>
              <w:top w:val="single" w:sz="4"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right"/>
              <w:rPr>
                <w:sz w:val="20"/>
              </w:rPr>
            </w:pPr>
            <w:r w:rsidRPr="009E351A">
              <w:rPr>
                <w:sz w:val="20"/>
              </w:rPr>
              <w:t>302.0</w:t>
            </w:r>
          </w:p>
        </w:tc>
        <w:tc>
          <w:tcPr>
            <w:tcW w:w="720" w:type="dxa"/>
            <w:gridSpan w:val="2"/>
            <w:tcBorders>
              <w:top w:val="single" w:sz="4" w:space="0" w:color="auto"/>
              <w:left w:val="single" w:sz="4" w:space="0" w:color="auto"/>
              <w:bottom w:val="single" w:sz="8" w:space="0" w:color="auto"/>
              <w:right w:val="single" w:sz="8" w:space="0" w:color="auto"/>
            </w:tcBorders>
            <w:vAlign w:val="center"/>
          </w:tcPr>
          <w:p w:rsidR="00DC30BF" w:rsidRPr="009E351A" w:rsidRDefault="00DC30BF">
            <w:pPr>
              <w:spacing w:before="60" w:after="60"/>
              <w:jc w:val="right"/>
              <w:rPr>
                <w:sz w:val="20"/>
              </w:rPr>
            </w:pPr>
            <w:r w:rsidRPr="009E351A">
              <w:rPr>
                <w:sz w:val="20"/>
              </w:rPr>
              <w:t>645.0</w:t>
            </w:r>
          </w:p>
        </w:tc>
        <w:tc>
          <w:tcPr>
            <w:tcW w:w="876" w:type="dxa"/>
            <w:gridSpan w:val="2"/>
            <w:tcBorders>
              <w:top w:val="single" w:sz="8" w:space="0" w:color="auto"/>
              <w:left w:val="single" w:sz="8" w:space="0" w:color="auto"/>
              <w:bottom w:val="single" w:sz="8" w:space="0" w:color="auto"/>
              <w:right w:val="single" w:sz="8" w:space="0" w:color="auto"/>
            </w:tcBorders>
            <w:vAlign w:val="center"/>
          </w:tcPr>
          <w:p w:rsidR="00DC30BF" w:rsidRPr="009E351A" w:rsidRDefault="00DC30BF">
            <w:pPr>
              <w:spacing w:before="60" w:after="60"/>
              <w:jc w:val="right"/>
              <w:rPr>
                <w:sz w:val="20"/>
              </w:rPr>
            </w:pPr>
            <w:r w:rsidRPr="009E351A">
              <w:rPr>
                <w:sz w:val="20"/>
              </w:rPr>
              <w:t>135</w:t>
            </w:r>
            <w:r w:rsidR="006F4021" w:rsidRPr="009E351A">
              <w:rPr>
                <w:sz w:val="20"/>
              </w:rPr>
              <w:t>3</w:t>
            </w:r>
            <w:r w:rsidRPr="009E351A">
              <w:rPr>
                <w:sz w:val="20"/>
              </w:rPr>
              <w:t>.0</w:t>
            </w:r>
          </w:p>
        </w:tc>
      </w:tr>
      <w:tr w:rsidR="00DC30BF" w:rsidRPr="009E351A">
        <w:tblPrEx>
          <w:tblCellMar>
            <w:top w:w="0" w:type="dxa"/>
            <w:bottom w:w="0" w:type="dxa"/>
          </w:tblCellMar>
        </w:tblPrEx>
        <w:trPr>
          <w:gridAfter w:val="1"/>
          <w:wAfter w:w="108" w:type="dxa"/>
          <w:cantSplit/>
          <w:jc w:val="right"/>
        </w:trPr>
        <w:tc>
          <w:tcPr>
            <w:tcW w:w="6120" w:type="dxa"/>
            <w:gridSpan w:val="12"/>
            <w:tcBorders>
              <w:top w:val="single" w:sz="8" w:space="0" w:color="auto"/>
              <w:bottom w:val="single" w:sz="8" w:space="0" w:color="auto"/>
            </w:tcBorders>
          </w:tcPr>
          <w:p w:rsidR="00DC30BF" w:rsidRPr="009E351A" w:rsidRDefault="00DC30BF">
            <w:pPr>
              <w:spacing w:before="60" w:after="60"/>
              <w:rPr>
                <w:b/>
              </w:rPr>
            </w:pPr>
            <w:r w:rsidRPr="009E351A">
              <w:rPr>
                <w:b/>
                <w:sz w:val="22"/>
              </w:rPr>
              <w:t>Administrative expenditure within reference amount</w:t>
            </w:r>
            <w:r w:rsidRPr="009E351A">
              <w:rPr>
                <w:rStyle w:val="Fotnotsreferens"/>
                <w:b/>
                <w:sz w:val="22"/>
              </w:rPr>
              <w:footnoteReference w:id="21"/>
            </w:r>
          </w:p>
        </w:tc>
        <w:tc>
          <w:tcPr>
            <w:tcW w:w="720" w:type="dxa"/>
            <w:gridSpan w:val="2"/>
            <w:tcBorders>
              <w:top w:val="single" w:sz="8" w:space="0" w:color="auto"/>
              <w:bottom w:val="single" w:sz="8" w:space="0" w:color="auto"/>
            </w:tcBorders>
          </w:tcPr>
          <w:p w:rsidR="00DC30BF" w:rsidRPr="009E351A" w:rsidRDefault="00DC30BF">
            <w:pPr>
              <w:spacing w:before="60" w:after="60"/>
              <w:rPr>
                <w:b/>
              </w:rPr>
            </w:pPr>
          </w:p>
        </w:tc>
        <w:tc>
          <w:tcPr>
            <w:tcW w:w="720" w:type="dxa"/>
            <w:gridSpan w:val="2"/>
            <w:tcBorders>
              <w:top w:val="single" w:sz="8" w:space="0" w:color="auto"/>
              <w:bottom w:val="single" w:sz="8" w:space="0" w:color="auto"/>
            </w:tcBorders>
          </w:tcPr>
          <w:p w:rsidR="00DC30BF" w:rsidRPr="009E351A" w:rsidRDefault="00DC30BF">
            <w:pPr>
              <w:spacing w:before="60" w:after="60"/>
              <w:rPr>
                <w:b/>
              </w:rPr>
            </w:pPr>
          </w:p>
        </w:tc>
        <w:tc>
          <w:tcPr>
            <w:tcW w:w="720" w:type="dxa"/>
            <w:gridSpan w:val="2"/>
            <w:tcBorders>
              <w:top w:val="single" w:sz="8" w:space="0" w:color="auto"/>
              <w:bottom w:val="single" w:sz="8" w:space="0" w:color="auto"/>
            </w:tcBorders>
          </w:tcPr>
          <w:p w:rsidR="00DC30BF" w:rsidRPr="009E351A" w:rsidRDefault="00DC30BF">
            <w:pPr>
              <w:spacing w:before="60" w:after="60"/>
              <w:rPr>
                <w:b/>
              </w:rPr>
            </w:pPr>
          </w:p>
        </w:tc>
        <w:tc>
          <w:tcPr>
            <w:tcW w:w="876" w:type="dxa"/>
            <w:gridSpan w:val="2"/>
            <w:tcBorders>
              <w:top w:val="single" w:sz="8" w:space="0" w:color="auto"/>
              <w:bottom w:val="single" w:sz="8" w:space="0" w:color="auto"/>
            </w:tcBorders>
          </w:tcPr>
          <w:p w:rsidR="00DC30BF" w:rsidRPr="009E351A" w:rsidRDefault="00DC30BF">
            <w:pPr>
              <w:spacing w:before="60" w:after="60"/>
              <w:rPr>
                <w:b/>
              </w:rPr>
            </w:pPr>
          </w:p>
        </w:tc>
      </w:tr>
      <w:tr w:rsidR="00DC30BF" w:rsidRPr="009E351A">
        <w:tblPrEx>
          <w:tblCellMar>
            <w:top w:w="0" w:type="dxa"/>
            <w:bottom w:w="0" w:type="dxa"/>
          </w:tblCellMar>
        </w:tblPrEx>
        <w:trPr>
          <w:gridAfter w:val="1"/>
          <w:wAfter w:w="108" w:type="dxa"/>
          <w:cantSplit/>
          <w:jc w:val="right"/>
        </w:trPr>
        <w:tc>
          <w:tcPr>
            <w:tcW w:w="2539" w:type="dxa"/>
            <w:gridSpan w:val="2"/>
            <w:tcBorders>
              <w:top w:val="single" w:sz="8" w:space="0" w:color="auto"/>
              <w:left w:val="single" w:sz="8" w:space="0" w:color="auto"/>
              <w:bottom w:val="single" w:sz="8" w:space="0" w:color="auto"/>
              <w:right w:val="single" w:sz="4" w:space="0" w:color="auto"/>
            </w:tcBorders>
            <w:vAlign w:val="center"/>
          </w:tcPr>
          <w:p w:rsidR="00DC30BF" w:rsidRPr="009E351A" w:rsidRDefault="00DC30BF">
            <w:pPr>
              <w:spacing w:before="60" w:after="60"/>
              <w:jc w:val="center"/>
              <w:rPr>
                <w:sz w:val="20"/>
              </w:rPr>
            </w:pPr>
            <w:r w:rsidRPr="009E351A">
              <w:rPr>
                <w:sz w:val="20"/>
              </w:rPr>
              <w:t>Technical &amp; administrative assistance (NDA)</w:t>
            </w:r>
          </w:p>
        </w:tc>
        <w:tc>
          <w:tcPr>
            <w:tcW w:w="876" w:type="dxa"/>
            <w:gridSpan w:val="2"/>
            <w:tcBorders>
              <w:top w:val="single" w:sz="8"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rPr>
                <w:sz w:val="20"/>
              </w:rPr>
            </w:pPr>
            <w:r w:rsidRPr="009E351A">
              <w:rPr>
                <w:sz w:val="20"/>
              </w:rPr>
              <w:t>8.2.4.</w:t>
            </w:r>
          </w:p>
        </w:tc>
        <w:tc>
          <w:tcPr>
            <w:tcW w:w="522" w:type="dxa"/>
            <w:gridSpan w:val="2"/>
            <w:tcBorders>
              <w:top w:val="single" w:sz="8"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pPr>
            <w:r w:rsidRPr="009E351A">
              <w:t>c</w:t>
            </w:r>
          </w:p>
        </w:tc>
        <w:tc>
          <w:tcPr>
            <w:tcW w:w="720" w:type="dxa"/>
            <w:gridSpan w:val="2"/>
            <w:tcBorders>
              <w:top w:val="single" w:sz="8"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8"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43" w:type="dxa"/>
            <w:gridSpan w:val="2"/>
            <w:tcBorders>
              <w:top w:val="single" w:sz="8"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8"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8" w:space="0" w:color="auto"/>
              <w:left w:val="single" w:sz="4" w:space="0" w:color="auto"/>
              <w:bottom w:val="single" w:sz="8"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8" w:space="0" w:color="auto"/>
              <w:left w:val="single" w:sz="4" w:space="0" w:color="auto"/>
              <w:bottom w:val="single" w:sz="8" w:space="0" w:color="auto"/>
              <w:right w:val="single" w:sz="8" w:space="0" w:color="auto"/>
            </w:tcBorders>
            <w:vAlign w:val="center"/>
          </w:tcPr>
          <w:p w:rsidR="00DC30BF" w:rsidRPr="009E351A" w:rsidRDefault="00DC30BF">
            <w:pPr>
              <w:spacing w:before="60" w:after="60"/>
              <w:jc w:val="center"/>
              <w:rPr>
                <w:sz w:val="20"/>
              </w:rPr>
            </w:pPr>
            <w:r w:rsidRPr="009E351A">
              <w:rPr>
                <w:sz w:val="20"/>
              </w:rPr>
              <w:t>-</w:t>
            </w:r>
          </w:p>
        </w:tc>
        <w:tc>
          <w:tcPr>
            <w:tcW w:w="876" w:type="dxa"/>
            <w:gridSpan w:val="2"/>
            <w:tcBorders>
              <w:top w:val="single" w:sz="8" w:space="0" w:color="auto"/>
              <w:left w:val="single" w:sz="8" w:space="0" w:color="auto"/>
              <w:bottom w:val="single" w:sz="8" w:space="0" w:color="auto"/>
              <w:right w:val="single" w:sz="8" w:space="0" w:color="auto"/>
            </w:tcBorders>
            <w:vAlign w:val="center"/>
          </w:tcPr>
          <w:p w:rsidR="00DC30BF" w:rsidRPr="009E351A" w:rsidRDefault="00DC30BF">
            <w:pPr>
              <w:spacing w:before="60" w:after="60"/>
              <w:jc w:val="center"/>
              <w:rPr>
                <w:sz w:val="20"/>
              </w:rPr>
            </w:pPr>
            <w:r w:rsidRPr="009E351A">
              <w:rPr>
                <w:sz w:val="20"/>
              </w:rPr>
              <w:t>-</w:t>
            </w:r>
          </w:p>
        </w:tc>
      </w:tr>
      <w:tr w:rsidR="00DC30BF" w:rsidRPr="009E351A">
        <w:tblPrEx>
          <w:tblCellMar>
            <w:top w:w="0" w:type="dxa"/>
            <w:bottom w:w="0" w:type="dxa"/>
          </w:tblCellMar>
        </w:tblPrEx>
        <w:trPr>
          <w:gridAfter w:val="1"/>
          <w:wAfter w:w="108" w:type="dxa"/>
          <w:cantSplit/>
          <w:jc w:val="right"/>
        </w:trPr>
        <w:tc>
          <w:tcPr>
            <w:tcW w:w="3937" w:type="dxa"/>
            <w:gridSpan w:val="6"/>
            <w:tcBorders>
              <w:top w:val="single" w:sz="8" w:space="0" w:color="auto"/>
              <w:bottom w:val="single" w:sz="18" w:space="0" w:color="auto"/>
            </w:tcBorders>
          </w:tcPr>
          <w:p w:rsidR="00DC30BF" w:rsidRPr="009E351A" w:rsidRDefault="00DC30BF">
            <w:pPr>
              <w:spacing w:before="60" w:after="60"/>
              <w:rPr>
                <w:b/>
                <w:sz w:val="20"/>
              </w:rPr>
            </w:pPr>
            <w:r w:rsidRPr="009E351A">
              <w:rPr>
                <w:b/>
                <w:sz w:val="20"/>
              </w:rPr>
              <w:t>TOTAL REFERENCE AMOUNT</w:t>
            </w:r>
          </w:p>
        </w:tc>
        <w:tc>
          <w:tcPr>
            <w:tcW w:w="720" w:type="dxa"/>
            <w:gridSpan w:val="2"/>
            <w:tcBorders>
              <w:top w:val="single" w:sz="8" w:space="0" w:color="auto"/>
              <w:bottom w:val="single" w:sz="18" w:space="0" w:color="auto"/>
            </w:tcBorders>
          </w:tcPr>
          <w:p w:rsidR="00DC30BF" w:rsidRPr="009E351A" w:rsidRDefault="00DC30BF">
            <w:pPr>
              <w:spacing w:before="60" w:after="60"/>
              <w:rPr>
                <w:b/>
              </w:rPr>
            </w:pPr>
          </w:p>
        </w:tc>
        <w:tc>
          <w:tcPr>
            <w:tcW w:w="720" w:type="dxa"/>
            <w:gridSpan w:val="2"/>
            <w:tcBorders>
              <w:top w:val="single" w:sz="8" w:space="0" w:color="auto"/>
              <w:bottom w:val="single" w:sz="18" w:space="0" w:color="auto"/>
            </w:tcBorders>
          </w:tcPr>
          <w:p w:rsidR="00DC30BF" w:rsidRPr="009E351A" w:rsidRDefault="00DC30BF">
            <w:pPr>
              <w:spacing w:before="60" w:after="60"/>
              <w:rPr>
                <w:b/>
              </w:rPr>
            </w:pPr>
          </w:p>
        </w:tc>
        <w:tc>
          <w:tcPr>
            <w:tcW w:w="743" w:type="dxa"/>
            <w:gridSpan w:val="2"/>
            <w:tcBorders>
              <w:top w:val="single" w:sz="8" w:space="0" w:color="auto"/>
              <w:bottom w:val="single" w:sz="18" w:space="0" w:color="auto"/>
            </w:tcBorders>
          </w:tcPr>
          <w:p w:rsidR="00DC30BF" w:rsidRPr="009E351A" w:rsidRDefault="00DC30BF">
            <w:pPr>
              <w:spacing w:before="60" w:after="60"/>
              <w:rPr>
                <w:b/>
              </w:rPr>
            </w:pPr>
          </w:p>
        </w:tc>
        <w:tc>
          <w:tcPr>
            <w:tcW w:w="720" w:type="dxa"/>
            <w:gridSpan w:val="2"/>
            <w:tcBorders>
              <w:top w:val="single" w:sz="8" w:space="0" w:color="auto"/>
              <w:bottom w:val="single" w:sz="18" w:space="0" w:color="auto"/>
            </w:tcBorders>
          </w:tcPr>
          <w:p w:rsidR="00DC30BF" w:rsidRPr="009E351A" w:rsidRDefault="00DC30BF">
            <w:pPr>
              <w:spacing w:before="60" w:after="60"/>
              <w:rPr>
                <w:b/>
              </w:rPr>
            </w:pPr>
          </w:p>
        </w:tc>
        <w:tc>
          <w:tcPr>
            <w:tcW w:w="720" w:type="dxa"/>
            <w:gridSpan w:val="2"/>
            <w:tcBorders>
              <w:top w:val="single" w:sz="8" w:space="0" w:color="auto"/>
              <w:bottom w:val="single" w:sz="18" w:space="0" w:color="auto"/>
            </w:tcBorders>
          </w:tcPr>
          <w:p w:rsidR="00DC30BF" w:rsidRPr="009E351A" w:rsidRDefault="00DC30BF">
            <w:pPr>
              <w:spacing w:before="60" w:after="60"/>
              <w:rPr>
                <w:b/>
              </w:rPr>
            </w:pPr>
          </w:p>
        </w:tc>
        <w:tc>
          <w:tcPr>
            <w:tcW w:w="720" w:type="dxa"/>
            <w:gridSpan w:val="2"/>
            <w:tcBorders>
              <w:top w:val="single" w:sz="8" w:space="0" w:color="auto"/>
              <w:bottom w:val="single" w:sz="18" w:space="0" w:color="auto"/>
            </w:tcBorders>
          </w:tcPr>
          <w:p w:rsidR="00DC30BF" w:rsidRPr="009E351A" w:rsidRDefault="00DC30BF">
            <w:pPr>
              <w:spacing w:before="60" w:after="60"/>
              <w:rPr>
                <w:b/>
              </w:rPr>
            </w:pPr>
          </w:p>
        </w:tc>
        <w:tc>
          <w:tcPr>
            <w:tcW w:w="876" w:type="dxa"/>
            <w:gridSpan w:val="2"/>
            <w:tcBorders>
              <w:top w:val="single" w:sz="8" w:space="0" w:color="auto"/>
              <w:bottom w:val="single" w:sz="18" w:space="0" w:color="auto"/>
            </w:tcBorders>
          </w:tcPr>
          <w:p w:rsidR="00DC30BF" w:rsidRPr="009E351A" w:rsidRDefault="00DC30BF">
            <w:pPr>
              <w:spacing w:before="60" w:after="60"/>
              <w:rPr>
                <w:b/>
              </w:rPr>
            </w:pPr>
          </w:p>
        </w:tc>
      </w:tr>
      <w:tr w:rsidR="00DC30BF" w:rsidRPr="009E351A">
        <w:tblPrEx>
          <w:tblCellMar>
            <w:top w:w="0" w:type="dxa"/>
            <w:bottom w:w="0" w:type="dxa"/>
          </w:tblCellMar>
        </w:tblPrEx>
        <w:trPr>
          <w:gridAfter w:val="1"/>
          <w:wAfter w:w="108" w:type="dxa"/>
          <w:cantSplit/>
          <w:jc w:val="right"/>
        </w:trPr>
        <w:tc>
          <w:tcPr>
            <w:tcW w:w="2539" w:type="dxa"/>
            <w:gridSpan w:val="2"/>
            <w:tcBorders>
              <w:top w:val="single" w:sz="18" w:space="0" w:color="auto"/>
              <w:left w:val="single" w:sz="18" w:space="0" w:color="auto"/>
              <w:bottom w:val="single" w:sz="12" w:space="0" w:color="auto"/>
              <w:right w:val="single" w:sz="4" w:space="0" w:color="auto"/>
            </w:tcBorders>
          </w:tcPr>
          <w:p w:rsidR="00DC30BF" w:rsidRPr="009E351A" w:rsidRDefault="00DC30BF">
            <w:pPr>
              <w:spacing w:before="60" w:after="60"/>
              <w:rPr>
                <w:b/>
                <w:sz w:val="20"/>
              </w:rPr>
            </w:pPr>
            <w:r w:rsidRPr="009E351A">
              <w:rPr>
                <w:b/>
                <w:sz w:val="20"/>
              </w:rPr>
              <w:t>Commitment Appropriations</w:t>
            </w:r>
          </w:p>
        </w:tc>
        <w:tc>
          <w:tcPr>
            <w:tcW w:w="876" w:type="dxa"/>
            <w:gridSpan w:val="2"/>
            <w:tcBorders>
              <w:top w:val="single" w:sz="18" w:space="0" w:color="auto"/>
              <w:left w:val="single" w:sz="4" w:space="0" w:color="auto"/>
              <w:bottom w:val="single" w:sz="12" w:space="0" w:color="auto"/>
              <w:right w:val="single" w:sz="4" w:space="0" w:color="auto"/>
            </w:tcBorders>
          </w:tcPr>
          <w:p w:rsidR="00DC30BF" w:rsidRPr="009E351A" w:rsidRDefault="00DC30BF">
            <w:pPr>
              <w:spacing w:before="60" w:after="60"/>
              <w:jc w:val="center"/>
              <w:rPr>
                <w:b/>
                <w:sz w:val="20"/>
              </w:rPr>
            </w:pPr>
          </w:p>
        </w:tc>
        <w:tc>
          <w:tcPr>
            <w:tcW w:w="522" w:type="dxa"/>
            <w:gridSpan w:val="2"/>
            <w:tcBorders>
              <w:top w:val="single" w:sz="18" w:space="0" w:color="auto"/>
              <w:left w:val="single" w:sz="4" w:space="0" w:color="auto"/>
              <w:bottom w:val="single" w:sz="12" w:space="0" w:color="auto"/>
              <w:right w:val="single" w:sz="4" w:space="0" w:color="auto"/>
            </w:tcBorders>
            <w:vAlign w:val="center"/>
          </w:tcPr>
          <w:p w:rsidR="00DC30BF" w:rsidRPr="009E351A" w:rsidRDefault="00DC30BF">
            <w:pPr>
              <w:spacing w:before="60" w:after="60"/>
              <w:jc w:val="center"/>
            </w:pPr>
            <w:r w:rsidRPr="009E351A">
              <w:t>a+c</w:t>
            </w:r>
          </w:p>
        </w:tc>
        <w:tc>
          <w:tcPr>
            <w:tcW w:w="720" w:type="dxa"/>
            <w:gridSpan w:val="2"/>
            <w:tcBorders>
              <w:top w:val="single" w:sz="18" w:space="0" w:color="auto"/>
              <w:left w:val="single" w:sz="4" w:space="0" w:color="auto"/>
              <w:bottom w:val="single" w:sz="12" w:space="0" w:color="auto"/>
              <w:right w:val="single" w:sz="4" w:space="0" w:color="auto"/>
            </w:tcBorders>
            <w:vAlign w:val="center"/>
          </w:tcPr>
          <w:p w:rsidR="00DC30BF" w:rsidRPr="009E351A" w:rsidRDefault="00DC30BF">
            <w:pPr>
              <w:spacing w:before="60" w:after="60"/>
              <w:jc w:val="right"/>
              <w:rPr>
                <w:b/>
                <w:sz w:val="20"/>
              </w:rPr>
            </w:pPr>
            <w:r w:rsidRPr="009E351A">
              <w:rPr>
                <w:b/>
                <w:sz w:val="20"/>
              </w:rPr>
              <w:t>0.0</w:t>
            </w:r>
          </w:p>
        </w:tc>
        <w:tc>
          <w:tcPr>
            <w:tcW w:w="720" w:type="dxa"/>
            <w:gridSpan w:val="2"/>
            <w:tcBorders>
              <w:top w:val="single" w:sz="18" w:space="0" w:color="auto"/>
              <w:left w:val="single" w:sz="4" w:space="0" w:color="auto"/>
              <w:bottom w:val="single" w:sz="12" w:space="0" w:color="auto"/>
              <w:right w:val="single" w:sz="4" w:space="0" w:color="auto"/>
            </w:tcBorders>
            <w:vAlign w:val="center"/>
          </w:tcPr>
          <w:p w:rsidR="00DC30BF" w:rsidRPr="009E351A" w:rsidRDefault="00DC30BF">
            <w:pPr>
              <w:jc w:val="right"/>
              <w:rPr>
                <w:b/>
                <w:sz w:val="20"/>
              </w:rPr>
            </w:pPr>
            <w:r w:rsidRPr="009E351A">
              <w:rPr>
                <w:b/>
                <w:sz w:val="20"/>
              </w:rPr>
              <w:t>0.0</w:t>
            </w:r>
          </w:p>
        </w:tc>
        <w:tc>
          <w:tcPr>
            <w:tcW w:w="743" w:type="dxa"/>
            <w:gridSpan w:val="2"/>
            <w:tcBorders>
              <w:top w:val="single" w:sz="18" w:space="0" w:color="auto"/>
              <w:left w:val="single" w:sz="4" w:space="0" w:color="auto"/>
              <w:bottom w:val="single" w:sz="12" w:space="0" w:color="auto"/>
              <w:right w:val="single" w:sz="4" w:space="0" w:color="auto"/>
            </w:tcBorders>
            <w:vAlign w:val="center"/>
          </w:tcPr>
          <w:p w:rsidR="00DC30BF" w:rsidRPr="009E351A" w:rsidRDefault="00DC30BF">
            <w:pPr>
              <w:jc w:val="right"/>
              <w:rPr>
                <w:b/>
                <w:sz w:val="20"/>
              </w:rPr>
            </w:pPr>
            <w:r w:rsidRPr="009E351A">
              <w:rPr>
                <w:b/>
                <w:sz w:val="20"/>
              </w:rPr>
              <w:t>13</w:t>
            </w:r>
            <w:r w:rsidR="006F4021" w:rsidRPr="009E351A">
              <w:rPr>
                <w:b/>
                <w:sz w:val="20"/>
              </w:rPr>
              <w:t>5</w:t>
            </w:r>
            <w:r w:rsidRPr="009E351A">
              <w:rPr>
                <w:b/>
                <w:sz w:val="20"/>
              </w:rPr>
              <w:t>.0</w:t>
            </w:r>
          </w:p>
        </w:tc>
        <w:tc>
          <w:tcPr>
            <w:tcW w:w="720" w:type="dxa"/>
            <w:gridSpan w:val="2"/>
            <w:tcBorders>
              <w:top w:val="single" w:sz="18" w:space="0" w:color="auto"/>
              <w:left w:val="single" w:sz="4" w:space="0" w:color="auto"/>
              <w:bottom w:val="single" w:sz="12" w:space="0" w:color="auto"/>
              <w:right w:val="single" w:sz="4" w:space="0" w:color="auto"/>
            </w:tcBorders>
            <w:vAlign w:val="center"/>
          </w:tcPr>
          <w:p w:rsidR="00DC30BF" w:rsidRPr="009E351A" w:rsidRDefault="00DC30BF">
            <w:pPr>
              <w:jc w:val="right"/>
              <w:rPr>
                <w:b/>
                <w:sz w:val="20"/>
              </w:rPr>
            </w:pPr>
            <w:r w:rsidRPr="009E351A">
              <w:rPr>
                <w:b/>
                <w:sz w:val="20"/>
              </w:rPr>
              <w:t>271.0</w:t>
            </w:r>
          </w:p>
        </w:tc>
        <w:tc>
          <w:tcPr>
            <w:tcW w:w="720" w:type="dxa"/>
            <w:gridSpan w:val="2"/>
            <w:tcBorders>
              <w:top w:val="single" w:sz="18" w:space="0" w:color="auto"/>
              <w:left w:val="single" w:sz="4" w:space="0" w:color="auto"/>
              <w:bottom w:val="single" w:sz="12" w:space="0" w:color="auto"/>
              <w:right w:val="single" w:sz="4" w:space="0" w:color="auto"/>
            </w:tcBorders>
            <w:vAlign w:val="center"/>
          </w:tcPr>
          <w:p w:rsidR="00DC30BF" w:rsidRPr="009E351A" w:rsidRDefault="00DC30BF">
            <w:pPr>
              <w:jc w:val="right"/>
              <w:rPr>
                <w:b/>
                <w:sz w:val="20"/>
              </w:rPr>
            </w:pPr>
            <w:r w:rsidRPr="009E351A">
              <w:rPr>
                <w:b/>
                <w:sz w:val="20"/>
              </w:rPr>
              <w:t>302.0</w:t>
            </w:r>
          </w:p>
        </w:tc>
        <w:tc>
          <w:tcPr>
            <w:tcW w:w="720" w:type="dxa"/>
            <w:gridSpan w:val="2"/>
            <w:tcBorders>
              <w:top w:val="single" w:sz="18" w:space="0" w:color="auto"/>
              <w:left w:val="single" w:sz="4" w:space="0" w:color="auto"/>
              <w:bottom w:val="single" w:sz="12" w:space="0" w:color="auto"/>
              <w:right w:val="single" w:sz="12" w:space="0" w:color="auto"/>
            </w:tcBorders>
            <w:vAlign w:val="center"/>
          </w:tcPr>
          <w:p w:rsidR="00DC30BF" w:rsidRPr="009E351A" w:rsidRDefault="00DC30BF">
            <w:pPr>
              <w:jc w:val="right"/>
              <w:rPr>
                <w:b/>
                <w:sz w:val="20"/>
              </w:rPr>
            </w:pPr>
            <w:r w:rsidRPr="009E351A">
              <w:rPr>
                <w:b/>
                <w:sz w:val="20"/>
              </w:rPr>
              <w:t>645.0</w:t>
            </w:r>
          </w:p>
        </w:tc>
        <w:tc>
          <w:tcPr>
            <w:tcW w:w="876" w:type="dxa"/>
            <w:gridSpan w:val="2"/>
            <w:tcBorders>
              <w:top w:val="single" w:sz="18" w:space="0" w:color="auto"/>
              <w:left w:val="nil"/>
              <w:bottom w:val="single" w:sz="12" w:space="0" w:color="auto"/>
              <w:right w:val="single" w:sz="18" w:space="0" w:color="auto"/>
            </w:tcBorders>
            <w:vAlign w:val="center"/>
          </w:tcPr>
          <w:p w:rsidR="00DC30BF" w:rsidRPr="009E351A" w:rsidRDefault="00DC30BF">
            <w:pPr>
              <w:jc w:val="right"/>
              <w:rPr>
                <w:b/>
                <w:sz w:val="20"/>
              </w:rPr>
            </w:pPr>
            <w:r w:rsidRPr="009E351A">
              <w:rPr>
                <w:b/>
                <w:sz w:val="20"/>
              </w:rPr>
              <w:t>135</w:t>
            </w:r>
            <w:r w:rsidR="006F4021" w:rsidRPr="009E351A">
              <w:rPr>
                <w:b/>
                <w:sz w:val="20"/>
              </w:rPr>
              <w:t>3</w:t>
            </w:r>
            <w:r w:rsidRPr="009E351A">
              <w:rPr>
                <w:b/>
                <w:sz w:val="20"/>
              </w:rPr>
              <w:t>.0</w:t>
            </w:r>
          </w:p>
        </w:tc>
      </w:tr>
      <w:tr w:rsidR="00DC30BF" w:rsidRPr="009E351A">
        <w:tblPrEx>
          <w:tblCellMar>
            <w:top w:w="0" w:type="dxa"/>
            <w:bottom w:w="0" w:type="dxa"/>
          </w:tblCellMar>
        </w:tblPrEx>
        <w:trPr>
          <w:gridAfter w:val="1"/>
          <w:wAfter w:w="108" w:type="dxa"/>
          <w:cantSplit/>
          <w:jc w:val="right"/>
        </w:trPr>
        <w:tc>
          <w:tcPr>
            <w:tcW w:w="2539" w:type="dxa"/>
            <w:gridSpan w:val="2"/>
            <w:tcBorders>
              <w:top w:val="single" w:sz="12" w:space="0" w:color="auto"/>
              <w:left w:val="single" w:sz="18" w:space="0" w:color="auto"/>
              <w:bottom w:val="single" w:sz="18" w:space="0" w:color="auto"/>
              <w:right w:val="single" w:sz="4" w:space="0" w:color="auto"/>
            </w:tcBorders>
          </w:tcPr>
          <w:p w:rsidR="00DC30BF" w:rsidRPr="009E351A" w:rsidRDefault="00DC30BF">
            <w:pPr>
              <w:spacing w:before="60" w:after="60"/>
              <w:rPr>
                <w:b/>
                <w:sz w:val="20"/>
              </w:rPr>
            </w:pPr>
            <w:r w:rsidRPr="009E351A">
              <w:rPr>
                <w:b/>
                <w:sz w:val="20"/>
              </w:rPr>
              <w:t>Payment Appropriations</w:t>
            </w:r>
          </w:p>
        </w:tc>
        <w:tc>
          <w:tcPr>
            <w:tcW w:w="876" w:type="dxa"/>
            <w:gridSpan w:val="2"/>
            <w:tcBorders>
              <w:top w:val="single" w:sz="12" w:space="0" w:color="auto"/>
              <w:left w:val="single" w:sz="4" w:space="0" w:color="auto"/>
              <w:bottom w:val="single" w:sz="18" w:space="0" w:color="auto"/>
              <w:right w:val="single" w:sz="4" w:space="0" w:color="auto"/>
            </w:tcBorders>
          </w:tcPr>
          <w:p w:rsidR="00DC30BF" w:rsidRPr="009E351A" w:rsidRDefault="00DC30BF">
            <w:pPr>
              <w:spacing w:before="60" w:after="60"/>
              <w:jc w:val="center"/>
              <w:rPr>
                <w:b/>
                <w:sz w:val="20"/>
              </w:rPr>
            </w:pPr>
          </w:p>
        </w:tc>
        <w:tc>
          <w:tcPr>
            <w:tcW w:w="522" w:type="dxa"/>
            <w:gridSpan w:val="2"/>
            <w:tcBorders>
              <w:top w:val="single" w:sz="12" w:space="0" w:color="auto"/>
              <w:left w:val="single" w:sz="4" w:space="0" w:color="auto"/>
              <w:bottom w:val="single" w:sz="18" w:space="0" w:color="auto"/>
              <w:right w:val="single" w:sz="4" w:space="0" w:color="auto"/>
            </w:tcBorders>
            <w:vAlign w:val="center"/>
          </w:tcPr>
          <w:p w:rsidR="00DC30BF" w:rsidRPr="009E351A" w:rsidRDefault="00DC30BF">
            <w:pPr>
              <w:spacing w:before="60" w:after="60"/>
              <w:jc w:val="center"/>
            </w:pPr>
            <w:r w:rsidRPr="009E351A">
              <w:t>b+c</w:t>
            </w:r>
          </w:p>
        </w:tc>
        <w:tc>
          <w:tcPr>
            <w:tcW w:w="720" w:type="dxa"/>
            <w:gridSpan w:val="2"/>
            <w:tcBorders>
              <w:top w:val="single" w:sz="12" w:space="0" w:color="auto"/>
              <w:left w:val="single" w:sz="4" w:space="0" w:color="auto"/>
              <w:bottom w:val="single" w:sz="18" w:space="0" w:color="auto"/>
              <w:right w:val="single" w:sz="4" w:space="0" w:color="auto"/>
            </w:tcBorders>
            <w:vAlign w:val="center"/>
          </w:tcPr>
          <w:p w:rsidR="00DC30BF" w:rsidRPr="009E351A" w:rsidRDefault="00DC30BF">
            <w:pPr>
              <w:spacing w:before="60" w:after="60"/>
              <w:jc w:val="right"/>
              <w:rPr>
                <w:b/>
                <w:sz w:val="20"/>
              </w:rPr>
            </w:pPr>
            <w:r w:rsidRPr="009E351A">
              <w:rPr>
                <w:b/>
                <w:sz w:val="20"/>
              </w:rPr>
              <w:t>0.0</w:t>
            </w:r>
          </w:p>
        </w:tc>
        <w:tc>
          <w:tcPr>
            <w:tcW w:w="720" w:type="dxa"/>
            <w:gridSpan w:val="2"/>
            <w:tcBorders>
              <w:top w:val="single" w:sz="12" w:space="0" w:color="auto"/>
              <w:left w:val="single" w:sz="4" w:space="0" w:color="auto"/>
              <w:bottom w:val="single" w:sz="18" w:space="0" w:color="auto"/>
              <w:right w:val="single" w:sz="4" w:space="0" w:color="auto"/>
            </w:tcBorders>
            <w:vAlign w:val="center"/>
          </w:tcPr>
          <w:p w:rsidR="00DC30BF" w:rsidRPr="009E351A" w:rsidRDefault="00DC30BF">
            <w:pPr>
              <w:jc w:val="right"/>
              <w:rPr>
                <w:b/>
                <w:sz w:val="20"/>
              </w:rPr>
            </w:pPr>
            <w:r w:rsidRPr="009E351A">
              <w:rPr>
                <w:b/>
                <w:sz w:val="20"/>
              </w:rPr>
              <w:t>0.0</w:t>
            </w:r>
          </w:p>
        </w:tc>
        <w:tc>
          <w:tcPr>
            <w:tcW w:w="743" w:type="dxa"/>
            <w:gridSpan w:val="2"/>
            <w:tcBorders>
              <w:top w:val="single" w:sz="12" w:space="0" w:color="auto"/>
              <w:left w:val="single" w:sz="4" w:space="0" w:color="auto"/>
              <w:bottom w:val="single" w:sz="18" w:space="0" w:color="auto"/>
              <w:right w:val="single" w:sz="4" w:space="0" w:color="auto"/>
            </w:tcBorders>
            <w:vAlign w:val="center"/>
          </w:tcPr>
          <w:p w:rsidR="00DC30BF" w:rsidRPr="009E351A" w:rsidRDefault="00DC30BF">
            <w:pPr>
              <w:jc w:val="right"/>
              <w:rPr>
                <w:b/>
                <w:sz w:val="20"/>
              </w:rPr>
            </w:pPr>
            <w:r w:rsidRPr="009E351A">
              <w:rPr>
                <w:b/>
                <w:sz w:val="20"/>
              </w:rPr>
              <w:t>13</w:t>
            </w:r>
            <w:r w:rsidR="006F4021" w:rsidRPr="009E351A">
              <w:rPr>
                <w:b/>
                <w:sz w:val="20"/>
              </w:rPr>
              <w:t>5</w:t>
            </w:r>
            <w:r w:rsidRPr="009E351A">
              <w:rPr>
                <w:b/>
                <w:sz w:val="20"/>
              </w:rPr>
              <w:t>.0</w:t>
            </w:r>
          </w:p>
        </w:tc>
        <w:tc>
          <w:tcPr>
            <w:tcW w:w="720" w:type="dxa"/>
            <w:gridSpan w:val="2"/>
            <w:tcBorders>
              <w:top w:val="single" w:sz="12" w:space="0" w:color="auto"/>
              <w:left w:val="single" w:sz="4" w:space="0" w:color="auto"/>
              <w:bottom w:val="single" w:sz="18" w:space="0" w:color="auto"/>
              <w:right w:val="single" w:sz="4" w:space="0" w:color="auto"/>
            </w:tcBorders>
            <w:vAlign w:val="center"/>
          </w:tcPr>
          <w:p w:rsidR="00DC30BF" w:rsidRPr="009E351A" w:rsidRDefault="00DC30BF">
            <w:pPr>
              <w:jc w:val="right"/>
              <w:rPr>
                <w:b/>
                <w:sz w:val="20"/>
              </w:rPr>
            </w:pPr>
            <w:r w:rsidRPr="009E351A">
              <w:rPr>
                <w:b/>
                <w:sz w:val="20"/>
              </w:rPr>
              <w:t>271.0</w:t>
            </w:r>
          </w:p>
        </w:tc>
        <w:tc>
          <w:tcPr>
            <w:tcW w:w="720" w:type="dxa"/>
            <w:gridSpan w:val="2"/>
            <w:tcBorders>
              <w:top w:val="single" w:sz="12" w:space="0" w:color="auto"/>
              <w:left w:val="single" w:sz="4" w:space="0" w:color="auto"/>
              <w:bottom w:val="single" w:sz="18" w:space="0" w:color="auto"/>
              <w:right w:val="single" w:sz="4" w:space="0" w:color="auto"/>
            </w:tcBorders>
            <w:vAlign w:val="center"/>
          </w:tcPr>
          <w:p w:rsidR="00DC30BF" w:rsidRPr="009E351A" w:rsidRDefault="00DC30BF">
            <w:pPr>
              <w:jc w:val="right"/>
              <w:rPr>
                <w:b/>
                <w:sz w:val="20"/>
              </w:rPr>
            </w:pPr>
            <w:r w:rsidRPr="009E351A">
              <w:rPr>
                <w:b/>
                <w:sz w:val="20"/>
              </w:rPr>
              <w:t>302.0</w:t>
            </w:r>
          </w:p>
        </w:tc>
        <w:tc>
          <w:tcPr>
            <w:tcW w:w="720" w:type="dxa"/>
            <w:gridSpan w:val="2"/>
            <w:tcBorders>
              <w:top w:val="single" w:sz="12" w:space="0" w:color="auto"/>
              <w:left w:val="single" w:sz="4" w:space="0" w:color="auto"/>
              <w:bottom w:val="single" w:sz="18" w:space="0" w:color="auto"/>
              <w:right w:val="single" w:sz="12" w:space="0" w:color="auto"/>
            </w:tcBorders>
            <w:vAlign w:val="center"/>
          </w:tcPr>
          <w:p w:rsidR="00DC30BF" w:rsidRPr="009E351A" w:rsidRDefault="00DC30BF">
            <w:pPr>
              <w:jc w:val="right"/>
              <w:rPr>
                <w:b/>
                <w:sz w:val="20"/>
              </w:rPr>
            </w:pPr>
            <w:r w:rsidRPr="009E351A">
              <w:rPr>
                <w:b/>
                <w:sz w:val="20"/>
              </w:rPr>
              <w:t>645.0</w:t>
            </w:r>
          </w:p>
        </w:tc>
        <w:tc>
          <w:tcPr>
            <w:tcW w:w="876" w:type="dxa"/>
            <w:gridSpan w:val="2"/>
            <w:tcBorders>
              <w:top w:val="single" w:sz="12" w:space="0" w:color="auto"/>
              <w:left w:val="nil"/>
              <w:bottom w:val="single" w:sz="18" w:space="0" w:color="auto"/>
              <w:right w:val="single" w:sz="18" w:space="0" w:color="auto"/>
            </w:tcBorders>
            <w:vAlign w:val="center"/>
          </w:tcPr>
          <w:p w:rsidR="00DC30BF" w:rsidRPr="009E351A" w:rsidRDefault="00DC30BF">
            <w:pPr>
              <w:jc w:val="right"/>
              <w:rPr>
                <w:b/>
                <w:sz w:val="20"/>
              </w:rPr>
            </w:pPr>
            <w:r w:rsidRPr="009E351A">
              <w:rPr>
                <w:b/>
                <w:sz w:val="20"/>
              </w:rPr>
              <w:t>135</w:t>
            </w:r>
            <w:r w:rsidR="006F4021" w:rsidRPr="009E351A">
              <w:rPr>
                <w:b/>
                <w:sz w:val="20"/>
              </w:rPr>
              <w:t>3</w:t>
            </w:r>
            <w:r w:rsidRPr="009E351A">
              <w:rPr>
                <w:b/>
                <w:sz w:val="20"/>
              </w:rPr>
              <w:t>.0</w:t>
            </w:r>
          </w:p>
        </w:tc>
      </w:tr>
      <w:tr w:rsidR="00DC30BF" w:rsidRPr="009E351A">
        <w:tblPrEx>
          <w:tblCellMar>
            <w:top w:w="0" w:type="dxa"/>
            <w:bottom w:w="0" w:type="dxa"/>
          </w:tblCellMar>
        </w:tblPrEx>
        <w:trPr>
          <w:gridAfter w:val="1"/>
          <w:wAfter w:w="108" w:type="dxa"/>
          <w:cantSplit/>
          <w:jc w:val="right"/>
        </w:trPr>
        <w:tc>
          <w:tcPr>
            <w:tcW w:w="7560" w:type="dxa"/>
            <w:gridSpan w:val="16"/>
            <w:tcBorders>
              <w:top w:val="single" w:sz="18" w:space="0" w:color="auto"/>
              <w:bottom w:val="single" w:sz="8" w:space="0" w:color="auto"/>
            </w:tcBorders>
          </w:tcPr>
          <w:p w:rsidR="00DC30BF" w:rsidRPr="009E351A" w:rsidRDefault="00DC30BF">
            <w:pPr>
              <w:spacing w:before="60" w:after="60"/>
            </w:pPr>
            <w:r w:rsidRPr="009E351A">
              <w:rPr>
                <w:b/>
                <w:sz w:val="22"/>
              </w:rPr>
              <w:t xml:space="preserve">Administrative expenditure </w:t>
            </w:r>
            <w:r w:rsidRPr="009E351A">
              <w:rPr>
                <w:b/>
                <w:sz w:val="22"/>
                <w:u w:val="single"/>
              </w:rPr>
              <w:t>not</w:t>
            </w:r>
            <w:r w:rsidRPr="009E351A">
              <w:rPr>
                <w:b/>
                <w:sz w:val="22"/>
              </w:rPr>
              <w:t xml:space="preserve"> included in reference amount</w:t>
            </w:r>
            <w:r w:rsidRPr="009E351A">
              <w:rPr>
                <w:rStyle w:val="Fotnotsreferens"/>
                <w:b/>
                <w:sz w:val="22"/>
              </w:rPr>
              <w:footnoteReference w:id="22"/>
            </w:r>
          </w:p>
        </w:tc>
        <w:tc>
          <w:tcPr>
            <w:tcW w:w="720" w:type="dxa"/>
            <w:gridSpan w:val="2"/>
            <w:tcBorders>
              <w:top w:val="single" w:sz="18" w:space="0" w:color="auto"/>
              <w:bottom w:val="single" w:sz="8" w:space="0" w:color="auto"/>
            </w:tcBorders>
          </w:tcPr>
          <w:p w:rsidR="00DC30BF" w:rsidRPr="009E351A" w:rsidRDefault="00DC30BF">
            <w:pPr>
              <w:spacing w:before="60" w:after="60"/>
            </w:pPr>
          </w:p>
        </w:tc>
        <w:tc>
          <w:tcPr>
            <w:tcW w:w="876" w:type="dxa"/>
            <w:gridSpan w:val="2"/>
            <w:tcBorders>
              <w:top w:val="single" w:sz="18" w:space="0" w:color="auto"/>
              <w:bottom w:val="single" w:sz="8" w:space="0" w:color="auto"/>
            </w:tcBorders>
          </w:tcPr>
          <w:p w:rsidR="00DC30BF" w:rsidRPr="009E351A" w:rsidRDefault="00DC30BF">
            <w:pPr>
              <w:spacing w:before="60" w:after="60"/>
            </w:pPr>
          </w:p>
        </w:tc>
      </w:tr>
      <w:tr w:rsidR="00DC30BF" w:rsidRPr="009E351A">
        <w:tblPrEx>
          <w:tblCellMar>
            <w:top w:w="0" w:type="dxa"/>
            <w:bottom w:w="0" w:type="dxa"/>
          </w:tblCellMar>
        </w:tblPrEx>
        <w:trPr>
          <w:gridAfter w:val="1"/>
          <w:wAfter w:w="108" w:type="dxa"/>
          <w:cantSplit/>
          <w:jc w:val="right"/>
        </w:trPr>
        <w:tc>
          <w:tcPr>
            <w:tcW w:w="2539" w:type="dxa"/>
            <w:gridSpan w:val="2"/>
            <w:tcBorders>
              <w:top w:val="single" w:sz="8" w:space="0" w:color="auto"/>
              <w:left w:val="single" w:sz="8" w:space="0" w:color="auto"/>
              <w:bottom w:val="single" w:sz="4" w:space="0" w:color="auto"/>
              <w:right w:val="single" w:sz="4" w:space="0" w:color="auto"/>
            </w:tcBorders>
          </w:tcPr>
          <w:p w:rsidR="00DC30BF" w:rsidRPr="009E351A" w:rsidRDefault="00DC30BF">
            <w:pPr>
              <w:spacing w:before="60" w:after="60"/>
              <w:rPr>
                <w:sz w:val="20"/>
              </w:rPr>
            </w:pPr>
            <w:r w:rsidRPr="009E351A">
              <w:rPr>
                <w:sz w:val="20"/>
              </w:rPr>
              <w:t>Human resources and associated expenditure (NDA)</w:t>
            </w:r>
          </w:p>
        </w:tc>
        <w:tc>
          <w:tcPr>
            <w:tcW w:w="876"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8.2.5.</w:t>
            </w:r>
          </w:p>
        </w:tc>
        <w:tc>
          <w:tcPr>
            <w:tcW w:w="522"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pPr>
            <w:r w:rsidRPr="009E351A">
              <w:t>d</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43"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20" w:type="dxa"/>
            <w:gridSpan w:val="2"/>
            <w:tcBorders>
              <w:top w:val="single" w:sz="8"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20" w:type="dxa"/>
            <w:gridSpan w:val="2"/>
            <w:tcBorders>
              <w:top w:val="single" w:sz="8" w:space="0" w:color="auto"/>
              <w:left w:val="single" w:sz="4" w:space="0" w:color="auto"/>
              <w:bottom w:val="single" w:sz="4" w:space="0" w:color="auto"/>
              <w:right w:val="single" w:sz="8" w:space="0" w:color="auto"/>
            </w:tcBorders>
            <w:vAlign w:val="center"/>
          </w:tcPr>
          <w:p w:rsidR="00DC30BF" w:rsidRPr="009E351A" w:rsidRDefault="00DC30BF">
            <w:pPr>
              <w:spacing w:before="60" w:after="60"/>
              <w:jc w:val="right"/>
              <w:rPr>
                <w:sz w:val="20"/>
              </w:rPr>
            </w:pPr>
            <w:r w:rsidRPr="009E351A">
              <w:rPr>
                <w:sz w:val="20"/>
              </w:rPr>
              <w:t>1.5</w:t>
            </w:r>
          </w:p>
        </w:tc>
        <w:tc>
          <w:tcPr>
            <w:tcW w:w="876" w:type="dxa"/>
            <w:gridSpan w:val="2"/>
            <w:tcBorders>
              <w:top w:val="single" w:sz="8" w:space="0" w:color="auto"/>
              <w:left w:val="single" w:sz="8" w:space="0" w:color="auto"/>
              <w:bottom w:val="single" w:sz="8" w:space="0" w:color="auto"/>
              <w:right w:val="single" w:sz="8" w:space="0" w:color="auto"/>
            </w:tcBorders>
            <w:vAlign w:val="center"/>
          </w:tcPr>
          <w:p w:rsidR="00DC30BF" w:rsidRPr="009E351A" w:rsidRDefault="00DC30BF">
            <w:pPr>
              <w:spacing w:before="60" w:after="60"/>
              <w:jc w:val="right"/>
              <w:rPr>
                <w:sz w:val="20"/>
              </w:rPr>
            </w:pPr>
            <w:r w:rsidRPr="009E351A">
              <w:rPr>
                <w:sz w:val="20"/>
              </w:rPr>
              <w:t>5.3</w:t>
            </w:r>
          </w:p>
        </w:tc>
      </w:tr>
      <w:tr w:rsidR="00DC30BF" w:rsidRPr="009E351A">
        <w:tblPrEx>
          <w:tblCellMar>
            <w:top w:w="0" w:type="dxa"/>
            <w:bottom w:w="0" w:type="dxa"/>
          </w:tblCellMar>
        </w:tblPrEx>
        <w:trPr>
          <w:gridAfter w:val="1"/>
          <w:wAfter w:w="108" w:type="dxa"/>
          <w:cantSplit/>
          <w:jc w:val="right"/>
        </w:trPr>
        <w:tc>
          <w:tcPr>
            <w:tcW w:w="2539" w:type="dxa"/>
            <w:gridSpan w:val="2"/>
            <w:tcBorders>
              <w:top w:val="single" w:sz="4" w:space="0" w:color="auto"/>
              <w:left w:val="single" w:sz="8" w:space="0" w:color="auto"/>
              <w:bottom w:val="single" w:sz="4" w:space="0" w:color="auto"/>
              <w:right w:val="single" w:sz="4" w:space="0" w:color="auto"/>
            </w:tcBorders>
          </w:tcPr>
          <w:p w:rsidR="00DC30BF" w:rsidRPr="009E351A" w:rsidRDefault="00DC30BF">
            <w:pPr>
              <w:spacing w:before="60" w:after="60"/>
              <w:rPr>
                <w:sz w:val="20"/>
              </w:rPr>
            </w:pPr>
            <w:r w:rsidRPr="009E351A">
              <w:rPr>
                <w:sz w:val="20"/>
              </w:rPr>
              <w:t>Administrative costs, other than human resources and associated costs, not included in reference amount (NDA)</w:t>
            </w:r>
          </w:p>
        </w:tc>
        <w:tc>
          <w:tcPr>
            <w:tcW w:w="876" w:type="dxa"/>
            <w:gridSpan w:val="2"/>
            <w:tcBorders>
              <w:top w:val="sing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8.2.6.</w:t>
            </w:r>
          </w:p>
        </w:tc>
        <w:tc>
          <w:tcPr>
            <w:tcW w:w="522" w:type="dxa"/>
            <w:gridSpan w:val="2"/>
            <w:tcBorders>
              <w:top w:val="sing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pPr>
            <w:r w:rsidRPr="009E351A">
              <w:t>e</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43" w:type="dxa"/>
            <w:gridSpan w:val="2"/>
            <w:tcBorders>
              <w:top w:val="sing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center"/>
              <w:rPr>
                <w:sz w:val="20"/>
              </w:rPr>
            </w:pPr>
            <w:r w:rsidRPr="009E351A">
              <w:rPr>
                <w:sz w:val="20"/>
              </w:rPr>
              <w:t>-</w:t>
            </w:r>
          </w:p>
        </w:tc>
        <w:tc>
          <w:tcPr>
            <w:tcW w:w="720" w:type="dxa"/>
            <w:gridSpan w:val="2"/>
            <w:tcBorders>
              <w:top w:val="single" w:sz="4" w:space="0" w:color="auto"/>
              <w:left w:val="single" w:sz="4" w:space="0" w:color="auto"/>
              <w:bottom w:val="single" w:sz="4" w:space="0" w:color="auto"/>
              <w:right w:val="single" w:sz="8" w:space="0" w:color="auto"/>
            </w:tcBorders>
            <w:vAlign w:val="center"/>
          </w:tcPr>
          <w:p w:rsidR="00DC30BF" w:rsidRPr="009E351A" w:rsidRDefault="00DC30BF">
            <w:pPr>
              <w:spacing w:before="60" w:after="60"/>
              <w:jc w:val="center"/>
              <w:rPr>
                <w:sz w:val="20"/>
              </w:rPr>
            </w:pPr>
            <w:r w:rsidRPr="009E351A">
              <w:rPr>
                <w:sz w:val="20"/>
              </w:rPr>
              <w:t>-</w:t>
            </w:r>
          </w:p>
        </w:tc>
        <w:tc>
          <w:tcPr>
            <w:tcW w:w="876" w:type="dxa"/>
            <w:gridSpan w:val="2"/>
            <w:tcBorders>
              <w:top w:val="single" w:sz="8" w:space="0" w:color="auto"/>
              <w:left w:val="single" w:sz="8" w:space="0" w:color="auto"/>
              <w:bottom w:val="single" w:sz="4" w:space="0" w:color="auto"/>
              <w:right w:val="single" w:sz="8" w:space="0" w:color="auto"/>
            </w:tcBorders>
            <w:vAlign w:val="center"/>
          </w:tcPr>
          <w:p w:rsidR="00DC30BF" w:rsidRPr="009E351A" w:rsidRDefault="00DC30BF">
            <w:pPr>
              <w:spacing w:before="60" w:after="60"/>
              <w:jc w:val="center"/>
              <w:rPr>
                <w:sz w:val="20"/>
              </w:rPr>
            </w:pPr>
            <w:r w:rsidRPr="009E351A">
              <w:rPr>
                <w:sz w:val="20"/>
              </w:rPr>
              <w:t>-</w:t>
            </w:r>
          </w:p>
        </w:tc>
      </w:tr>
      <w:tr w:rsidR="00DC30BF" w:rsidRPr="009E351A">
        <w:tblPrEx>
          <w:tblCellMar>
            <w:top w:w="0" w:type="dxa"/>
            <w:bottom w:w="0" w:type="dxa"/>
          </w:tblCellMar>
        </w:tblPrEx>
        <w:trPr>
          <w:gridAfter w:val="1"/>
          <w:wAfter w:w="108" w:type="dxa"/>
          <w:cantSplit/>
          <w:jc w:val="right"/>
        </w:trPr>
        <w:tc>
          <w:tcPr>
            <w:tcW w:w="9156" w:type="dxa"/>
            <w:gridSpan w:val="20"/>
            <w:tcBorders>
              <w:top w:val="single" w:sz="4" w:space="0" w:color="auto"/>
            </w:tcBorders>
          </w:tcPr>
          <w:p w:rsidR="00DC30BF" w:rsidRPr="009E351A" w:rsidRDefault="00DC30BF">
            <w:pPr>
              <w:spacing w:before="60" w:after="60"/>
              <w:rPr>
                <w:b/>
                <w:sz w:val="22"/>
              </w:rPr>
            </w:pPr>
            <w:r w:rsidRPr="009E351A">
              <w:rPr>
                <w:b/>
                <w:sz w:val="22"/>
              </w:rPr>
              <w:t>Total indicative financial cost of intervention</w:t>
            </w:r>
          </w:p>
        </w:tc>
      </w:tr>
      <w:tr w:rsidR="00DC30BF" w:rsidRPr="009E351A">
        <w:tblPrEx>
          <w:tblCellMar>
            <w:top w:w="0" w:type="dxa"/>
            <w:bottom w:w="0" w:type="dxa"/>
          </w:tblCellMar>
        </w:tblPrEx>
        <w:trPr>
          <w:gridBefore w:val="1"/>
          <w:wBefore w:w="108" w:type="dxa"/>
          <w:cantSplit/>
          <w:jc w:val="right"/>
        </w:trPr>
        <w:tc>
          <w:tcPr>
            <w:tcW w:w="2539" w:type="dxa"/>
            <w:gridSpan w:val="2"/>
            <w:tcBorders>
              <w:top w:val="double" w:sz="4" w:space="0" w:color="auto"/>
              <w:left w:val="double" w:sz="4" w:space="0" w:color="auto"/>
              <w:bottom w:val="single" w:sz="4" w:space="0" w:color="auto"/>
            </w:tcBorders>
          </w:tcPr>
          <w:p w:rsidR="00DC30BF" w:rsidRPr="009E351A" w:rsidRDefault="00DC30BF">
            <w:pPr>
              <w:spacing w:before="60" w:after="60"/>
              <w:rPr>
                <w:b/>
                <w:sz w:val="20"/>
              </w:rPr>
            </w:pPr>
            <w:r w:rsidRPr="009E351A">
              <w:rPr>
                <w:b/>
                <w:sz w:val="20"/>
              </w:rPr>
              <w:t>TOTAL CA including cost of Human Resources</w:t>
            </w:r>
          </w:p>
        </w:tc>
        <w:tc>
          <w:tcPr>
            <w:tcW w:w="876" w:type="dxa"/>
            <w:gridSpan w:val="2"/>
            <w:tcBorders>
              <w:top w:val="double" w:sz="4" w:space="0" w:color="auto"/>
              <w:left w:val="single" w:sz="4" w:space="0" w:color="auto"/>
              <w:bottom w:val="single" w:sz="4" w:space="0" w:color="auto"/>
              <w:right w:val="single" w:sz="4" w:space="0" w:color="auto"/>
            </w:tcBorders>
          </w:tcPr>
          <w:p w:rsidR="00DC30BF" w:rsidRPr="009E351A" w:rsidRDefault="00DC30BF">
            <w:pPr>
              <w:spacing w:before="60" w:after="60"/>
              <w:jc w:val="center"/>
              <w:rPr>
                <w:sz w:val="20"/>
              </w:rPr>
            </w:pPr>
          </w:p>
        </w:tc>
        <w:tc>
          <w:tcPr>
            <w:tcW w:w="522" w:type="dxa"/>
            <w:gridSpan w:val="2"/>
            <w:tcBorders>
              <w:top w:val="double" w:sz="4" w:space="0" w:color="auto"/>
              <w:left w:val="single" w:sz="4" w:space="0" w:color="auto"/>
              <w:bottom w:val="single" w:sz="4" w:space="0" w:color="auto"/>
            </w:tcBorders>
            <w:vAlign w:val="center"/>
          </w:tcPr>
          <w:p w:rsidR="00DC30BF" w:rsidRPr="009E351A" w:rsidRDefault="00DC30BF">
            <w:pPr>
              <w:spacing w:before="60" w:after="60"/>
              <w:jc w:val="center"/>
            </w:pPr>
            <w:r w:rsidRPr="009E351A">
              <w:t>a+c+d+e</w:t>
            </w:r>
          </w:p>
        </w:tc>
        <w:tc>
          <w:tcPr>
            <w:tcW w:w="720" w:type="dxa"/>
            <w:gridSpan w:val="2"/>
            <w:tcBorders>
              <w:top w:val="doub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20" w:type="dxa"/>
            <w:gridSpan w:val="2"/>
            <w:tcBorders>
              <w:top w:val="doub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43" w:type="dxa"/>
            <w:gridSpan w:val="2"/>
            <w:tcBorders>
              <w:top w:val="doub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13</w:t>
            </w:r>
            <w:r w:rsidR="006F4021" w:rsidRPr="009E351A">
              <w:rPr>
                <w:sz w:val="20"/>
              </w:rPr>
              <w:t>5</w:t>
            </w:r>
            <w:r w:rsidRPr="009E351A">
              <w:rPr>
                <w:sz w:val="20"/>
              </w:rPr>
              <w:t>.8</w:t>
            </w:r>
          </w:p>
        </w:tc>
        <w:tc>
          <w:tcPr>
            <w:tcW w:w="720" w:type="dxa"/>
            <w:gridSpan w:val="2"/>
            <w:tcBorders>
              <w:top w:val="doub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271.8</w:t>
            </w:r>
          </w:p>
        </w:tc>
        <w:tc>
          <w:tcPr>
            <w:tcW w:w="720" w:type="dxa"/>
            <w:gridSpan w:val="2"/>
            <w:tcBorders>
              <w:top w:val="double" w:sz="4" w:space="0" w:color="auto"/>
              <w:left w:val="single" w:sz="4" w:space="0" w:color="auto"/>
              <w:bottom w:val="single" w:sz="4" w:space="0" w:color="auto"/>
              <w:right w:val="single" w:sz="4" w:space="0" w:color="auto"/>
            </w:tcBorders>
            <w:vAlign w:val="center"/>
          </w:tcPr>
          <w:p w:rsidR="00DC30BF" w:rsidRPr="009E351A" w:rsidRDefault="00DC30BF">
            <w:pPr>
              <w:spacing w:before="60" w:after="60"/>
              <w:jc w:val="right"/>
              <w:rPr>
                <w:sz w:val="20"/>
              </w:rPr>
            </w:pPr>
            <w:r w:rsidRPr="009E351A">
              <w:rPr>
                <w:sz w:val="20"/>
              </w:rPr>
              <w:t>302.8</w:t>
            </w:r>
          </w:p>
        </w:tc>
        <w:tc>
          <w:tcPr>
            <w:tcW w:w="720" w:type="dxa"/>
            <w:gridSpan w:val="2"/>
            <w:tcBorders>
              <w:top w:val="double" w:sz="4" w:space="0" w:color="auto"/>
              <w:left w:val="single" w:sz="4" w:space="0" w:color="auto"/>
              <w:bottom w:val="single" w:sz="4" w:space="0" w:color="auto"/>
              <w:right w:val="double" w:sz="4" w:space="0" w:color="auto"/>
            </w:tcBorders>
            <w:vAlign w:val="center"/>
          </w:tcPr>
          <w:p w:rsidR="00DC30BF" w:rsidRPr="009E351A" w:rsidRDefault="00DC30BF">
            <w:pPr>
              <w:spacing w:before="60" w:after="60"/>
              <w:jc w:val="right"/>
              <w:rPr>
                <w:sz w:val="20"/>
              </w:rPr>
            </w:pPr>
            <w:r w:rsidRPr="009E351A">
              <w:rPr>
                <w:sz w:val="20"/>
              </w:rPr>
              <w:t>646.5</w:t>
            </w:r>
          </w:p>
        </w:tc>
        <w:tc>
          <w:tcPr>
            <w:tcW w:w="876" w:type="dxa"/>
            <w:gridSpan w:val="2"/>
            <w:tcBorders>
              <w:top w:val="double" w:sz="4" w:space="0" w:color="auto"/>
              <w:left w:val="double" w:sz="4" w:space="0" w:color="auto"/>
              <w:bottom w:val="single" w:sz="4" w:space="0" w:color="auto"/>
              <w:right w:val="double" w:sz="4" w:space="0" w:color="auto"/>
            </w:tcBorders>
            <w:vAlign w:val="center"/>
          </w:tcPr>
          <w:p w:rsidR="00DC30BF" w:rsidRPr="009E351A" w:rsidRDefault="00DC30BF">
            <w:pPr>
              <w:spacing w:before="60" w:after="60"/>
              <w:jc w:val="right"/>
              <w:rPr>
                <w:sz w:val="20"/>
              </w:rPr>
            </w:pPr>
            <w:r w:rsidRPr="009E351A">
              <w:rPr>
                <w:sz w:val="20"/>
              </w:rPr>
              <w:t>13</w:t>
            </w:r>
            <w:r w:rsidR="006F4021" w:rsidRPr="009E351A">
              <w:rPr>
                <w:sz w:val="20"/>
              </w:rPr>
              <w:t>58</w:t>
            </w:r>
            <w:r w:rsidRPr="009E351A">
              <w:rPr>
                <w:sz w:val="20"/>
              </w:rPr>
              <w:t>.3</w:t>
            </w:r>
          </w:p>
        </w:tc>
      </w:tr>
      <w:tr w:rsidR="00DC30BF" w:rsidRPr="009E351A">
        <w:tblPrEx>
          <w:tblCellMar>
            <w:top w:w="0" w:type="dxa"/>
            <w:bottom w:w="0" w:type="dxa"/>
          </w:tblCellMar>
        </w:tblPrEx>
        <w:trPr>
          <w:gridBefore w:val="1"/>
          <w:wBefore w:w="108" w:type="dxa"/>
          <w:cantSplit/>
          <w:jc w:val="right"/>
        </w:trPr>
        <w:tc>
          <w:tcPr>
            <w:tcW w:w="2539" w:type="dxa"/>
            <w:gridSpan w:val="2"/>
            <w:tcBorders>
              <w:top w:val="single" w:sz="4" w:space="0" w:color="auto"/>
              <w:left w:val="double" w:sz="4" w:space="0" w:color="auto"/>
              <w:bottom w:val="double" w:sz="4" w:space="0" w:color="auto"/>
            </w:tcBorders>
          </w:tcPr>
          <w:p w:rsidR="00DC30BF" w:rsidRPr="009E351A" w:rsidRDefault="00DC30BF">
            <w:pPr>
              <w:spacing w:before="60" w:after="60"/>
              <w:rPr>
                <w:b/>
                <w:sz w:val="20"/>
              </w:rPr>
            </w:pPr>
            <w:r w:rsidRPr="009E351A">
              <w:rPr>
                <w:b/>
                <w:sz w:val="20"/>
              </w:rPr>
              <w:t>TOTAL PA including cost of Human Resources</w:t>
            </w:r>
          </w:p>
        </w:tc>
        <w:tc>
          <w:tcPr>
            <w:tcW w:w="876" w:type="dxa"/>
            <w:gridSpan w:val="2"/>
            <w:tcBorders>
              <w:top w:val="single" w:sz="4" w:space="0" w:color="auto"/>
              <w:left w:val="single" w:sz="4" w:space="0" w:color="auto"/>
              <w:bottom w:val="double" w:sz="4" w:space="0" w:color="auto"/>
              <w:right w:val="single" w:sz="4" w:space="0" w:color="auto"/>
            </w:tcBorders>
          </w:tcPr>
          <w:p w:rsidR="00DC30BF" w:rsidRPr="009E351A" w:rsidRDefault="00DC30BF">
            <w:pPr>
              <w:spacing w:before="60" w:after="60"/>
              <w:jc w:val="center"/>
              <w:rPr>
                <w:sz w:val="20"/>
              </w:rPr>
            </w:pPr>
          </w:p>
        </w:tc>
        <w:tc>
          <w:tcPr>
            <w:tcW w:w="522" w:type="dxa"/>
            <w:gridSpan w:val="2"/>
            <w:tcBorders>
              <w:top w:val="single" w:sz="4" w:space="0" w:color="auto"/>
              <w:left w:val="single" w:sz="4" w:space="0" w:color="auto"/>
              <w:bottom w:val="double" w:sz="4" w:space="0" w:color="auto"/>
            </w:tcBorders>
            <w:vAlign w:val="center"/>
          </w:tcPr>
          <w:p w:rsidR="00DC30BF" w:rsidRPr="009E351A" w:rsidRDefault="00DC30BF">
            <w:pPr>
              <w:spacing w:before="60" w:after="60"/>
              <w:jc w:val="center"/>
            </w:pPr>
            <w:r w:rsidRPr="009E351A">
              <w:t>b+c+d+e</w:t>
            </w:r>
          </w:p>
        </w:tc>
        <w:tc>
          <w:tcPr>
            <w:tcW w:w="720" w:type="dxa"/>
            <w:gridSpan w:val="2"/>
            <w:tcBorders>
              <w:top w:val="single" w:sz="4" w:space="0" w:color="auto"/>
              <w:left w:val="single" w:sz="4" w:space="0" w:color="auto"/>
              <w:bottom w:val="doub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20" w:type="dxa"/>
            <w:gridSpan w:val="2"/>
            <w:tcBorders>
              <w:top w:val="single" w:sz="4" w:space="0" w:color="auto"/>
              <w:left w:val="single" w:sz="4" w:space="0" w:color="auto"/>
              <w:bottom w:val="double" w:sz="4" w:space="0" w:color="auto"/>
              <w:right w:val="single" w:sz="4" w:space="0" w:color="auto"/>
            </w:tcBorders>
            <w:vAlign w:val="center"/>
          </w:tcPr>
          <w:p w:rsidR="00DC30BF" w:rsidRPr="009E351A" w:rsidRDefault="00DC30BF">
            <w:pPr>
              <w:spacing w:before="60" w:after="60"/>
              <w:jc w:val="right"/>
              <w:rPr>
                <w:sz w:val="20"/>
              </w:rPr>
            </w:pPr>
            <w:r w:rsidRPr="009E351A">
              <w:rPr>
                <w:sz w:val="20"/>
              </w:rPr>
              <w:t>0.8</w:t>
            </w:r>
          </w:p>
        </w:tc>
        <w:tc>
          <w:tcPr>
            <w:tcW w:w="743" w:type="dxa"/>
            <w:gridSpan w:val="2"/>
            <w:tcBorders>
              <w:top w:val="single" w:sz="4" w:space="0" w:color="auto"/>
              <w:left w:val="single" w:sz="4" w:space="0" w:color="auto"/>
              <w:bottom w:val="double" w:sz="4" w:space="0" w:color="auto"/>
              <w:right w:val="single" w:sz="4" w:space="0" w:color="auto"/>
            </w:tcBorders>
            <w:vAlign w:val="center"/>
          </w:tcPr>
          <w:p w:rsidR="00DC30BF" w:rsidRPr="009E351A" w:rsidRDefault="00DC30BF">
            <w:pPr>
              <w:spacing w:before="60" w:after="60"/>
              <w:jc w:val="right"/>
              <w:rPr>
                <w:sz w:val="20"/>
              </w:rPr>
            </w:pPr>
            <w:r w:rsidRPr="009E351A">
              <w:rPr>
                <w:sz w:val="20"/>
              </w:rPr>
              <w:t>13</w:t>
            </w:r>
            <w:r w:rsidR="006F4021" w:rsidRPr="009E351A">
              <w:rPr>
                <w:sz w:val="20"/>
              </w:rPr>
              <w:t>5</w:t>
            </w:r>
            <w:r w:rsidRPr="009E351A">
              <w:rPr>
                <w:sz w:val="20"/>
              </w:rPr>
              <w:t>.8</w:t>
            </w:r>
          </w:p>
        </w:tc>
        <w:tc>
          <w:tcPr>
            <w:tcW w:w="720" w:type="dxa"/>
            <w:gridSpan w:val="2"/>
            <w:tcBorders>
              <w:top w:val="single" w:sz="4" w:space="0" w:color="auto"/>
              <w:left w:val="single" w:sz="4" w:space="0" w:color="auto"/>
              <w:bottom w:val="double" w:sz="4" w:space="0" w:color="auto"/>
              <w:right w:val="single" w:sz="4" w:space="0" w:color="auto"/>
            </w:tcBorders>
            <w:vAlign w:val="center"/>
          </w:tcPr>
          <w:p w:rsidR="00DC30BF" w:rsidRPr="009E351A" w:rsidRDefault="00DC30BF">
            <w:pPr>
              <w:spacing w:before="60" w:after="60"/>
              <w:jc w:val="right"/>
              <w:rPr>
                <w:sz w:val="20"/>
              </w:rPr>
            </w:pPr>
            <w:r w:rsidRPr="009E351A">
              <w:rPr>
                <w:sz w:val="20"/>
              </w:rPr>
              <w:t>271.8</w:t>
            </w:r>
          </w:p>
        </w:tc>
        <w:tc>
          <w:tcPr>
            <w:tcW w:w="720" w:type="dxa"/>
            <w:gridSpan w:val="2"/>
            <w:tcBorders>
              <w:top w:val="single" w:sz="4" w:space="0" w:color="auto"/>
              <w:left w:val="single" w:sz="4" w:space="0" w:color="auto"/>
              <w:bottom w:val="double" w:sz="4" w:space="0" w:color="auto"/>
              <w:right w:val="single" w:sz="4" w:space="0" w:color="auto"/>
            </w:tcBorders>
            <w:vAlign w:val="center"/>
          </w:tcPr>
          <w:p w:rsidR="00DC30BF" w:rsidRPr="009E351A" w:rsidRDefault="00DC30BF">
            <w:pPr>
              <w:spacing w:before="60" w:after="60"/>
              <w:jc w:val="right"/>
              <w:rPr>
                <w:sz w:val="20"/>
              </w:rPr>
            </w:pPr>
            <w:r w:rsidRPr="009E351A">
              <w:rPr>
                <w:sz w:val="20"/>
              </w:rPr>
              <w:t>302.8</w:t>
            </w:r>
          </w:p>
        </w:tc>
        <w:tc>
          <w:tcPr>
            <w:tcW w:w="720" w:type="dxa"/>
            <w:gridSpan w:val="2"/>
            <w:tcBorders>
              <w:top w:val="single" w:sz="4" w:space="0" w:color="auto"/>
              <w:left w:val="single" w:sz="4" w:space="0" w:color="auto"/>
              <w:bottom w:val="double" w:sz="4" w:space="0" w:color="auto"/>
              <w:right w:val="double" w:sz="4" w:space="0" w:color="auto"/>
            </w:tcBorders>
            <w:vAlign w:val="center"/>
          </w:tcPr>
          <w:p w:rsidR="00DC30BF" w:rsidRPr="009E351A" w:rsidRDefault="00DC30BF">
            <w:pPr>
              <w:spacing w:before="60" w:after="60"/>
              <w:jc w:val="right"/>
              <w:rPr>
                <w:sz w:val="20"/>
              </w:rPr>
            </w:pPr>
            <w:r w:rsidRPr="009E351A">
              <w:rPr>
                <w:sz w:val="20"/>
              </w:rPr>
              <w:t>646.5</w:t>
            </w:r>
          </w:p>
        </w:tc>
        <w:tc>
          <w:tcPr>
            <w:tcW w:w="876" w:type="dxa"/>
            <w:gridSpan w:val="2"/>
            <w:tcBorders>
              <w:top w:val="single" w:sz="4" w:space="0" w:color="auto"/>
              <w:left w:val="double" w:sz="4" w:space="0" w:color="auto"/>
              <w:bottom w:val="double" w:sz="4" w:space="0" w:color="auto"/>
              <w:right w:val="double" w:sz="4" w:space="0" w:color="auto"/>
            </w:tcBorders>
            <w:vAlign w:val="center"/>
          </w:tcPr>
          <w:p w:rsidR="00DC30BF" w:rsidRPr="009E351A" w:rsidRDefault="00DC30BF">
            <w:pPr>
              <w:spacing w:before="60" w:after="60"/>
              <w:jc w:val="right"/>
              <w:rPr>
                <w:sz w:val="20"/>
              </w:rPr>
            </w:pPr>
            <w:r w:rsidRPr="009E351A">
              <w:rPr>
                <w:sz w:val="20"/>
              </w:rPr>
              <w:t>13</w:t>
            </w:r>
            <w:r w:rsidR="006F4021" w:rsidRPr="009E351A">
              <w:rPr>
                <w:sz w:val="20"/>
              </w:rPr>
              <w:t>58</w:t>
            </w:r>
            <w:r w:rsidRPr="009E351A">
              <w:rPr>
                <w:sz w:val="20"/>
              </w:rPr>
              <w:t>.3</w:t>
            </w:r>
          </w:p>
        </w:tc>
      </w:tr>
    </w:tbl>
    <w:p w:rsidR="00DC30BF" w:rsidRPr="009E351A" w:rsidRDefault="00DC30BF">
      <w:pPr>
        <w:pStyle w:val="Text1"/>
        <w:keepNext/>
        <w:ind w:left="851"/>
        <w:rPr>
          <w:b/>
        </w:rPr>
      </w:pPr>
      <w:r w:rsidRPr="009E351A">
        <w:rPr>
          <w:b/>
        </w:rPr>
        <w:t>Co-financing details</w:t>
      </w:r>
    </w:p>
    <w:p w:rsidR="00DC30BF" w:rsidRPr="009E351A" w:rsidRDefault="00DC30BF">
      <w:pPr>
        <w:pStyle w:val="Text1"/>
        <w:keepNext/>
        <w:ind w:left="851"/>
      </w:pPr>
      <w:r w:rsidRPr="009E351A">
        <w:t>No co-financing is foreseen.</w:t>
      </w:r>
    </w:p>
    <w:p w:rsidR="00DC30BF" w:rsidRPr="009E351A" w:rsidRDefault="00DC30BF">
      <w:pPr>
        <w:pStyle w:val="ManualHeading3"/>
      </w:pPr>
      <w:r w:rsidRPr="009E351A">
        <w:t>4.1.2.</w:t>
      </w:r>
      <w:r w:rsidRPr="009E351A">
        <w:tab/>
        <w:t>Compatibility with Financial Programming</w:t>
      </w:r>
    </w:p>
    <w:p w:rsidR="00DC30BF" w:rsidRPr="009E351A" w:rsidRDefault="00DC30BF">
      <w:pPr>
        <w:pStyle w:val="Point1"/>
      </w:pPr>
      <w:r w:rsidRPr="009E351A">
        <w:sym w:font="Wingdings" w:char="F078"/>
      </w:r>
      <w:r w:rsidRPr="009E351A">
        <w:tab/>
        <w:t>Proposal is compatible with existing financial programming.</w:t>
      </w:r>
    </w:p>
    <w:p w:rsidR="00DC30BF" w:rsidRPr="009E351A" w:rsidRDefault="00DC30BF">
      <w:pPr>
        <w:pStyle w:val="Point1"/>
      </w:pPr>
      <w:r w:rsidRPr="009E351A">
        <w:sym w:font="Wingdings" w:char="F0A8"/>
      </w:r>
      <w:r w:rsidRPr="009E351A">
        <w:tab/>
        <w:t xml:space="preserve">Proposal will entail reprogramming of the relevant heading in the </w:t>
      </w:r>
      <w:r w:rsidR="00C41CA8" w:rsidRPr="009E351A">
        <w:t>F</w:t>
      </w:r>
      <w:r w:rsidRPr="009E351A">
        <w:t xml:space="preserve">inancial </w:t>
      </w:r>
      <w:r w:rsidR="00C41CA8" w:rsidRPr="009E351A">
        <w:t>Framework</w:t>
      </w:r>
      <w:r w:rsidRPr="009E351A">
        <w:t>.</w:t>
      </w:r>
    </w:p>
    <w:p w:rsidR="00DC30BF" w:rsidRPr="009E351A" w:rsidRDefault="00DC30BF">
      <w:pPr>
        <w:pStyle w:val="Point1"/>
      </w:pPr>
      <w:r w:rsidRPr="009E351A">
        <w:sym w:font="Wingdings" w:char="F0A8"/>
      </w:r>
      <w:r w:rsidRPr="009E351A">
        <w:tab/>
        <w:t>Proposal may require application of the provisions of the Interinstitutional Agreement</w:t>
      </w:r>
      <w:r w:rsidRPr="009E351A">
        <w:rPr>
          <w:rStyle w:val="Fotnotsreferens"/>
        </w:rPr>
        <w:footnoteReference w:id="23"/>
      </w:r>
      <w:r w:rsidRPr="009E351A">
        <w:t xml:space="preserve"> (i.e. flexibility instrument or revision of the </w:t>
      </w:r>
      <w:r w:rsidR="00C41CA8" w:rsidRPr="009E351A">
        <w:t>F</w:t>
      </w:r>
      <w:r w:rsidRPr="009E351A">
        <w:t xml:space="preserve">inancial </w:t>
      </w:r>
      <w:r w:rsidR="00C41CA8" w:rsidRPr="009E351A">
        <w:t>Framework</w:t>
      </w:r>
      <w:r w:rsidRPr="009E351A">
        <w:t>).</w:t>
      </w:r>
    </w:p>
    <w:p w:rsidR="00DC30BF" w:rsidRPr="009E351A" w:rsidRDefault="00DC30BF">
      <w:pPr>
        <w:pStyle w:val="ManualHeading3"/>
      </w:pPr>
      <w:r w:rsidRPr="009E351A">
        <w:t>4.1.3.</w:t>
      </w:r>
      <w:r w:rsidRPr="009E351A">
        <w:tab/>
        <w:t>Financial impact on Revenue</w:t>
      </w:r>
    </w:p>
    <w:p w:rsidR="00DC30BF" w:rsidRPr="009E351A" w:rsidRDefault="00DC30BF">
      <w:pPr>
        <w:pStyle w:val="Point1"/>
      </w:pPr>
      <w:r w:rsidRPr="009E351A">
        <w:sym w:font="Wingdings" w:char="F078"/>
      </w:r>
      <w:r w:rsidRPr="009E351A">
        <w:tab/>
        <w:t>Proposal has no financial implications on revenue</w:t>
      </w:r>
    </w:p>
    <w:p w:rsidR="00DC30BF" w:rsidRPr="009E351A" w:rsidRDefault="00DC30BF">
      <w:pPr>
        <w:pStyle w:val="Point1"/>
      </w:pPr>
      <w:r w:rsidRPr="009E351A">
        <w:sym w:font="Wingdings" w:char="F0A8"/>
      </w:r>
      <w:r w:rsidRPr="009E351A">
        <w:tab/>
        <w:t>Proposal has financial impact – the effect on revenue is as follows:</w:t>
      </w:r>
    </w:p>
    <w:p w:rsidR="00DC30BF" w:rsidRPr="009E351A" w:rsidRDefault="00DC30BF">
      <w:pPr>
        <w:pStyle w:val="ManualHeading2"/>
      </w:pPr>
      <w:r w:rsidRPr="009E351A">
        <w:t>4.2.</w:t>
      </w:r>
      <w:r w:rsidRPr="009E351A">
        <w:tab/>
        <w:t>Human Resources FTE (including officials, temporary and external staff) – see detail under point 8.2.1.</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472"/>
        <w:gridCol w:w="930"/>
        <w:gridCol w:w="772"/>
        <w:gridCol w:w="851"/>
        <w:gridCol w:w="851"/>
        <w:gridCol w:w="851"/>
        <w:gridCol w:w="851"/>
      </w:tblGrid>
      <w:tr w:rsidR="00DC30BF" w:rsidRPr="009E351A">
        <w:tblPrEx>
          <w:tblCellMar>
            <w:top w:w="0" w:type="dxa"/>
            <w:bottom w:w="0" w:type="dxa"/>
          </w:tblCellMar>
        </w:tblPrEx>
        <w:trPr>
          <w:cantSplit/>
          <w:jc w:val="right"/>
        </w:trPr>
        <w:tc>
          <w:tcPr>
            <w:tcW w:w="2472" w:type="dxa"/>
            <w:vAlign w:val="center"/>
          </w:tcPr>
          <w:p w:rsidR="00DC30BF" w:rsidRPr="009E351A" w:rsidRDefault="00DC30BF">
            <w:pPr>
              <w:spacing w:before="60" w:after="60"/>
              <w:rPr>
                <w:b/>
                <w:sz w:val="22"/>
              </w:rPr>
            </w:pPr>
            <w:r w:rsidRPr="009E351A">
              <w:rPr>
                <w:b/>
                <w:sz w:val="22"/>
              </w:rPr>
              <w:t>Annual requirements</w:t>
            </w:r>
          </w:p>
        </w:tc>
        <w:tc>
          <w:tcPr>
            <w:tcW w:w="930" w:type="dxa"/>
          </w:tcPr>
          <w:p w:rsidR="00DC30BF" w:rsidRPr="009E351A" w:rsidRDefault="00DC30BF">
            <w:pPr>
              <w:jc w:val="center"/>
              <w:rPr>
                <w:sz w:val="22"/>
              </w:rPr>
            </w:pPr>
            <w:r w:rsidRPr="009E351A">
              <w:rPr>
                <w:sz w:val="22"/>
              </w:rPr>
              <w:t>2007</w:t>
            </w:r>
          </w:p>
        </w:tc>
        <w:tc>
          <w:tcPr>
            <w:tcW w:w="772" w:type="dxa"/>
          </w:tcPr>
          <w:p w:rsidR="00DC30BF" w:rsidRPr="009E351A" w:rsidRDefault="00DC30BF">
            <w:pPr>
              <w:jc w:val="center"/>
              <w:rPr>
                <w:rStyle w:val="Marker"/>
                <w:sz w:val="22"/>
              </w:rPr>
            </w:pPr>
            <w:r w:rsidRPr="009E351A">
              <w:t>2008</w:t>
            </w:r>
          </w:p>
        </w:tc>
        <w:tc>
          <w:tcPr>
            <w:tcW w:w="851" w:type="dxa"/>
          </w:tcPr>
          <w:p w:rsidR="00DC30BF" w:rsidRPr="009E351A" w:rsidRDefault="00DC30BF">
            <w:pPr>
              <w:jc w:val="center"/>
              <w:rPr>
                <w:rStyle w:val="Marker"/>
                <w:sz w:val="22"/>
              </w:rPr>
            </w:pPr>
            <w:r w:rsidRPr="009E351A">
              <w:t>2009</w:t>
            </w:r>
          </w:p>
        </w:tc>
        <w:tc>
          <w:tcPr>
            <w:tcW w:w="851" w:type="dxa"/>
          </w:tcPr>
          <w:p w:rsidR="00DC30BF" w:rsidRPr="009E351A" w:rsidRDefault="00DC30BF">
            <w:pPr>
              <w:jc w:val="center"/>
              <w:rPr>
                <w:rStyle w:val="Marker"/>
                <w:sz w:val="22"/>
              </w:rPr>
            </w:pPr>
            <w:r w:rsidRPr="009E351A">
              <w:t>2010</w:t>
            </w:r>
          </w:p>
        </w:tc>
        <w:tc>
          <w:tcPr>
            <w:tcW w:w="851" w:type="dxa"/>
          </w:tcPr>
          <w:p w:rsidR="00DC30BF" w:rsidRPr="009E351A" w:rsidRDefault="00DC30BF">
            <w:pPr>
              <w:jc w:val="center"/>
              <w:rPr>
                <w:rStyle w:val="Marker"/>
                <w:sz w:val="22"/>
              </w:rPr>
            </w:pPr>
            <w:r w:rsidRPr="009E351A">
              <w:t>2011</w:t>
            </w:r>
          </w:p>
        </w:tc>
        <w:tc>
          <w:tcPr>
            <w:tcW w:w="851" w:type="dxa"/>
          </w:tcPr>
          <w:p w:rsidR="00DC30BF" w:rsidRPr="009E351A" w:rsidRDefault="00DC30BF">
            <w:pPr>
              <w:jc w:val="center"/>
              <w:rPr>
                <w:sz w:val="22"/>
              </w:rPr>
            </w:pPr>
            <w:r w:rsidRPr="009E351A">
              <w:t>2012-2013</w:t>
            </w:r>
          </w:p>
        </w:tc>
      </w:tr>
      <w:tr w:rsidR="00DC30BF" w:rsidRPr="009E351A">
        <w:tblPrEx>
          <w:tblCellMar>
            <w:top w:w="0" w:type="dxa"/>
            <w:bottom w:w="0" w:type="dxa"/>
          </w:tblCellMar>
        </w:tblPrEx>
        <w:trPr>
          <w:cantSplit/>
          <w:jc w:val="right"/>
        </w:trPr>
        <w:tc>
          <w:tcPr>
            <w:tcW w:w="2472" w:type="dxa"/>
          </w:tcPr>
          <w:p w:rsidR="00DC30BF" w:rsidRPr="009E351A" w:rsidRDefault="00DC30BF">
            <w:pPr>
              <w:spacing w:before="60" w:after="60"/>
              <w:rPr>
                <w:sz w:val="22"/>
              </w:rPr>
            </w:pPr>
            <w:r w:rsidRPr="009E351A">
              <w:rPr>
                <w:sz w:val="22"/>
              </w:rPr>
              <w:t>Total number of human resources</w:t>
            </w:r>
          </w:p>
        </w:tc>
        <w:tc>
          <w:tcPr>
            <w:tcW w:w="930" w:type="dxa"/>
            <w:vAlign w:val="center"/>
          </w:tcPr>
          <w:p w:rsidR="00DC30BF" w:rsidRPr="009E351A" w:rsidRDefault="00DC30BF">
            <w:pPr>
              <w:spacing w:before="60" w:after="60"/>
              <w:jc w:val="right"/>
              <w:rPr>
                <w:sz w:val="22"/>
              </w:rPr>
            </w:pPr>
            <w:r w:rsidRPr="009E351A">
              <w:rPr>
                <w:sz w:val="22"/>
              </w:rPr>
              <w:t>7</w:t>
            </w:r>
          </w:p>
        </w:tc>
        <w:tc>
          <w:tcPr>
            <w:tcW w:w="772" w:type="dxa"/>
            <w:vAlign w:val="center"/>
          </w:tcPr>
          <w:p w:rsidR="00DC30BF" w:rsidRPr="009E351A" w:rsidRDefault="00DC30BF">
            <w:pPr>
              <w:spacing w:before="60" w:after="60"/>
              <w:jc w:val="right"/>
              <w:rPr>
                <w:sz w:val="22"/>
              </w:rPr>
            </w:pPr>
            <w:r w:rsidRPr="009E351A">
              <w:rPr>
                <w:sz w:val="22"/>
              </w:rPr>
              <w:t>7</w:t>
            </w:r>
          </w:p>
        </w:tc>
        <w:tc>
          <w:tcPr>
            <w:tcW w:w="851" w:type="dxa"/>
            <w:vAlign w:val="center"/>
          </w:tcPr>
          <w:p w:rsidR="00DC30BF" w:rsidRPr="009E351A" w:rsidRDefault="00DC30BF">
            <w:pPr>
              <w:spacing w:before="60" w:after="60"/>
              <w:jc w:val="right"/>
              <w:rPr>
                <w:sz w:val="22"/>
              </w:rPr>
            </w:pPr>
            <w:r w:rsidRPr="009E351A">
              <w:rPr>
                <w:sz w:val="22"/>
              </w:rPr>
              <w:t>7</w:t>
            </w:r>
          </w:p>
        </w:tc>
        <w:tc>
          <w:tcPr>
            <w:tcW w:w="851" w:type="dxa"/>
            <w:vAlign w:val="center"/>
          </w:tcPr>
          <w:p w:rsidR="00DC30BF" w:rsidRPr="009E351A" w:rsidRDefault="00DC30BF">
            <w:pPr>
              <w:spacing w:before="60" w:after="60"/>
              <w:jc w:val="right"/>
              <w:rPr>
                <w:sz w:val="22"/>
              </w:rPr>
            </w:pPr>
            <w:r w:rsidRPr="009E351A">
              <w:rPr>
                <w:sz w:val="22"/>
              </w:rPr>
              <w:t>7</w:t>
            </w:r>
          </w:p>
        </w:tc>
        <w:tc>
          <w:tcPr>
            <w:tcW w:w="851" w:type="dxa"/>
            <w:vAlign w:val="center"/>
          </w:tcPr>
          <w:p w:rsidR="00DC30BF" w:rsidRPr="009E351A" w:rsidRDefault="00DC30BF">
            <w:pPr>
              <w:spacing w:before="60" w:after="60"/>
              <w:jc w:val="right"/>
              <w:rPr>
                <w:sz w:val="22"/>
              </w:rPr>
            </w:pPr>
            <w:r w:rsidRPr="009E351A">
              <w:rPr>
                <w:sz w:val="22"/>
              </w:rPr>
              <w:t>7</w:t>
            </w:r>
          </w:p>
        </w:tc>
        <w:tc>
          <w:tcPr>
            <w:tcW w:w="851" w:type="dxa"/>
            <w:vAlign w:val="center"/>
          </w:tcPr>
          <w:p w:rsidR="00DC30BF" w:rsidRPr="009E351A" w:rsidRDefault="00DC30BF">
            <w:pPr>
              <w:spacing w:before="60" w:after="60"/>
              <w:jc w:val="right"/>
              <w:rPr>
                <w:sz w:val="22"/>
              </w:rPr>
            </w:pPr>
            <w:r w:rsidRPr="009E351A">
              <w:rPr>
                <w:sz w:val="22"/>
              </w:rPr>
              <w:t>14</w:t>
            </w:r>
          </w:p>
        </w:tc>
      </w:tr>
    </w:tbl>
    <w:p w:rsidR="00DC30BF" w:rsidRPr="009E351A" w:rsidRDefault="00DC30BF">
      <w:pPr>
        <w:pStyle w:val="ManualHeading1"/>
      </w:pPr>
      <w:r w:rsidRPr="009E351A">
        <w:t>5.</w:t>
      </w:r>
      <w:r w:rsidRPr="009E351A">
        <w:tab/>
        <w:t>CHARACTERISTICS AND OBJECTIVES</w:t>
      </w:r>
    </w:p>
    <w:p w:rsidR="00DC30BF" w:rsidRPr="009E351A" w:rsidRDefault="00DC30BF">
      <w:pPr>
        <w:pStyle w:val="ManualHeading2"/>
      </w:pPr>
      <w:r w:rsidRPr="009E351A">
        <w:t>5.1.</w:t>
      </w:r>
      <w:r w:rsidRPr="009E351A">
        <w:tab/>
        <w:t>Need to be met in the short or long term</w:t>
      </w:r>
    </w:p>
    <w:p w:rsidR="00DC30BF" w:rsidRPr="009E351A" w:rsidRDefault="00DC30BF">
      <w:pPr>
        <w:pStyle w:val="Text2"/>
      </w:pPr>
      <w:r w:rsidRPr="009E351A">
        <w:t>As detailed in the Explanatory Memorandum, the existing EIB general lending mandate will expire at the end of January 2007, with a possible 6 month extension, in the case that loans granted by the EIB have not attained the overall amounts set out in the Council Decision. The separate EIB mandate for projects in Russia, Ukraine, Moldova and Belarus will expire on the same date. There is a need for these mandates to be renewed if the Community is to continue to offer a guarantee for EIB external financing operations in furtherance of EU policy objectives.</w:t>
      </w:r>
    </w:p>
    <w:p w:rsidR="00DC30BF" w:rsidRPr="009E351A" w:rsidRDefault="00DC30BF">
      <w:pPr>
        <w:pStyle w:val="Text2"/>
      </w:pPr>
      <w:r w:rsidRPr="009E351A">
        <w:t>The new mandate will build upon the existing one, broadening the geographical and sectoral focus of EIB operations in line with the new political priorities of the EU.</w:t>
      </w:r>
    </w:p>
    <w:p w:rsidR="00DC30BF" w:rsidRPr="009E351A" w:rsidRDefault="00DC30BF">
      <w:pPr>
        <w:pStyle w:val="ManualHeading2"/>
      </w:pPr>
      <w:r w:rsidRPr="009E351A">
        <w:t>5.2.</w:t>
      </w:r>
      <w:r w:rsidRPr="009E351A">
        <w:tab/>
        <w:t>Value-added of Community involvement and coherence of the proposal with other financial instruments and possible synergy</w:t>
      </w:r>
    </w:p>
    <w:p w:rsidR="00DC30BF" w:rsidRPr="009E351A" w:rsidRDefault="00DC30BF">
      <w:pPr>
        <w:pStyle w:val="Text2"/>
      </w:pPr>
      <w:r w:rsidRPr="009E351A">
        <w:t>EIB Financing Operations outside the EU represent a highly visible and effective tool in support of EU's external action. The report accompanying the legislative proposal details the main benefits of EIB intervention in such countries, such as the passing on to project promoters of expertise and the application of EU environmental and procurement standards to the projects financed. In addition to the above benefits, the EIB passes on in full the financial advantages resulting from the Community guarantee and the attractive funding costs of the Bank to final beneficiaries in the form of competitive interest rates.</w:t>
      </w:r>
    </w:p>
    <w:p w:rsidR="00DC30BF" w:rsidRPr="009E351A" w:rsidRDefault="00DC30BF">
      <w:pPr>
        <w:pStyle w:val="Text2"/>
      </w:pPr>
      <w:r w:rsidRPr="009E351A">
        <w:t>The mandate under Community guarantee cover provides for the necessary political and financial backing by the Community for countries and projects which would not normally fit within EIB's standard guidelines and criteria.</w:t>
      </w:r>
    </w:p>
    <w:p w:rsidR="00DC30BF" w:rsidRPr="009E351A" w:rsidRDefault="00DC30BF">
      <w:pPr>
        <w:pStyle w:val="Text2"/>
      </w:pPr>
      <w:r w:rsidRPr="009E351A">
        <w:t>EIB Financing Operations will complement the activities carried out under the new external assistance instruments. In order to further increase support for EU external policies in each specific region, the linkage between EIB priorities and EU policies will be strengthened. This will be achieved through a stronger framework for dialogue and cooperation between the EIB and the Commission in the definition of regional policies, country strategies, and at a project level. EIB Financing Operations may be usefully combined with EU budget resources in the form of grant support, risk capital and interest rate subsidies alongside technical assistance for project preparation and implementation or enhancement of the legal and regulatory framework.</w:t>
      </w:r>
    </w:p>
    <w:p w:rsidR="00DC30BF" w:rsidRPr="009E351A" w:rsidRDefault="00DC30BF">
      <w:pPr>
        <w:pStyle w:val="ManualHeading2"/>
      </w:pPr>
      <w:r w:rsidRPr="009E351A">
        <w:t>5.3.</w:t>
      </w:r>
      <w:r w:rsidRPr="009E351A">
        <w:tab/>
        <w:t>Objectives, expected results and related indicators of the proposal in the context of the ABM framework</w:t>
      </w:r>
    </w:p>
    <w:p w:rsidR="00DC30BF" w:rsidRPr="009E351A" w:rsidRDefault="00DC30BF">
      <w:pPr>
        <w:pStyle w:val="Text2"/>
      </w:pPr>
      <w:r w:rsidRPr="009E351A">
        <w:t xml:space="preserve">The main objective of the proposal is to further the contribution of the EIB to the fulfilment of EU policy objectives, through the financing of investment projects. The objectives to be sought by EIB Financing Operations under the mandate will vary across the different regions and are detailed in the proposed legal act. Encouraging cooperation with other International Financial Institutions (IFIs) is also an important objective of the proposed Decision. </w:t>
      </w:r>
    </w:p>
    <w:p w:rsidR="00A54499" w:rsidRPr="009E351A" w:rsidRDefault="00DC30BF" w:rsidP="00C579DB">
      <w:pPr>
        <w:pStyle w:val="Text2"/>
      </w:pPr>
      <w:r w:rsidRPr="009E351A">
        <w:t>The attainment of objectives will primarily be measured by the volume of EIB Financing Operations by regions and by sector, as well as by the volume of EIB Financing Operations co-financed with other IFIs and/or Commission programmes.</w:t>
      </w:r>
    </w:p>
    <w:p w:rsidR="00DC30BF" w:rsidRPr="009E351A" w:rsidRDefault="00DC30BF">
      <w:pPr>
        <w:pStyle w:val="ManualHeading2"/>
      </w:pPr>
      <w:r w:rsidRPr="009E351A">
        <w:t>5.4.</w:t>
      </w:r>
      <w:r w:rsidRPr="009E351A">
        <w:tab/>
        <w:t>Method of Implementation (indicative)</w:t>
      </w:r>
    </w:p>
    <w:p w:rsidR="00DC30BF" w:rsidRPr="009E351A" w:rsidRDefault="00DC30BF">
      <w:pPr>
        <w:pStyle w:val="Point1"/>
        <w:rPr>
          <w:rStyle w:val="Point1Char"/>
          <w:b/>
          <w:i/>
          <w:lang w:val="sv-SE"/>
        </w:rPr>
      </w:pPr>
      <w:r w:rsidRPr="009E351A">
        <w:sym w:font="Wingdings" w:char="F0A8"/>
      </w:r>
      <w:r w:rsidRPr="009E351A">
        <w:tab/>
      </w:r>
      <w:r w:rsidRPr="009E351A">
        <w:rPr>
          <w:rStyle w:val="Point1Char"/>
          <w:b/>
          <w:i/>
          <w:lang w:val="sv-SE"/>
        </w:rPr>
        <w:t>Centralised Management</w:t>
      </w:r>
    </w:p>
    <w:p w:rsidR="00DC30BF" w:rsidRPr="009E351A" w:rsidRDefault="00DC30BF">
      <w:pPr>
        <w:pStyle w:val="Point2"/>
      </w:pPr>
      <w:r w:rsidRPr="009E351A">
        <w:sym w:font="Wingdings" w:char="F0A8"/>
      </w:r>
      <w:r w:rsidRPr="009E351A">
        <w:tab/>
        <w:t>directly by the Commission</w:t>
      </w:r>
    </w:p>
    <w:p w:rsidR="00DC30BF" w:rsidRPr="009E351A" w:rsidRDefault="00DC30BF">
      <w:pPr>
        <w:pStyle w:val="Point2"/>
      </w:pPr>
      <w:r w:rsidRPr="009E351A">
        <w:sym w:font="Wingdings" w:char="F0A8"/>
      </w:r>
      <w:r w:rsidRPr="009E351A">
        <w:tab/>
        <w:t>indirectly by delegation to:</w:t>
      </w:r>
    </w:p>
    <w:p w:rsidR="00DC30BF" w:rsidRPr="009E351A" w:rsidRDefault="00DC30BF">
      <w:pPr>
        <w:pStyle w:val="Point3"/>
      </w:pPr>
      <w:r w:rsidRPr="009E351A">
        <w:sym w:font="Wingdings" w:char="F0A8"/>
      </w:r>
      <w:r w:rsidRPr="009E351A">
        <w:tab/>
        <w:t>executive Agencies</w:t>
      </w:r>
    </w:p>
    <w:p w:rsidR="00DC30BF" w:rsidRPr="009E351A" w:rsidRDefault="00DC30BF">
      <w:pPr>
        <w:pStyle w:val="Point3"/>
      </w:pPr>
      <w:r w:rsidRPr="009E351A">
        <w:sym w:font="Wingdings" w:char="F0A8"/>
      </w:r>
      <w:r w:rsidRPr="009E351A">
        <w:tab/>
        <w:t>bodies set up by the Communities as referred to in art. 185 of the Financial Regulation</w:t>
      </w:r>
    </w:p>
    <w:p w:rsidR="00DC30BF" w:rsidRPr="009E351A" w:rsidRDefault="00DC30BF">
      <w:pPr>
        <w:pStyle w:val="Point3"/>
      </w:pPr>
      <w:r w:rsidRPr="009E351A">
        <w:sym w:font="Wingdings" w:char="F0A8"/>
      </w:r>
      <w:r w:rsidRPr="009E351A">
        <w:tab/>
        <w:t>national public-sector bodies/bodies with public-service mission</w:t>
      </w:r>
    </w:p>
    <w:p w:rsidR="00DC30BF" w:rsidRPr="009E351A" w:rsidRDefault="00DC30BF">
      <w:pPr>
        <w:pStyle w:val="Point1"/>
        <w:rPr>
          <w:b/>
          <w:i/>
        </w:rPr>
      </w:pPr>
      <w:r w:rsidRPr="009E351A">
        <w:sym w:font="Wingdings" w:char="F0A8"/>
      </w:r>
      <w:r w:rsidRPr="009E351A">
        <w:rPr>
          <w:b/>
          <w:i/>
        </w:rPr>
        <w:tab/>
        <w:t>Shared or decentralised management</w:t>
      </w:r>
    </w:p>
    <w:p w:rsidR="00DC30BF" w:rsidRPr="009E351A" w:rsidRDefault="00DC30BF">
      <w:pPr>
        <w:pStyle w:val="Point2"/>
      </w:pPr>
      <w:r w:rsidRPr="009E351A">
        <w:sym w:font="Wingdings" w:char="F0A8"/>
      </w:r>
      <w:r w:rsidRPr="009E351A">
        <w:tab/>
        <w:t>with Member states</w:t>
      </w:r>
    </w:p>
    <w:p w:rsidR="00DC30BF" w:rsidRPr="009E351A" w:rsidRDefault="00DC30BF">
      <w:pPr>
        <w:pStyle w:val="Point2"/>
      </w:pPr>
      <w:r w:rsidRPr="009E351A">
        <w:sym w:font="Wingdings" w:char="F0A8"/>
      </w:r>
      <w:r w:rsidRPr="009E351A">
        <w:tab/>
        <w:t>with Third countries</w:t>
      </w:r>
    </w:p>
    <w:p w:rsidR="00DC30BF" w:rsidRPr="009E351A" w:rsidRDefault="00DC30BF">
      <w:pPr>
        <w:pStyle w:val="Point1"/>
        <w:rPr>
          <w:b/>
          <w:i/>
        </w:rPr>
      </w:pPr>
      <w:r w:rsidRPr="009E351A">
        <w:sym w:font="Wingdings" w:char="F078"/>
      </w:r>
      <w:r w:rsidRPr="009E351A">
        <w:tab/>
      </w:r>
      <w:r w:rsidRPr="009E351A">
        <w:rPr>
          <w:b/>
          <w:i/>
        </w:rPr>
        <w:t>Joint management with international organisations (please specify)</w:t>
      </w:r>
    </w:p>
    <w:p w:rsidR="00DC30BF" w:rsidRPr="009E351A" w:rsidRDefault="00DC30BF">
      <w:pPr>
        <w:pStyle w:val="Text1"/>
      </w:pPr>
      <w:r w:rsidRPr="009E351A">
        <w:t>Relevant comments:</w:t>
      </w:r>
    </w:p>
    <w:p w:rsidR="00837F60" w:rsidRPr="009E351A" w:rsidRDefault="00837F60" w:rsidP="00837F60">
      <w:pPr>
        <w:pStyle w:val="Text1"/>
      </w:pPr>
      <w:r w:rsidRPr="009E351A">
        <w:t>In line with existing provisions, the proposal foresees that EIB is mandated by the Council to finance investment projects in accordance with its own rules and procedures. The Commission is responsible for managing the Community guarantee. The EIB and the Commission shall enter into an agreement laying down the detailed provisions and procedures relating to the implementation of this Decision.</w:t>
      </w:r>
    </w:p>
    <w:p w:rsidR="00DC30BF" w:rsidRPr="009E351A" w:rsidRDefault="00DC30BF">
      <w:pPr>
        <w:pStyle w:val="ManualHeading1"/>
      </w:pPr>
      <w:r w:rsidRPr="009E351A">
        <w:t>6.</w:t>
      </w:r>
      <w:r w:rsidRPr="009E351A">
        <w:tab/>
        <w:t>MONITORING AND EVALUATION</w:t>
      </w:r>
    </w:p>
    <w:p w:rsidR="00DC30BF" w:rsidRPr="009E351A" w:rsidRDefault="00DC30BF">
      <w:pPr>
        <w:pStyle w:val="ManualHeading2"/>
      </w:pPr>
      <w:r w:rsidRPr="009E351A">
        <w:t>6.1.</w:t>
      </w:r>
      <w:r w:rsidRPr="009E351A">
        <w:tab/>
        <w:t>Monitoring system</w:t>
      </w:r>
    </w:p>
    <w:p w:rsidR="00DC30BF" w:rsidRPr="009E351A" w:rsidRDefault="00DC30BF">
      <w:pPr>
        <w:pStyle w:val="Text2"/>
      </w:pPr>
      <w:r w:rsidRPr="009E351A">
        <w:t xml:space="preserve">EIB Financing Operations under Community guarantee will be managed by the EIB in accordance with the Bank's own rules and procedures, including appropriate audit, control and monitoring measures. </w:t>
      </w:r>
      <w:r w:rsidR="00837F60" w:rsidRPr="009E351A">
        <w:t xml:space="preserve">As foreseen in the EIB statute, the Audit Committee of the Bank, which is supported by external auditors, is responsible for verifying that the operations of the Bank have been conducted and its books kept in a proper manner. </w:t>
      </w:r>
      <w:r w:rsidRPr="009E351A">
        <w:t>The EIB accounts are approved annually by its Board of Governors.</w:t>
      </w:r>
    </w:p>
    <w:p w:rsidR="00DC30BF" w:rsidRPr="009E351A" w:rsidRDefault="00DC30BF">
      <w:pPr>
        <w:pStyle w:val="Text2"/>
      </w:pPr>
      <w:r w:rsidRPr="009E351A">
        <w:t>Furthermore, the EIB Board of Directors, where the Commission is represented by a Director and an alternate Director, approves each EIB Financing Operation and monitors that the Bank is managed in accordance with its Statute and with the general directives laid down by the Board of Governors.</w:t>
      </w:r>
    </w:p>
    <w:p w:rsidR="00837F60" w:rsidRPr="009E351A" w:rsidRDefault="00837F60" w:rsidP="00837F60">
      <w:pPr>
        <w:pStyle w:val="Text2"/>
      </w:pPr>
      <w:r w:rsidRPr="009E351A">
        <w:t>The existing tripartite agreement between the Commission, the Court of Auditors and the EIB, renewed most recently in October 2003 details the rules under which the Court of Auditors is to carry out its audits on the EIB Financing Operations under Community guarantee.</w:t>
      </w:r>
    </w:p>
    <w:p w:rsidR="00DC30BF" w:rsidRPr="009E351A" w:rsidRDefault="00DC30BF">
      <w:pPr>
        <w:pStyle w:val="Text2"/>
      </w:pPr>
      <w:r w:rsidRPr="009E351A">
        <w:t>As per Article 7 of the proposal, the Commission shall report to the European Parliament and the Council each year on the EIB Financing Operations carried out under this Decision, drawing upon yearly reports prepared by the EIB, providing information on financing granted in the different regions or sectors and on cooperation with other IFIs.</w:t>
      </w:r>
    </w:p>
    <w:p w:rsidR="00DC30BF" w:rsidRPr="009E351A" w:rsidRDefault="00DC30BF">
      <w:pPr>
        <w:pStyle w:val="Text2"/>
      </w:pPr>
      <w:r w:rsidRPr="009E351A">
        <w:t xml:space="preserve">Furthermore, the EIB shall provide the Commission with statistical, financial and accounting data on each of the EIB Financing Operations as necessary to fulfil its reporting duties or requests by the European Court of Auditors as well as an auditor’s certificate on the outstanding </w:t>
      </w:r>
      <w:r w:rsidR="00EA6F6F" w:rsidRPr="009E351A">
        <w:t xml:space="preserve">amounts </w:t>
      </w:r>
      <w:r w:rsidRPr="009E351A">
        <w:t>of the EIB Financing Operations.</w:t>
      </w:r>
    </w:p>
    <w:p w:rsidR="00DC30BF" w:rsidRPr="009E351A" w:rsidRDefault="00DC30BF">
      <w:pPr>
        <w:pStyle w:val="ManualHeading2"/>
      </w:pPr>
      <w:r w:rsidRPr="009E351A">
        <w:t>6.2.</w:t>
      </w:r>
      <w:r w:rsidRPr="009E351A">
        <w:tab/>
        <w:t>Evaluation</w:t>
      </w:r>
    </w:p>
    <w:p w:rsidR="00DC30BF" w:rsidRPr="009E351A" w:rsidRDefault="00DC30BF">
      <w:pPr>
        <w:pStyle w:val="ManualHeading3"/>
      </w:pPr>
      <w:r w:rsidRPr="009E351A">
        <w:t>6.2.1.</w:t>
      </w:r>
      <w:r w:rsidRPr="009E351A">
        <w:tab/>
        <w:t>Ex-ante evaluation</w:t>
      </w:r>
    </w:p>
    <w:p w:rsidR="00DC30BF" w:rsidRPr="009E351A" w:rsidRDefault="00DC30BF">
      <w:pPr>
        <w:pStyle w:val="Text2"/>
      </w:pPr>
      <w:r w:rsidRPr="009E351A">
        <w:t>The legislative proposal is accompanied by a Commission report including a detailed assessment of the existing Community Guarantee to EIB extra-EU operations. The report also contains in a separate annex an analysis of future needs in the various regions covered by the mandate, including their absorption capacity, and outlines how the proposed mandate responds to anticipated need.</w:t>
      </w:r>
    </w:p>
    <w:p w:rsidR="00DC30BF" w:rsidRPr="009E351A" w:rsidRDefault="00DC30BF">
      <w:pPr>
        <w:pStyle w:val="ManualHeading3"/>
      </w:pPr>
      <w:r w:rsidRPr="009E351A">
        <w:t>6.2.2.</w:t>
      </w:r>
      <w:r w:rsidRPr="009E351A">
        <w:tab/>
        <w:t>Measures taken following an intermediate/ex-post evaluation (lessons learned from similar experiences in the past)</w:t>
      </w:r>
    </w:p>
    <w:p w:rsidR="00837F60" w:rsidRPr="009E351A" w:rsidRDefault="00837F60" w:rsidP="00837F60">
      <w:pPr>
        <w:pStyle w:val="Text1"/>
      </w:pPr>
      <w:r w:rsidRPr="009E351A">
        <w:t>Experience from the operation of the current Community Guarantee has led to some proposed modifications to its modalities, notably in terms of geographical coverage, definition of the scope of the EIB mandate in the different regions, the addition of a Reserve Mandate, a strengthening of the linkage between the EIB activities and the EU external priorities and a consequent reinforcement of the cooperation between the Commission and the EIB, as well as a clarification of risks covered by the Guarantee. The proposed mandate will also cover guarantees of the EIB, extending beyond coverage for loans only under the previous mandates.</w:t>
      </w:r>
    </w:p>
    <w:p w:rsidR="00DC30BF" w:rsidRPr="009E351A" w:rsidRDefault="00DC30BF">
      <w:pPr>
        <w:pStyle w:val="ManualHeading3"/>
      </w:pPr>
      <w:r w:rsidRPr="009E351A">
        <w:t>6.2.3.</w:t>
      </w:r>
      <w:r w:rsidRPr="009E351A">
        <w:tab/>
        <w:t>Terms and frequency of future evaluation</w:t>
      </w:r>
    </w:p>
    <w:p w:rsidR="00DC30BF" w:rsidRPr="009E351A" w:rsidRDefault="00DC30BF">
      <w:pPr>
        <w:pStyle w:val="Text2"/>
      </w:pPr>
      <w:r w:rsidRPr="009E351A">
        <w:t xml:space="preserve">The proposal provides for the preparation of a mid term review on the EIB mandate by 30 June 2010, which would allow, if necessary, for a refocusing of the priorities set out in the legal basis. It would be prepared by the Commission based </w:t>
      </w:r>
      <w:r w:rsidR="00EA6F6F" w:rsidRPr="009E351A">
        <w:t xml:space="preserve">inter alia </w:t>
      </w:r>
      <w:r w:rsidRPr="009E351A">
        <w:t>on an activity report from the EIB as well as an evaluation provided by the independent evaluation department of the EIB.</w:t>
      </w:r>
    </w:p>
    <w:p w:rsidR="00DC30BF" w:rsidRPr="009E351A" w:rsidRDefault="00DC30BF">
      <w:pPr>
        <w:pStyle w:val="Text2"/>
        <w:rPr>
          <w:b/>
        </w:rPr>
      </w:pPr>
      <w:r w:rsidRPr="009E351A">
        <w:t>The Commission will prepare a final report on the EIB mandate by 31 July 2013</w:t>
      </w:r>
    </w:p>
    <w:p w:rsidR="00DC30BF" w:rsidRPr="009E351A" w:rsidRDefault="00837F60">
      <w:pPr>
        <w:pStyle w:val="ManualHeading1"/>
      </w:pPr>
      <w:r w:rsidRPr="009E351A">
        <w:t>7.</w:t>
      </w:r>
      <w:r w:rsidRPr="009E351A">
        <w:tab/>
        <w:t>Anti-fraud measures</w:t>
      </w:r>
    </w:p>
    <w:p w:rsidR="00837F60" w:rsidRPr="009E351A" w:rsidRDefault="00837F60" w:rsidP="00837F60">
      <w:r w:rsidRPr="009E351A">
        <w:t>The Bank's rules and procedures include detailed arrangements to fight against fraud and corruption. In particular, in July 2004, the EIB Board of Governors has approved a decision relating to procedures for cooperation with OLAF and consequently has adapted its internal procedures.</w:t>
      </w:r>
    </w:p>
    <w:p w:rsidR="00DC30BF" w:rsidRPr="009E351A" w:rsidRDefault="00DC30BF">
      <w:pPr>
        <w:rPr>
          <w:i/>
        </w:rPr>
        <w:sectPr w:rsidR="00DC30BF" w:rsidRPr="009E351A" w:rsidSect="00B2551F">
          <w:pgSz w:w="11907" w:h="16840" w:code="9"/>
          <w:pgMar w:top="1134" w:right="1418" w:bottom="1134" w:left="1418" w:header="720" w:footer="720" w:gutter="0"/>
          <w:cols w:space="708"/>
          <w:docGrid w:linePitch="360"/>
        </w:sectPr>
      </w:pPr>
    </w:p>
    <w:p w:rsidR="00DC30BF" w:rsidRPr="009E351A" w:rsidRDefault="00DC30BF" w:rsidP="00AF07BD">
      <w:pPr>
        <w:pStyle w:val="ManualHeading1"/>
        <w:spacing w:before="0" w:after="0"/>
        <w:ind w:left="851" w:hanging="851"/>
      </w:pPr>
      <w:r w:rsidRPr="009E351A">
        <w:t>8.</w:t>
      </w:r>
      <w:r w:rsidRPr="009E351A">
        <w:tab/>
        <w:t>DETAILS OF RESOURCES</w:t>
      </w:r>
    </w:p>
    <w:p w:rsidR="00DC30BF" w:rsidRPr="009E351A" w:rsidRDefault="00DC30BF" w:rsidP="00AF07BD">
      <w:pPr>
        <w:pStyle w:val="ManualHeading2"/>
        <w:spacing w:before="0" w:after="0"/>
        <w:ind w:left="851" w:hanging="851"/>
      </w:pPr>
      <w:r w:rsidRPr="009E351A">
        <w:t>8.1.</w:t>
      </w:r>
      <w:r w:rsidRPr="009E351A">
        <w:tab/>
        <w:t>Objectives of the proposal in terms of their financial cost</w:t>
      </w:r>
    </w:p>
    <w:p w:rsidR="006F4021" w:rsidRPr="009E351A" w:rsidRDefault="006F4021" w:rsidP="00AF07BD">
      <w:pPr>
        <w:pStyle w:val="NormalRight"/>
        <w:spacing w:before="0" w:after="0"/>
        <w:rPr>
          <w:sz w:val="16"/>
          <w:szCs w:val="16"/>
        </w:rPr>
      </w:pPr>
      <w:r w:rsidRPr="009E351A">
        <w:rPr>
          <w:sz w:val="16"/>
          <w:szCs w:val="16"/>
        </w:rPr>
        <w:t>(EUR million)</w:t>
      </w:r>
    </w:p>
    <w:tbl>
      <w:tblPr>
        <w:tblW w:w="126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2"/>
        <w:gridCol w:w="1329"/>
        <w:gridCol w:w="837"/>
        <w:gridCol w:w="574"/>
        <w:gridCol w:w="769"/>
        <w:gridCol w:w="642"/>
        <w:gridCol w:w="755"/>
        <w:gridCol w:w="656"/>
        <w:gridCol w:w="769"/>
        <w:gridCol w:w="642"/>
        <w:gridCol w:w="769"/>
        <w:gridCol w:w="642"/>
        <w:gridCol w:w="769"/>
        <w:gridCol w:w="642"/>
        <w:gridCol w:w="769"/>
        <w:gridCol w:w="642"/>
        <w:tblGridChange w:id="0">
          <w:tblGrid>
            <w:gridCol w:w="1442"/>
            <w:gridCol w:w="1329"/>
            <w:gridCol w:w="837"/>
            <w:gridCol w:w="574"/>
            <w:gridCol w:w="769"/>
            <w:gridCol w:w="642"/>
            <w:gridCol w:w="755"/>
            <w:gridCol w:w="656"/>
            <w:gridCol w:w="769"/>
            <w:gridCol w:w="642"/>
            <w:gridCol w:w="769"/>
            <w:gridCol w:w="642"/>
            <w:gridCol w:w="769"/>
            <w:gridCol w:w="642"/>
            <w:gridCol w:w="769"/>
            <w:gridCol w:w="642"/>
          </w:tblGrid>
        </w:tblGridChange>
      </w:tblGrid>
      <w:tr w:rsidR="002350C2" w:rsidRPr="009E351A">
        <w:tblPrEx>
          <w:tblCellMar>
            <w:top w:w="0" w:type="dxa"/>
            <w:bottom w:w="0" w:type="dxa"/>
          </w:tblCellMar>
        </w:tblPrEx>
        <w:trPr>
          <w:cantSplit/>
          <w:trHeight w:val="378"/>
          <w:jc w:val="right"/>
        </w:trPr>
        <w:tc>
          <w:tcPr>
            <w:tcW w:w="1442" w:type="dxa"/>
            <w:vMerge w:val="restart"/>
          </w:tcPr>
          <w:p w:rsidR="002350C2" w:rsidRPr="009E351A" w:rsidRDefault="002350C2" w:rsidP="00AF07BD">
            <w:pPr>
              <w:jc w:val="center"/>
              <w:rPr>
                <w:b/>
                <w:sz w:val="16"/>
              </w:rPr>
            </w:pPr>
            <w:r w:rsidRPr="009E351A">
              <w:rPr>
                <w:b/>
                <w:sz w:val="16"/>
              </w:rPr>
              <w:t>(Headings of Objectives, actions and outputs should be provided)</w:t>
            </w:r>
          </w:p>
        </w:tc>
        <w:tc>
          <w:tcPr>
            <w:tcW w:w="1329" w:type="dxa"/>
            <w:vMerge w:val="restart"/>
          </w:tcPr>
          <w:p w:rsidR="002350C2" w:rsidRPr="009E351A" w:rsidRDefault="002350C2" w:rsidP="00AF07BD">
            <w:pPr>
              <w:jc w:val="center"/>
              <w:rPr>
                <w:b/>
                <w:sz w:val="16"/>
              </w:rPr>
            </w:pPr>
            <w:r w:rsidRPr="009E351A">
              <w:rPr>
                <w:b/>
                <w:sz w:val="16"/>
              </w:rPr>
              <w:t>Type of output</w:t>
            </w:r>
          </w:p>
        </w:tc>
        <w:tc>
          <w:tcPr>
            <w:tcW w:w="1411" w:type="dxa"/>
            <w:gridSpan w:val="2"/>
          </w:tcPr>
          <w:p w:rsidR="002350C2" w:rsidRPr="009E351A" w:rsidRDefault="002350C2" w:rsidP="00AF07BD">
            <w:pPr>
              <w:jc w:val="center"/>
              <w:rPr>
                <w:b/>
                <w:sz w:val="16"/>
              </w:rPr>
            </w:pPr>
            <w:r w:rsidRPr="009E351A">
              <w:rPr>
                <w:b/>
                <w:sz w:val="16"/>
              </w:rPr>
              <w:t>2007</w:t>
            </w:r>
          </w:p>
        </w:tc>
        <w:tc>
          <w:tcPr>
            <w:tcW w:w="1411" w:type="dxa"/>
            <w:gridSpan w:val="2"/>
          </w:tcPr>
          <w:p w:rsidR="002350C2" w:rsidRPr="009E351A" w:rsidRDefault="002350C2" w:rsidP="00AF07BD">
            <w:pPr>
              <w:jc w:val="center"/>
              <w:rPr>
                <w:b/>
                <w:sz w:val="16"/>
              </w:rPr>
            </w:pPr>
            <w:r w:rsidRPr="009E351A">
              <w:rPr>
                <w:b/>
                <w:sz w:val="16"/>
              </w:rPr>
              <w:t>2008</w:t>
            </w:r>
          </w:p>
        </w:tc>
        <w:tc>
          <w:tcPr>
            <w:tcW w:w="1411" w:type="dxa"/>
            <w:gridSpan w:val="2"/>
          </w:tcPr>
          <w:p w:rsidR="002350C2" w:rsidRPr="009E351A" w:rsidRDefault="002350C2" w:rsidP="00AF07BD">
            <w:pPr>
              <w:jc w:val="center"/>
              <w:rPr>
                <w:b/>
                <w:sz w:val="16"/>
              </w:rPr>
            </w:pPr>
            <w:r w:rsidRPr="009E351A">
              <w:rPr>
                <w:b/>
                <w:sz w:val="16"/>
              </w:rPr>
              <w:t>2009</w:t>
            </w:r>
          </w:p>
        </w:tc>
        <w:tc>
          <w:tcPr>
            <w:tcW w:w="1411" w:type="dxa"/>
            <w:gridSpan w:val="2"/>
          </w:tcPr>
          <w:p w:rsidR="002350C2" w:rsidRPr="009E351A" w:rsidRDefault="002350C2" w:rsidP="00AF07BD">
            <w:pPr>
              <w:jc w:val="center"/>
              <w:rPr>
                <w:b/>
                <w:sz w:val="16"/>
              </w:rPr>
            </w:pPr>
            <w:r w:rsidRPr="009E351A">
              <w:rPr>
                <w:b/>
                <w:sz w:val="16"/>
              </w:rPr>
              <w:t>2010</w:t>
            </w:r>
          </w:p>
        </w:tc>
        <w:tc>
          <w:tcPr>
            <w:tcW w:w="1411" w:type="dxa"/>
            <w:gridSpan w:val="2"/>
          </w:tcPr>
          <w:p w:rsidR="002350C2" w:rsidRPr="009E351A" w:rsidRDefault="002350C2" w:rsidP="00AF07BD">
            <w:pPr>
              <w:jc w:val="center"/>
              <w:rPr>
                <w:b/>
                <w:sz w:val="16"/>
              </w:rPr>
            </w:pPr>
            <w:r w:rsidRPr="009E351A">
              <w:rPr>
                <w:b/>
                <w:sz w:val="16"/>
              </w:rPr>
              <w:t>2011</w:t>
            </w:r>
          </w:p>
        </w:tc>
        <w:tc>
          <w:tcPr>
            <w:tcW w:w="1411" w:type="dxa"/>
            <w:gridSpan w:val="2"/>
          </w:tcPr>
          <w:p w:rsidR="002350C2" w:rsidRPr="009E351A" w:rsidRDefault="002350C2" w:rsidP="00AF07BD">
            <w:pPr>
              <w:jc w:val="center"/>
              <w:rPr>
                <w:b/>
                <w:sz w:val="16"/>
              </w:rPr>
            </w:pPr>
            <w:r w:rsidRPr="009E351A">
              <w:rPr>
                <w:b/>
                <w:sz w:val="16"/>
              </w:rPr>
              <w:t>2012</w:t>
            </w:r>
          </w:p>
        </w:tc>
        <w:tc>
          <w:tcPr>
            <w:tcW w:w="1411" w:type="dxa"/>
            <w:gridSpan w:val="2"/>
          </w:tcPr>
          <w:p w:rsidR="002350C2" w:rsidRPr="009E351A" w:rsidRDefault="002350C2" w:rsidP="00AF07BD">
            <w:pPr>
              <w:jc w:val="center"/>
              <w:rPr>
                <w:b/>
                <w:sz w:val="16"/>
              </w:rPr>
            </w:pPr>
            <w:r w:rsidRPr="009E351A">
              <w:rPr>
                <w:b/>
                <w:sz w:val="16"/>
              </w:rPr>
              <w:t>2013</w:t>
            </w:r>
          </w:p>
        </w:tc>
      </w:tr>
      <w:tr w:rsidR="006F4021" w:rsidRPr="009E351A">
        <w:tblPrEx>
          <w:tblCellMar>
            <w:top w:w="0" w:type="dxa"/>
            <w:bottom w:w="0" w:type="dxa"/>
          </w:tblCellMar>
        </w:tblPrEx>
        <w:trPr>
          <w:cantSplit/>
          <w:trHeight w:val="482"/>
          <w:jc w:val="right"/>
        </w:trPr>
        <w:tc>
          <w:tcPr>
            <w:tcW w:w="1442" w:type="dxa"/>
            <w:vMerge/>
          </w:tcPr>
          <w:p w:rsidR="006F4021" w:rsidRPr="009E351A" w:rsidRDefault="006F4021" w:rsidP="00AF07BD">
            <w:pPr>
              <w:jc w:val="center"/>
              <w:rPr>
                <w:sz w:val="16"/>
              </w:rPr>
            </w:pPr>
          </w:p>
        </w:tc>
        <w:tc>
          <w:tcPr>
            <w:tcW w:w="1329" w:type="dxa"/>
            <w:vMerge/>
            <w:tcBorders>
              <w:bottom w:val="single" w:sz="4" w:space="0" w:color="auto"/>
            </w:tcBorders>
          </w:tcPr>
          <w:p w:rsidR="006F4021" w:rsidRPr="009E351A" w:rsidRDefault="006F4021" w:rsidP="00AF07BD">
            <w:pPr>
              <w:jc w:val="center"/>
              <w:rPr>
                <w:sz w:val="16"/>
              </w:rPr>
            </w:pPr>
          </w:p>
        </w:tc>
        <w:tc>
          <w:tcPr>
            <w:tcW w:w="837" w:type="dxa"/>
            <w:tcBorders>
              <w:bottom w:val="single" w:sz="4" w:space="0" w:color="auto"/>
            </w:tcBorders>
          </w:tcPr>
          <w:p w:rsidR="006F4021" w:rsidRPr="009E351A" w:rsidRDefault="006F4021" w:rsidP="00AF07BD">
            <w:pPr>
              <w:jc w:val="center"/>
              <w:rPr>
                <w:sz w:val="14"/>
                <w:szCs w:val="14"/>
              </w:rPr>
            </w:pPr>
            <w:r w:rsidRPr="009E351A">
              <w:rPr>
                <w:sz w:val="14"/>
                <w:szCs w:val="14"/>
              </w:rPr>
              <w:t>EIB Financing</w:t>
            </w:r>
          </w:p>
        </w:tc>
        <w:tc>
          <w:tcPr>
            <w:tcW w:w="574" w:type="dxa"/>
            <w:tcBorders>
              <w:bottom w:val="single" w:sz="4" w:space="0" w:color="auto"/>
            </w:tcBorders>
          </w:tcPr>
          <w:p w:rsidR="006F4021" w:rsidRPr="009E351A" w:rsidRDefault="006F4021" w:rsidP="00AF07BD">
            <w:pPr>
              <w:jc w:val="center"/>
              <w:rPr>
                <w:sz w:val="14"/>
                <w:szCs w:val="14"/>
              </w:rPr>
            </w:pPr>
            <w:r w:rsidRPr="009E351A">
              <w:rPr>
                <w:sz w:val="14"/>
                <w:szCs w:val="14"/>
              </w:rPr>
              <w:t>Total cost</w:t>
            </w:r>
          </w:p>
        </w:tc>
        <w:tc>
          <w:tcPr>
            <w:tcW w:w="769" w:type="dxa"/>
            <w:tcBorders>
              <w:bottom w:val="single" w:sz="4" w:space="0" w:color="auto"/>
            </w:tcBorders>
          </w:tcPr>
          <w:p w:rsidR="006F4021" w:rsidRPr="009E351A" w:rsidRDefault="006F4021" w:rsidP="00AF07BD">
            <w:pPr>
              <w:jc w:val="center"/>
              <w:rPr>
                <w:sz w:val="14"/>
                <w:szCs w:val="14"/>
              </w:rPr>
            </w:pPr>
            <w:r w:rsidRPr="009E351A">
              <w:rPr>
                <w:sz w:val="14"/>
                <w:szCs w:val="14"/>
              </w:rPr>
              <w:t>No. outputs</w:t>
            </w:r>
          </w:p>
        </w:tc>
        <w:tc>
          <w:tcPr>
            <w:tcW w:w="642" w:type="dxa"/>
            <w:tcBorders>
              <w:bottom w:val="single" w:sz="4" w:space="0" w:color="auto"/>
            </w:tcBorders>
          </w:tcPr>
          <w:p w:rsidR="006F4021" w:rsidRPr="009E351A" w:rsidRDefault="006F4021" w:rsidP="00AF07BD">
            <w:pPr>
              <w:jc w:val="center"/>
              <w:rPr>
                <w:sz w:val="14"/>
                <w:szCs w:val="14"/>
              </w:rPr>
            </w:pPr>
            <w:r w:rsidRPr="009E351A">
              <w:rPr>
                <w:sz w:val="14"/>
                <w:szCs w:val="14"/>
              </w:rPr>
              <w:t>Total cost</w:t>
            </w:r>
          </w:p>
        </w:tc>
        <w:tc>
          <w:tcPr>
            <w:tcW w:w="755" w:type="dxa"/>
            <w:tcBorders>
              <w:bottom w:val="single" w:sz="4" w:space="0" w:color="auto"/>
            </w:tcBorders>
          </w:tcPr>
          <w:p w:rsidR="006F4021" w:rsidRPr="009E351A" w:rsidRDefault="006F4021" w:rsidP="00AF07BD">
            <w:pPr>
              <w:jc w:val="center"/>
              <w:rPr>
                <w:sz w:val="14"/>
                <w:szCs w:val="14"/>
              </w:rPr>
            </w:pPr>
            <w:r w:rsidRPr="009E351A">
              <w:rPr>
                <w:sz w:val="14"/>
                <w:szCs w:val="14"/>
              </w:rPr>
              <w:t>No. outputs</w:t>
            </w:r>
          </w:p>
        </w:tc>
        <w:tc>
          <w:tcPr>
            <w:tcW w:w="656" w:type="dxa"/>
            <w:tcBorders>
              <w:bottom w:val="single" w:sz="4" w:space="0" w:color="auto"/>
            </w:tcBorders>
          </w:tcPr>
          <w:p w:rsidR="006F4021" w:rsidRPr="009E351A" w:rsidRDefault="006F4021" w:rsidP="00AF07BD">
            <w:pPr>
              <w:jc w:val="center"/>
              <w:rPr>
                <w:sz w:val="14"/>
                <w:szCs w:val="14"/>
              </w:rPr>
            </w:pPr>
            <w:r w:rsidRPr="009E351A">
              <w:rPr>
                <w:sz w:val="14"/>
                <w:szCs w:val="14"/>
              </w:rPr>
              <w:t>Total cost</w:t>
            </w:r>
          </w:p>
        </w:tc>
        <w:tc>
          <w:tcPr>
            <w:tcW w:w="769" w:type="dxa"/>
            <w:tcBorders>
              <w:bottom w:val="single" w:sz="4" w:space="0" w:color="auto"/>
            </w:tcBorders>
          </w:tcPr>
          <w:p w:rsidR="006F4021" w:rsidRPr="009E351A" w:rsidRDefault="006F4021" w:rsidP="00AF07BD">
            <w:pPr>
              <w:jc w:val="center"/>
              <w:rPr>
                <w:sz w:val="14"/>
                <w:szCs w:val="14"/>
              </w:rPr>
            </w:pPr>
            <w:r w:rsidRPr="009E351A">
              <w:rPr>
                <w:sz w:val="14"/>
                <w:szCs w:val="14"/>
              </w:rPr>
              <w:t>No. outputs</w:t>
            </w:r>
          </w:p>
        </w:tc>
        <w:tc>
          <w:tcPr>
            <w:tcW w:w="642" w:type="dxa"/>
            <w:tcBorders>
              <w:bottom w:val="single" w:sz="4" w:space="0" w:color="auto"/>
            </w:tcBorders>
          </w:tcPr>
          <w:p w:rsidR="006F4021" w:rsidRPr="009E351A" w:rsidRDefault="006F4021" w:rsidP="00AF07BD">
            <w:pPr>
              <w:jc w:val="center"/>
              <w:rPr>
                <w:sz w:val="14"/>
                <w:szCs w:val="14"/>
              </w:rPr>
            </w:pPr>
            <w:r w:rsidRPr="009E351A">
              <w:rPr>
                <w:sz w:val="14"/>
                <w:szCs w:val="14"/>
              </w:rPr>
              <w:t>Total cost</w:t>
            </w:r>
          </w:p>
        </w:tc>
        <w:tc>
          <w:tcPr>
            <w:tcW w:w="769" w:type="dxa"/>
            <w:tcBorders>
              <w:bottom w:val="single" w:sz="4" w:space="0" w:color="auto"/>
            </w:tcBorders>
          </w:tcPr>
          <w:p w:rsidR="006F4021" w:rsidRPr="009E351A" w:rsidRDefault="006F4021" w:rsidP="00AF07BD">
            <w:pPr>
              <w:jc w:val="center"/>
              <w:rPr>
                <w:sz w:val="14"/>
                <w:szCs w:val="14"/>
              </w:rPr>
            </w:pPr>
            <w:r w:rsidRPr="009E351A">
              <w:rPr>
                <w:sz w:val="14"/>
                <w:szCs w:val="14"/>
              </w:rPr>
              <w:t>No. outputs</w:t>
            </w:r>
          </w:p>
        </w:tc>
        <w:tc>
          <w:tcPr>
            <w:tcW w:w="642" w:type="dxa"/>
            <w:tcBorders>
              <w:bottom w:val="single" w:sz="4" w:space="0" w:color="auto"/>
            </w:tcBorders>
          </w:tcPr>
          <w:p w:rsidR="006F4021" w:rsidRPr="009E351A" w:rsidRDefault="006F4021" w:rsidP="00AF07BD">
            <w:pPr>
              <w:jc w:val="center"/>
              <w:rPr>
                <w:sz w:val="14"/>
                <w:szCs w:val="14"/>
              </w:rPr>
            </w:pPr>
            <w:r w:rsidRPr="009E351A">
              <w:rPr>
                <w:sz w:val="14"/>
                <w:szCs w:val="14"/>
              </w:rPr>
              <w:t>Total cost</w:t>
            </w:r>
          </w:p>
        </w:tc>
        <w:tc>
          <w:tcPr>
            <w:tcW w:w="769" w:type="dxa"/>
            <w:tcBorders>
              <w:bottom w:val="single" w:sz="4" w:space="0" w:color="auto"/>
            </w:tcBorders>
          </w:tcPr>
          <w:p w:rsidR="006F4021" w:rsidRPr="009E351A" w:rsidRDefault="006F4021" w:rsidP="00AF07BD">
            <w:pPr>
              <w:jc w:val="center"/>
              <w:rPr>
                <w:sz w:val="14"/>
                <w:szCs w:val="14"/>
              </w:rPr>
            </w:pPr>
            <w:r w:rsidRPr="009E351A">
              <w:rPr>
                <w:sz w:val="14"/>
                <w:szCs w:val="14"/>
              </w:rPr>
              <w:t>No. outputs</w:t>
            </w:r>
          </w:p>
        </w:tc>
        <w:tc>
          <w:tcPr>
            <w:tcW w:w="642" w:type="dxa"/>
            <w:tcBorders>
              <w:bottom w:val="single" w:sz="4" w:space="0" w:color="auto"/>
            </w:tcBorders>
          </w:tcPr>
          <w:p w:rsidR="006F4021" w:rsidRPr="009E351A" w:rsidRDefault="006F4021" w:rsidP="00AF07BD">
            <w:pPr>
              <w:jc w:val="center"/>
              <w:rPr>
                <w:sz w:val="14"/>
                <w:szCs w:val="14"/>
              </w:rPr>
            </w:pPr>
            <w:r w:rsidRPr="009E351A">
              <w:rPr>
                <w:sz w:val="14"/>
                <w:szCs w:val="14"/>
              </w:rPr>
              <w:t>Total cost</w:t>
            </w:r>
          </w:p>
        </w:tc>
        <w:tc>
          <w:tcPr>
            <w:tcW w:w="769" w:type="dxa"/>
            <w:tcBorders>
              <w:bottom w:val="single" w:sz="4" w:space="0" w:color="auto"/>
            </w:tcBorders>
          </w:tcPr>
          <w:p w:rsidR="006F4021" w:rsidRPr="009E351A" w:rsidRDefault="006F4021" w:rsidP="00AF07BD">
            <w:pPr>
              <w:jc w:val="center"/>
              <w:rPr>
                <w:sz w:val="14"/>
                <w:szCs w:val="14"/>
              </w:rPr>
            </w:pPr>
            <w:r w:rsidRPr="009E351A">
              <w:rPr>
                <w:sz w:val="14"/>
                <w:szCs w:val="14"/>
              </w:rPr>
              <w:t>No. outputs</w:t>
            </w:r>
          </w:p>
        </w:tc>
        <w:tc>
          <w:tcPr>
            <w:tcW w:w="642" w:type="dxa"/>
            <w:tcBorders>
              <w:bottom w:val="single" w:sz="4" w:space="0" w:color="auto"/>
            </w:tcBorders>
          </w:tcPr>
          <w:p w:rsidR="006F4021" w:rsidRPr="009E351A" w:rsidRDefault="006F4021" w:rsidP="00AF07BD">
            <w:pPr>
              <w:jc w:val="center"/>
              <w:rPr>
                <w:sz w:val="14"/>
                <w:szCs w:val="14"/>
              </w:rPr>
            </w:pPr>
            <w:r w:rsidRPr="009E351A">
              <w:rPr>
                <w:sz w:val="14"/>
                <w:szCs w:val="14"/>
              </w:rPr>
              <w:t>Total cost</w:t>
            </w:r>
          </w:p>
        </w:tc>
      </w:tr>
      <w:tr w:rsidR="006F4021" w:rsidRPr="009E351A">
        <w:tblPrEx>
          <w:tblCellMar>
            <w:top w:w="0" w:type="dxa"/>
            <w:bottom w:w="0" w:type="dxa"/>
          </w:tblCellMar>
        </w:tblPrEx>
        <w:trPr>
          <w:trHeight w:hRule="exact" w:val="851"/>
          <w:jc w:val="right"/>
        </w:trPr>
        <w:tc>
          <w:tcPr>
            <w:tcW w:w="2771" w:type="dxa"/>
            <w:gridSpan w:val="2"/>
          </w:tcPr>
          <w:p w:rsidR="00425F1A" w:rsidRPr="009E351A" w:rsidRDefault="006F4021" w:rsidP="00AF07BD">
            <w:pPr>
              <w:jc w:val="center"/>
              <w:rPr>
                <w:sz w:val="16"/>
              </w:rPr>
            </w:pPr>
            <w:r w:rsidRPr="009E351A">
              <w:rPr>
                <w:sz w:val="16"/>
              </w:rPr>
              <w:t>Indicative volume of signed EIB Financing Operations (new mandate)</w:t>
            </w:r>
            <w:r w:rsidR="00425F1A" w:rsidRPr="009E351A">
              <w:rPr>
                <w:sz w:val="16"/>
              </w:rPr>
              <w:br/>
              <w:t>Total = EUR 33,000 million</w:t>
            </w:r>
          </w:p>
          <w:p w:rsidR="006F4021" w:rsidRPr="009E351A" w:rsidRDefault="006F4021" w:rsidP="00AF07BD">
            <w:pPr>
              <w:jc w:val="center"/>
              <w:rPr>
                <w:sz w:val="16"/>
              </w:rPr>
            </w:pPr>
          </w:p>
        </w:tc>
        <w:tc>
          <w:tcPr>
            <w:tcW w:w="837" w:type="dxa"/>
          </w:tcPr>
          <w:p w:rsidR="006F4021" w:rsidRPr="009E351A" w:rsidRDefault="006F4021" w:rsidP="00AF07BD">
            <w:pPr>
              <w:jc w:val="center"/>
              <w:rPr>
                <w:sz w:val="16"/>
              </w:rPr>
            </w:pPr>
            <w:r w:rsidRPr="009E351A">
              <w:rPr>
                <w:sz w:val="16"/>
              </w:rPr>
              <w:t>3,478</w:t>
            </w:r>
          </w:p>
        </w:tc>
        <w:tc>
          <w:tcPr>
            <w:tcW w:w="574"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3,826</w:t>
            </w:r>
          </w:p>
        </w:tc>
        <w:tc>
          <w:tcPr>
            <w:tcW w:w="642" w:type="dxa"/>
          </w:tcPr>
          <w:p w:rsidR="006F4021" w:rsidRPr="009E351A" w:rsidRDefault="006F4021" w:rsidP="00AF07BD">
            <w:pPr>
              <w:jc w:val="center"/>
              <w:rPr>
                <w:sz w:val="16"/>
              </w:rPr>
            </w:pPr>
          </w:p>
        </w:tc>
        <w:tc>
          <w:tcPr>
            <w:tcW w:w="755" w:type="dxa"/>
          </w:tcPr>
          <w:p w:rsidR="006F4021" w:rsidRPr="009E351A" w:rsidRDefault="006F4021" w:rsidP="00AF07BD">
            <w:pPr>
              <w:jc w:val="center"/>
              <w:rPr>
                <w:sz w:val="16"/>
              </w:rPr>
            </w:pPr>
            <w:r w:rsidRPr="009E351A">
              <w:rPr>
                <w:sz w:val="16"/>
              </w:rPr>
              <w:t>4,209</w:t>
            </w:r>
          </w:p>
        </w:tc>
        <w:tc>
          <w:tcPr>
            <w:tcW w:w="656"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4,629</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5,093</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5,602</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6,162</w:t>
            </w:r>
          </w:p>
        </w:tc>
        <w:tc>
          <w:tcPr>
            <w:tcW w:w="642" w:type="dxa"/>
          </w:tcPr>
          <w:p w:rsidR="006F4021" w:rsidRPr="009E351A" w:rsidRDefault="006F4021" w:rsidP="00AF07BD">
            <w:pPr>
              <w:jc w:val="center"/>
              <w:rPr>
                <w:sz w:val="16"/>
              </w:rPr>
            </w:pPr>
          </w:p>
        </w:tc>
      </w:tr>
      <w:tr w:rsidR="006F4021" w:rsidRPr="009E351A">
        <w:tblPrEx>
          <w:tblCellMar>
            <w:top w:w="0" w:type="dxa"/>
            <w:bottom w:w="0" w:type="dxa"/>
          </w:tblCellMar>
        </w:tblPrEx>
        <w:trPr>
          <w:trHeight w:hRule="exact" w:val="1021"/>
          <w:jc w:val="right"/>
        </w:trPr>
        <w:tc>
          <w:tcPr>
            <w:tcW w:w="2771" w:type="dxa"/>
            <w:gridSpan w:val="2"/>
          </w:tcPr>
          <w:p w:rsidR="006F4021" w:rsidRPr="009E351A" w:rsidRDefault="006F4021" w:rsidP="00AF07BD">
            <w:pPr>
              <w:jc w:val="center"/>
              <w:rPr>
                <w:sz w:val="16"/>
                <w:szCs w:val="16"/>
                <w:vertAlign w:val="superscript"/>
              </w:rPr>
            </w:pPr>
            <w:r w:rsidRPr="009E351A">
              <w:rPr>
                <w:sz w:val="16"/>
              </w:rPr>
              <w:t>Outstanding amount based on estimated disbursements and amortizations of EIB operations (Old and new mandates)</w:t>
            </w:r>
          </w:p>
        </w:tc>
        <w:tc>
          <w:tcPr>
            <w:tcW w:w="837" w:type="dxa"/>
          </w:tcPr>
          <w:p w:rsidR="006F4021" w:rsidRPr="009E351A" w:rsidRDefault="006F4021" w:rsidP="00AF07BD">
            <w:pPr>
              <w:jc w:val="center"/>
              <w:rPr>
                <w:sz w:val="16"/>
              </w:rPr>
            </w:pPr>
            <w:r w:rsidRPr="009E351A">
              <w:rPr>
                <w:sz w:val="16"/>
              </w:rPr>
              <w:t>10,485</w:t>
            </w:r>
            <w:r w:rsidRPr="009E351A">
              <w:rPr>
                <w:sz w:val="16"/>
                <w:szCs w:val="16"/>
                <w:vertAlign w:val="superscript"/>
              </w:rPr>
              <w:t>1</w:t>
            </w:r>
          </w:p>
          <w:p w:rsidR="006F4021" w:rsidRPr="009E351A" w:rsidRDefault="006F4021" w:rsidP="00AF07BD">
            <w:pPr>
              <w:jc w:val="center"/>
              <w:rPr>
                <w:sz w:val="16"/>
              </w:rPr>
            </w:pPr>
          </w:p>
        </w:tc>
        <w:tc>
          <w:tcPr>
            <w:tcW w:w="574"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12,175</w:t>
            </w:r>
          </w:p>
        </w:tc>
        <w:tc>
          <w:tcPr>
            <w:tcW w:w="642" w:type="dxa"/>
          </w:tcPr>
          <w:p w:rsidR="006F4021" w:rsidRPr="009E351A" w:rsidRDefault="006F4021" w:rsidP="00AF07BD">
            <w:pPr>
              <w:jc w:val="center"/>
              <w:rPr>
                <w:sz w:val="16"/>
              </w:rPr>
            </w:pPr>
          </w:p>
        </w:tc>
        <w:tc>
          <w:tcPr>
            <w:tcW w:w="755" w:type="dxa"/>
          </w:tcPr>
          <w:p w:rsidR="006F4021" w:rsidRPr="009E351A" w:rsidRDefault="006F4021" w:rsidP="00AF07BD">
            <w:pPr>
              <w:jc w:val="center"/>
              <w:rPr>
                <w:sz w:val="16"/>
              </w:rPr>
            </w:pPr>
            <w:r w:rsidRPr="009E351A">
              <w:rPr>
                <w:sz w:val="16"/>
              </w:rPr>
              <w:t>14,342</w:t>
            </w:r>
          </w:p>
        </w:tc>
        <w:tc>
          <w:tcPr>
            <w:tcW w:w="656"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16,696</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19.175</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21,736</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24,433</w:t>
            </w:r>
          </w:p>
        </w:tc>
        <w:tc>
          <w:tcPr>
            <w:tcW w:w="642" w:type="dxa"/>
          </w:tcPr>
          <w:p w:rsidR="006F4021" w:rsidRPr="009E351A" w:rsidRDefault="006F4021" w:rsidP="00AF07BD">
            <w:pPr>
              <w:jc w:val="center"/>
              <w:rPr>
                <w:sz w:val="16"/>
              </w:rPr>
            </w:pPr>
          </w:p>
        </w:tc>
      </w:tr>
      <w:tr w:rsidR="006F4021" w:rsidRPr="009E351A">
        <w:tblPrEx>
          <w:tblCellMar>
            <w:top w:w="0" w:type="dxa"/>
            <w:bottom w:w="0" w:type="dxa"/>
          </w:tblCellMar>
        </w:tblPrEx>
        <w:trPr>
          <w:trHeight w:hRule="exact" w:val="1021"/>
          <w:jc w:val="right"/>
        </w:trPr>
        <w:tc>
          <w:tcPr>
            <w:tcW w:w="2771" w:type="dxa"/>
            <w:gridSpan w:val="2"/>
          </w:tcPr>
          <w:p w:rsidR="006F4021" w:rsidRPr="009E351A" w:rsidRDefault="006F4021" w:rsidP="00AF07BD">
            <w:pPr>
              <w:jc w:val="center"/>
              <w:rPr>
                <w:sz w:val="16"/>
              </w:rPr>
            </w:pPr>
            <w:r w:rsidRPr="009E351A">
              <w:rPr>
                <w:sz w:val="16"/>
              </w:rPr>
              <w:t>Outstanding amount based on estimated disbursements and amortizations of other operations (MFA+ Euratom)</w:t>
            </w:r>
          </w:p>
        </w:tc>
        <w:tc>
          <w:tcPr>
            <w:tcW w:w="837" w:type="dxa"/>
          </w:tcPr>
          <w:p w:rsidR="006F4021" w:rsidRPr="009E351A" w:rsidRDefault="006F4021" w:rsidP="00AF07BD">
            <w:pPr>
              <w:jc w:val="center"/>
              <w:rPr>
                <w:sz w:val="16"/>
                <w:szCs w:val="16"/>
                <w:vertAlign w:val="superscript"/>
              </w:rPr>
            </w:pPr>
            <w:r w:rsidRPr="009E351A">
              <w:rPr>
                <w:sz w:val="16"/>
              </w:rPr>
              <w:t>1,150</w:t>
            </w:r>
            <w:r w:rsidRPr="009E351A">
              <w:rPr>
                <w:sz w:val="16"/>
                <w:szCs w:val="16"/>
                <w:vertAlign w:val="superscript"/>
              </w:rPr>
              <w:t>2</w:t>
            </w:r>
          </w:p>
          <w:p w:rsidR="006F4021" w:rsidRPr="009E351A" w:rsidRDefault="006F4021" w:rsidP="00AF07BD">
            <w:pPr>
              <w:jc w:val="center"/>
              <w:rPr>
                <w:sz w:val="16"/>
              </w:rPr>
            </w:pPr>
          </w:p>
        </w:tc>
        <w:tc>
          <w:tcPr>
            <w:tcW w:w="574"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1,358</w:t>
            </w:r>
          </w:p>
        </w:tc>
        <w:tc>
          <w:tcPr>
            <w:tcW w:w="642" w:type="dxa"/>
          </w:tcPr>
          <w:p w:rsidR="006F4021" w:rsidRPr="009E351A" w:rsidRDefault="006F4021" w:rsidP="00AF07BD">
            <w:pPr>
              <w:jc w:val="center"/>
              <w:rPr>
                <w:sz w:val="16"/>
              </w:rPr>
            </w:pPr>
          </w:p>
        </w:tc>
        <w:tc>
          <w:tcPr>
            <w:tcW w:w="755" w:type="dxa"/>
          </w:tcPr>
          <w:p w:rsidR="006F4021" w:rsidRPr="009E351A" w:rsidRDefault="006F4021" w:rsidP="00AF07BD">
            <w:pPr>
              <w:jc w:val="center"/>
              <w:rPr>
                <w:sz w:val="16"/>
              </w:rPr>
            </w:pPr>
            <w:r w:rsidRPr="009E351A">
              <w:rPr>
                <w:sz w:val="16"/>
              </w:rPr>
              <w:t>1,310</w:t>
            </w:r>
          </w:p>
        </w:tc>
        <w:tc>
          <w:tcPr>
            <w:tcW w:w="656"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1,227</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1,141</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1004</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841</w:t>
            </w:r>
          </w:p>
        </w:tc>
        <w:tc>
          <w:tcPr>
            <w:tcW w:w="642" w:type="dxa"/>
          </w:tcPr>
          <w:p w:rsidR="006F4021" w:rsidRPr="009E351A" w:rsidRDefault="006F4021" w:rsidP="00AF07BD">
            <w:pPr>
              <w:jc w:val="center"/>
              <w:rPr>
                <w:sz w:val="16"/>
              </w:rPr>
            </w:pPr>
          </w:p>
        </w:tc>
      </w:tr>
      <w:tr w:rsidR="006F4021" w:rsidRPr="009E351A">
        <w:tblPrEx>
          <w:tblCellMar>
            <w:top w:w="0" w:type="dxa"/>
            <w:bottom w:w="0" w:type="dxa"/>
          </w:tblCellMar>
        </w:tblPrEx>
        <w:trPr>
          <w:trHeight w:hRule="exact" w:val="851"/>
          <w:jc w:val="right"/>
        </w:trPr>
        <w:tc>
          <w:tcPr>
            <w:tcW w:w="2771" w:type="dxa"/>
            <w:gridSpan w:val="2"/>
          </w:tcPr>
          <w:p w:rsidR="006F4021" w:rsidRPr="009E351A" w:rsidRDefault="006F4021" w:rsidP="00AF07BD">
            <w:pPr>
              <w:jc w:val="center"/>
              <w:rPr>
                <w:sz w:val="16"/>
              </w:rPr>
            </w:pPr>
            <w:r w:rsidRPr="009E351A">
              <w:rPr>
                <w:sz w:val="16"/>
              </w:rPr>
              <w:t>Total outstanding amount based on estimated disbursements and amortizations</w:t>
            </w:r>
          </w:p>
        </w:tc>
        <w:tc>
          <w:tcPr>
            <w:tcW w:w="837" w:type="dxa"/>
          </w:tcPr>
          <w:p w:rsidR="006F4021" w:rsidRPr="009E351A" w:rsidRDefault="006F4021" w:rsidP="00AF07BD">
            <w:pPr>
              <w:jc w:val="center"/>
              <w:rPr>
                <w:sz w:val="16"/>
                <w:szCs w:val="16"/>
                <w:vertAlign w:val="superscript"/>
              </w:rPr>
            </w:pPr>
            <w:r w:rsidRPr="009E351A">
              <w:rPr>
                <w:sz w:val="16"/>
              </w:rPr>
              <w:t>11,635</w:t>
            </w:r>
            <w:r w:rsidRPr="009E351A">
              <w:rPr>
                <w:sz w:val="16"/>
                <w:szCs w:val="16"/>
                <w:vertAlign w:val="superscript"/>
              </w:rPr>
              <w:t>3</w:t>
            </w:r>
          </w:p>
          <w:p w:rsidR="006F4021" w:rsidRPr="009E351A" w:rsidRDefault="006F4021" w:rsidP="00AF07BD">
            <w:pPr>
              <w:jc w:val="center"/>
              <w:rPr>
                <w:sz w:val="16"/>
              </w:rPr>
            </w:pPr>
          </w:p>
        </w:tc>
        <w:tc>
          <w:tcPr>
            <w:tcW w:w="574"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13,533</w:t>
            </w:r>
          </w:p>
        </w:tc>
        <w:tc>
          <w:tcPr>
            <w:tcW w:w="642" w:type="dxa"/>
          </w:tcPr>
          <w:p w:rsidR="006F4021" w:rsidRPr="009E351A" w:rsidRDefault="006F4021" w:rsidP="00AF07BD">
            <w:pPr>
              <w:jc w:val="center"/>
              <w:rPr>
                <w:sz w:val="16"/>
              </w:rPr>
            </w:pPr>
          </w:p>
        </w:tc>
        <w:tc>
          <w:tcPr>
            <w:tcW w:w="755" w:type="dxa"/>
          </w:tcPr>
          <w:p w:rsidR="006F4021" w:rsidRPr="009E351A" w:rsidRDefault="006F4021" w:rsidP="00AF07BD">
            <w:pPr>
              <w:jc w:val="center"/>
              <w:rPr>
                <w:sz w:val="16"/>
              </w:rPr>
            </w:pPr>
            <w:r w:rsidRPr="009E351A">
              <w:rPr>
                <w:sz w:val="16"/>
              </w:rPr>
              <w:t>15,653</w:t>
            </w:r>
          </w:p>
        </w:tc>
        <w:tc>
          <w:tcPr>
            <w:tcW w:w="656"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17,923</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20,316</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22,740</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25,274</w:t>
            </w:r>
          </w:p>
        </w:tc>
        <w:tc>
          <w:tcPr>
            <w:tcW w:w="642" w:type="dxa"/>
          </w:tcPr>
          <w:p w:rsidR="006F4021" w:rsidRPr="009E351A" w:rsidRDefault="006F4021" w:rsidP="00AF07BD">
            <w:pPr>
              <w:jc w:val="center"/>
              <w:rPr>
                <w:sz w:val="16"/>
              </w:rPr>
            </w:pPr>
          </w:p>
        </w:tc>
      </w:tr>
      <w:tr w:rsidR="006F4021" w:rsidRPr="009E351A">
        <w:tblPrEx>
          <w:tblCellMar>
            <w:top w:w="0" w:type="dxa"/>
            <w:bottom w:w="0" w:type="dxa"/>
          </w:tblCellMar>
        </w:tblPrEx>
        <w:trPr>
          <w:trHeight w:hRule="exact" w:val="567"/>
          <w:jc w:val="right"/>
        </w:trPr>
        <w:tc>
          <w:tcPr>
            <w:tcW w:w="2771" w:type="dxa"/>
            <w:gridSpan w:val="2"/>
          </w:tcPr>
          <w:p w:rsidR="006F4021" w:rsidRPr="009E351A" w:rsidRDefault="006F4021" w:rsidP="00AF07BD">
            <w:pPr>
              <w:jc w:val="center"/>
              <w:rPr>
                <w:sz w:val="16"/>
              </w:rPr>
            </w:pPr>
            <w:r w:rsidRPr="009E351A">
              <w:rPr>
                <w:sz w:val="16"/>
              </w:rPr>
              <w:t>Target amount @ 9%</w:t>
            </w:r>
          </w:p>
        </w:tc>
        <w:tc>
          <w:tcPr>
            <w:tcW w:w="837" w:type="dxa"/>
          </w:tcPr>
          <w:p w:rsidR="006F4021" w:rsidRPr="009E351A" w:rsidRDefault="006F4021" w:rsidP="00AF07BD">
            <w:pPr>
              <w:jc w:val="center"/>
              <w:rPr>
                <w:sz w:val="16"/>
              </w:rPr>
            </w:pPr>
            <w:r w:rsidRPr="009E351A">
              <w:rPr>
                <w:sz w:val="16"/>
              </w:rPr>
              <w:t>1,047</w:t>
            </w:r>
          </w:p>
        </w:tc>
        <w:tc>
          <w:tcPr>
            <w:tcW w:w="574"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1,218</w:t>
            </w:r>
          </w:p>
        </w:tc>
        <w:tc>
          <w:tcPr>
            <w:tcW w:w="642" w:type="dxa"/>
          </w:tcPr>
          <w:p w:rsidR="006F4021" w:rsidRPr="009E351A" w:rsidRDefault="006F4021" w:rsidP="00AF07BD">
            <w:pPr>
              <w:jc w:val="center"/>
              <w:rPr>
                <w:sz w:val="16"/>
              </w:rPr>
            </w:pPr>
          </w:p>
        </w:tc>
        <w:tc>
          <w:tcPr>
            <w:tcW w:w="755" w:type="dxa"/>
          </w:tcPr>
          <w:p w:rsidR="006F4021" w:rsidRPr="009E351A" w:rsidRDefault="006F4021" w:rsidP="00AF07BD">
            <w:pPr>
              <w:jc w:val="center"/>
              <w:rPr>
                <w:sz w:val="16"/>
              </w:rPr>
            </w:pPr>
            <w:r w:rsidRPr="009E351A">
              <w:rPr>
                <w:sz w:val="16"/>
              </w:rPr>
              <w:t>1,409</w:t>
            </w:r>
          </w:p>
        </w:tc>
        <w:tc>
          <w:tcPr>
            <w:tcW w:w="656"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1,613</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1,828</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2,047</w:t>
            </w:r>
          </w:p>
        </w:tc>
        <w:tc>
          <w:tcPr>
            <w:tcW w:w="642" w:type="dxa"/>
          </w:tcPr>
          <w:p w:rsidR="006F4021" w:rsidRPr="009E351A" w:rsidRDefault="006F4021" w:rsidP="00AF07BD">
            <w:pPr>
              <w:jc w:val="center"/>
              <w:rPr>
                <w:sz w:val="16"/>
              </w:rPr>
            </w:pPr>
          </w:p>
        </w:tc>
        <w:tc>
          <w:tcPr>
            <w:tcW w:w="769" w:type="dxa"/>
          </w:tcPr>
          <w:p w:rsidR="006F4021" w:rsidRPr="009E351A" w:rsidRDefault="006F4021" w:rsidP="00AF07BD">
            <w:pPr>
              <w:jc w:val="center"/>
              <w:rPr>
                <w:sz w:val="16"/>
              </w:rPr>
            </w:pPr>
            <w:r w:rsidRPr="009E351A">
              <w:rPr>
                <w:sz w:val="16"/>
              </w:rPr>
              <w:t>2,275</w:t>
            </w:r>
          </w:p>
        </w:tc>
        <w:tc>
          <w:tcPr>
            <w:tcW w:w="642" w:type="dxa"/>
          </w:tcPr>
          <w:p w:rsidR="006F4021" w:rsidRPr="009E351A" w:rsidRDefault="006F4021" w:rsidP="00AF07BD">
            <w:pPr>
              <w:jc w:val="center"/>
              <w:rPr>
                <w:sz w:val="16"/>
              </w:rPr>
            </w:pPr>
          </w:p>
        </w:tc>
      </w:tr>
      <w:tr w:rsidR="00425F1A" w:rsidRPr="009E351A">
        <w:tblPrEx>
          <w:tblCellMar>
            <w:top w:w="0" w:type="dxa"/>
            <w:bottom w:w="0" w:type="dxa"/>
          </w:tblCellMar>
        </w:tblPrEx>
        <w:trPr>
          <w:trHeight w:hRule="exact" w:val="567"/>
          <w:jc w:val="right"/>
        </w:trPr>
        <w:tc>
          <w:tcPr>
            <w:tcW w:w="2771" w:type="dxa"/>
            <w:gridSpan w:val="2"/>
          </w:tcPr>
          <w:p w:rsidR="00425F1A" w:rsidRPr="009E351A" w:rsidRDefault="00425F1A" w:rsidP="00AF07BD">
            <w:pPr>
              <w:jc w:val="center"/>
              <w:rPr>
                <w:sz w:val="16"/>
              </w:rPr>
            </w:pPr>
            <w:r w:rsidRPr="009E351A">
              <w:rPr>
                <w:sz w:val="16"/>
              </w:rPr>
              <w:t>Budgetary revenues</w:t>
            </w:r>
          </w:p>
        </w:tc>
        <w:tc>
          <w:tcPr>
            <w:tcW w:w="837" w:type="dxa"/>
          </w:tcPr>
          <w:p w:rsidR="00425F1A" w:rsidRPr="009E351A" w:rsidRDefault="00425F1A" w:rsidP="00AF07BD">
            <w:pPr>
              <w:jc w:val="center"/>
              <w:rPr>
                <w:sz w:val="16"/>
              </w:rPr>
            </w:pPr>
          </w:p>
        </w:tc>
        <w:tc>
          <w:tcPr>
            <w:tcW w:w="574" w:type="dxa"/>
          </w:tcPr>
          <w:p w:rsidR="00425F1A" w:rsidRPr="009E351A" w:rsidRDefault="00425F1A" w:rsidP="00AF07BD">
            <w:pPr>
              <w:jc w:val="center"/>
              <w:rPr>
                <w:sz w:val="16"/>
              </w:rPr>
            </w:pPr>
            <w:r w:rsidRPr="009E351A">
              <w:rPr>
                <w:sz w:val="16"/>
              </w:rPr>
              <w:t>0</w:t>
            </w:r>
          </w:p>
        </w:tc>
        <w:tc>
          <w:tcPr>
            <w:tcW w:w="769" w:type="dxa"/>
          </w:tcPr>
          <w:p w:rsidR="00425F1A" w:rsidRPr="009E351A" w:rsidRDefault="00425F1A" w:rsidP="00AF07BD">
            <w:pPr>
              <w:jc w:val="center"/>
              <w:rPr>
                <w:sz w:val="16"/>
              </w:rPr>
            </w:pPr>
          </w:p>
        </w:tc>
        <w:tc>
          <w:tcPr>
            <w:tcW w:w="642" w:type="dxa"/>
          </w:tcPr>
          <w:p w:rsidR="00425F1A" w:rsidRPr="009E351A" w:rsidRDefault="00425F1A" w:rsidP="00AF07BD">
            <w:pPr>
              <w:jc w:val="center"/>
              <w:rPr>
                <w:sz w:val="16"/>
              </w:rPr>
            </w:pPr>
            <w:r w:rsidRPr="009E351A">
              <w:rPr>
                <w:sz w:val="16"/>
              </w:rPr>
              <w:t>157</w:t>
            </w:r>
          </w:p>
        </w:tc>
        <w:tc>
          <w:tcPr>
            <w:tcW w:w="755" w:type="dxa"/>
          </w:tcPr>
          <w:p w:rsidR="00425F1A" w:rsidRPr="009E351A" w:rsidRDefault="00425F1A" w:rsidP="00AF07BD">
            <w:pPr>
              <w:jc w:val="center"/>
              <w:rPr>
                <w:sz w:val="16"/>
              </w:rPr>
            </w:pPr>
          </w:p>
        </w:tc>
        <w:tc>
          <w:tcPr>
            <w:tcW w:w="656" w:type="dxa"/>
          </w:tcPr>
          <w:p w:rsidR="00425F1A" w:rsidRPr="009E351A" w:rsidRDefault="00425F1A" w:rsidP="00AF07BD">
            <w:pPr>
              <w:jc w:val="center"/>
              <w:rPr>
                <w:sz w:val="16"/>
              </w:rPr>
            </w:pPr>
            <w:r w:rsidRPr="009E351A">
              <w:rPr>
                <w:sz w:val="16"/>
              </w:rPr>
              <w:t>2</w:t>
            </w:r>
          </w:p>
        </w:tc>
        <w:tc>
          <w:tcPr>
            <w:tcW w:w="769" w:type="dxa"/>
          </w:tcPr>
          <w:p w:rsidR="00425F1A" w:rsidRPr="009E351A" w:rsidRDefault="00425F1A" w:rsidP="00AF07BD">
            <w:pPr>
              <w:jc w:val="center"/>
              <w:rPr>
                <w:sz w:val="16"/>
              </w:rPr>
            </w:pPr>
          </w:p>
        </w:tc>
        <w:tc>
          <w:tcPr>
            <w:tcW w:w="642" w:type="dxa"/>
          </w:tcPr>
          <w:p w:rsidR="00425F1A" w:rsidRPr="009E351A" w:rsidRDefault="00425F1A" w:rsidP="00AF07BD">
            <w:pPr>
              <w:jc w:val="center"/>
              <w:rPr>
                <w:sz w:val="16"/>
              </w:rPr>
            </w:pPr>
            <w:r w:rsidRPr="009E351A">
              <w:rPr>
                <w:sz w:val="16"/>
              </w:rPr>
              <w:t>0</w:t>
            </w:r>
          </w:p>
        </w:tc>
        <w:tc>
          <w:tcPr>
            <w:tcW w:w="769" w:type="dxa"/>
          </w:tcPr>
          <w:p w:rsidR="00425F1A" w:rsidRPr="009E351A" w:rsidRDefault="00425F1A" w:rsidP="00AF07BD">
            <w:pPr>
              <w:jc w:val="center"/>
              <w:rPr>
                <w:sz w:val="16"/>
              </w:rPr>
            </w:pPr>
          </w:p>
        </w:tc>
        <w:tc>
          <w:tcPr>
            <w:tcW w:w="642" w:type="dxa"/>
          </w:tcPr>
          <w:p w:rsidR="00425F1A" w:rsidRPr="009E351A" w:rsidRDefault="00425F1A" w:rsidP="00AF07BD">
            <w:pPr>
              <w:jc w:val="center"/>
              <w:rPr>
                <w:sz w:val="16"/>
              </w:rPr>
            </w:pPr>
            <w:r w:rsidRPr="009E351A">
              <w:rPr>
                <w:sz w:val="16"/>
              </w:rPr>
              <w:t>0</w:t>
            </w:r>
          </w:p>
        </w:tc>
        <w:tc>
          <w:tcPr>
            <w:tcW w:w="769" w:type="dxa"/>
          </w:tcPr>
          <w:p w:rsidR="00425F1A" w:rsidRPr="009E351A" w:rsidRDefault="00425F1A" w:rsidP="00AF07BD">
            <w:pPr>
              <w:jc w:val="center"/>
              <w:rPr>
                <w:sz w:val="16"/>
              </w:rPr>
            </w:pPr>
          </w:p>
        </w:tc>
        <w:tc>
          <w:tcPr>
            <w:tcW w:w="642" w:type="dxa"/>
          </w:tcPr>
          <w:p w:rsidR="00425F1A" w:rsidRPr="009E351A" w:rsidRDefault="00425F1A" w:rsidP="00AF07BD">
            <w:pPr>
              <w:jc w:val="center"/>
              <w:rPr>
                <w:sz w:val="16"/>
              </w:rPr>
            </w:pPr>
            <w:r w:rsidRPr="009E351A">
              <w:rPr>
                <w:sz w:val="16"/>
              </w:rPr>
              <w:t>0</w:t>
            </w:r>
          </w:p>
        </w:tc>
        <w:tc>
          <w:tcPr>
            <w:tcW w:w="769" w:type="dxa"/>
          </w:tcPr>
          <w:p w:rsidR="00425F1A" w:rsidRPr="009E351A" w:rsidRDefault="00425F1A" w:rsidP="00AF07BD">
            <w:pPr>
              <w:jc w:val="center"/>
              <w:rPr>
                <w:sz w:val="16"/>
              </w:rPr>
            </w:pPr>
          </w:p>
        </w:tc>
        <w:tc>
          <w:tcPr>
            <w:tcW w:w="642" w:type="dxa"/>
          </w:tcPr>
          <w:p w:rsidR="00425F1A" w:rsidRPr="009E351A" w:rsidRDefault="00425F1A" w:rsidP="00AF07BD">
            <w:pPr>
              <w:jc w:val="center"/>
              <w:rPr>
                <w:sz w:val="16"/>
              </w:rPr>
            </w:pPr>
            <w:r w:rsidRPr="009E351A">
              <w:rPr>
                <w:sz w:val="16"/>
              </w:rPr>
              <w:t>0</w:t>
            </w:r>
          </w:p>
        </w:tc>
      </w:tr>
      <w:tr w:rsidR="006F4021" w:rsidRPr="009E351A">
        <w:tblPrEx>
          <w:tblCellMar>
            <w:top w:w="0" w:type="dxa"/>
            <w:bottom w:w="0" w:type="dxa"/>
          </w:tblCellMar>
        </w:tblPrEx>
        <w:trPr>
          <w:trHeight w:hRule="exact" w:val="567"/>
          <w:jc w:val="right"/>
        </w:trPr>
        <w:tc>
          <w:tcPr>
            <w:tcW w:w="2771" w:type="dxa"/>
            <w:gridSpan w:val="2"/>
          </w:tcPr>
          <w:p w:rsidR="006F4021" w:rsidRPr="009E351A" w:rsidRDefault="006F4021" w:rsidP="00AF07BD">
            <w:pPr>
              <w:jc w:val="center"/>
              <w:rPr>
                <w:sz w:val="16"/>
              </w:rPr>
            </w:pPr>
            <w:r w:rsidRPr="009E351A">
              <w:rPr>
                <w:sz w:val="16"/>
              </w:rPr>
              <w:t>Normal provisioning needs</w:t>
            </w:r>
          </w:p>
        </w:tc>
        <w:tc>
          <w:tcPr>
            <w:tcW w:w="837" w:type="dxa"/>
          </w:tcPr>
          <w:p w:rsidR="006F4021" w:rsidRPr="009E351A" w:rsidRDefault="006F4021" w:rsidP="00AF07BD">
            <w:pPr>
              <w:jc w:val="center"/>
              <w:rPr>
                <w:sz w:val="16"/>
              </w:rPr>
            </w:pPr>
          </w:p>
        </w:tc>
        <w:tc>
          <w:tcPr>
            <w:tcW w:w="574" w:type="dxa"/>
          </w:tcPr>
          <w:p w:rsidR="006F4021" w:rsidRPr="009E351A" w:rsidRDefault="006F4021" w:rsidP="00AF07BD">
            <w:pPr>
              <w:jc w:val="center"/>
              <w:rPr>
                <w:sz w:val="16"/>
              </w:rPr>
            </w:pPr>
            <w:r w:rsidRPr="009E351A">
              <w:rPr>
                <w:sz w:val="16"/>
              </w:rPr>
              <w:t>0</w:t>
            </w:r>
          </w:p>
        </w:tc>
        <w:tc>
          <w:tcPr>
            <w:tcW w:w="769" w:type="dxa"/>
          </w:tcPr>
          <w:p w:rsidR="006F4021" w:rsidRPr="009E351A" w:rsidRDefault="006F4021" w:rsidP="00AF07BD">
            <w:pPr>
              <w:jc w:val="center"/>
              <w:rPr>
                <w:sz w:val="16"/>
              </w:rPr>
            </w:pPr>
          </w:p>
        </w:tc>
        <w:tc>
          <w:tcPr>
            <w:tcW w:w="642" w:type="dxa"/>
          </w:tcPr>
          <w:p w:rsidR="006F4021" w:rsidRPr="009E351A" w:rsidRDefault="00425F1A" w:rsidP="00AF07BD">
            <w:pPr>
              <w:jc w:val="center"/>
              <w:rPr>
                <w:sz w:val="16"/>
              </w:rPr>
            </w:pPr>
            <w:r w:rsidRPr="009E351A">
              <w:rPr>
                <w:sz w:val="16"/>
              </w:rPr>
              <w:t>0</w:t>
            </w:r>
          </w:p>
        </w:tc>
        <w:tc>
          <w:tcPr>
            <w:tcW w:w="755" w:type="dxa"/>
          </w:tcPr>
          <w:p w:rsidR="006F4021" w:rsidRPr="009E351A" w:rsidRDefault="006F4021" w:rsidP="00AF07BD">
            <w:pPr>
              <w:jc w:val="center"/>
              <w:rPr>
                <w:sz w:val="16"/>
              </w:rPr>
            </w:pPr>
          </w:p>
        </w:tc>
        <w:tc>
          <w:tcPr>
            <w:tcW w:w="656" w:type="dxa"/>
          </w:tcPr>
          <w:p w:rsidR="006F4021" w:rsidRPr="009E351A" w:rsidRDefault="00425F1A" w:rsidP="00AF07BD">
            <w:pPr>
              <w:jc w:val="center"/>
              <w:rPr>
                <w:sz w:val="16"/>
              </w:rPr>
            </w:pPr>
            <w:r w:rsidRPr="009E351A">
              <w:rPr>
                <w:sz w:val="16"/>
              </w:rPr>
              <w:t>0</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1</w:t>
            </w:r>
            <w:r w:rsidR="002350C2" w:rsidRPr="009E351A">
              <w:rPr>
                <w:sz w:val="16"/>
              </w:rPr>
              <w:t>29</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1</w:t>
            </w:r>
            <w:r w:rsidR="002350C2" w:rsidRPr="009E351A">
              <w:rPr>
                <w:sz w:val="16"/>
              </w:rPr>
              <w:t>53</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16</w:t>
            </w:r>
            <w:r w:rsidR="002350C2" w:rsidRPr="009E351A">
              <w:rPr>
                <w:sz w:val="16"/>
              </w:rPr>
              <w:t>0</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16</w:t>
            </w:r>
            <w:r w:rsidR="002350C2" w:rsidRPr="009E351A">
              <w:rPr>
                <w:sz w:val="16"/>
              </w:rPr>
              <w:t>5</w:t>
            </w:r>
          </w:p>
        </w:tc>
      </w:tr>
      <w:tr w:rsidR="006F4021" w:rsidRPr="009E351A">
        <w:tblPrEx>
          <w:tblCellMar>
            <w:top w:w="0" w:type="dxa"/>
            <w:bottom w:w="0" w:type="dxa"/>
          </w:tblCellMar>
        </w:tblPrEx>
        <w:trPr>
          <w:trHeight w:hRule="exact" w:val="567"/>
          <w:jc w:val="right"/>
        </w:trPr>
        <w:tc>
          <w:tcPr>
            <w:tcW w:w="2771" w:type="dxa"/>
            <w:gridSpan w:val="2"/>
          </w:tcPr>
          <w:p w:rsidR="00425F1A" w:rsidRPr="009E351A" w:rsidRDefault="00425F1A" w:rsidP="00AF07BD">
            <w:pPr>
              <w:spacing w:after="0"/>
              <w:jc w:val="center"/>
              <w:rPr>
                <w:sz w:val="16"/>
              </w:rPr>
            </w:pPr>
            <w:r w:rsidRPr="009E351A">
              <w:rPr>
                <w:sz w:val="16"/>
              </w:rPr>
              <w:t>Maximum budgetary needs</w:t>
            </w:r>
          </w:p>
          <w:p w:rsidR="006F4021" w:rsidRPr="009E351A" w:rsidRDefault="00425F1A" w:rsidP="00AF07BD">
            <w:pPr>
              <w:spacing w:before="0"/>
              <w:jc w:val="center"/>
              <w:rPr>
                <w:sz w:val="16"/>
              </w:rPr>
            </w:pPr>
            <w:r w:rsidRPr="009E351A">
              <w:rPr>
                <w:sz w:val="16"/>
              </w:rPr>
              <w:t>Total = EUR 1353 million</w:t>
            </w:r>
          </w:p>
          <w:p w:rsidR="00425F1A" w:rsidRPr="009E351A" w:rsidRDefault="00425F1A" w:rsidP="00AF07BD">
            <w:pPr>
              <w:jc w:val="center"/>
              <w:rPr>
                <w:sz w:val="16"/>
              </w:rPr>
            </w:pPr>
          </w:p>
        </w:tc>
        <w:tc>
          <w:tcPr>
            <w:tcW w:w="837" w:type="dxa"/>
          </w:tcPr>
          <w:p w:rsidR="006F4021" w:rsidRPr="009E351A" w:rsidRDefault="006F4021" w:rsidP="00AF07BD">
            <w:pPr>
              <w:jc w:val="center"/>
              <w:rPr>
                <w:sz w:val="16"/>
              </w:rPr>
            </w:pPr>
          </w:p>
        </w:tc>
        <w:tc>
          <w:tcPr>
            <w:tcW w:w="574" w:type="dxa"/>
          </w:tcPr>
          <w:p w:rsidR="006F4021" w:rsidRPr="009E351A" w:rsidRDefault="006F4021" w:rsidP="00AF07BD">
            <w:pPr>
              <w:jc w:val="center"/>
              <w:rPr>
                <w:sz w:val="16"/>
              </w:rPr>
            </w:pPr>
            <w:r w:rsidRPr="009E351A">
              <w:rPr>
                <w:sz w:val="16"/>
              </w:rPr>
              <w:t>0</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0</w:t>
            </w:r>
          </w:p>
        </w:tc>
        <w:tc>
          <w:tcPr>
            <w:tcW w:w="755" w:type="dxa"/>
          </w:tcPr>
          <w:p w:rsidR="006F4021" w:rsidRPr="009E351A" w:rsidRDefault="006F4021" w:rsidP="00AF07BD">
            <w:pPr>
              <w:jc w:val="center"/>
              <w:rPr>
                <w:sz w:val="16"/>
              </w:rPr>
            </w:pPr>
          </w:p>
        </w:tc>
        <w:tc>
          <w:tcPr>
            <w:tcW w:w="656" w:type="dxa"/>
          </w:tcPr>
          <w:p w:rsidR="006F4021" w:rsidRPr="009E351A" w:rsidRDefault="006F4021" w:rsidP="00AF07BD">
            <w:pPr>
              <w:jc w:val="center"/>
              <w:rPr>
                <w:sz w:val="16"/>
              </w:rPr>
            </w:pPr>
            <w:r w:rsidRPr="009E351A">
              <w:rPr>
                <w:sz w:val="16"/>
              </w:rPr>
              <w:t>135</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271</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302</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316</w:t>
            </w:r>
          </w:p>
        </w:tc>
        <w:tc>
          <w:tcPr>
            <w:tcW w:w="769" w:type="dxa"/>
          </w:tcPr>
          <w:p w:rsidR="006F4021" w:rsidRPr="009E351A" w:rsidRDefault="006F4021" w:rsidP="00AF07BD">
            <w:pPr>
              <w:jc w:val="center"/>
              <w:rPr>
                <w:sz w:val="16"/>
              </w:rPr>
            </w:pPr>
          </w:p>
        </w:tc>
        <w:tc>
          <w:tcPr>
            <w:tcW w:w="642" w:type="dxa"/>
          </w:tcPr>
          <w:p w:rsidR="006F4021" w:rsidRPr="009E351A" w:rsidRDefault="006F4021" w:rsidP="00AF07BD">
            <w:pPr>
              <w:jc w:val="center"/>
              <w:rPr>
                <w:sz w:val="16"/>
              </w:rPr>
            </w:pPr>
            <w:r w:rsidRPr="009E351A">
              <w:rPr>
                <w:sz w:val="16"/>
              </w:rPr>
              <w:t>329</w:t>
            </w:r>
          </w:p>
        </w:tc>
      </w:tr>
    </w:tbl>
    <w:p w:rsidR="006F4021" w:rsidRPr="009E351A" w:rsidRDefault="006F4021" w:rsidP="00AF07BD">
      <w:pPr>
        <w:spacing w:before="0" w:after="0"/>
      </w:pPr>
      <w:r w:rsidRPr="009E351A">
        <w:rPr>
          <w:vertAlign w:val="superscript"/>
        </w:rPr>
        <w:t>1</w:t>
      </w:r>
      <w:r w:rsidRPr="009E351A">
        <w:rPr>
          <w:sz w:val="16"/>
        </w:rPr>
        <w:t xml:space="preserve"> Including estimated impact of enlargement (1,995)</w:t>
      </w:r>
    </w:p>
    <w:p w:rsidR="006F4021" w:rsidRPr="009E351A" w:rsidRDefault="006F4021" w:rsidP="00AF07BD">
      <w:pPr>
        <w:spacing w:before="0" w:after="0"/>
      </w:pPr>
      <w:r w:rsidRPr="009E351A">
        <w:rPr>
          <w:vertAlign w:val="superscript"/>
        </w:rPr>
        <w:t>2</w:t>
      </w:r>
      <w:r w:rsidRPr="009E351A">
        <w:rPr>
          <w:sz w:val="16"/>
        </w:rPr>
        <w:t xml:space="preserve"> Including estimated impact of enlargement (830)</w:t>
      </w:r>
    </w:p>
    <w:p w:rsidR="006F4021" w:rsidRPr="009E351A" w:rsidRDefault="006F4021" w:rsidP="00AF07BD">
      <w:pPr>
        <w:spacing w:before="0" w:after="0"/>
      </w:pPr>
      <w:r w:rsidRPr="009E351A">
        <w:rPr>
          <w:vertAlign w:val="superscript"/>
        </w:rPr>
        <w:t>3</w:t>
      </w:r>
      <w:r w:rsidRPr="009E351A">
        <w:rPr>
          <w:sz w:val="16"/>
        </w:rPr>
        <w:t xml:space="preserve"> Including estimated impact of enlargement (2825)</w:t>
      </w:r>
    </w:p>
    <w:p w:rsidR="00AF07BD" w:rsidRPr="009E351A" w:rsidRDefault="00AF07BD" w:rsidP="00AF07BD">
      <w:pPr>
        <w:pageBreakBefore/>
        <w:sectPr w:rsidR="00AF07BD" w:rsidRPr="009E351A" w:rsidSect="00B2551F">
          <w:headerReference w:type="default" r:id="rId13"/>
          <w:footerReference w:type="default" r:id="rId14"/>
          <w:headerReference w:type="first" r:id="rId15"/>
          <w:footerReference w:type="first" r:id="rId16"/>
          <w:pgSz w:w="16840" w:h="11907" w:orient="landscape" w:code="9"/>
          <w:pgMar w:top="1418" w:right="1134" w:bottom="1418" w:left="1134" w:header="720" w:footer="720" w:gutter="0"/>
          <w:cols w:space="708"/>
          <w:docGrid w:linePitch="360"/>
        </w:sectPr>
      </w:pPr>
    </w:p>
    <w:p w:rsidR="00DC30BF" w:rsidRPr="009E351A" w:rsidRDefault="00DC30BF" w:rsidP="00AF07BD">
      <w:pPr>
        <w:pageBreakBefore/>
      </w:pPr>
      <w:r w:rsidRPr="009E351A">
        <w:t>8.2.</w:t>
      </w:r>
      <w:r w:rsidRPr="009E351A">
        <w:tab/>
        <w:t>Administrative Expenditure</w:t>
      </w:r>
    </w:p>
    <w:p w:rsidR="00DC30BF" w:rsidRPr="009E351A" w:rsidRDefault="00DC30BF">
      <w:pPr>
        <w:pStyle w:val="ManualHeading3"/>
      </w:pPr>
      <w:r w:rsidRPr="009E351A">
        <w:t>8.2.1.</w:t>
      </w:r>
      <w:r w:rsidRPr="009E351A">
        <w:tab/>
        <w:t>Number and type of human resources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3"/>
        <w:gridCol w:w="883"/>
        <w:gridCol w:w="1081"/>
        <w:gridCol w:w="1081"/>
        <w:gridCol w:w="1083"/>
        <w:gridCol w:w="1083"/>
        <w:gridCol w:w="1083"/>
        <w:gridCol w:w="1083"/>
      </w:tblGrid>
      <w:tr w:rsidR="00DC30BF" w:rsidRPr="009E351A">
        <w:tblPrEx>
          <w:tblCellMar>
            <w:top w:w="0" w:type="dxa"/>
            <w:bottom w:w="0" w:type="dxa"/>
          </w:tblCellMar>
        </w:tblPrEx>
        <w:trPr>
          <w:trHeight w:val="678"/>
          <w:jc w:val="right"/>
        </w:trPr>
        <w:tc>
          <w:tcPr>
            <w:tcW w:w="1373" w:type="dxa"/>
            <w:vAlign w:val="center"/>
          </w:tcPr>
          <w:p w:rsidR="00DC30BF" w:rsidRPr="009E351A" w:rsidRDefault="00DC30BF">
            <w:pPr>
              <w:jc w:val="center"/>
              <w:rPr>
                <w:sz w:val="20"/>
              </w:rPr>
            </w:pPr>
            <w:r w:rsidRPr="009E351A">
              <w:rPr>
                <w:sz w:val="20"/>
              </w:rPr>
              <w:t>Types of post</w:t>
            </w:r>
          </w:p>
        </w:tc>
        <w:tc>
          <w:tcPr>
            <w:tcW w:w="883" w:type="dxa"/>
          </w:tcPr>
          <w:p w:rsidR="00DC30BF" w:rsidRPr="009E351A" w:rsidRDefault="00DC30BF">
            <w:pPr>
              <w:rPr>
                <w:sz w:val="20"/>
              </w:rPr>
            </w:pPr>
          </w:p>
        </w:tc>
        <w:tc>
          <w:tcPr>
            <w:tcW w:w="6494" w:type="dxa"/>
            <w:gridSpan w:val="6"/>
            <w:vAlign w:val="center"/>
          </w:tcPr>
          <w:p w:rsidR="00DC30BF" w:rsidRPr="009E351A" w:rsidRDefault="00DC30BF">
            <w:pPr>
              <w:jc w:val="center"/>
              <w:rPr>
                <w:sz w:val="20"/>
              </w:rPr>
            </w:pPr>
            <w:r w:rsidRPr="009E351A">
              <w:rPr>
                <w:sz w:val="20"/>
              </w:rPr>
              <w:t>Staff to be assigned to management of the action using existing and/or additional resources (</w:t>
            </w:r>
            <w:r w:rsidRPr="009E351A">
              <w:rPr>
                <w:b/>
                <w:sz w:val="20"/>
              </w:rPr>
              <w:t>number of posts/FTEs</w:t>
            </w:r>
            <w:r w:rsidRPr="009E351A">
              <w:rPr>
                <w:sz w:val="20"/>
              </w:rPr>
              <w:t>)</w:t>
            </w:r>
          </w:p>
        </w:tc>
      </w:tr>
      <w:tr w:rsidR="00DC30BF" w:rsidRPr="009E351A">
        <w:tblPrEx>
          <w:tblCellMar>
            <w:top w:w="0" w:type="dxa"/>
            <w:bottom w:w="0" w:type="dxa"/>
          </w:tblCellMar>
        </w:tblPrEx>
        <w:trPr>
          <w:trHeight w:val="383"/>
          <w:jc w:val="right"/>
        </w:trPr>
        <w:tc>
          <w:tcPr>
            <w:tcW w:w="1373" w:type="dxa"/>
          </w:tcPr>
          <w:p w:rsidR="00DC30BF" w:rsidRPr="009E351A" w:rsidRDefault="00DC30BF">
            <w:pPr>
              <w:rPr>
                <w:sz w:val="20"/>
              </w:rPr>
            </w:pPr>
          </w:p>
        </w:tc>
        <w:tc>
          <w:tcPr>
            <w:tcW w:w="883" w:type="dxa"/>
          </w:tcPr>
          <w:p w:rsidR="00DC30BF" w:rsidRPr="009E351A" w:rsidRDefault="00DC30BF">
            <w:pPr>
              <w:rPr>
                <w:sz w:val="20"/>
              </w:rPr>
            </w:pPr>
          </w:p>
        </w:tc>
        <w:tc>
          <w:tcPr>
            <w:tcW w:w="1081" w:type="dxa"/>
            <w:vAlign w:val="center"/>
          </w:tcPr>
          <w:p w:rsidR="00DC30BF" w:rsidRPr="009E351A" w:rsidRDefault="00DC30BF">
            <w:pPr>
              <w:jc w:val="center"/>
              <w:rPr>
                <w:sz w:val="20"/>
              </w:rPr>
            </w:pPr>
            <w:r w:rsidRPr="009E351A">
              <w:rPr>
                <w:sz w:val="20"/>
              </w:rPr>
              <w:t>2007</w:t>
            </w:r>
          </w:p>
        </w:tc>
        <w:tc>
          <w:tcPr>
            <w:tcW w:w="1081" w:type="dxa"/>
            <w:vAlign w:val="center"/>
          </w:tcPr>
          <w:p w:rsidR="00DC30BF" w:rsidRPr="009E351A" w:rsidRDefault="00DC30BF">
            <w:pPr>
              <w:jc w:val="center"/>
              <w:rPr>
                <w:sz w:val="20"/>
              </w:rPr>
            </w:pPr>
            <w:r w:rsidRPr="009E351A">
              <w:rPr>
                <w:sz w:val="20"/>
              </w:rPr>
              <w:t>2008</w:t>
            </w:r>
          </w:p>
        </w:tc>
        <w:tc>
          <w:tcPr>
            <w:tcW w:w="1083" w:type="dxa"/>
            <w:vAlign w:val="center"/>
          </w:tcPr>
          <w:p w:rsidR="00DC30BF" w:rsidRPr="009E351A" w:rsidRDefault="00DC30BF">
            <w:pPr>
              <w:jc w:val="center"/>
              <w:rPr>
                <w:sz w:val="20"/>
              </w:rPr>
            </w:pPr>
            <w:r w:rsidRPr="009E351A">
              <w:rPr>
                <w:sz w:val="20"/>
              </w:rPr>
              <w:t>2009</w:t>
            </w:r>
          </w:p>
        </w:tc>
        <w:tc>
          <w:tcPr>
            <w:tcW w:w="1083" w:type="dxa"/>
            <w:vAlign w:val="center"/>
          </w:tcPr>
          <w:p w:rsidR="00DC30BF" w:rsidRPr="009E351A" w:rsidRDefault="00DC30BF">
            <w:pPr>
              <w:jc w:val="center"/>
              <w:rPr>
                <w:sz w:val="20"/>
              </w:rPr>
            </w:pPr>
            <w:r w:rsidRPr="009E351A">
              <w:rPr>
                <w:sz w:val="20"/>
              </w:rPr>
              <w:t>2010</w:t>
            </w:r>
          </w:p>
        </w:tc>
        <w:tc>
          <w:tcPr>
            <w:tcW w:w="1083" w:type="dxa"/>
            <w:vAlign w:val="center"/>
          </w:tcPr>
          <w:p w:rsidR="00DC30BF" w:rsidRPr="009E351A" w:rsidRDefault="00DC30BF">
            <w:pPr>
              <w:jc w:val="center"/>
              <w:rPr>
                <w:sz w:val="20"/>
              </w:rPr>
            </w:pPr>
            <w:r w:rsidRPr="009E351A">
              <w:rPr>
                <w:sz w:val="20"/>
              </w:rPr>
              <w:t>2011</w:t>
            </w:r>
          </w:p>
        </w:tc>
        <w:tc>
          <w:tcPr>
            <w:tcW w:w="1083" w:type="dxa"/>
            <w:vAlign w:val="center"/>
          </w:tcPr>
          <w:p w:rsidR="00DC30BF" w:rsidRPr="009E351A" w:rsidRDefault="00DC30BF">
            <w:pPr>
              <w:jc w:val="center"/>
              <w:rPr>
                <w:sz w:val="20"/>
              </w:rPr>
            </w:pPr>
            <w:r w:rsidRPr="009E351A">
              <w:rPr>
                <w:sz w:val="20"/>
              </w:rPr>
              <w:t>2012-13</w:t>
            </w:r>
          </w:p>
        </w:tc>
      </w:tr>
      <w:tr w:rsidR="00DC30BF" w:rsidRPr="009E351A">
        <w:tblPrEx>
          <w:tblCellMar>
            <w:top w:w="0" w:type="dxa"/>
            <w:bottom w:w="0" w:type="dxa"/>
          </w:tblCellMar>
        </w:tblPrEx>
        <w:trPr>
          <w:cantSplit/>
          <w:trHeight w:val="454"/>
          <w:jc w:val="right"/>
        </w:trPr>
        <w:tc>
          <w:tcPr>
            <w:tcW w:w="1373" w:type="dxa"/>
            <w:vMerge w:val="restart"/>
            <w:vAlign w:val="center"/>
          </w:tcPr>
          <w:p w:rsidR="00DC30BF" w:rsidRPr="009E351A" w:rsidRDefault="00DC30BF">
            <w:pPr>
              <w:jc w:val="center"/>
              <w:rPr>
                <w:sz w:val="20"/>
              </w:rPr>
            </w:pPr>
            <w:r w:rsidRPr="009E351A">
              <w:rPr>
                <w:sz w:val="20"/>
              </w:rPr>
              <w:t>Officials or temporary staff</w:t>
            </w:r>
            <w:r w:rsidRPr="009E351A">
              <w:rPr>
                <w:rStyle w:val="Fotnotsreferens"/>
                <w:sz w:val="20"/>
              </w:rPr>
              <w:footnoteReference w:id="24"/>
            </w:r>
            <w:r w:rsidRPr="009E351A">
              <w:rPr>
                <w:sz w:val="20"/>
              </w:rPr>
              <w:t xml:space="preserve"> (XX 01 01)</w:t>
            </w:r>
          </w:p>
        </w:tc>
        <w:tc>
          <w:tcPr>
            <w:tcW w:w="883" w:type="dxa"/>
          </w:tcPr>
          <w:p w:rsidR="00DC30BF" w:rsidRPr="009E351A" w:rsidRDefault="00DC30BF">
            <w:pPr>
              <w:rPr>
                <w:sz w:val="20"/>
              </w:rPr>
            </w:pPr>
            <w:r w:rsidRPr="009E351A">
              <w:rPr>
                <w:sz w:val="20"/>
              </w:rPr>
              <w:t>A*/AD</w:t>
            </w:r>
          </w:p>
        </w:tc>
        <w:tc>
          <w:tcPr>
            <w:tcW w:w="1081" w:type="dxa"/>
            <w:vAlign w:val="center"/>
          </w:tcPr>
          <w:p w:rsidR="00DC30BF" w:rsidRPr="009E351A" w:rsidRDefault="00DC30BF">
            <w:pPr>
              <w:jc w:val="right"/>
              <w:rPr>
                <w:sz w:val="20"/>
              </w:rPr>
            </w:pPr>
            <w:r w:rsidRPr="009E351A">
              <w:rPr>
                <w:sz w:val="20"/>
              </w:rPr>
              <w:t>4</w:t>
            </w:r>
          </w:p>
        </w:tc>
        <w:tc>
          <w:tcPr>
            <w:tcW w:w="1081" w:type="dxa"/>
            <w:vAlign w:val="center"/>
          </w:tcPr>
          <w:p w:rsidR="00DC30BF" w:rsidRPr="009E351A" w:rsidRDefault="00DC30BF">
            <w:pPr>
              <w:jc w:val="right"/>
              <w:rPr>
                <w:sz w:val="20"/>
              </w:rPr>
            </w:pPr>
            <w:r w:rsidRPr="009E351A">
              <w:rPr>
                <w:sz w:val="20"/>
              </w:rPr>
              <w:t>4</w:t>
            </w:r>
          </w:p>
        </w:tc>
        <w:tc>
          <w:tcPr>
            <w:tcW w:w="1083" w:type="dxa"/>
            <w:vAlign w:val="center"/>
          </w:tcPr>
          <w:p w:rsidR="00DC30BF" w:rsidRPr="009E351A" w:rsidRDefault="00DC30BF">
            <w:pPr>
              <w:jc w:val="right"/>
              <w:rPr>
                <w:sz w:val="20"/>
              </w:rPr>
            </w:pPr>
            <w:r w:rsidRPr="009E351A">
              <w:rPr>
                <w:sz w:val="20"/>
              </w:rPr>
              <w:t>4</w:t>
            </w:r>
          </w:p>
        </w:tc>
        <w:tc>
          <w:tcPr>
            <w:tcW w:w="1083" w:type="dxa"/>
            <w:vAlign w:val="center"/>
          </w:tcPr>
          <w:p w:rsidR="00DC30BF" w:rsidRPr="009E351A" w:rsidRDefault="00DC30BF">
            <w:pPr>
              <w:jc w:val="right"/>
              <w:rPr>
                <w:sz w:val="20"/>
              </w:rPr>
            </w:pPr>
            <w:r w:rsidRPr="009E351A">
              <w:rPr>
                <w:sz w:val="20"/>
              </w:rPr>
              <w:t>4</w:t>
            </w:r>
          </w:p>
        </w:tc>
        <w:tc>
          <w:tcPr>
            <w:tcW w:w="1083" w:type="dxa"/>
            <w:vAlign w:val="center"/>
          </w:tcPr>
          <w:p w:rsidR="00DC30BF" w:rsidRPr="009E351A" w:rsidRDefault="00DC30BF">
            <w:pPr>
              <w:jc w:val="right"/>
              <w:rPr>
                <w:sz w:val="20"/>
              </w:rPr>
            </w:pPr>
            <w:r w:rsidRPr="009E351A">
              <w:rPr>
                <w:sz w:val="20"/>
              </w:rPr>
              <w:t>4</w:t>
            </w:r>
          </w:p>
        </w:tc>
        <w:tc>
          <w:tcPr>
            <w:tcW w:w="1083" w:type="dxa"/>
            <w:vAlign w:val="center"/>
          </w:tcPr>
          <w:p w:rsidR="00DC30BF" w:rsidRPr="009E351A" w:rsidRDefault="00DC30BF">
            <w:pPr>
              <w:jc w:val="right"/>
              <w:rPr>
                <w:sz w:val="20"/>
              </w:rPr>
            </w:pPr>
            <w:r w:rsidRPr="009E351A">
              <w:rPr>
                <w:sz w:val="20"/>
              </w:rPr>
              <w:t>8</w:t>
            </w:r>
          </w:p>
        </w:tc>
      </w:tr>
      <w:tr w:rsidR="00DC30BF" w:rsidRPr="009E351A">
        <w:tblPrEx>
          <w:tblCellMar>
            <w:top w:w="0" w:type="dxa"/>
            <w:bottom w:w="0" w:type="dxa"/>
          </w:tblCellMar>
        </w:tblPrEx>
        <w:trPr>
          <w:cantSplit/>
          <w:trHeight w:val="454"/>
          <w:jc w:val="right"/>
        </w:trPr>
        <w:tc>
          <w:tcPr>
            <w:tcW w:w="1373" w:type="dxa"/>
            <w:vMerge/>
          </w:tcPr>
          <w:p w:rsidR="00DC30BF" w:rsidRPr="009E351A" w:rsidRDefault="00DC30BF">
            <w:pPr>
              <w:rPr>
                <w:sz w:val="20"/>
              </w:rPr>
            </w:pPr>
          </w:p>
        </w:tc>
        <w:tc>
          <w:tcPr>
            <w:tcW w:w="883" w:type="dxa"/>
          </w:tcPr>
          <w:p w:rsidR="00DC30BF" w:rsidRPr="009E351A" w:rsidRDefault="00DC30BF">
            <w:pPr>
              <w:rPr>
                <w:sz w:val="20"/>
              </w:rPr>
            </w:pPr>
            <w:r w:rsidRPr="009E351A">
              <w:rPr>
                <w:sz w:val="20"/>
              </w:rPr>
              <w:t>B*, C*/AST</w:t>
            </w:r>
          </w:p>
        </w:tc>
        <w:tc>
          <w:tcPr>
            <w:tcW w:w="1081" w:type="dxa"/>
            <w:vAlign w:val="center"/>
          </w:tcPr>
          <w:p w:rsidR="00DC30BF" w:rsidRPr="009E351A" w:rsidRDefault="00DC30BF">
            <w:pPr>
              <w:jc w:val="right"/>
              <w:rPr>
                <w:sz w:val="20"/>
              </w:rPr>
            </w:pPr>
            <w:r w:rsidRPr="009E351A">
              <w:rPr>
                <w:sz w:val="20"/>
              </w:rPr>
              <w:t>3</w:t>
            </w:r>
          </w:p>
        </w:tc>
        <w:tc>
          <w:tcPr>
            <w:tcW w:w="1081" w:type="dxa"/>
            <w:vAlign w:val="center"/>
          </w:tcPr>
          <w:p w:rsidR="00DC30BF" w:rsidRPr="009E351A" w:rsidRDefault="00DC30BF">
            <w:pPr>
              <w:jc w:val="right"/>
              <w:rPr>
                <w:sz w:val="20"/>
              </w:rPr>
            </w:pPr>
            <w:r w:rsidRPr="009E351A">
              <w:rPr>
                <w:sz w:val="20"/>
              </w:rPr>
              <w:t>3</w:t>
            </w:r>
          </w:p>
        </w:tc>
        <w:tc>
          <w:tcPr>
            <w:tcW w:w="1083" w:type="dxa"/>
            <w:vAlign w:val="center"/>
          </w:tcPr>
          <w:p w:rsidR="00DC30BF" w:rsidRPr="009E351A" w:rsidRDefault="00DC30BF">
            <w:pPr>
              <w:jc w:val="right"/>
              <w:rPr>
                <w:sz w:val="20"/>
              </w:rPr>
            </w:pPr>
            <w:r w:rsidRPr="009E351A">
              <w:rPr>
                <w:sz w:val="20"/>
              </w:rPr>
              <w:t>3</w:t>
            </w:r>
          </w:p>
        </w:tc>
        <w:tc>
          <w:tcPr>
            <w:tcW w:w="1083" w:type="dxa"/>
            <w:vAlign w:val="center"/>
          </w:tcPr>
          <w:p w:rsidR="00DC30BF" w:rsidRPr="009E351A" w:rsidRDefault="00DC30BF">
            <w:pPr>
              <w:jc w:val="right"/>
              <w:rPr>
                <w:sz w:val="20"/>
              </w:rPr>
            </w:pPr>
            <w:r w:rsidRPr="009E351A">
              <w:rPr>
                <w:sz w:val="20"/>
              </w:rPr>
              <w:t>3</w:t>
            </w:r>
          </w:p>
        </w:tc>
        <w:tc>
          <w:tcPr>
            <w:tcW w:w="1083" w:type="dxa"/>
            <w:vAlign w:val="center"/>
          </w:tcPr>
          <w:p w:rsidR="00DC30BF" w:rsidRPr="009E351A" w:rsidRDefault="00DC30BF">
            <w:pPr>
              <w:jc w:val="right"/>
              <w:rPr>
                <w:sz w:val="20"/>
              </w:rPr>
            </w:pPr>
            <w:r w:rsidRPr="009E351A">
              <w:rPr>
                <w:sz w:val="20"/>
              </w:rPr>
              <w:t>3</w:t>
            </w:r>
          </w:p>
        </w:tc>
        <w:tc>
          <w:tcPr>
            <w:tcW w:w="1083" w:type="dxa"/>
            <w:vAlign w:val="center"/>
          </w:tcPr>
          <w:p w:rsidR="00DC30BF" w:rsidRPr="009E351A" w:rsidRDefault="00DC30BF">
            <w:pPr>
              <w:jc w:val="right"/>
              <w:rPr>
                <w:sz w:val="20"/>
              </w:rPr>
            </w:pPr>
            <w:r w:rsidRPr="009E351A">
              <w:rPr>
                <w:sz w:val="20"/>
              </w:rPr>
              <w:t>6</w:t>
            </w:r>
          </w:p>
        </w:tc>
      </w:tr>
      <w:tr w:rsidR="00DC30BF" w:rsidRPr="009E351A">
        <w:tblPrEx>
          <w:tblCellMar>
            <w:top w:w="0" w:type="dxa"/>
            <w:bottom w:w="0" w:type="dxa"/>
          </w:tblCellMar>
        </w:tblPrEx>
        <w:trPr>
          <w:jc w:val="right"/>
        </w:trPr>
        <w:tc>
          <w:tcPr>
            <w:tcW w:w="2256" w:type="dxa"/>
            <w:gridSpan w:val="2"/>
          </w:tcPr>
          <w:p w:rsidR="00DC30BF" w:rsidRPr="009E351A" w:rsidRDefault="00DC30BF">
            <w:pPr>
              <w:rPr>
                <w:sz w:val="20"/>
              </w:rPr>
            </w:pPr>
            <w:r w:rsidRPr="009E351A">
              <w:rPr>
                <w:sz w:val="20"/>
              </w:rPr>
              <w:t>Staff financed</w:t>
            </w:r>
            <w:r w:rsidRPr="009E351A">
              <w:rPr>
                <w:rStyle w:val="Fotnotsreferens"/>
                <w:sz w:val="20"/>
              </w:rPr>
              <w:footnoteReference w:id="25"/>
            </w:r>
            <w:r w:rsidRPr="009E351A">
              <w:rPr>
                <w:sz w:val="20"/>
              </w:rPr>
              <w:t xml:space="preserve"> by art. XX 01 02</w:t>
            </w:r>
          </w:p>
        </w:tc>
        <w:tc>
          <w:tcPr>
            <w:tcW w:w="1081" w:type="dxa"/>
            <w:vAlign w:val="center"/>
          </w:tcPr>
          <w:p w:rsidR="00DC30BF" w:rsidRPr="009E351A" w:rsidRDefault="00DC30BF">
            <w:pPr>
              <w:jc w:val="right"/>
              <w:rPr>
                <w:sz w:val="20"/>
              </w:rPr>
            </w:pPr>
          </w:p>
        </w:tc>
        <w:tc>
          <w:tcPr>
            <w:tcW w:w="1081"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r>
      <w:tr w:rsidR="00DC30BF" w:rsidRPr="009E351A">
        <w:tblPrEx>
          <w:tblCellMar>
            <w:top w:w="0" w:type="dxa"/>
            <w:bottom w:w="0" w:type="dxa"/>
          </w:tblCellMar>
        </w:tblPrEx>
        <w:trPr>
          <w:jc w:val="right"/>
        </w:trPr>
        <w:tc>
          <w:tcPr>
            <w:tcW w:w="2256" w:type="dxa"/>
            <w:gridSpan w:val="2"/>
          </w:tcPr>
          <w:p w:rsidR="00DC30BF" w:rsidRPr="009E351A" w:rsidRDefault="00DC30BF">
            <w:pPr>
              <w:rPr>
                <w:sz w:val="20"/>
              </w:rPr>
            </w:pPr>
            <w:r w:rsidRPr="009E351A">
              <w:rPr>
                <w:sz w:val="20"/>
              </w:rPr>
              <w:t>Other staff</w:t>
            </w:r>
            <w:r w:rsidRPr="009E351A">
              <w:rPr>
                <w:rStyle w:val="Fotnotsreferens"/>
                <w:sz w:val="20"/>
              </w:rPr>
              <w:footnoteReference w:id="26"/>
            </w:r>
            <w:r w:rsidRPr="009E351A">
              <w:rPr>
                <w:sz w:val="20"/>
              </w:rPr>
              <w:t xml:space="preserve"> financed by art. XX 01 04/05</w:t>
            </w:r>
          </w:p>
        </w:tc>
        <w:tc>
          <w:tcPr>
            <w:tcW w:w="1081" w:type="dxa"/>
            <w:vAlign w:val="center"/>
          </w:tcPr>
          <w:p w:rsidR="00DC30BF" w:rsidRPr="009E351A" w:rsidRDefault="00DC30BF">
            <w:pPr>
              <w:jc w:val="right"/>
              <w:rPr>
                <w:sz w:val="20"/>
              </w:rPr>
            </w:pPr>
          </w:p>
        </w:tc>
        <w:tc>
          <w:tcPr>
            <w:tcW w:w="1081"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c>
          <w:tcPr>
            <w:tcW w:w="1083" w:type="dxa"/>
            <w:vAlign w:val="center"/>
          </w:tcPr>
          <w:p w:rsidR="00DC30BF" w:rsidRPr="009E351A" w:rsidRDefault="00DC30BF">
            <w:pPr>
              <w:jc w:val="right"/>
              <w:rPr>
                <w:sz w:val="20"/>
              </w:rPr>
            </w:pPr>
          </w:p>
        </w:tc>
      </w:tr>
      <w:tr w:rsidR="00DC30BF" w:rsidRPr="009E351A">
        <w:tblPrEx>
          <w:tblCellMar>
            <w:top w:w="0" w:type="dxa"/>
            <w:bottom w:w="0" w:type="dxa"/>
          </w:tblCellMar>
        </w:tblPrEx>
        <w:trPr>
          <w:trHeight w:val="547"/>
          <w:jc w:val="right"/>
        </w:trPr>
        <w:tc>
          <w:tcPr>
            <w:tcW w:w="2256" w:type="dxa"/>
            <w:gridSpan w:val="2"/>
            <w:vAlign w:val="center"/>
          </w:tcPr>
          <w:p w:rsidR="00DC30BF" w:rsidRPr="009E351A" w:rsidRDefault="00DC30BF">
            <w:pPr>
              <w:rPr>
                <w:sz w:val="20"/>
              </w:rPr>
            </w:pPr>
            <w:r w:rsidRPr="009E351A">
              <w:rPr>
                <w:b/>
                <w:sz w:val="20"/>
              </w:rPr>
              <w:t>TOTAL</w:t>
            </w:r>
          </w:p>
        </w:tc>
        <w:tc>
          <w:tcPr>
            <w:tcW w:w="1081" w:type="dxa"/>
            <w:vAlign w:val="center"/>
          </w:tcPr>
          <w:p w:rsidR="00DC30BF" w:rsidRPr="009E351A" w:rsidRDefault="00DC30BF">
            <w:pPr>
              <w:jc w:val="right"/>
              <w:rPr>
                <w:sz w:val="20"/>
              </w:rPr>
            </w:pPr>
            <w:r w:rsidRPr="009E351A">
              <w:rPr>
                <w:sz w:val="20"/>
              </w:rPr>
              <w:t>7</w:t>
            </w:r>
          </w:p>
        </w:tc>
        <w:tc>
          <w:tcPr>
            <w:tcW w:w="1081" w:type="dxa"/>
            <w:vAlign w:val="center"/>
          </w:tcPr>
          <w:p w:rsidR="00DC30BF" w:rsidRPr="009E351A" w:rsidRDefault="00DC30BF">
            <w:pPr>
              <w:jc w:val="right"/>
              <w:rPr>
                <w:sz w:val="20"/>
              </w:rPr>
            </w:pPr>
            <w:r w:rsidRPr="009E351A">
              <w:rPr>
                <w:sz w:val="20"/>
              </w:rPr>
              <w:t>7</w:t>
            </w:r>
          </w:p>
        </w:tc>
        <w:tc>
          <w:tcPr>
            <w:tcW w:w="1083" w:type="dxa"/>
            <w:vAlign w:val="center"/>
          </w:tcPr>
          <w:p w:rsidR="00DC30BF" w:rsidRPr="009E351A" w:rsidRDefault="00DC30BF">
            <w:pPr>
              <w:jc w:val="right"/>
              <w:rPr>
                <w:sz w:val="20"/>
              </w:rPr>
            </w:pPr>
            <w:r w:rsidRPr="009E351A">
              <w:rPr>
                <w:sz w:val="20"/>
              </w:rPr>
              <w:t>7</w:t>
            </w:r>
          </w:p>
        </w:tc>
        <w:tc>
          <w:tcPr>
            <w:tcW w:w="1083" w:type="dxa"/>
            <w:vAlign w:val="center"/>
          </w:tcPr>
          <w:p w:rsidR="00DC30BF" w:rsidRPr="009E351A" w:rsidRDefault="00DC30BF">
            <w:pPr>
              <w:jc w:val="right"/>
              <w:rPr>
                <w:sz w:val="20"/>
              </w:rPr>
            </w:pPr>
            <w:r w:rsidRPr="009E351A">
              <w:rPr>
                <w:sz w:val="20"/>
              </w:rPr>
              <w:t>7</w:t>
            </w:r>
          </w:p>
        </w:tc>
        <w:tc>
          <w:tcPr>
            <w:tcW w:w="1083" w:type="dxa"/>
            <w:vAlign w:val="center"/>
          </w:tcPr>
          <w:p w:rsidR="00DC30BF" w:rsidRPr="009E351A" w:rsidRDefault="00DC30BF">
            <w:pPr>
              <w:jc w:val="right"/>
              <w:rPr>
                <w:sz w:val="20"/>
              </w:rPr>
            </w:pPr>
            <w:r w:rsidRPr="009E351A">
              <w:rPr>
                <w:sz w:val="20"/>
              </w:rPr>
              <w:t>7</w:t>
            </w:r>
          </w:p>
        </w:tc>
        <w:tc>
          <w:tcPr>
            <w:tcW w:w="1083" w:type="dxa"/>
            <w:vAlign w:val="center"/>
          </w:tcPr>
          <w:p w:rsidR="00DC30BF" w:rsidRPr="009E351A" w:rsidRDefault="00DC30BF">
            <w:pPr>
              <w:jc w:val="right"/>
              <w:rPr>
                <w:sz w:val="20"/>
              </w:rPr>
            </w:pPr>
            <w:r w:rsidRPr="009E351A">
              <w:rPr>
                <w:sz w:val="20"/>
              </w:rPr>
              <w:t>14</w:t>
            </w:r>
          </w:p>
        </w:tc>
      </w:tr>
    </w:tbl>
    <w:p w:rsidR="00DC30BF" w:rsidRPr="009E351A" w:rsidRDefault="00DC30BF">
      <w:pPr>
        <w:pStyle w:val="ManualHeading3"/>
      </w:pPr>
      <w:r w:rsidRPr="009E351A">
        <w:t>8.2.2.</w:t>
      </w:r>
      <w:r w:rsidRPr="009E351A">
        <w:tab/>
        <w:t>Description of tasks deriving from the action</w:t>
      </w:r>
    </w:p>
    <w:p w:rsidR="00DC30BF" w:rsidRPr="009E351A" w:rsidRDefault="00DC30BF">
      <w:pPr>
        <w:pStyle w:val="Text3"/>
      </w:pPr>
      <w:r w:rsidRPr="009E351A">
        <w:t>The main tasks arising from the management of the Community guarantee are the following:</w:t>
      </w:r>
    </w:p>
    <w:p w:rsidR="00DC30BF" w:rsidRPr="009E351A" w:rsidRDefault="00DC30BF">
      <w:pPr>
        <w:pStyle w:val="Text3"/>
      </w:pPr>
      <w:r w:rsidRPr="009E351A">
        <w:t>- Preparation of legislative proposals and guarantee agreements;</w:t>
      </w:r>
    </w:p>
    <w:p w:rsidR="00DC30BF" w:rsidRPr="009E351A" w:rsidRDefault="00DC30BF">
      <w:pPr>
        <w:pStyle w:val="Text3"/>
      </w:pPr>
      <w:r w:rsidRPr="009E351A">
        <w:t>- Management of the approval procedure;</w:t>
      </w:r>
    </w:p>
    <w:p w:rsidR="00DC30BF" w:rsidRPr="009E351A" w:rsidRDefault="00DC30BF">
      <w:pPr>
        <w:pStyle w:val="Text3"/>
      </w:pPr>
      <w:r w:rsidRPr="009E351A">
        <w:t>- Administration of the annual budgetary procedure;</w:t>
      </w:r>
    </w:p>
    <w:p w:rsidR="00DC30BF" w:rsidRPr="009E351A" w:rsidRDefault="00DC30BF">
      <w:pPr>
        <w:pStyle w:val="Text3"/>
      </w:pPr>
      <w:r w:rsidRPr="009E351A">
        <w:t>- Annual reporting to the Council and Parliament;</w:t>
      </w:r>
    </w:p>
    <w:p w:rsidR="00DC30BF" w:rsidRPr="009E351A" w:rsidRDefault="00DC30BF">
      <w:pPr>
        <w:pStyle w:val="Text3"/>
      </w:pPr>
      <w:r w:rsidRPr="009E351A">
        <w:t>- Handling of calls;</w:t>
      </w:r>
    </w:p>
    <w:p w:rsidR="00DC30BF" w:rsidRPr="009E351A" w:rsidRDefault="00DC30BF">
      <w:pPr>
        <w:pStyle w:val="Text3"/>
      </w:pPr>
      <w:r w:rsidRPr="009E351A">
        <w:t>- Monitoring of the management of the Guarantee Fund;</w:t>
      </w:r>
    </w:p>
    <w:p w:rsidR="00DC30BF" w:rsidRPr="009E351A" w:rsidRDefault="00DC30BF">
      <w:pPr>
        <w:pStyle w:val="Text3"/>
      </w:pPr>
      <w:r w:rsidRPr="009E351A">
        <w:t>- Accounting;</w:t>
      </w:r>
    </w:p>
    <w:p w:rsidR="00DC30BF" w:rsidRPr="009E351A" w:rsidRDefault="00DC30BF">
      <w:pPr>
        <w:pStyle w:val="Text3"/>
      </w:pPr>
      <w:r w:rsidRPr="009E351A">
        <w:t>- Relations with the Court of Auditors, Parliament and Council.</w:t>
      </w:r>
    </w:p>
    <w:p w:rsidR="00DC30BF" w:rsidRPr="009E351A" w:rsidRDefault="00DC30BF">
      <w:pPr>
        <w:pStyle w:val="ManualHeading3"/>
      </w:pPr>
      <w:r w:rsidRPr="009E351A">
        <w:t>8.2.3.</w:t>
      </w:r>
      <w:r w:rsidRPr="009E351A">
        <w:tab/>
        <w:t>Sources of human resources (statutory)</w:t>
      </w:r>
    </w:p>
    <w:p w:rsidR="00DC30BF" w:rsidRPr="009E351A" w:rsidRDefault="00DC30BF">
      <w:pPr>
        <w:pStyle w:val="Point1"/>
      </w:pPr>
      <w:r w:rsidRPr="009E351A">
        <w:sym w:font="Wingdings" w:char="F078"/>
      </w:r>
      <w:r w:rsidRPr="009E351A">
        <w:tab/>
        <w:t>Posts currently allocated to the management of the programme to be replaced or extended</w:t>
      </w:r>
    </w:p>
    <w:p w:rsidR="00DC30BF" w:rsidRPr="009E351A" w:rsidRDefault="00DC30BF">
      <w:pPr>
        <w:pStyle w:val="Point1"/>
        <w:rPr>
          <w:sz w:val="20"/>
        </w:rPr>
      </w:pPr>
      <w:r w:rsidRPr="009E351A">
        <w:sym w:font="Wingdings" w:char="F078"/>
      </w:r>
      <w:r w:rsidRPr="009E351A">
        <w:tab/>
        <w:t>Posts pre-allocated within the APS/PDB exercise for year 2007</w:t>
      </w:r>
    </w:p>
    <w:p w:rsidR="00DC30BF" w:rsidRPr="009E351A" w:rsidRDefault="00DC30BF">
      <w:pPr>
        <w:pStyle w:val="Point1"/>
      </w:pPr>
      <w:r w:rsidRPr="009E351A">
        <w:sym w:font="Wingdings" w:char="F0A8"/>
      </w:r>
      <w:r w:rsidRPr="009E351A">
        <w:tab/>
        <w:t>Posts to be requested in the next APS/PDB procedure</w:t>
      </w:r>
    </w:p>
    <w:p w:rsidR="00DC30BF" w:rsidRPr="009E351A" w:rsidRDefault="00DC30BF">
      <w:pPr>
        <w:pStyle w:val="Point1"/>
      </w:pPr>
      <w:r w:rsidRPr="009E351A">
        <w:sym w:font="Wingdings" w:char="F0A8"/>
      </w:r>
      <w:r w:rsidRPr="009E351A">
        <w:tab/>
        <w:t>Posts to be redeployed using existing resources within the managing service (internal redeployment)</w:t>
      </w:r>
    </w:p>
    <w:p w:rsidR="00DC30BF" w:rsidRPr="009E351A" w:rsidRDefault="00DC30BF">
      <w:pPr>
        <w:pStyle w:val="Point1"/>
      </w:pPr>
      <w:r w:rsidRPr="009E351A">
        <w:sym w:font="Wingdings" w:char="F0A8"/>
      </w:r>
      <w:r w:rsidRPr="009E351A">
        <w:tab/>
        <w:t>Posts required for year n although not foreseen in the APS/PDB exercise of the year in question</w:t>
      </w:r>
    </w:p>
    <w:p w:rsidR="005D37D3" w:rsidRPr="009E351A" w:rsidRDefault="005D37D3" w:rsidP="005D37D3">
      <w:pPr>
        <w:pStyle w:val="Text3"/>
      </w:pPr>
      <w:r w:rsidRPr="009E351A">
        <w:t>The needs for human and administrative resources shall be covered within the allocation granted to the managing service in the framework of the annual allocation procedure.</w:t>
      </w:r>
    </w:p>
    <w:p w:rsidR="00DC30BF" w:rsidRPr="009E351A" w:rsidRDefault="00DC30BF" w:rsidP="00AF07BD">
      <w:pPr>
        <w:pStyle w:val="ManualHeading3"/>
        <w:keepNext w:val="0"/>
        <w:pageBreakBefore/>
        <w:ind w:left="851" w:hanging="851"/>
      </w:pPr>
      <w:r w:rsidRPr="009E351A">
        <w:t>8.2.4.</w:t>
      </w:r>
      <w:r w:rsidRPr="009E351A">
        <w:tab/>
        <w:t xml:space="preserve">Other Administrative expenditure included in reference amount </w:t>
      </w:r>
      <w:r w:rsidRPr="009E351A">
        <w:rPr>
          <w:sz w:val="20"/>
        </w:rPr>
        <w:t>(XX 01 04/05 – Expenditure on administrative management)</w:t>
      </w:r>
    </w:p>
    <w:p w:rsidR="00DC30BF" w:rsidRPr="009E351A" w:rsidRDefault="00DC30BF">
      <w:pPr>
        <w:pStyle w:val="NormalRight"/>
      </w:pPr>
      <w:r w:rsidRPr="009E351A">
        <w:t>EUR million (to 3 decimal places)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2"/>
        <w:gridCol w:w="701"/>
        <w:gridCol w:w="741"/>
        <w:gridCol w:w="741"/>
        <w:gridCol w:w="741"/>
        <w:gridCol w:w="741"/>
        <w:gridCol w:w="741"/>
        <w:gridCol w:w="872"/>
      </w:tblGrid>
      <w:tr w:rsidR="00DC30BF" w:rsidRPr="009E351A">
        <w:tblPrEx>
          <w:tblCellMar>
            <w:top w:w="0" w:type="dxa"/>
            <w:bottom w:w="0" w:type="dxa"/>
          </w:tblCellMar>
        </w:tblPrEx>
        <w:trPr>
          <w:trHeight w:val="625"/>
          <w:jc w:val="right"/>
        </w:trPr>
        <w:tc>
          <w:tcPr>
            <w:tcW w:w="3712" w:type="dxa"/>
          </w:tcPr>
          <w:p w:rsidR="00DC30BF" w:rsidRPr="009E351A" w:rsidRDefault="00DC30BF">
            <w:pPr>
              <w:rPr>
                <w:sz w:val="20"/>
              </w:rPr>
            </w:pPr>
            <w:r w:rsidRPr="009E351A">
              <w:rPr>
                <w:sz w:val="20"/>
              </w:rPr>
              <w:t>Budget line</w:t>
            </w:r>
          </w:p>
          <w:p w:rsidR="00DC30BF" w:rsidRPr="009E351A" w:rsidRDefault="00DC30BF">
            <w:pPr>
              <w:rPr>
                <w:sz w:val="20"/>
              </w:rPr>
            </w:pPr>
            <w:r w:rsidRPr="009E351A">
              <w:rPr>
                <w:sz w:val="20"/>
              </w:rPr>
              <w:t>(number and heading)</w:t>
            </w:r>
          </w:p>
        </w:tc>
        <w:tc>
          <w:tcPr>
            <w:tcW w:w="701" w:type="dxa"/>
            <w:tcBorders>
              <w:bottom w:val="single" w:sz="4" w:space="0" w:color="auto"/>
            </w:tcBorders>
            <w:vAlign w:val="center"/>
          </w:tcPr>
          <w:p w:rsidR="00DC30BF" w:rsidRPr="009E351A" w:rsidRDefault="00DC30BF">
            <w:pPr>
              <w:jc w:val="center"/>
              <w:rPr>
                <w:sz w:val="20"/>
              </w:rPr>
            </w:pPr>
            <w:r w:rsidRPr="009E351A">
              <w:rPr>
                <w:sz w:val="20"/>
              </w:rPr>
              <w:t>2007</w:t>
            </w:r>
          </w:p>
        </w:tc>
        <w:tc>
          <w:tcPr>
            <w:tcW w:w="741" w:type="dxa"/>
            <w:tcBorders>
              <w:bottom w:val="single" w:sz="4" w:space="0" w:color="auto"/>
            </w:tcBorders>
            <w:vAlign w:val="center"/>
          </w:tcPr>
          <w:p w:rsidR="00DC30BF" w:rsidRPr="009E351A" w:rsidRDefault="00DC30BF">
            <w:pPr>
              <w:jc w:val="center"/>
              <w:rPr>
                <w:sz w:val="20"/>
              </w:rPr>
            </w:pPr>
            <w:r w:rsidRPr="009E351A">
              <w:rPr>
                <w:sz w:val="20"/>
              </w:rPr>
              <w:t>2008</w:t>
            </w:r>
          </w:p>
        </w:tc>
        <w:tc>
          <w:tcPr>
            <w:tcW w:w="741" w:type="dxa"/>
            <w:tcBorders>
              <w:bottom w:val="single" w:sz="4" w:space="0" w:color="auto"/>
            </w:tcBorders>
            <w:vAlign w:val="center"/>
          </w:tcPr>
          <w:p w:rsidR="00DC30BF" w:rsidRPr="009E351A" w:rsidRDefault="00DC30BF">
            <w:pPr>
              <w:jc w:val="center"/>
              <w:rPr>
                <w:sz w:val="20"/>
              </w:rPr>
            </w:pPr>
            <w:r w:rsidRPr="009E351A">
              <w:rPr>
                <w:sz w:val="20"/>
              </w:rPr>
              <w:t>2009</w:t>
            </w:r>
          </w:p>
        </w:tc>
        <w:tc>
          <w:tcPr>
            <w:tcW w:w="741" w:type="dxa"/>
            <w:tcBorders>
              <w:bottom w:val="single" w:sz="4" w:space="0" w:color="auto"/>
            </w:tcBorders>
            <w:vAlign w:val="center"/>
          </w:tcPr>
          <w:p w:rsidR="00DC30BF" w:rsidRPr="009E351A" w:rsidRDefault="00DC30BF">
            <w:pPr>
              <w:jc w:val="center"/>
              <w:rPr>
                <w:sz w:val="20"/>
              </w:rPr>
            </w:pPr>
            <w:r w:rsidRPr="009E351A">
              <w:rPr>
                <w:sz w:val="20"/>
              </w:rPr>
              <w:t>2010</w:t>
            </w:r>
          </w:p>
        </w:tc>
        <w:tc>
          <w:tcPr>
            <w:tcW w:w="741" w:type="dxa"/>
            <w:tcBorders>
              <w:bottom w:val="single" w:sz="4" w:space="0" w:color="auto"/>
            </w:tcBorders>
            <w:vAlign w:val="center"/>
          </w:tcPr>
          <w:p w:rsidR="00DC30BF" w:rsidRPr="009E351A" w:rsidRDefault="00DC30BF">
            <w:pPr>
              <w:jc w:val="center"/>
              <w:rPr>
                <w:sz w:val="20"/>
              </w:rPr>
            </w:pPr>
            <w:r w:rsidRPr="009E351A">
              <w:rPr>
                <w:sz w:val="20"/>
              </w:rPr>
              <w:t>2011</w:t>
            </w:r>
          </w:p>
        </w:tc>
        <w:tc>
          <w:tcPr>
            <w:tcW w:w="741" w:type="dxa"/>
            <w:tcBorders>
              <w:bottom w:val="single" w:sz="4" w:space="0" w:color="auto"/>
            </w:tcBorders>
          </w:tcPr>
          <w:p w:rsidR="00DC30BF" w:rsidRPr="009E351A" w:rsidRDefault="00DC30BF">
            <w:pPr>
              <w:jc w:val="center"/>
              <w:rPr>
                <w:sz w:val="20"/>
              </w:rPr>
            </w:pPr>
            <w:r w:rsidRPr="009E351A">
              <w:rPr>
                <w:sz w:val="20"/>
              </w:rPr>
              <w:t>2012-2013</w:t>
            </w:r>
          </w:p>
        </w:tc>
        <w:tc>
          <w:tcPr>
            <w:tcW w:w="872" w:type="dxa"/>
            <w:tcBorders>
              <w:bottom w:val="single" w:sz="4" w:space="0" w:color="auto"/>
            </w:tcBorders>
            <w:vAlign w:val="center"/>
          </w:tcPr>
          <w:p w:rsidR="00DC30BF" w:rsidRPr="009E351A" w:rsidRDefault="00DC30BF">
            <w:pPr>
              <w:jc w:val="center"/>
              <w:rPr>
                <w:sz w:val="20"/>
              </w:rPr>
            </w:pPr>
            <w:r w:rsidRPr="009E351A">
              <w:rPr>
                <w:sz w:val="20"/>
              </w:rPr>
              <w:t>TOTAL</w:t>
            </w:r>
          </w:p>
        </w:tc>
      </w:tr>
      <w:tr w:rsidR="00DC30BF" w:rsidRPr="009E351A">
        <w:tblPrEx>
          <w:tblCellMar>
            <w:top w:w="0" w:type="dxa"/>
            <w:bottom w:w="0" w:type="dxa"/>
          </w:tblCellMar>
        </w:tblPrEx>
        <w:trPr>
          <w:trHeight w:val="420"/>
          <w:jc w:val="right"/>
        </w:trPr>
        <w:tc>
          <w:tcPr>
            <w:tcW w:w="3712" w:type="dxa"/>
            <w:vAlign w:val="center"/>
          </w:tcPr>
          <w:p w:rsidR="00DC30BF" w:rsidRPr="009E351A" w:rsidRDefault="00DC30BF">
            <w:pPr>
              <w:rPr>
                <w:b/>
                <w:sz w:val="20"/>
              </w:rPr>
            </w:pPr>
            <w:r w:rsidRPr="009E351A">
              <w:rPr>
                <w:b/>
                <w:sz w:val="20"/>
              </w:rPr>
              <w:t>1 Technical and administrative assistance (including related staff costs)</w:t>
            </w:r>
          </w:p>
        </w:tc>
        <w:tc>
          <w:tcPr>
            <w:tcW w:w="701" w:type="dxa"/>
            <w:tcBorders>
              <w:right w:val="nil"/>
            </w:tcBorders>
            <w:shd w:val="pct10" w:color="auto" w:fill="auto"/>
            <w:vAlign w:val="center"/>
          </w:tcPr>
          <w:p w:rsidR="00DC30BF" w:rsidRPr="009E351A" w:rsidRDefault="00DC30BF">
            <w:pPr>
              <w:rPr>
                <w:sz w:val="20"/>
              </w:rPr>
            </w:pPr>
          </w:p>
        </w:tc>
        <w:tc>
          <w:tcPr>
            <w:tcW w:w="741" w:type="dxa"/>
            <w:tcBorders>
              <w:left w:val="nil"/>
              <w:right w:val="nil"/>
            </w:tcBorders>
            <w:shd w:val="pct10" w:color="auto" w:fill="auto"/>
          </w:tcPr>
          <w:p w:rsidR="00DC30BF" w:rsidRPr="009E351A" w:rsidRDefault="00DC30BF">
            <w:pPr>
              <w:rPr>
                <w:sz w:val="20"/>
              </w:rPr>
            </w:pPr>
          </w:p>
        </w:tc>
        <w:tc>
          <w:tcPr>
            <w:tcW w:w="741" w:type="dxa"/>
            <w:tcBorders>
              <w:left w:val="nil"/>
              <w:right w:val="nil"/>
            </w:tcBorders>
            <w:shd w:val="pct10" w:color="auto" w:fill="auto"/>
          </w:tcPr>
          <w:p w:rsidR="00DC30BF" w:rsidRPr="009E351A" w:rsidRDefault="00DC30BF">
            <w:pPr>
              <w:rPr>
                <w:sz w:val="20"/>
              </w:rPr>
            </w:pPr>
          </w:p>
        </w:tc>
        <w:tc>
          <w:tcPr>
            <w:tcW w:w="741" w:type="dxa"/>
            <w:tcBorders>
              <w:left w:val="nil"/>
              <w:right w:val="nil"/>
            </w:tcBorders>
            <w:shd w:val="pct10" w:color="auto" w:fill="auto"/>
          </w:tcPr>
          <w:p w:rsidR="00DC30BF" w:rsidRPr="009E351A" w:rsidRDefault="00DC30BF">
            <w:pPr>
              <w:rPr>
                <w:sz w:val="20"/>
              </w:rPr>
            </w:pPr>
          </w:p>
        </w:tc>
        <w:tc>
          <w:tcPr>
            <w:tcW w:w="741" w:type="dxa"/>
            <w:tcBorders>
              <w:left w:val="nil"/>
              <w:right w:val="nil"/>
            </w:tcBorders>
            <w:shd w:val="pct10" w:color="auto" w:fill="auto"/>
          </w:tcPr>
          <w:p w:rsidR="00DC30BF" w:rsidRPr="009E351A" w:rsidRDefault="00DC30BF">
            <w:pPr>
              <w:rPr>
                <w:sz w:val="20"/>
              </w:rPr>
            </w:pPr>
          </w:p>
        </w:tc>
        <w:tc>
          <w:tcPr>
            <w:tcW w:w="741" w:type="dxa"/>
            <w:tcBorders>
              <w:left w:val="nil"/>
              <w:right w:val="nil"/>
            </w:tcBorders>
            <w:shd w:val="pct10" w:color="auto" w:fill="auto"/>
          </w:tcPr>
          <w:p w:rsidR="00DC30BF" w:rsidRPr="009E351A" w:rsidRDefault="00DC30BF">
            <w:pPr>
              <w:rPr>
                <w:sz w:val="20"/>
              </w:rPr>
            </w:pPr>
          </w:p>
        </w:tc>
        <w:tc>
          <w:tcPr>
            <w:tcW w:w="872" w:type="dxa"/>
            <w:tcBorders>
              <w:left w:val="nil"/>
            </w:tcBorders>
            <w:shd w:val="pct10" w:color="auto" w:fill="auto"/>
            <w:vAlign w:val="center"/>
          </w:tcPr>
          <w:p w:rsidR="00DC30BF" w:rsidRPr="009E351A" w:rsidRDefault="00DC30BF">
            <w:pPr>
              <w:rPr>
                <w:sz w:val="20"/>
              </w:rPr>
            </w:pPr>
          </w:p>
        </w:tc>
      </w:tr>
      <w:tr w:rsidR="00DC30BF" w:rsidRPr="009E351A">
        <w:tblPrEx>
          <w:tblCellMar>
            <w:top w:w="0" w:type="dxa"/>
            <w:bottom w:w="0" w:type="dxa"/>
          </w:tblCellMar>
        </w:tblPrEx>
        <w:trPr>
          <w:trHeight w:val="420"/>
          <w:jc w:val="right"/>
        </w:trPr>
        <w:tc>
          <w:tcPr>
            <w:tcW w:w="3712" w:type="dxa"/>
            <w:vAlign w:val="center"/>
          </w:tcPr>
          <w:p w:rsidR="00DC30BF" w:rsidRPr="009E351A" w:rsidRDefault="00DC30BF">
            <w:pPr>
              <w:rPr>
                <w:sz w:val="20"/>
              </w:rPr>
            </w:pPr>
            <w:r w:rsidRPr="009E351A">
              <w:rPr>
                <w:sz w:val="20"/>
              </w:rPr>
              <w:t>Executive agencies</w:t>
            </w:r>
            <w:r w:rsidRPr="009E351A">
              <w:rPr>
                <w:rStyle w:val="Fotnotsreferens"/>
                <w:sz w:val="20"/>
              </w:rPr>
              <w:footnoteReference w:id="27"/>
            </w:r>
          </w:p>
        </w:tc>
        <w:tc>
          <w:tcPr>
            <w:tcW w:w="701" w:type="dxa"/>
            <w:vAlign w:val="center"/>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872" w:type="dxa"/>
            <w:vAlign w:val="center"/>
          </w:tcPr>
          <w:p w:rsidR="00DC30BF" w:rsidRPr="009E351A" w:rsidRDefault="00DC30BF">
            <w:pPr>
              <w:rPr>
                <w:sz w:val="20"/>
              </w:rPr>
            </w:pPr>
          </w:p>
        </w:tc>
      </w:tr>
      <w:tr w:rsidR="00DC30BF" w:rsidRPr="009E351A">
        <w:tblPrEx>
          <w:tblCellMar>
            <w:top w:w="0" w:type="dxa"/>
            <w:bottom w:w="0" w:type="dxa"/>
          </w:tblCellMar>
        </w:tblPrEx>
        <w:trPr>
          <w:trHeight w:val="420"/>
          <w:jc w:val="right"/>
        </w:trPr>
        <w:tc>
          <w:tcPr>
            <w:tcW w:w="3712" w:type="dxa"/>
            <w:vAlign w:val="center"/>
          </w:tcPr>
          <w:p w:rsidR="00DC30BF" w:rsidRPr="009E351A" w:rsidRDefault="00DC30BF">
            <w:pPr>
              <w:ind w:left="360" w:hanging="360"/>
              <w:rPr>
                <w:sz w:val="20"/>
              </w:rPr>
            </w:pPr>
            <w:r w:rsidRPr="009E351A">
              <w:rPr>
                <w:sz w:val="20"/>
              </w:rPr>
              <w:t>Other technical and administrative assistance</w:t>
            </w:r>
          </w:p>
        </w:tc>
        <w:tc>
          <w:tcPr>
            <w:tcW w:w="701" w:type="dxa"/>
            <w:vAlign w:val="center"/>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872" w:type="dxa"/>
            <w:vAlign w:val="center"/>
          </w:tcPr>
          <w:p w:rsidR="00DC30BF" w:rsidRPr="009E351A" w:rsidRDefault="00DC30BF">
            <w:pPr>
              <w:rPr>
                <w:sz w:val="20"/>
              </w:rPr>
            </w:pPr>
          </w:p>
        </w:tc>
      </w:tr>
      <w:tr w:rsidR="00DC30BF" w:rsidRPr="009E351A">
        <w:tblPrEx>
          <w:tblCellMar>
            <w:top w:w="0" w:type="dxa"/>
            <w:bottom w:w="0" w:type="dxa"/>
          </w:tblCellMar>
        </w:tblPrEx>
        <w:trPr>
          <w:trHeight w:val="420"/>
          <w:jc w:val="right"/>
        </w:trPr>
        <w:tc>
          <w:tcPr>
            <w:tcW w:w="3712" w:type="dxa"/>
            <w:vAlign w:val="center"/>
          </w:tcPr>
          <w:p w:rsidR="00DC30BF" w:rsidRPr="009E351A" w:rsidRDefault="00DC30BF">
            <w:pPr>
              <w:rPr>
                <w:b/>
                <w:sz w:val="20"/>
              </w:rPr>
            </w:pPr>
            <w:r w:rsidRPr="009E351A">
              <w:rPr>
                <w:sz w:val="20"/>
              </w:rPr>
              <w:tab/>
            </w:r>
            <w:r w:rsidRPr="009E351A">
              <w:rPr>
                <w:b/>
                <w:sz w:val="20"/>
              </w:rPr>
              <w:t xml:space="preserve">- </w:t>
            </w:r>
            <w:r w:rsidRPr="009E351A">
              <w:rPr>
                <w:i/>
                <w:sz w:val="20"/>
              </w:rPr>
              <w:t>intra muros</w:t>
            </w:r>
            <w:r w:rsidRPr="009E351A">
              <w:rPr>
                <w:b/>
                <w:i/>
                <w:sz w:val="20"/>
              </w:rPr>
              <w:t xml:space="preserve"> </w:t>
            </w:r>
          </w:p>
        </w:tc>
        <w:tc>
          <w:tcPr>
            <w:tcW w:w="701" w:type="dxa"/>
            <w:vAlign w:val="center"/>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872" w:type="dxa"/>
            <w:vAlign w:val="center"/>
          </w:tcPr>
          <w:p w:rsidR="00DC30BF" w:rsidRPr="009E351A" w:rsidRDefault="00DC30BF">
            <w:pPr>
              <w:rPr>
                <w:sz w:val="20"/>
              </w:rPr>
            </w:pPr>
          </w:p>
        </w:tc>
      </w:tr>
      <w:tr w:rsidR="00DC30BF" w:rsidRPr="009E351A">
        <w:tblPrEx>
          <w:tblCellMar>
            <w:top w:w="0" w:type="dxa"/>
            <w:bottom w:w="0" w:type="dxa"/>
          </w:tblCellMar>
        </w:tblPrEx>
        <w:trPr>
          <w:trHeight w:val="420"/>
          <w:jc w:val="right"/>
        </w:trPr>
        <w:tc>
          <w:tcPr>
            <w:tcW w:w="3712" w:type="dxa"/>
            <w:vAlign w:val="center"/>
          </w:tcPr>
          <w:p w:rsidR="00DC30BF" w:rsidRPr="009E351A" w:rsidRDefault="00DC30BF">
            <w:pPr>
              <w:rPr>
                <w:b/>
                <w:sz w:val="20"/>
              </w:rPr>
            </w:pPr>
            <w:r w:rsidRPr="009E351A">
              <w:rPr>
                <w:sz w:val="20"/>
              </w:rPr>
              <w:tab/>
            </w:r>
            <w:r w:rsidRPr="009E351A">
              <w:rPr>
                <w:b/>
                <w:sz w:val="20"/>
              </w:rPr>
              <w:t xml:space="preserve">- </w:t>
            </w:r>
            <w:r w:rsidRPr="009E351A">
              <w:rPr>
                <w:i/>
                <w:sz w:val="20"/>
              </w:rPr>
              <w:t>extra muros</w:t>
            </w:r>
          </w:p>
        </w:tc>
        <w:tc>
          <w:tcPr>
            <w:tcW w:w="701" w:type="dxa"/>
            <w:vAlign w:val="center"/>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741" w:type="dxa"/>
          </w:tcPr>
          <w:p w:rsidR="00DC30BF" w:rsidRPr="009E351A" w:rsidRDefault="00DC30BF">
            <w:pPr>
              <w:rPr>
                <w:sz w:val="20"/>
              </w:rPr>
            </w:pPr>
          </w:p>
        </w:tc>
        <w:tc>
          <w:tcPr>
            <w:tcW w:w="872" w:type="dxa"/>
            <w:vAlign w:val="center"/>
          </w:tcPr>
          <w:p w:rsidR="00DC30BF" w:rsidRPr="009E351A" w:rsidRDefault="00DC30BF">
            <w:pPr>
              <w:rPr>
                <w:sz w:val="20"/>
              </w:rPr>
            </w:pPr>
          </w:p>
        </w:tc>
      </w:tr>
      <w:tr w:rsidR="00DC30BF" w:rsidRPr="009E351A">
        <w:tblPrEx>
          <w:tblCellMar>
            <w:top w:w="0" w:type="dxa"/>
            <w:bottom w:w="0" w:type="dxa"/>
          </w:tblCellMar>
        </w:tblPrEx>
        <w:trPr>
          <w:trHeight w:val="420"/>
          <w:jc w:val="right"/>
        </w:trPr>
        <w:tc>
          <w:tcPr>
            <w:tcW w:w="3712" w:type="dxa"/>
            <w:tcBorders>
              <w:bottom w:val="single" w:sz="4" w:space="0" w:color="auto"/>
            </w:tcBorders>
            <w:vAlign w:val="center"/>
          </w:tcPr>
          <w:p w:rsidR="00DC30BF" w:rsidRPr="009E351A" w:rsidRDefault="00DC30BF">
            <w:pPr>
              <w:rPr>
                <w:b/>
                <w:sz w:val="20"/>
              </w:rPr>
            </w:pPr>
            <w:r w:rsidRPr="009E351A">
              <w:rPr>
                <w:b/>
                <w:sz w:val="20"/>
              </w:rPr>
              <w:t>Total Technical and administrative assistance</w:t>
            </w:r>
          </w:p>
        </w:tc>
        <w:tc>
          <w:tcPr>
            <w:tcW w:w="701" w:type="dxa"/>
            <w:tcBorders>
              <w:bottom w:val="single" w:sz="4" w:space="0" w:color="auto"/>
            </w:tcBorders>
            <w:vAlign w:val="center"/>
          </w:tcPr>
          <w:p w:rsidR="00DC30BF" w:rsidRPr="009E351A" w:rsidRDefault="00DC30BF">
            <w:pPr>
              <w:jc w:val="center"/>
              <w:rPr>
                <w:sz w:val="20"/>
              </w:rPr>
            </w:pPr>
            <w:r w:rsidRPr="009E351A">
              <w:rPr>
                <w:sz w:val="20"/>
              </w:rPr>
              <w:t>-</w:t>
            </w:r>
          </w:p>
        </w:tc>
        <w:tc>
          <w:tcPr>
            <w:tcW w:w="741" w:type="dxa"/>
            <w:tcBorders>
              <w:bottom w:val="single" w:sz="4" w:space="0" w:color="auto"/>
            </w:tcBorders>
            <w:vAlign w:val="center"/>
          </w:tcPr>
          <w:p w:rsidR="00DC30BF" w:rsidRPr="009E351A" w:rsidRDefault="00DC30BF">
            <w:pPr>
              <w:jc w:val="center"/>
              <w:rPr>
                <w:sz w:val="20"/>
              </w:rPr>
            </w:pPr>
            <w:r w:rsidRPr="009E351A">
              <w:rPr>
                <w:sz w:val="20"/>
              </w:rPr>
              <w:t>-</w:t>
            </w:r>
          </w:p>
        </w:tc>
        <w:tc>
          <w:tcPr>
            <w:tcW w:w="741" w:type="dxa"/>
            <w:tcBorders>
              <w:bottom w:val="single" w:sz="4" w:space="0" w:color="auto"/>
            </w:tcBorders>
            <w:vAlign w:val="center"/>
          </w:tcPr>
          <w:p w:rsidR="00DC30BF" w:rsidRPr="009E351A" w:rsidRDefault="00DC30BF">
            <w:pPr>
              <w:jc w:val="center"/>
              <w:rPr>
                <w:sz w:val="20"/>
              </w:rPr>
            </w:pPr>
            <w:r w:rsidRPr="009E351A">
              <w:rPr>
                <w:sz w:val="20"/>
              </w:rPr>
              <w:t>-</w:t>
            </w:r>
          </w:p>
        </w:tc>
        <w:tc>
          <w:tcPr>
            <w:tcW w:w="741" w:type="dxa"/>
            <w:tcBorders>
              <w:bottom w:val="single" w:sz="4" w:space="0" w:color="auto"/>
            </w:tcBorders>
            <w:vAlign w:val="center"/>
          </w:tcPr>
          <w:p w:rsidR="00DC30BF" w:rsidRPr="009E351A" w:rsidRDefault="00DC30BF">
            <w:pPr>
              <w:jc w:val="center"/>
              <w:rPr>
                <w:sz w:val="20"/>
              </w:rPr>
            </w:pPr>
            <w:r w:rsidRPr="009E351A">
              <w:rPr>
                <w:sz w:val="20"/>
              </w:rPr>
              <w:t>-</w:t>
            </w:r>
          </w:p>
        </w:tc>
        <w:tc>
          <w:tcPr>
            <w:tcW w:w="741" w:type="dxa"/>
            <w:tcBorders>
              <w:bottom w:val="single" w:sz="4" w:space="0" w:color="auto"/>
            </w:tcBorders>
            <w:vAlign w:val="center"/>
          </w:tcPr>
          <w:p w:rsidR="00DC30BF" w:rsidRPr="009E351A" w:rsidRDefault="00DC30BF">
            <w:pPr>
              <w:jc w:val="center"/>
              <w:rPr>
                <w:sz w:val="20"/>
              </w:rPr>
            </w:pPr>
            <w:r w:rsidRPr="009E351A">
              <w:rPr>
                <w:sz w:val="20"/>
              </w:rPr>
              <w:t>-</w:t>
            </w:r>
          </w:p>
        </w:tc>
        <w:tc>
          <w:tcPr>
            <w:tcW w:w="741" w:type="dxa"/>
            <w:tcBorders>
              <w:bottom w:val="single" w:sz="4" w:space="0" w:color="auto"/>
            </w:tcBorders>
            <w:vAlign w:val="center"/>
          </w:tcPr>
          <w:p w:rsidR="00DC30BF" w:rsidRPr="009E351A" w:rsidRDefault="00DC30BF">
            <w:pPr>
              <w:jc w:val="center"/>
              <w:rPr>
                <w:sz w:val="20"/>
              </w:rPr>
            </w:pPr>
            <w:r w:rsidRPr="009E351A">
              <w:rPr>
                <w:sz w:val="20"/>
              </w:rPr>
              <w:t>-</w:t>
            </w:r>
          </w:p>
        </w:tc>
        <w:tc>
          <w:tcPr>
            <w:tcW w:w="872" w:type="dxa"/>
            <w:tcBorders>
              <w:bottom w:val="single" w:sz="4" w:space="0" w:color="auto"/>
            </w:tcBorders>
            <w:vAlign w:val="center"/>
          </w:tcPr>
          <w:p w:rsidR="00DC30BF" w:rsidRPr="009E351A" w:rsidRDefault="00DC30BF">
            <w:pPr>
              <w:jc w:val="center"/>
              <w:rPr>
                <w:sz w:val="20"/>
              </w:rPr>
            </w:pPr>
            <w:r w:rsidRPr="009E351A">
              <w:rPr>
                <w:sz w:val="20"/>
              </w:rPr>
              <w:t>-</w:t>
            </w:r>
          </w:p>
        </w:tc>
      </w:tr>
    </w:tbl>
    <w:p w:rsidR="00DC30BF" w:rsidRPr="009E351A" w:rsidRDefault="00DC30BF">
      <w:pPr>
        <w:pStyle w:val="ManualHeading3"/>
      </w:pPr>
      <w:r w:rsidRPr="009E351A">
        <w:t>8.2.5.</w:t>
      </w:r>
      <w:r w:rsidRPr="009E351A">
        <w:tab/>
        <w:t xml:space="preserve">Financial cost of human resources and associated costs </w:t>
      </w:r>
      <w:r w:rsidRPr="009E351A">
        <w:rPr>
          <w:u w:val="single"/>
        </w:rPr>
        <w:t>not</w:t>
      </w:r>
      <w:r w:rsidRPr="009E351A">
        <w:t xml:space="preserve"> included in the reference amount</w:t>
      </w:r>
    </w:p>
    <w:p w:rsidR="00DC30BF" w:rsidRPr="009E351A" w:rsidRDefault="00DC30BF">
      <w:pPr>
        <w:pStyle w:val="NormalRight"/>
      </w:pPr>
      <w:r w:rsidRPr="009E351A">
        <w:t>EUR million (to 3 decimal places)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1008"/>
        <w:gridCol w:w="1009"/>
        <w:gridCol w:w="1008"/>
        <w:gridCol w:w="1009"/>
        <w:gridCol w:w="1008"/>
        <w:gridCol w:w="1009"/>
      </w:tblGrid>
      <w:tr w:rsidR="00DC30BF" w:rsidRPr="009E351A">
        <w:tblPrEx>
          <w:tblCellMar>
            <w:top w:w="0" w:type="dxa"/>
            <w:bottom w:w="0" w:type="dxa"/>
          </w:tblCellMar>
        </w:tblPrEx>
        <w:trPr>
          <w:trHeight w:val="391"/>
          <w:jc w:val="right"/>
        </w:trPr>
        <w:tc>
          <w:tcPr>
            <w:tcW w:w="2697" w:type="dxa"/>
            <w:vAlign w:val="center"/>
          </w:tcPr>
          <w:p w:rsidR="00DC30BF" w:rsidRPr="009E351A" w:rsidRDefault="00DC30BF">
            <w:pPr>
              <w:jc w:val="center"/>
              <w:rPr>
                <w:sz w:val="20"/>
              </w:rPr>
            </w:pPr>
            <w:r w:rsidRPr="009E351A">
              <w:rPr>
                <w:sz w:val="20"/>
              </w:rPr>
              <w:t>Type of human resources</w:t>
            </w:r>
          </w:p>
        </w:tc>
        <w:tc>
          <w:tcPr>
            <w:tcW w:w="1008" w:type="dxa"/>
            <w:vAlign w:val="center"/>
          </w:tcPr>
          <w:p w:rsidR="00DC30BF" w:rsidRPr="009E351A" w:rsidRDefault="00DC30BF">
            <w:pPr>
              <w:jc w:val="center"/>
              <w:rPr>
                <w:sz w:val="20"/>
              </w:rPr>
            </w:pPr>
            <w:r w:rsidRPr="009E351A">
              <w:rPr>
                <w:sz w:val="20"/>
              </w:rPr>
              <w:t>2007</w:t>
            </w:r>
          </w:p>
        </w:tc>
        <w:tc>
          <w:tcPr>
            <w:tcW w:w="1009" w:type="dxa"/>
            <w:vAlign w:val="center"/>
          </w:tcPr>
          <w:p w:rsidR="00DC30BF" w:rsidRPr="009E351A" w:rsidRDefault="00DC30BF">
            <w:pPr>
              <w:jc w:val="center"/>
              <w:rPr>
                <w:sz w:val="20"/>
              </w:rPr>
            </w:pPr>
            <w:r w:rsidRPr="009E351A">
              <w:rPr>
                <w:sz w:val="20"/>
              </w:rPr>
              <w:t>2008</w:t>
            </w:r>
          </w:p>
        </w:tc>
        <w:tc>
          <w:tcPr>
            <w:tcW w:w="1008" w:type="dxa"/>
            <w:vAlign w:val="center"/>
          </w:tcPr>
          <w:p w:rsidR="00DC30BF" w:rsidRPr="009E351A" w:rsidRDefault="00DC30BF">
            <w:pPr>
              <w:jc w:val="center"/>
              <w:rPr>
                <w:sz w:val="20"/>
              </w:rPr>
            </w:pPr>
            <w:r w:rsidRPr="009E351A">
              <w:rPr>
                <w:sz w:val="20"/>
              </w:rPr>
              <w:t>2009</w:t>
            </w:r>
          </w:p>
        </w:tc>
        <w:tc>
          <w:tcPr>
            <w:tcW w:w="1009" w:type="dxa"/>
            <w:vAlign w:val="center"/>
          </w:tcPr>
          <w:p w:rsidR="00DC30BF" w:rsidRPr="009E351A" w:rsidRDefault="00DC30BF">
            <w:pPr>
              <w:jc w:val="center"/>
              <w:rPr>
                <w:sz w:val="20"/>
              </w:rPr>
            </w:pPr>
            <w:r w:rsidRPr="009E351A">
              <w:rPr>
                <w:sz w:val="20"/>
              </w:rPr>
              <w:t>2010</w:t>
            </w:r>
          </w:p>
        </w:tc>
        <w:tc>
          <w:tcPr>
            <w:tcW w:w="1008" w:type="dxa"/>
            <w:vAlign w:val="center"/>
          </w:tcPr>
          <w:p w:rsidR="00DC30BF" w:rsidRPr="009E351A" w:rsidRDefault="00DC30BF">
            <w:pPr>
              <w:jc w:val="center"/>
              <w:rPr>
                <w:sz w:val="20"/>
              </w:rPr>
            </w:pPr>
            <w:r w:rsidRPr="009E351A">
              <w:rPr>
                <w:sz w:val="20"/>
              </w:rPr>
              <w:t>2011</w:t>
            </w:r>
          </w:p>
        </w:tc>
        <w:tc>
          <w:tcPr>
            <w:tcW w:w="1009" w:type="dxa"/>
          </w:tcPr>
          <w:p w:rsidR="00DC30BF" w:rsidRPr="009E351A" w:rsidRDefault="00DC30BF">
            <w:pPr>
              <w:jc w:val="center"/>
              <w:rPr>
                <w:sz w:val="20"/>
              </w:rPr>
            </w:pPr>
            <w:r w:rsidRPr="009E351A">
              <w:rPr>
                <w:sz w:val="20"/>
              </w:rPr>
              <w:t>2012-2013</w:t>
            </w:r>
          </w:p>
        </w:tc>
      </w:tr>
      <w:tr w:rsidR="00DC30BF" w:rsidRPr="009E351A">
        <w:tblPrEx>
          <w:tblCellMar>
            <w:top w:w="0" w:type="dxa"/>
            <w:bottom w:w="0" w:type="dxa"/>
          </w:tblCellMar>
        </w:tblPrEx>
        <w:trPr>
          <w:cantSplit/>
          <w:trHeight w:val="684"/>
          <w:jc w:val="right"/>
        </w:trPr>
        <w:tc>
          <w:tcPr>
            <w:tcW w:w="2697" w:type="dxa"/>
            <w:vAlign w:val="center"/>
          </w:tcPr>
          <w:p w:rsidR="00DC30BF" w:rsidRPr="009E351A" w:rsidRDefault="00DC30BF">
            <w:pPr>
              <w:rPr>
                <w:sz w:val="20"/>
              </w:rPr>
            </w:pPr>
            <w:r w:rsidRPr="009E351A">
              <w:rPr>
                <w:sz w:val="20"/>
              </w:rPr>
              <w:t>Officials and temporary staff (XX 01 01)</w:t>
            </w:r>
          </w:p>
        </w:tc>
        <w:tc>
          <w:tcPr>
            <w:tcW w:w="1008" w:type="dxa"/>
            <w:vAlign w:val="center"/>
          </w:tcPr>
          <w:p w:rsidR="00DC30BF" w:rsidRPr="009E351A" w:rsidRDefault="00DC30BF">
            <w:pPr>
              <w:jc w:val="right"/>
              <w:rPr>
                <w:sz w:val="20"/>
              </w:rPr>
            </w:pPr>
            <w:r w:rsidRPr="009E351A">
              <w:rPr>
                <w:sz w:val="20"/>
              </w:rPr>
              <w:t>0.756</w:t>
            </w:r>
          </w:p>
        </w:tc>
        <w:tc>
          <w:tcPr>
            <w:tcW w:w="1009" w:type="dxa"/>
            <w:vAlign w:val="center"/>
          </w:tcPr>
          <w:p w:rsidR="00DC30BF" w:rsidRPr="009E351A" w:rsidRDefault="00DC30BF">
            <w:pPr>
              <w:jc w:val="right"/>
              <w:rPr>
                <w:sz w:val="20"/>
              </w:rPr>
            </w:pPr>
            <w:r w:rsidRPr="009E351A">
              <w:rPr>
                <w:sz w:val="20"/>
              </w:rPr>
              <w:t>0.756</w:t>
            </w:r>
          </w:p>
        </w:tc>
        <w:tc>
          <w:tcPr>
            <w:tcW w:w="1008" w:type="dxa"/>
            <w:vAlign w:val="center"/>
          </w:tcPr>
          <w:p w:rsidR="00DC30BF" w:rsidRPr="009E351A" w:rsidRDefault="00DC30BF">
            <w:pPr>
              <w:jc w:val="right"/>
              <w:rPr>
                <w:sz w:val="20"/>
              </w:rPr>
            </w:pPr>
            <w:r w:rsidRPr="009E351A">
              <w:rPr>
                <w:sz w:val="20"/>
              </w:rPr>
              <w:t>0.756</w:t>
            </w:r>
          </w:p>
        </w:tc>
        <w:tc>
          <w:tcPr>
            <w:tcW w:w="1009" w:type="dxa"/>
            <w:vAlign w:val="center"/>
          </w:tcPr>
          <w:p w:rsidR="00DC30BF" w:rsidRPr="009E351A" w:rsidRDefault="00DC30BF">
            <w:pPr>
              <w:jc w:val="right"/>
              <w:rPr>
                <w:sz w:val="20"/>
              </w:rPr>
            </w:pPr>
            <w:r w:rsidRPr="009E351A">
              <w:rPr>
                <w:sz w:val="20"/>
              </w:rPr>
              <w:t>0.756</w:t>
            </w:r>
          </w:p>
        </w:tc>
        <w:tc>
          <w:tcPr>
            <w:tcW w:w="1008" w:type="dxa"/>
            <w:vAlign w:val="center"/>
          </w:tcPr>
          <w:p w:rsidR="00DC30BF" w:rsidRPr="009E351A" w:rsidRDefault="00DC30BF">
            <w:pPr>
              <w:jc w:val="right"/>
              <w:rPr>
                <w:sz w:val="20"/>
              </w:rPr>
            </w:pPr>
            <w:r w:rsidRPr="009E351A">
              <w:rPr>
                <w:sz w:val="20"/>
              </w:rPr>
              <w:t>0.756</w:t>
            </w:r>
          </w:p>
        </w:tc>
        <w:tc>
          <w:tcPr>
            <w:tcW w:w="1009" w:type="dxa"/>
            <w:vAlign w:val="center"/>
          </w:tcPr>
          <w:p w:rsidR="00DC30BF" w:rsidRPr="009E351A" w:rsidRDefault="00DC30BF">
            <w:pPr>
              <w:jc w:val="right"/>
              <w:rPr>
                <w:sz w:val="20"/>
              </w:rPr>
            </w:pPr>
            <w:r w:rsidRPr="009E351A">
              <w:rPr>
                <w:sz w:val="20"/>
              </w:rPr>
              <w:t>1.512</w:t>
            </w:r>
          </w:p>
        </w:tc>
      </w:tr>
      <w:tr w:rsidR="00DC30BF" w:rsidRPr="009E351A">
        <w:tblPrEx>
          <w:tblCellMar>
            <w:top w:w="0" w:type="dxa"/>
            <w:bottom w:w="0" w:type="dxa"/>
          </w:tblCellMar>
        </w:tblPrEx>
        <w:trPr>
          <w:cantSplit/>
          <w:trHeight w:val="684"/>
          <w:jc w:val="right"/>
        </w:trPr>
        <w:tc>
          <w:tcPr>
            <w:tcW w:w="2697" w:type="dxa"/>
            <w:vAlign w:val="center"/>
          </w:tcPr>
          <w:p w:rsidR="00DC30BF" w:rsidRPr="009E351A" w:rsidRDefault="00DC30BF">
            <w:pPr>
              <w:rPr>
                <w:sz w:val="20"/>
              </w:rPr>
            </w:pPr>
            <w:r w:rsidRPr="009E351A">
              <w:rPr>
                <w:sz w:val="20"/>
              </w:rPr>
              <w:t>Staff financed by Art XX 01 02 (auxiliary, END, contract staff, etc.)</w:t>
            </w:r>
          </w:p>
          <w:p w:rsidR="00DC30BF" w:rsidRPr="009E351A" w:rsidRDefault="00DC30BF">
            <w:pPr>
              <w:jc w:val="right"/>
              <w:rPr>
                <w:sz w:val="20"/>
              </w:rPr>
            </w:pPr>
            <w:r w:rsidRPr="009E351A">
              <w:rPr>
                <w:sz w:val="20"/>
              </w:rPr>
              <w:t>(specify budget line)</w:t>
            </w:r>
          </w:p>
        </w:tc>
        <w:tc>
          <w:tcPr>
            <w:tcW w:w="1008" w:type="dxa"/>
            <w:vAlign w:val="center"/>
          </w:tcPr>
          <w:p w:rsidR="00DC30BF" w:rsidRPr="009E351A" w:rsidRDefault="00DC30BF">
            <w:pPr>
              <w:jc w:val="center"/>
              <w:rPr>
                <w:sz w:val="20"/>
              </w:rPr>
            </w:pPr>
            <w:r w:rsidRPr="009E351A">
              <w:rPr>
                <w:sz w:val="20"/>
              </w:rPr>
              <w:t>-</w:t>
            </w:r>
          </w:p>
        </w:tc>
        <w:tc>
          <w:tcPr>
            <w:tcW w:w="1009" w:type="dxa"/>
            <w:vAlign w:val="center"/>
          </w:tcPr>
          <w:p w:rsidR="00DC30BF" w:rsidRPr="009E351A" w:rsidRDefault="00DC30BF">
            <w:pPr>
              <w:jc w:val="center"/>
              <w:rPr>
                <w:sz w:val="20"/>
              </w:rPr>
            </w:pPr>
            <w:r w:rsidRPr="009E351A">
              <w:rPr>
                <w:sz w:val="20"/>
              </w:rPr>
              <w:t>-</w:t>
            </w:r>
          </w:p>
        </w:tc>
        <w:tc>
          <w:tcPr>
            <w:tcW w:w="1008" w:type="dxa"/>
            <w:vAlign w:val="center"/>
          </w:tcPr>
          <w:p w:rsidR="00DC30BF" w:rsidRPr="009E351A" w:rsidRDefault="00DC30BF">
            <w:pPr>
              <w:jc w:val="center"/>
              <w:rPr>
                <w:sz w:val="20"/>
              </w:rPr>
            </w:pPr>
            <w:r w:rsidRPr="009E351A">
              <w:rPr>
                <w:sz w:val="20"/>
              </w:rPr>
              <w:t>-</w:t>
            </w:r>
          </w:p>
        </w:tc>
        <w:tc>
          <w:tcPr>
            <w:tcW w:w="1009" w:type="dxa"/>
            <w:vAlign w:val="center"/>
          </w:tcPr>
          <w:p w:rsidR="00DC30BF" w:rsidRPr="009E351A" w:rsidRDefault="00DC30BF">
            <w:pPr>
              <w:jc w:val="center"/>
              <w:rPr>
                <w:sz w:val="20"/>
              </w:rPr>
            </w:pPr>
            <w:r w:rsidRPr="009E351A">
              <w:rPr>
                <w:sz w:val="20"/>
              </w:rPr>
              <w:t>-</w:t>
            </w:r>
          </w:p>
        </w:tc>
        <w:tc>
          <w:tcPr>
            <w:tcW w:w="1008" w:type="dxa"/>
            <w:vAlign w:val="center"/>
          </w:tcPr>
          <w:p w:rsidR="00DC30BF" w:rsidRPr="009E351A" w:rsidRDefault="00DC30BF">
            <w:pPr>
              <w:jc w:val="center"/>
              <w:rPr>
                <w:sz w:val="20"/>
              </w:rPr>
            </w:pPr>
            <w:r w:rsidRPr="009E351A">
              <w:rPr>
                <w:sz w:val="20"/>
              </w:rPr>
              <w:t>-</w:t>
            </w:r>
          </w:p>
        </w:tc>
        <w:tc>
          <w:tcPr>
            <w:tcW w:w="1009" w:type="dxa"/>
            <w:vAlign w:val="center"/>
          </w:tcPr>
          <w:p w:rsidR="00DC30BF" w:rsidRPr="009E351A" w:rsidRDefault="00DC30BF">
            <w:pPr>
              <w:jc w:val="center"/>
              <w:rPr>
                <w:sz w:val="20"/>
              </w:rPr>
            </w:pPr>
            <w:r w:rsidRPr="009E351A">
              <w:rPr>
                <w:sz w:val="20"/>
              </w:rPr>
              <w:t>-</w:t>
            </w:r>
          </w:p>
        </w:tc>
      </w:tr>
      <w:tr w:rsidR="00DC30BF" w:rsidRPr="009E351A">
        <w:tblPrEx>
          <w:tblCellMar>
            <w:top w:w="0" w:type="dxa"/>
            <w:bottom w:w="0" w:type="dxa"/>
          </w:tblCellMar>
        </w:tblPrEx>
        <w:trPr>
          <w:cantSplit/>
          <w:trHeight w:val="303"/>
          <w:jc w:val="right"/>
        </w:trPr>
        <w:tc>
          <w:tcPr>
            <w:tcW w:w="2697" w:type="dxa"/>
            <w:vAlign w:val="center"/>
          </w:tcPr>
          <w:p w:rsidR="00DC30BF" w:rsidRPr="009E351A" w:rsidRDefault="00DC30BF">
            <w:pPr>
              <w:rPr>
                <w:b/>
                <w:sz w:val="20"/>
              </w:rPr>
            </w:pPr>
            <w:r w:rsidRPr="009E351A">
              <w:rPr>
                <w:b/>
                <w:sz w:val="20"/>
              </w:rPr>
              <w:t>Total cost of Human Resources and associated costs (NOT in reference amount)</w:t>
            </w:r>
          </w:p>
        </w:tc>
        <w:tc>
          <w:tcPr>
            <w:tcW w:w="1008" w:type="dxa"/>
            <w:vAlign w:val="center"/>
          </w:tcPr>
          <w:p w:rsidR="00DC30BF" w:rsidRPr="009E351A" w:rsidRDefault="00DC30BF">
            <w:pPr>
              <w:jc w:val="right"/>
              <w:rPr>
                <w:sz w:val="20"/>
              </w:rPr>
            </w:pPr>
            <w:r w:rsidRPr="009E351A">
              <w:rPr>
                <w:sz w:val="20"/>
              </w:rPr>
              <w:t>0.756</w:t>
            </w:r>
          </w:p>
        </w:tc>
        <w:tc>
          <w:tcPr>
            <w:tcW w:w="1009" w:type="dxa"/>
            <w:vAlign w:val="center"/>
          </w:tcPr>
          <w:p w:rsidR="00DC30BF" w:rsidRPr="009E351A" w:rsidRDefault="00DC30BF">
            <w:pPr>
              <w:jc w:val="right"/>
              <w:rPr>
                <w:sz w:val="20"/>
              </w:rPr>
            </w:pPr>
            <w:r w:rsidRPr="009E351A">
              <w:rPr>
                <w:sz w:val="20"/>
              </w:rPr>
              <w:t>0.756</w:t>
            </w:r>
          </w:p>
        </w:tc>
        <w:tc>
          <w:tcPr>
            <w:tcW w:w="1008" w:type="dxa"/>
            <w:vAlign w:val="center"/>
          </w:tcPr>
          <w:p w:rsidR="00DC30BF" w:rsidRPr="009E351A" w:rsidRDefault="00DC30BF">
            <w:pPr>
              <w:jc w:val="right"/>
              <w:rPr>
                <w:sz w:val="20"/>
              </w:rPr>
            </w:pPr>
            <w:r w:rsidRPr="009E351A">
              <w:rPr>
                <w:sz w:val="20"/>
              </w:rPr>
              <w:t>0.756</w:t>
            </w:r>
          </w:p>
        </w:tc>
        <w:tc>
          <w:tcPr>
            <w:tcW w:w="1009" w:type="dxa"/>
            <w:vAlign w:val="center"/>
          </w:tcPr>
          <w:p w:rsidR="00DC30BF" w:rsidRPr="009E351A" w:rsidRDefault="00DC30BF">
            <w:pPr>
              <w:jc w:val="right"/>
              <w:rPr>
                <w:sz w:val="20"/>
              </w:rPr>
            </w:pPr>
            <w:r w:rsidRPr="009E351A">
              <w:rPr>
                <w:sz w:val="20"/>
              </w:rPr>
              <w:t>0.756</w:t>
            </w:r>
          </w:p>
        </w:tc>
        <w:tc>
          <w:tcPr>
            <w:tcW w:w="1008" w:type="dxa"/>
            <w:vAlign w:val="center"/>
          </w:tcPr>
          <w:p w:rsidR="00DC30BF" w:rsidRPr="009E351A" w:rsidRDefault="00DC30BF">
            <w:pPr>
              <w:jc w:val="right"/>
              <w:rPr>
                <w:sz w:val="20"/>
              </w:rPr>
            </w:pPr>
            <w:r w:rsidRPr="009E351A">
              <w:rPr>
                <w:sz w:val="20"/>
              </w:rPr>
              <w:t>0.756</w:t>
            </w:r>
          </w:p>
        </w:tc>
        <w:tc>
          <w:tcPr>
            <w:tcW w:w="1009" w:type="dxa"/>
            <w:vAlign w:val="center"/>
          </w:tcPr>
          <w:p w:rsidR="00DC30BF" w:rsidRPr="009E351A" w:rsidRDefault="00DC30BF">
            <w:pPr>
              <w:jc w:val="right"/>
              <w:rPr>
                <w:sz w:val="20"/>
              </w:rPr>
            </w:pPr>
            <w:r w:rsidRPr="009E351A">
              <w:rPr>
                <w:sz w:val="20"/>
              </w:rPr>
              <w:t>1.512</w:t>
            </w:r>
          </w:p>
        </w:tc>
      </w:tr>
    </w:tbl>
    <w:p w:rsidR="00DC30BF" w:rsidRPr="009E351A" w:rsidRDefault="00DC30BF" w:rsidP="00C93605">
      <w:pPr>
        <w:pStyle w:val="Text1"/>
        <w:pageBreakBefore/>
        <w:ind w:left="851"/>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8"/>
        <w:gridCol w:w="703"/>
        <w:gridCol w:w="703"/>
        <w:gridCol w:w="703"/>
        <w:gridCol w:w="703"/>
        <w:gridCol w:w="703"/>
        <w:gridCol w:w="703"/>
        <w:gridCol w:w="907"/>
      </w:tblGrid>
      <w:tr w:rsidR="00DC30BF" w:rsidRPr="009E351A">
        <w:tblPrEx>
          <w:tblCellMar>
            <w:top w:w="0" w:type="dxa"/>
            <w:bottom w:w="0" w:type="dxa"/>
          </w:tblCellMar>
        </w:tblPrEx>
        <w:trPr>
          <w:trHeight w:val="420"/>
          <w:jc w:val="right"/>
        </w:trPr>
        <w:tc>
          <w:tcPr>
            <w:tcW w:w="8703" w:type="dxa"/>
            <w:gridSpan w:val="8"/>
            <w:tcBorders>
              <w:top w:val="nil"/>
              <w:left w:val="nil"/>
              <w:right w:val="nil"/>
            </w:tcBorders>
            <w:vAlign w:val="center"/>
          </w:tcPr>
          <w:p w:rsidR="00DC30BF" w:rsidRPr="009E351A" w:rsidRDefault="00DC30BF">
            <w:pPr>
              <w:rPr>
                <w:sz w:val="20"/>
              </w:rPr>
            </w:pPr>
          </w:p>
          <w:p w:rsidR="00DC30BF" w:rsidRPr="009E351A" w:rsidRDefault="00DC30BF">
            <w:pPr>
              <w:pStyle w:val="ManualHeading3"/>
            </w:pPr>
            <w:r w:rsidRPr="009E351A">
              <w:t xml:space="preserve">8.2.6. Other administrative expenditure </w:t>
            </w:r>
            <w:r w:rsidRPr="009E351A">
              <w:rPr>
                <w:u w:val="single"/>
              </w:rPr>
              <w:t>not</w:t>
            </w:r>
            <w:r w:rsidRPr="009E351A">
              <w:t xml:space="preserve"> included in reference amount</w:t>
            </w:r>
          </w:p>
          <w:p w:rsidR="00DC30BF" w:rsidRPr="009E351A" w:rsidRDefault="00DC30BF">
            <w:pPr>
              <w:pStyle w:val="NormalRight"/>
            </w:pPr>
            <w:r w:rsidRPr="009E351A">
              <w:t>EUR million (to 3 decimal places)</w:t>
            </w:r>
          </w:p>
        </w:tc>
      </w:tr>
      <w:tr w:rsidR="00DC30BF" w:rsidRPr="009E351A">
        <w:tblPrEx>
          <w:tblCellMar>
            <w:top w:w="0" w:type="dxa"/>
            <w:bottom w:w="0" w:type="dxa"/>
          </w:tblCellMar>
        </w:tblPrEx>
        <w:trPr>
          <w:trHeight w:val="420"/>
          <w:jc w:val="right"/>
        </w:trPr>
        <w:tc>
          <w:tcPr>
            <w:tcW w:w="3578" w:type="dxa"/>
            <w:vAlign w:val="center"/>
          </w:tcPr>
          <w:p w:rsidR="00DC30BF" w:rsidRPr="009E351A" w:rsidRDefault="00DC30BF">
            <w:pPr>
              <w:ind w:left="360" w:hanging="360"/>
              <w:rPr>
                <w:b/>
                <w:sz w:val="20"/>
              </w:rPr>
            </w:pPr>
          </w:p>
        </w:tc>
        <w:tc>
          <w:tcPr>
            <w:tcW w:w="703" w:type="dxa"/>
            <w:tcBorders>
              <w:right w:val="single" w:sz="4" w:space="0" w:color="auto"/>
            </w:tcBorders>
            <w:vAlign w:val="center"/>
          </w:tcPr>
          <w:p w:rsidR="00DC30BF" w:rsidRPr="009E351A" w:rsidRDefault="00DC30BF">
            <w:pPr>
              <w:jc w:val="center"/>
              <w:rPr>
                <w:sz w:val="20"/>
              </w:rPr>
            </w:pPr>
            <w:r w:rsidRPr="009E351A">
              <w:rPr>
                <w:sz w:val="20"/>
              </w:rPr>
              <w:t>2007</w:t>
            </w:r>
          </w:p>
        </w:tc>
        <w:tc>
          <w:tcPr>
            <w:tcW w:w="703" w:type="dxa"/>
            <w:tcBorders>
              <w:left w:val="single" w:sz="4" w:space="0" w:color="auto"/>
              <w:right w:val="single" w:sz="4" w:space="0" w:color="auto"/>
            </w:tcBorders>
            <w:vAlign w:val="center"/>
          </w:tcPr>
          <w:p w:rsidR="00DC30BF" w:rsidRPr="009E351A" w:rsidRDefault="00DC30BF">
            <w:pPr>
              <w:jc w:val="center"/>
              <w:rPr>
                <w:sz w:val="20"/>
              </w:rPr>
            </w:pPr>
            <w:r w:rsidRPr="009E351A">
              <w:rPr>
                <w:sz w:val="20"/>
              </w:rPr>
              <w:t>2008</w:t>
            </w:r>
          </w:p>
        </w:tc>
        <w:tc>
          <w:tcPr>
            <w:tcW w:w="703" w:type="dxa"/>
            <w:tcBorders>
              <w:left w:val="single" w:sz="4" w:space="0" w:color="auto"/>
              <w:right w:val="single" w:sz="4" w:space="0" w:color="auto"/>
            </w:tcBorders>
            <w:vAlign w:val="center"/>
          </w:tcPr>
          <w:p w:rsidR="00DC30BF" w:rsidRPr="009E351A" w:rsidRDefault="00DC30BF">
            <w:pPr>
              <w:jc w:val="center"/>
              <w:rPr>
                <w:sz w:val="20"/>
              </w:rPr>
            </w:pPr>
            <w:r w:rsidRPr="009E351A">
              <w:rPr>
                <w:sz w:val="20"/>
              </w:rPr>
              <w:t>2009</w:t>
            </w:r>
          </w:p>
        </w:tc>
        <w:tc>
          <w:tcPr>
            <w:tcW w:w="703" w:type="dxa"/>
            <w:tcBorders>
              <w:left w:val="single" w:sz="4" w:space="0" w:color="auto"/>
              <w:right w:val="single" w:sz="4" w:space="0" w:color="auto"/>
            </w:tcBorders>
            <w:vAlign w:val="center"/>
          </w:tcPr>
          <w:p w:rsidR="00DC30BF" w:rsidRPr="009E351A" w:rsidRDefault="00DC30BF">
            <w:pPr>
              <w:jc w:val="center"/>
              <w:rPr>
                <w:sz w:val="20"/>
              </w:rPr>
            </w:pPr>
            <w:r w:rsidRPr="009E351A">
              <w:rPr>
                <w:sz w:val="20"/>
              </w:rPr>
              <w:t>2010</w:t>
            </w:r>
          </w:p>
        </w:tc>
        <w:tc>
          <w:tcPr>
            <w:tcW w:w="703" w:type="dxa"/>
            <w:tcBorders>
              <w:left w:val="single" w:sz="4" w:space="0" w:color="auto"/>
              <w:right w:val="single" w:sz="4" w:space="0" w:color="auto"/>
            </w:tcBorders>
            <w:vAlign w:val="center"/>
          </w:tcPr>
          <w:p w:rsidR="00DC30BF" w:rsidRPr="009E351A" w:rsidRDefault="00DC30BF">
            <w:pPr>
              <w:jc w:val="center"/>
              <w:rPr>
                <w:sz w:val="20"/>
              </w:rPr>
            </w:pPr>
            <w:r w:rsidRPr="009E351A">
              <w:rPr>
                <w:sz w:val="20"/>
              </w:rPr>
              <w:t>2011</w:t>
            </w:r>
          </w:p>
        </w:tc>
        <w:tc>
          <w:tcPr>
            <w:tcW w:w="703" w:type="dxa"/>
            <w:tcBorders>
              <w:left w:val="single" w:sz="4" w:space="0" w:color="auto"/>
              <w:right w:val="single" w:sz="4" w:space="0" w:color="auto"/>
            </w:tcBorders>
          </w:tcPr>
          <w:p w:rsidR="00DC30BF" w:rsidRPr="009E351A" w:rsidRDefault="00DC30BF">
            <w:pPr>
              <w:jc w:val="center"/>
              <w:rPr>
                <w:sz w:val="20"/>
              </w:rPr>
            </w:pPr>
            <w:r w:rsidRPr="009E351A">
              <w:rPr>
                <w:sz w:val="20"/>
              </w:rPr>
              <w:t>2012-2013</w:t>
            </w:r>
          </w:p>
        </w:tc>
        <w:tc>
          <w:tcPr>
            <w:tcW w:w="907" w:type="dxa"/>
            <w:tcBorders>
              <w:left w:val="single" w:sz="4" w:space="0" w:color="auto"/>
            </w:tcBorders>
            <w:vAlign w:val="center"/>
          </w:tcPr>
          <w:p w:rsidR="00DC30BF" w:rsidRPr="009E351A" w:rsidRDefault="00DC30BF">
            <w:pPr>
              <w:jc w:val="center"/>
              <w:rPr>
                <w:sz w:val="20"/>
              </w:rPr>
            </w:pPr>
            <w:r w:rsidRPr="009E351A">
              <w:rPr>
                <w:sz w:val="20"/>
              </w:rPr>
              <w:t>TOTAL</w:t>
            </w:r>
          </w:p>
        </w:tc>
      </w:tr>
      <w:tr w:rsidR="00DC30BF" w:rsidRPr="009E351A">
        <w:tblPrEx>
          <w:tblCellMar>
            <w:top w:w="0" w:type="dxa"/>
            <w:bottom w:w="0" w:type="dxa"/>
          </w:tblCellMar>
        </w:tblPrEx>
        <w:trPr>
          <w:trHeight w:val="455"/>
          <w:jc w:val="right"/>
        </w:trPr>
        <w:tc>
          <w:tcPr>
            <w:tcW w:w="3578" w:type="dxa"/>
            <w:vAlign w:val="center"/>
          </w:tcPr>
          <w:p w:rsidR="00DC30BF" w:rsidRPr="009E351A" w:rsidRDefault="00DC30BF">
            <w:pPr>
              <w:rPr>
                <w:sz w:val="18"/>
              </w:rPr>
            </w:pPr>
            <w:r w:rsidRPr="009E351A">
              <w:rPr>
                <w:sz w:val="18"/>
              </w:rPr>
              <w:t>XX 01 02 11 01 – Missions</w:t>
            </w:r>
          </w:p>
        </w:tc>
        <w:tc>
          <w:tcPr>
            <w:tcW w:w="703" w:type="dxa"/>
            <w:vAlign w:val="center"/>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907" w:type="dxa"/>
            <w:vAlign w:val="center"/>
          </w:tcPr>
          <w:p w:rsidR="00DC30BF" w:rsidRPr="009E351A" w:rsidRDefault="00DC30BF">
            <w:pPr>
              <w:rPr>
                <w:sz w:val="20"/>
              </w:rPr>
            </w:pPr>
          </w:p>
        </w:tc>
      </w:tr>
      <w:tr w:rsidR="00DC30BF" w:rsidRPr="009E351A">
        <w:tblPrEx>
          <w:tblCellMar>
            <w:top w:w="0" w:type="dxa"/>
            <w:bottom w:w="0" w:type="dxa"/>
          </w:tblCellMar>
        </w:tblPrEx>
        <w:trPr>
          <w:trHeight w:val="454"/>
          <w:jc w:val="right"/>
        </w:trPr>
        <w:tc>
          <w:tcPr>
            <w:tcW w:w="3578" w:type="dxa"/>
            <w:vAlign w:val="center"/>
          </w:tcPr>
          <w:p w:rsidR="00DC30BF" w:rsidRPr="009E351A" w:rsidRDefault="00DC30BF">
            <w:pPr>
              <w:rPr>
                <w:sz w:val="18"/>
              </w:rPr>
            </w:pPr>
            <w:r w:rsidRPr="009E351A">
              <w:rPr>
                <w:sz w:val="18"/>
              </w:rPr>
              <w:t>XX 01 02 11 02 – Meetings &amp; Conferences</w:t>
            </w: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907" w:type="dxa"/>
          </w:tcPr>
          <w:p w:rsidR="00DC30BF" w:rsidRPr="009E351A" w:rsidRDefault="00DC30BF">
            <w:pPr>
              <w:rPr>
                <w:sz w:val="20"/>
              </w:rPr>
            </w:pPr>
          </w:p>
        </w:tc>
      </w:tr>
      <w:tr w:rsidR="00DC30BF" w:rsidRPr="009E351A">
        <w:tblPrEx>
          <w:tblCellMar>
            <w:top w:w="0" w:type="dxa"/>
            <w:bottom w:w="0" w:type="dxa"/>
          </w:tblCellMar>
        </w:tblPrEx>
        <w:trPr>
          <w:trHeight w:val="454"/>
          <w:jc w:val="right"/>
        </w:trPr>
        <w:tc>
          <w:tcPr>
            <w:tcW w:w="3578" w:type="dxa"/>
            <w:vAlign w:val="center"/>
          </w:tcPr>
          <w:p w:rsidR="00DC30BF" w:rsidRPr="009E351A" w:rsidRDefault="00DC30BF">
            <w:pPr>
              <w:rPr>
                <w:sz w:val="18"/>
              </w:rPr>
            </w:pPr>
            <w:r w:rsidRPr="009E351A">
              <w:rPr>
                <w:sz w:val="18"/>
              </w:rPr>
              <w:t>XX 01 02 11 03 – Committees</w:t>
            </w:r>
            <w:r w:rsidRPr="009E351A">
              <w:rPr>
                <w:rStyle w:val="Fotnotsreferens"/>
                <w:sz w:val="18"/>
              </w:rPr>
              <w:footnoteReference w:id="28"/>
            </w:r>
            <w:r w:rsidRPr="009E351A">
              <w:rPr>
                <w:sz w:val="18"/>
              </w:rPr>
              <w:t xml:space="preserve"> </w:t>
            </w: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907" w:type="dxa"/>
          </w:tcPr>
          <w:p w:rsidR="00DC30BF" w:rsidRPr="009E351A" w:rsidRDefault="00DC30BF">
            <w:pPr>
              <w:rPr>
                <w:sz w:val="20"/>
              </w:rPr>
            </w:pPr>
          </w:p>
        </w:tc>
      </w:tr>
      <w:tr w:rsidR="00DC30BF" w:rsidRPr="009E351A">
        <w:tblPrEx>
          <w:tblCellMar>
            <w:top w:w="0" w:type="dxa"/>
            <w:bottom w:w="0" w:type="dxa"/>
          </w:tblCellMar>
        </w:tblPrEx>
        <w:trPr>
          <w:trHeight w:val="454"/>
          <w:jc w:val="right"/>
        </w:trPr>
        <w:tc>
          <w:tcPr>
            <w:tcW w:w="3578" w:type="dxa"/>
            <w:vAlign w:val="center"/>
          </w:tcPr>
          <w:p w:rsidR="00DC30BF" w:rsidRPr="009E351A" w:rsidRDefault="00DC30BF">
            <w:pPr>
              <w:rPr>
                <w:sz w:val="18"/>
              </w:rPr>
            </w:pPr>
            <w:r w:rsidRPr="009E351A">
              <w:rPr>
                <w:sz w:val="18"/>
              </w:rPr>
              <w:t>XX 01 02 11 04 – Studies &amp; consultations</w:t>
            </w: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907" w:type="dxa"/>
          </w:tcPr>
          <w:p w:rsidR="00DC30BF" w:rsidRPr="009E351A" w:rsidRDefault="00DC30BF">
            <w:pPr>
              <w:rPr>
                <w:sz w:val="20"/>
              </w:rPr>
            </w:pPr>
          </w:p>
        </w:tc>
      </w:tr>
      <w:tr w:rsidR="00DC30BF" w:rsidRPr="009E351A">
        <w:tblPrEx>
          <w:tblCellMar>
            <w:top w:w="0" w:type="dxa"/>
            <w:bottom w:w="0" w:type="dxa"/>
          </w:tblCellMar>
        </w:tblPrEx>
        <w:trPr>
          <w:trHeight w:val="435"/>
          <w:jc w:val="right"/>
        </w:trPr>
        <w:tc>
          <w:tcPr>
            <w:tcW w:w="3578" w:type="dxa"/>
            <w:vAlign w:val="center"/>
          </w:tcPr>
          <w:p w:rsidR="00DC30BF" w:rsidRPr="009E351A" w:rsidRDefault="00DC30BF">
            <w:pPr>
              <w:rPr>
                <w:sz w:val="18"/>
              </w:rPr>
            </w:pPr>
            <w:r w:rsidRPr="009E351A">
              <w:rPr>
                <w:sz w:val="18"/>
              </w:rPr>
              <w:t>XX 01 02 11 05 - Information systems</w:t>
            </w: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907" w:type="dxa"/>
          </w:tcPr>
          <w:p w:rsidR="00DC30BF" w:rsidRPr="009E351A" w:rsidRDefault="00DC30BF">
            <w:pPr>
              <w:rPr>
                <w:sz w:val="20"/>
              </w:rPr>
            </w:pPr>
          </w:p>
        </w:tc>
      </w:tr>
      <w:tr w:rsidR="00DC30BF" w:rsidRPr="009E351A">
        <w:tblPrEx>
          <w:tblCellMar>
            <w:top w:w="0" w:type="dxa"/>
            <w:bottom w:w="0" w:type="dxa"/>
          </w:tblCellMar>
        </w:tblPrEx>
        <w:trPr>
          <w:trHeight w:val="426"/>
          <w:jc w:val="right"/>
        </w:trPr>
        <w:tc>
          <w:tcPr>
            <w:tcW w:w="3578" w:type="dxa"/>
            <w:vAlign w:val="center"/>
          </w:tcPr>
          <w:p w:rsidR="00DC30BF" w:rsidRPr="009E351A" w:rsidRDefault="00DC30BF">
            <w:pPr>
              <w:ind w:left="360" w:hanging="360"/>
              <w:rPr>
                <w:b/>
                <w:sz w:val="20"/>
              </w:rPr>
            </w:pPr>
            <w:r w:rsidRPr="009E351A">
              <w:rPr>
                <w:b/>
                <w:sz w:val="20"/>
              </w:rPr>
              <w:t>2 Total Other Management Expenditure (XX 01 02 11)</w:t>
            </w: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907" w:type="dxa"/>
          </w:tcPr>
          <w:p w:rsidR="00DC30BF" w:rsidRPr="009E351A" w:rsidRDefault="00DC30BF">
            <w:pPr>
              <w:rPr>
                <w:sz w:val="20"/>
              </w:rPr>
            </w:pPr>
          </w:p>
        </w:tc>
      </w:tr>
      <w:tr w:rsidR="00DC30BF" w:rsidRPr="009E351A">
        <w:tblPrEx>
          <w:tblCellMar>
            <w:top w:w="0" w:type="dxa"/>
            <w:bottom w:w="0" w:type="dxa"/>
          </w:tblCellMar>
        </w:tblPrEx>
        <w:trPr>
          <w:trHeight w:val="426"/>
          <w:jc w:val="right"/>
        </w:trPr>
        <w:tc>
          <w:tcPr>
            <w:tcW w:w="3578" w:type="dxa"/>
            <w:vAlign w:val="center"/>
          </w:tcPr>
          <w:p w:rsidR="00DC30BF" w:rsidRPr="009E351A" w:rsidRDefault="00DC30BF">
            <w:pPr>
              <w:ind w:left="360" w:hanging="360"/>
              <w:rPr>
                <w:sz w:val="20"/>
              </w:rPr>
            </w:pPr>
            <w:r w:rsidRPr="009E351A">
              <w:rPr>
                <w:b/>
                <w:sz w:val="20"/>
              </w:rPr>
              <w:t xml:space="preserve">3 Other expenditure of an administrative nature </w:t>
            </w:r>
            <w:r w:rsidRPr="009E351A">
              <w:rPr>
                <w:sz w:val="18"/>
              </w:rPr>
              <w:t>(specify including reference to budget line)</w:t>
            </w: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703" w:type="dxa"/>
          </w:tcPr>
          <w:p w:rsidR="00DC30BF" w:rsidRPr="009E351A" w:rsidRDefault="00DC30BF">
            <w:pPr>
              <w:rPr>
                <w:sz w:val="20"/>
              </w:rPr>
            </w:pPr>
          </w:p>
        </w:tc>
        <w:tc>
          <w:tcPr>
            <w:tcW w:w="907" w:type="dxa"/>
          </w:tcPr>
          <w:p w:rsidR="00DC30BF" w:rsidRPr="009E351A" w:rsidRDefault="00DC30BF">
            <w:pPr>
              <w:rPr>
                <w:sz w:val="20"/>
              </w:rPr>
            </w:pPr>
          </w:p>
        </w:tc>
      </w:tr>
      <w:tr w:rsidR="00DC30BF" w:rsidRPr="009E351A">
        <w:tblPrEx>
          <w:tblCellMar>
            <w:top w:w="0" w:type="dxa"/>
            <w:bottom w:w="0" w:type="dxa"/>
          </w:tblCellMar>
        </w:tblPrEx>
        <w:trPr>
          <w:trHeight w:val="473"/>
          <w:jc w:val="right"/>
        </w:trPr>
        <w:tc>
          <w:tcPr>
            <w:tcW w:w="3578" w:type="dxa"/>
            <w:vAlign w:val="center"/>
          </w:tcPr>
          <w:p w:rsidR="00DC30BF" w:rsidRPr="009E351A" w:rsidRDefault="00DC30BF">
            <w:pPr>
              <w:rPr>
                <w:b/>
                <w:sz w:val="20"/>
              </w:rPr>
            </w:pPr>
            <w:r w:rsidRPr="009E351A">
              <w:rPr>
                <w:b/>
                <w:sz w:val="20"/>
              </w:rPr>
              <w:t>Total Administrative expenditure, other than human resources and associated costs (NOT included in reference amount)</w:t>
            </w:r>
          </w:p>
        </w:tc>
        <w:tc>
          <w:tcPr>
            <w:tcW w:w="703" w:type="dxa"/>
            <w:vAlign w:val="center"/>
          </w:tcPr>
          <w:p w:rsidR="00DC30BF" w:rsidRPr="009E351A" w:rsidRDefault="00DC30BF">
            <w:pPr>
              <w:jc w:val="center"/>
              <w:rPr>
                <w:sz w:val="20"/>
              </w:rPr>
            </w:pPr>
            <w:r w:rsidRPr="009E351A">
              <w:rPr>
                <w:sz w:val="20"/>
              </w:rPr>
              <w:t>-</w:t>
            </w:r>
          </w:p>
        </w:tc>
        <w:tc>
          <w:tcPr>
            <w:tcW w:w="703" w:type="dxa"/>
            <w:vAlign w:val="center"/>
          </w:tcPr>
          <w:p w:rsidR="00DC30BF" w:rsidRPr="009E351A" w:rsidRDefault="00DC30BF">
            <w:pPr>
              <w:jc w:val="center"/>
              <w:rPr>
                <w:sz w:val="20"/>
              </w:rPr>
            </w:pPr>
            <w:r w:rsidRPr="009E351A">
              <w:rPr>
                <w:sz w:val="20"/>
              </w:rPr>
              <w:t>-</w:t>
            </w:r>
          </w:p>
        </w:tc>
        <w:tc>
          <w:tcPr>
            <w:tcW w:w="703" w:type="dxa"/>
            <w:vAlign w:val="center"/>
          </w:tcPr>
          <w:p w:rsidR="00DC30BF" w:rsidRPr="009E351A" w:rsidRDefault="00DC30BF">
            <w:pPr>
              <w:jc w:val="center"/>
              <w:rPr>
                <w:sz w:val="20"/>
              </w:rPr>
            </w:pPr>
            <w:r w:rsidRPr="009E351A">
              <w:rPr>
                <w:sz w:val="20"/>
              </w:rPr>
              <w:t>-</w:t>
            </w:r>
          </w:p>
        </w:tc>
        <w:tc>
          <w:tcPr>
            <w:tcW w:w="703" w:type="dxa"/>
            <w:vAlign w:val="center"/>
          </w:tcPr>
          <w:p w:rsidR="00DC30BF" w:rsidRPr="009E351A" w:rsidRDefault="00DC30BF">
            <w:pPr>
              <w:jc w:val="center"/>
              <w:rPr>
                <w:sz w:val="20"/>
              </w:rPr>
            </w:pPr>
            <w:r w:rsidRPr="009E351A">
              <w:rPr>
                <w:sz w:val="20"/>
              </w:rPr>
              <w:t>-</w:t>
            </w:r>
          </w:p>
        </w:tc>
        <w:tc>
          <w:tcPr>
            <w:tcW w:w="703" w:type="dxa"/>
            <w:vAlign w:val="center"/>
          </w:tcPr>
          <w:p w:rsidR="00DC30BF" w:rsidRPr="009E351A" w:rsidRDefault="00DC30BF">
            <w:pPr>
              <w:jc w:val="center"/>
              <w:rPr>
                <w:sz w:val="20"/>
              </w:rPr>
            </w:pPr>
            <w:r w:rsidRPr="009E351A">
              <w:rPr>
                <w:sz w:val="20"/>
              </w:rPr>
              <w:t>-</w:t>
            </w:r>
          </w:p>
        </w:tc>
        <w:tc>
          <w:tcPr>
            <w:tcW w:w="703" w:type="dxa"/>
            <w:vAlign w:val="center"/>
          </w:tcPr>
          <w:p w:rsidR="00DC30BF" w:rsidRPr="009E351A" w:rsidRDefault="00DC30BF">
            <w:pPr>
              <w:jc w:val="center"/>
              <w:rPr>
                <w:sz w:val="20"/>
              </w:rPr>
            </w:pPr>
            <w:r w:rsidRPr="009E351A">
              <w:rPr>
                <w:sz w:val="20"/>
              </w:rPr>
              <w:t>-</w:t>
            </w:r>
          </w:p>
        </w:tc>
        <w:tc>
          <w:tcPr>
            <w:tcW w:w="907" w:type="dxa"/>
            <w:vAlign w:val="center"/>
          </w:tcPr>
          <w:p w:rsidR="00DC30BF" w:rsidRPr="009E351A" w:rsidRDefault="00DC30BF">
            <w:pPr>
              <w:jc w:val="center"/>
              <w:rPr>
                <w:sz w:val="20"/>
              </w:rPr>
            </w:pPr>
            <w:r w:rsidRPr="009E351A">
              <w:rPr>
                <w:sz w:val="20"/>
              </w:rPr>
              <w:t>-</w:t>
            </w:r>
          </w:p>
        </w:tc>
      </w:tr>
    </w:tbl>
    <w:p w:rsidR="00DC30BF" w:rsidRPr="009E351A" w:rsidRDefault="00DC30BF">
      <w:pPr>
        <w:pStyle w:val="Text1"/>
      </w:pPr>
    </w:p>
    <w:sectPr w:rsidR="00DC30BF" w:rsidRPr="009E351A" w:rsidSect="00B2551F">
      <w:headerReference w:type="default" r:id="rId17"/>
      <w:footerReference w:type="default" r:id="rId18"/>
      <w:headerReference w:type="first" r:id="rId19"/>
      <w:footerReference w:type="first" r:id="rId20"/>
      <w:pgSz w:w="11907" w:h="16840" w:code="9"/>
      <w:pgMar w:top="1134" w:right="1418"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240" w:rsidRPr="009E351A" w:rsidRDefault="00765240">
      <w:r w:rsidRPr="009E351A">
        <w:separator/>
      </w:r>
    </w:p>
  </w:endnote>
  <w:endnote w:type="continuationSeparator" w:id="0">
    <w:p w:rsidR="00765240" w:rsidRPr="009E351A" w:rsidRDefault="00765240">
      <w:r w:rsidRPr="009E35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9E351A" w:rsidRDefault="00B2551F" w:rsidP="00B2551F">
    <w:pPr>
      <w:pStyle w:val="Sidfot"/>
      <w:rPr>
        <w:rFonts w:ascii="Arial" w:hAnsi="Arial" w:cs="Arial"/>
        <w:b/>
        <w:sz w:val="48"/>
      </w:rPr>
    </w:pPr>
    <w:r w:rsidRPr="009E351A">
      <w:rPr>
        <w:rFonts w:ascii="Arial" w:hAnsi="Arial" w:cs="Arial"/>
        <w:b/>
        <w:sz w:val="48"/>
      </w:rPr>
      <w:t>EN</w:t>
    </w:r>
    <w:r w:rsidRPr="009E351A">
      <w:rPr>
        <w:rFonts w:ascii="Arial" w:hAnsi="Arial" w:cs="Arial"/>
        <w:b/>
        <w:sz w:val="48"/>
      </w:rPr>
      <w:tab/>
    </w:r>
    <w:r w:rsidRPr="009E351A">
      <w:rPr>
        <w:rFonts w:ascii="Arial" w:hAnsi="Arial" w:cs="Arial"/>
        <w:b/>
        <w:sz w:val="48"/>
      </w:rPr>
      <w:tab/>
    </w:r>
    <w:fldSimple w:instr=" DOCPROPERTY &quot;Classification&quot; \* MERGEFORMAT " w:fldLock="1">
      <w:r w:rsidRPr="009E351A">
        <w:t xml:space="preserve"> </w:t>
      </w:r>
    </w:fldSimple>
    <w:r w:rsidRPr="009E351A">
      <w:tab/>
    </w:r>
    <w:r w:rsidRPr="009E351A">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9E351A" w:rsidRDefault="00B2551F" w:rsidP="00B2551F">
    <w:pPr>
      <w:pStyle w:val="Sidfot"/>
      <w:rPr>
        <w:rFonts w:ascii="Arial" w:hAnsi="Arial" w:cs="Arial"/>
        <w:b/>
        <w:sz w:val="48"/>
      </w:rPr>
    </w:pPr>
    <w:r w:rsidRPr="009E351A">
      <w:rPr>
        <w:rFonts w:ascii="Arial" w:hAnsi="Arial" w:cs="Arial"/>
        <w:b/>
        <w:sz w:val="48"/>
      </w:rPr>
      <w:t>EN</w:t>
    </w:r>
    <w:r w:rsidRPr="009E351A">
      <w:rPr>
        <w:rFonts w:ascii="Arial" w:hAnsi="Arial" w:cs="Arial"/>
        <w:b/>
        <w:sz w:val="48"/>
      </w:rPr>
      <w:tab/>
    </w:r>
    <w:r w:rsidRPr="009E351A">
      <w:rPr>
        <w:rFonts w:ascii="Arial" w:hAnsi="Arial" w:cs="Arial"/>
        <w:b/>
        <w:sz w:val="48"/>
      </w:rPr>
      <w:tab/>
    </w:r>
    <w:fldSimple w:instr=" DOCPROPERTY &quot;Classification&quot; \* MERGEFORMAT " w:fldLock="1">
      <w:r w:rsidRPr="009E351A">
        <w:t xml:space="preserve"> </w:t>
      </w:r>
    </w:fldSimple>
    <w:r w:rsidRPr="009E351A">
      <w:tab/>
    </w:r>
    <w:r w:rsidRPr="009E351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9E351A" w:rsidRDefault="00B2551F" w:rsidP="00B2551F">
    <w:pPr>
      <w:pStyle w:val="Sidfot"/>
      <w:rPr>
        <w:rFonts w:ascii="Arial" w:hAnsi="Arial" w:cs="Arial"/>
        <w:b/>
        <w:sz w:val="48"/>
      </w:rPr>
    </w:pPr>
    <w:r w:rsidRPr="009E351A">
      <w:rPr>
        <w:rFonts w:ascii="Arial" w:hAnsi="Arial" w:cs="Arial"/>
        <w:b/>
        <w:sz w:val="48"/>
      </w:rPr>
      <w:t>EN</w:t>
    </w:r>
    <w:r w:rsidRPr="009E351A">
      <w:rPr>
        <w:rFonts w:ascii="Arial" w:hAnsi="Arial" w:cs="Arial"/>
        <w:b/>
        <w:sz w:val="48"/>
      </w:rPr>
      <w:tab/>
    </w:r>
    <w:r w:rsidRPr="009E351A">
      <w:fldChar w:fldCharType="begin" w:fldLock="1"/>
    </w:r>
    <w:r w:rsidRPr="009E351A">
      <w:instrText xml:space="preserve"> PAGE  \* MERGEFORMAT </w:instrText>
    </w:r>
    <w:r w:rsidRPr="009E351A">
      <w:fldChar w:fldCharType="separate"/>
    </w:r>
    <w:r w:rsidR="009C5DC0" w:rsidRPr="009E351A">
      <w:t>29</w:t>
    </w:r>
    <w:r w:rsidRPr="009E351A">
      <w:fldChar w:fldCharType="end"/>
    </w:r>
    <w:r w:rsidRPr="009E351A">
      <w:tab/>
    </w:r>
    <w:fldSimple w:instr=" DOCPROPERTY &quot;Classification&quot; \* MERGEFORMAT " w:fldLock="1">
      <w:r w:rsidRPr="009E351A">
        <w:t xml:space="preserve"> </w:t>
      </w:r>
    </w:fldSimple>
    <w:r w:rsidRPr="009E351A">
      <w:tab/>
    </w:r>
    <w:r w:rsidRPr="009E351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9E351A" w:rsidRDefault="00B2551F" w:rsidP="00B2551F">
    <w:pPr>
      <w:pStyle w:val="FooterLandscape"/>
      <w:rPr>
        <w:rFonts w:ascii="Arial" w:hAnsi="Arial" w:cs="Arial"/>
        <w:b/>
        <w:sz w:val="48"/>
      </w:rPr>
    </w:pPr>
    <w:r w:rsidRPr="009E351A">
      <w:rPr>
        <w:rFonts w:ascii="Arial" w:hAnsi="Arial" w:cs="Arial"/>
        <w:b/>
        <w:sz w:val="48"/>
      </w:rPr>
      <w:t>EN</w:t>
    </w:r>
    <w:r w:rsidRPr="009E351A">
      <w:rPr>
        <w:rFonts w:ascii="Arial" w:hAnsi="Arial" w:cs="Arial"/>
        <w:b/>
        <w:sz w:val="48"/>
      </w:rPr>
      <w:tab/>
    </w:r>
    <w:r w:rsidRPr="009E351A">
      <w:fldChar w:fldCharType="begin" w:fldLock="1"/>
    </w:r>
    <w:r w:rsidRPr="009E351A">
      <w:instrText xml:space="preserve"> PAGE  \* MERGEFORMAT </w:instrText>
    </w:r>
    <w:r w:rsidRPr="009E351A">
      <w:fldChar w:fldCharType="separate"/>
    </w:r>
    <w:r w:rsidR="009C5DC0" w:rsidRPr="009E351A">
      <w:t>30</w:t>
    </w:r>
    <w:r w:rsidRPr="009E351A">
      <w:fldChar w:fldCharType="end"/>
    </w:r>
    <w:r w:rsidRPr="009E351A">
      <w:tab/>
    </w:r>
    <w:fldSimple w:instr=" DOCPROPERTY &quot;Classification&quot; \* MERGEFORMAT " w:fldLock="1">
      <w:r w:rsidRPr="009E351A">
        <w:t xml:space="preserve"> </w:t>
      </w:r>
    </w:fldSimple>
    <w:r w:rsidRPr="009E351A">
      <w:tab/>
    </w:r>
    <w:r w:rsidRPr="009E351A">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9E351A" w:rsidRDefault="00B2551F" w:rsidP="00B2551F">
    <w:pPr>
      <w:pStyle w:val="Sidfot"/>
      <w:rPr>
        <w:rFonts w:ascii="Arial" w:hAnsi="Arial" w:cs="Arial"/>
        <w:b/>
        <w:sz w:val="48"/>
      </w:rPr>
    </w:pPr>
    <w:r w:rsidRPr="009E351A">
      <w:rPr>
        <w:rFonts w:ascii="Arial" w:hAnsi="Arial" w:cs="Arial"/>
        <w:b/>
        <w:sz w:val="48"/>
      </w:rPr>
      <w:t>EN</w:t>
    </w:r>
    <w:r w:rsidRPr="009E351A">
      <w:rPr>
        <w:rFonts w:ascii="Arial" w:hAnsi="Arial" w:cs="Arial"/>
        <w:b/>
        <w:sz w:val="48"/>
      </w:rPr>
      <w:tab/>
    </w:r>
    <w:r w:rsidRPr="009E351A">
      <w:fldChar w:fldCharType="begin" w:fldLock="1"/>
    </w:r>
    <w:r w:rsidRPr="009E351A">
      <w:instrText xml:space="preserve"> PAGE  \* MERGEFORMAT </w:instrText>
    </w:r>
    <w:r w:rsidRPr="009E351A">
      <w:fldChar w:fldCharType="separate"/>
    </w:r>
    <w:r w:rsidR="009C5DC0" w:rsidRPr="009E351A">
      <w:t>34</w:t>
    </w:r>
    <w:r w:rsidRPr="009E351A">
      <w:fldChar w:fldCharType="end"/>
    </w:r>
    <w:r w:rsidRPr="009E351A">
      <w:tab/>
    </w:r>
    <w:fldSimple w:instr=" DOCPROPERTY &quot;Classification&quot; \* MERGEFORMAT " w:fldLock="1">
      <w:r w:rsidRPr="009E351A">
        <w:t xml:space="preserve"> </w:t>
      </w:r>
    </w:fldSimple>
    <w:r w:rsidRPr="009E351A">
      <w:tab/>
    </w:r>
    <w:r w:rsidRPr="009E351A">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240" w:rsidRPr="009E351A" w:rsidRDefault="00765240">
      <w:r w:rsidRPr="009E351A">
        <w:separator/>
      </w:r>
    </w:p>
  </w:footnote>
  <w:footnote w:type="continuationSeparator" w:id="0">
    <w:p w:rsidR="00765240" w:rsidRPr="009E351A" w:rsidRDefault="00765240">
      <w:r w:rsidRPr="009E351A">
        <w:continuationSeparator/>
      </w:r>
    </w:p>
  </w:footnote>
  <w:footnote w:id="1">
    <w:p w:rsidR="00B2551F" w:rsidRPr="009E351A" w:rsidRDefault="00B2551F">
      <w:pPr>
        <w:pStyle w:val="Fotnotstext"/>
      </w:pPr>
      <w:r w:rsidRPr="009E351A">
        <w:rPr>
          <w:rStyle w:val="Fotnotsreferens"/>
        </w:rPr>
        <w:footnoteRef/>
      </w:r>
      <w:r w:rsidRPr="009E351A">
        <w:tab/>
        <w:t xml:space="preserve">OJ C , , p. </w:t>
      </w:r>
    </w:p>
  </w:footnote>
  <w:footnote w:id="2">
    <w:p w:rsidR="00B2551F" w:rsidRPr="009E351A" w:rsidRDefault="00B2551F">
      <w:pPr>
        <w:pStyle w:val="Fotnotstext"/>
      </w:pPr>
      <w:r w:rsidRPr="009E351A">
        <w:rPr>
          <w:rStyle w:val="Fotnotsreferens"/>
        </w:rPr>
        <w:footnoteRef/>
      </w:r>
      <w:r w:rsidRPr="009E351A">
        <w:tab/>
        <w:t xml:space="preserve">OJ C , , p. </w:t>
      </w:r>
    </w:p>
  </w:footnote>
  <w:footnote w:id="3">
    <w:p w:rsidR="00B2551F" w:rsidRPr="009E351A" w:rsidRDefault="00B2551F">
      <w:pPr>
        <w:pStyle w:val="Fotnotstext"/>
      </w:pPr>
      <w:r w:rsidRPr="009E351A">
        <w:rPr>
          <w:rStyle w:val="Fotnotsreferens"/>
        </w:rPr>
        <w:footnoteRef/>
      </w:r>
      <w:r w:rsidRPr="009E351A">
        <w:tab/>
        <w:t>OJ L 9, 13.1.2000, p.024, Decision as last amended by Decision 2006/174/EC (OJ L 62, 3.3.2006, p.26)</w:t>
      </w:r>
    </w:p>
  </w:footnote>
  <w:footnote w:id="4">
    <w:p w:rsidR="00B2551F" w:rsidRPr="009E351A" w:rsidRDefault="00B2551F" w:rsidP="00F35622">
      <w:pPr>
        <w:pStyle w:val="Fotnotstext"/>
      </w:pPr>
      <w:r w:rsidRPr="009E351A">
        <w:rPr>
          <w:rStyle w:val="Fotnotsreferens"/>
        </w:rPr>
        <w:footnoteRef/>
      </w:r>
      <w:r w:rsidRPr="009E351A">
        <w:tab/>
        <w:t>OJ L 292, 9.11.2001, p.41</w:t>
      </w:r>
    </w:p>
  </w:footnote>
  <w:footnote w:id="5">
    <w:p w:rsidR="00B2551F" w:rsidRPr="009E351A" w:rsidRDefault="00B2551F">
      <w:pPr>
        <w:pStyle w:val="Fotnotstext"/>
      </w:pPr>
      <w:r w:rsidRPr="009E351A">
        <w:rPr>
          <w:rStyle w:val="Fotnotsreferens"/>
        </w:rPr>
        <w:footnoteRef/>
      </w:r>
      <w:r w:rsidRPr="009E351A">
        <w:tab/>
        <w:t>OJ L 21, 25.1.2005, p.11</w:t>
      </w:r>
    </w:p>
  </w:footnote>
  <w:footnote w:id="6">
    <w:p w:rsidR="00B2551F" w:rsidRPr="009E351A" w:rsidRDefault="00B2551F">
      <w:pPr>
        <w:pStyle w:val="Fotnotstext"/>
      </w:pPr>
      <w:r w:rsidRPr="009E351A">
        <w:rPr>
          <w:rStyle w:val="Fotnotsreferens"/>
        </w:rPr>
        <w:footnoteRef/>
      </w:r>
      <w:r w:rsidRPr="009E351A">
        <w:tab/>
        <w:t>COM(2004) 627 final.</w:t>
      </w:r>
    </w:p>
  </w:footnote>
  <w:footnote w:id="7">
    <w:p w:rsidR="00B2551F" w:rsidRPr="009E351A" w:rsidRDefault="00B2551F">
      <w:pPr>
        <w:pStyle w:val="Fotnotstext"/>
      </w:pPr>
      <w:r w:rsidRPr="009E351A">
        <w:rPr>
          <w:rStyle w:val="Fotnotsreferens"/>
        </w:rPr>
        <w:footnoteRef/>
      </w:r>
      <w:r w:rsidRPr="009E351A">
        <w:tab/>
        <w:t>COM(2004) 628 final.</w:t>
      </w:r>
    </w:p>
  </w:footnote>
  <w:footnote w:id="8">
    <w:p w:rsidR="00B2551F" w:rsidRPr="009E351A" w:rsidRDefault="00B2551F">
      <w:pPr>
        <w:pStyle w:val="Fotnotstext"/>
      </w:pPr>
      <w:r w:rsidRPr="009E351A">
        <w:rPr>
          <w:rStyle w:val="Fotnotsreferens"/>
        </w:rPr>
        <w:footnoteRef/>
      </w:r>
      <w:r w:rsidRPr="009E351A">
        <w:tab/>
        <w:t>COM(2004) 629 final.</w:t>
      </w:r>
    </w:p>
  </w:footnote>
  <w:footnote w:id="9">
    <w:p w:rsidR="00B2551F" w:rsidRPr="009E351A" w:rsidRDefault="00B2551F">
      <w:pPr>
        <w:pStyle w:val="Fotnotstext"/>
      </w:pPr>
      <w:r w:rsidRPr="009E351A">
        <w:rPr>
          <w:rStyle w:val="Fotnotsreferens"/>
        </w:rPr>
        <w:footnoteRef/>
      </w:r>
      <w:r w:rsidRPr="009E351A">
        <w:tab/>
        <w:t>COM(2005) 561 final.</w:t>
      </w:r>
    </w:p>
  </w:footnote>
  <w:footnote w:id="10">
    <w:p w:rsidR="00B2551F" w:rsidRPr="009E351A" w:rsidRDefault="00B2551F">
      <w:pPr>
        <w:pStyle w:val="Fotnotstext"/>
      </w:pPr>
      <w:r w:rsidRPr="009E351A">
        <w:rPr>
          <w:rStyle w:val="Fotnotsreferens"/>
        </w:rPr>
        <w:footnoteRef/>
      </w:r>
      <w:r w:rsidRPr="009E351A">
        <w:tab/>
        <w:t>COM(2004) 373 final.</w:t>
      </w:r>
    </w:p>
  </w:footnote>
  <w:footnote w:id="11">
    <w:p w:rsidR="00B2551F" w:rsidRPr="009E351A" w:rsidRDefault="00B2551F">
      <w:pPr>
        <w:pStyle w:val="Fotnotstext"/>
      </w:pPr>
      <w:r w:rsidRPr="009E351A">
        <w:rPr>
          <w:rStyle w:val="Fotnotsreferens"/>
        </w:rPr>
        <w:footnoteRef/>
      </w:r>
      <w:r w:rsidRPr="009E351A">
        <w:tab/>
        <w:t>COM(2005) 636 final.</w:t>
      </w:r>
    </w:p>
  </w:footnote>
  <w:footnote w:id="12">
    <w:p w:rsidR="00B2551F" w:rsidRPr="009E351A" w:rsidRDefault="00B2551F">
      <w:pPr>
        <w:pStyle w:val="Fotnotstext"/>
      </w:pPr>
      <w:r w:rsidRPr="009E351A">
        <w:rPr>
          <w:rStyle w:val="Fotnotsreferens"/>
        </w:rPr>
        <w:footnoteRef/>
      </w:r>
      <w:r w:rsidRPr="009E351A">
        <w:tab/>
        <w:t>COM(2003) 399 final.</w:t>
      </w:r>
    </w:p>
  </w:footnote>
  <w:footnote w:id="13">
    <w:p w:rsidR="00B2551F" w:rsidRPr="009E351A" w:rsidRDefault="00B2551F">
      <w:pPr>
        <w:pStyle w:val="Fotnotstext"/>
      </w:pPr>
      <w:r w:rsidRPr="009E351A">
        <w:rPr>
          <w:rStyle w:val="Fotnotsreferens"/>
        </w:rPr>
        <w:footnoteRef/>
      </w:r>
      <w:r w:rsidRPr="009E351A">
        <w:tab/>
        <w:t>COM(2004) 630 final.</w:t>
      </w:r>
    </w:p>
  </w:footnote>
  <w:footnote w:id="14">
    <w:p w:rsidR="00B2551F" w:rsidRPr="009E351A" w:rsidRDefault="00B2551F" w:rsidP="004E27D9">
      <w:pPr>
        <w:pStyle w:val="Fotnotstext"/>
      </w:pPr>
      <w:r w:rsidRPr="009E351A">
        <w:rPr>
          <w:rStyle w:val="Fotnotsreferens"/>
        </w:rPr>
        <w:footnoteRef/>
      </w:r>
      <w:r w:rsidRPr="009E351A">
        <w:tab/>
        <w:t>OJ L 184, 17.7.1999, p. 23.</w:t>
      </w:r>
    </w:p>
  </w:footnote>
  <w:footnote w:id="15">
    <w:p w:rsidR="00B2551F" w:rsidRPr="009E351A" w:rsidRDefault="00B2551F">
      <w:pPr>
        <w:pStyle w:val="Fotnotstext"/>
      </w:pPr>
      <w:r w:rsidRPr="009E351A">
        <w:rPr>
          <w:rStyle w:val="Fotnotsreferens"/>
        </w:rPr>
        <w:footnoteRef/>
      </w:r>
      <w:r w:rsidRPr="009E351A">
        <w:tab/>
        <w:t xml:space="preserve">OJ L 293, 12.11.1994, p.1, Regulation as last amended by Regulation (EC, Euratom) No 2273/2004 (OJ </w:t>
      </w:r>
      <w:r w:rsidRPr="009E351A">
        <w:rPr>
          <w:rStyle w:val="Betoning"/>
          <w:i w:val="0"/>
        </w:rPr>
        <w:t>L 396, 31.12.2004, p. 28).</w:t>
      </w:r>
    </w:p>
  </w:footnote>
  <w:footnote w:id="16">
    <w:p w:rsidR="00B2551F" w:rsidRPr="009E351A" w:rsidRDefault="00B2551F">
      <w:pPr>
        <w:pStyle w:val="Fotnotstext"/>
      </w:pPr>
      <w:r w:rsidRPr="009E351A">
        <w:rPr>
          <w:rStyle w:val="Fotnotsreferens"/>
        </w:rPr>
        <w:footnoteRef/>
      </w:r>
      <w:r w:rsidRPr="009E351A">
        <w:tab/>
        <w:t>COM(2005) 130 final.</w:t>
      </w:r>
    </w:p>
  </w:footnote>
  <w:footnote w:id="17">
    <w:p w:rsidR="00B2551F" w:rsidRPr="009E351A" w:rsidRDefault="00B2551F">
      <w:pPr>
        <w:pStyle w:val="Fotnotstext"/>
      </w:pPr>
      <w:r w:rsidRPr="009E351A">
        <w:rPr>
          <w:rStyle w:val="Fotnotsreferens"/>
        </w:rPr>
        <w:footnoteRef/>
      </w:r>
      <w:r w:rsidRPr="009E351A">
        <w:tab/>
        <w:t>Non-differentiated appropriations hereafter referred to as NDA.</w:t>
      </w:r>
    </w:p>
  </w:footnote>
  <w:footnote w:id="18">
    <w:p w:rsidR="00B2551F" w:rsidRPr="009E351A" w:rsidRDefault="00B2551F">
      <w:pPr>
        <w:pStyle w:val="Fotnotstext"/>
      </w:pPr>
      <w:r w:rsidRPr="009E351A">
        <w:rPr>
          <w:rStyle w:val="Fotnotsreferens"/>
        </w:rPr>
        <w:footnoteRef/>
      </w:r>
      <w:r w:rsidRPr="009E351A">
        <w:tab/>
        <w:t>EUR 100 million/year stem from the activation of the guarantee in case of major defaults (see "smoothing mechanism" in COM(2005) 130 of 5.4.2005).</w:t>
      </w:r>
    </w:p>
  </w:footnote>
  <w:footnote w:id="19">
    <w:p w:rsidR="00B2551F" w:rsidRPr="009E351A" w:rsidRDefault="00B2551F" w:rsidP="008A2B39">
      <w:pPr>
        <w:pStyle w:val="Fotnotstext"/>
      </w:pPr>
      <w:r w:rsidRPr="009E351A">
        <w:rPr>
          <w:rStyle w:val="Fotnotsreferens"/>
        </w:rPr>
        <w:footnoteRef/>
      </w:r>
      <w:r w:rsidRPr="009E351A">
        <w:tab/>
        <w:t>In order to evaluate implications for the provisioning of possible fluctuations in the asset valuation of the Guarantee Fund, the following assumptions have been made:</w:t>
      </w:r>
      <w:r w:rsidRPr="009E351A">
        <w:tab/>
      </w:r>
      <w:r w:rsidRPr="009E351A">
        <w:br/>
        <w:t>- a portfolio duration of 3.3 years;</w:t>
      </w:r>
      <w:r w:rsidRPr="009E351A">
        <w:tab/>
      </w:r>
      <w:r w:rsidRPr="009E351A">
        <w:br/>
        <w:t>- 1% increase in interest rates per year;</w:t>
      </w:r>
      <w:r w:rsidRPr="009E351A">
        <w:tab/>
      </w:r>
      <w:r w:rsidRPr="009E351A">
        <w:br/>
        <w:t>- A Guarantee Fund assets' evolution resulting from the estimated 'normal provisioning';</w:t>
      </w:r>
      <w:r w:rsidRPr="009E351A">
        <w:tab/>
      </w:r>
      <w:r w:rsidRPr="009E351A">
        <w:br/>
        <w:t>There are no implications for 2007 and 2008 due to the transition period.</w:t>
      </w:r>
    </w:p>
  </w:footnote>
  <w:footnote w:id="20">
    <w:p w:rsidR="00B2551F" w:rsidRPr="009E351A" w:rsidRDefault="00B2551F">
      <w:pPr>
        <w:pStyle w:val="Fotnotstext"/>
      </w:pPr>
      <w:r w:rsidRPr="009E351A">
        <w:rPr>
          <w:rStyle w:val="Fotnotsreferens"/>
        </w:rPr>
        <w:footnoteRef/>
      </w:r>
      <w:r w:rsidRPr="009E351A">
        <w:tab/>
        <w:t>Expenditure that does not fall under Chapter xx 01 of the Title xx concerned.</w:t>
      </w:r>
    </w:p>
  </w:footnote>
  <w:footnote w:id="21">
    <w:p w:rsidR="00B2551F" w:rsidRPr="009E351A" w:rsidRDefault="00B2551F">
      <w:pPr>
        <w:pStyle w:val="Fotnotstext"/>
      </w:pPr>
      <w:r w:rsidRPr="009E351A">
        <w:rPr>
          <w:rStyle w:val="Fotnotsreferens"/>
        </w:rPr>
        <w:footnoteRef/>
      </w:r>
      <w:r w:rsidRPr="009E351A">
        <w:tab/>
        <w:t>Expenditure within article xx 01 04 of Title xx.</w:t>
      </w:r>
    </w:p>
  </w:footnote>
  <w:footnote w:id="22">
    <w:p w:rsidR="00B2551F" w:rsidRPr="009E351A" w:rsidRDefault="00B2551F">
      <w:pPr>
        <w:pStyle w:val="Fotnotstext"/>
      </w:pPr>
      <w:r w:rsidRPr="009E351A">
        <w:rPr>
          <w:rStyle w:val="Fotnotsreferens"/>
        </w:rPr>
        <w:footnoteRef/>
      </w:r>
      <w:r w:rsidRPr="009E351A">
        <w:tab/>
        <w:t>Expenditure within chapter xx 01 other than articles xx 01 04 or xx 01 05.</w:t>
      </w:r>
    </w:p>
  </w:footnote>
  <w:footnote w:id="23">
    <w:p w:rsidR="00B2551F" w:rsidRPr="009E351A" w:rsidRDefault="00B2551F">
      <w:pPr>
        <w:pStyle w:val="Fotnotstext"/>
      </w:pPr>
      <w:r w:rsidRPr="009E351A">
        <w:rPr>
          <w:rStyle w:val="Fotnotsreferens"/>
        </w:rPr>
        <w:footnoteRef/>
      </w:r>
      <w:r w:rsidRPr="009E351A">
        <w:tab/>
        <w:t>See points 19 and 24 of the Interinstitutional agreement.</w:t>
      </w:r>
    </w:p>
  </w:footnote>
  <w:footnote w:id="24">
    <w:p w:rsidR="00B2551F" w:rsidRPr="009E351A" w:rsidRDefault="00B2551F">
      <w:pPr>
        <w:pStyle w:val="Fotnotstext"/>
      </w:pPr>
      <w:r w:rsidRPr="009E351A">
        <w:rPr>
          <w:rStyle w:val="Fotnotsreferens"/>
        </w:rPr>
        <w:footnoteRef/>
      </w:r>
      <w:r w:rsidRPr="009E351A">
        <w:tab/>
        <w:t>Cost of which is NOT covered by the reference amount.</w:t>
      </w:r>
    </w:p>
  </w:footnote>
  <w:footnote w:id="25">
    <w:p w:rsidR="00B2551F" w:rsidRPr="009E351A" w:rsidRDefault="00B2551F">
      <w:pPr>
        <w:pStyle w:val="Fotnotstext"/>
      </w:pPr>
      <w:r w:rsidRPr="009E351A">
        <w:rPr>
          <w:rStyle w:val="Fotnotsreferens"/>
        </w:rPr>
        <w:footnoteRef/>
      </w:r>
      <w:r w:rsidRPr="009E351A">
        <w:tab/>
        <w:t>Cost of which is NOT covered by the reference amount.</w:t>
      </w:r>
    </w:p>
  </w:footnote>
  <w:footnote w:id="26">
    <w:p w:rsidR="00B2551F" w:rsidRPr="009E351A" w:rsidRDefault="00B2551F">
      <w:pPr>
        <w:pStyle w:val="Fotnotstext"/>
      </w:pPr>
      <w:r w:rsidRPr="009E351A">
        <w:rPr>
          <w:rStyle w:val="Fotnotsreferens"/>
        </w:rPr>
        <w:footnoteRef/>
      </w:r>
      <w:r w:rsidRPr="009E351A">
        <w:tab/>
        <w:t>Cost of which is included within the reference amount.</w:t>
      </w:r>
    </w:p>
  </w:footnote>
  <w:footnote w:id="27">
    <w:p w:rsidR="00B2551F" w:rsidRPr="009E351A" w:rsidRDefault="00B2551F">
      <w:pPr>
        <w:pStyle w:val="Fotnotstext"/>
      </w:pPr>
      <w:r w:rsidRPr="009E351A">
        <w:rPr>
          <w:rStyle w:val="Fotnotsreferens"/>
        </w:rPr>
        <w:footnoteRef/>
      </w:r>
      <w:r w:rsidRPr="009E351A">
        <w:tab/>
        <w:t>Reference should be made to the specific legislative financial statement for the Executive Agency(ies) concerned.</w:t>
      </w:r>
    </w:p>
  </w:footnote>
  <w:footnote w:id="28">
    <w:p w:rsidR="00B2551F" w:rsidRPr="009E351A" w:rsidRDefault="00B2551F">
      <w:pPr>
        <w:pStyle w:val="Fotnotstext"/>
      </w:pPr>
      <w:r w:rsidRPr="009E351A">
        <w:rPr>
          <w:rStyle w:val="Fotnotsreferens"/>
        </w:rPr>
        <w:footnoteRef/>
      </w:r>
      <w:r w:rsidRPr="009E351A">
        <w:tab/>
        <w:t>Specify the type of committee and the group to which it belongs.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51F" w:rsidRPr="00B2551F" w:rsidRDefault="00B2551F" w:rsidP="00B255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EF30937E"/>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2BEC7874"/>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3CC0E526"/>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296C7F92"/>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C64D70C"/>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3CBA2C2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028F76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FFE6E4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E497A"/>
    <w:multiLevelType w:val="singleLevel"/>
    <w:tmpl w:val="34180612"/>
    <w:lvl w:ilvl="0">
      <w:start w:val="1"/>
      <w:numFmt w:val="bullet"/>
      <w:lvlRestart w:val="0"/>
      <w:pStyle w:val="ListBullet1"/>
      <w:lvlText w:val=""/>
      <w:lvlJc w:val="left"/>
      <w:pPr>
        <w:tabs>
          <w:tab w:val="num" w:pos="1134"/>
        </w:tabs>
        <w:ind w:left="1134" w:hanging="283"/>
      </w:pPr>
      <w:rPr>
        <w:rFonts w:ascii="Symbol" w:hAnsi="Symbol"/>
      </w:rPr>
    </w:lvl>
  </w:abstractNum>
  <w:abstractNum w:abstractNumId="9" w15:restartNumberingAfterBreak="0">
    <w:nsid w:val="046F33CE"/>
    <w:multiLevelType w:val="multilevel"/>
    <w:tmpl w:val="F76ED738"/>
    <w:name w:val="List Bullet 1"/>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6F37DE"/>
    <w:multiLevelType w:val="multilevel"/>
    <w:tmpl w:val="285C9CA8"/>
    <w:name w:val="List Number 2"/>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E85528"/>
    <w:multiLevelType w:val="singleLevel"/>
    <w:tmpl w:val="7BA29BAC"/>
    <w:name w:val="List Number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2" w15:restartNumberingAfterBreak="0">
    <w:nsid w:val="0E557D20"/>
    <w:multiLevelType w:val="singleLevel"/>
    <w:tmpl w:val="29AE4C22"/>
    <w:name w:val="List Bullet 3"/>
    <w:lvl w:ilvl="0">
      <w:start w:val="1"/>
      <w:numFmt w:val="bullet"/>
      <w:lvlRestart w:val="0"/>
      <w:pStyle w:val="Punktlista2"/>
      <w:lvlText w:val=""/>
      <w:lvlJc w:val="left"/>
      <w:pPr>
        <w:tabs>
          <w:tab w:val="num" w:pos="1134"/>
        </w:tabs>
        <w:ind w:left="1134" w:hanging="283"/>
      </w:pPr>
      <w:rPr>
        <w:rFonts w:ascii="Symbol" w:hAnsi="Symbol"/>
      </w:rPr>
    </w:lvl>
  </w:abstractNum>
  <w:abstractNum w:abstractNumId="13" w15:restartNumberingAfterBreak="0">
    <w:nsid w:val="10C32F8E"/>
    <w:multiLevelType w:val="singleLevel"/>
    <w:tmpl w:val="7D32806C"/>
    <w:lvl w:ilvl="0">
      <w:start w:val="1"/>
      <w:numFmt w:val="decimal"/>
      <w:lvlRestart w:val="0"/>
      <w:pStyle w:val="Considrant"/>
      <w:lvlText w:val="(%1)"/>
      <w:lvlJc w:val="left"/>
      <w:pPr>
        <w:tabs>
          <w:tab w:val="num" w:pos="709"/>
        </w:tabs>
        <w:ind w:left="709" w:hanging="709"/>
      </w:pPr>
    </w:lvl>
  </w:abstractNum>
  <w:abstractNum w:abstractNumId="14" w15:restartNumberingAfterBreak="0">
    <w:nsid w:val="177349BE"/>
    <w:multiLevelType w:val="singleLevel"/>
    <w:tmpl w:val="63CC21A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5" w15:restartNumberingAfterBreak="0">
    <w:nsid w:val="18F82A41"/>
    <w:multiLevelType w:val="multilevel"/>
    <w:tmpl w:val="52A03670"/>
    <w:name w:val="Considérant"/>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E0276FC"/>
    <w:multiLevelType w:val="hybridMultilevel"/>
    <w:tmpl w:val="F9AA8594"/>
    <w:lvl w:ilvl="0" w:tplc="FFFFFFFF">
      <w:start w:val="1"/>
      <w:numFmt w:val="lowerLetter"/>
      <w:lvlText w:val="(%1)"/>
      <w:lvlJc w:val="left"/>
      <w:pPr>
        <w:tabs>
          <w:tab w:val="num" w:pos="794"/>
        </w:tabs>
        <w:ind w:left="794" w:hanging="510"/>
      </w:pPr>
      <w:rPr>
        <w:rFonts w:ascii="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7AA4D49"/>
    <w:multiLevelType w:val="multilevel"/>
    <w:tmpl w:val="362490F8"/>
    <w:name w:val="List Dash 2"/>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D34FFD"/>
    <w:multiLevelType w:val="singleLevel"/>
    <w:tmpl w:val="40B842A2"/>
    <w:name w:val="Default"/>
    <w:lvl w:ilvl="0">
      <w:start w:val="1"/>
      <w:numFmt w:val="bullet"/>
      <w:lvlRestart w:val="0"/>
      <w:pStyle w:val="Tiret2"/>
      <w:lvlText w:val="–"/>
      <w:lvlJc w:val="left"/>
      <w:pPr>
        <w:tabs>
          <w:tab w:val="num" w:pos="1984"/>
        </w:tabs>
        <w:ind w:left="1984" w:hanging="567"/>
      </w:pPr>
    </w:lvl>
  </w:abstractNum>
  <w:abstractNum w:abstractNumId="19" w15:restartNumberingAfterBreak="0">
    <w:nsid w:val="332F50C4"/>
    <w:multiLevelType w:val="singleLevel"/>
    <w:tmpl w:val="CF7C6E98"/>
    <w:lvl w:ilvl="0">
      <w:start w:val="1"/>
      <w:numFmt w:val="bullet"/>
      <w:lvlRestart w:val="0"/>
      <w:pStyle w:val="Tiret1"/>
      <w:lvlText w:val="–"/>
      <w:lvlJc w:val="left"/>
      <w:pPr>
        <w:tabs>
          <w:tab w:val="num" w:pos="1417"/>
        </w:tabs>
        <w:ind w:left="1417" w:hanging="567"/>
      </w:pPr>
    </w:lvl>
  </w:abstractNum>
  <w:abstractNum w:abstractNumId="20" w15:restartNumberingAfterBreak="0">
    <w:nsid w:val="3CBC2859"/>
    <w:multiLevelType w:val="multilevel"/>
    <w:tmpl w:val="A738782E"/>
    <w:name w:val="List Number 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04017F3"/>
    <w:multiLevelType w:val="hybridMultilevel"/>
    <w:tmpl w:val="F55C8DF4"/>
    <w:name w:val="Tiret 2"/>
    <w:lvl w:ilvl="0" w:tplc="FFFFFFFF">
      <w:start w:val="1"/>
      <w:numFmt w:val="decimal"/>
      <w:lvlRestart w:val="0"/>
      <w:lvlText w:val="%1)"/>
      <w:lvlJc w:val="left"/>
      <w:pPr>
        <w:tabs>
          <w:tab w:val="num" w:pos="720"/>
        </w:tabs>
        <w:ind w:left="720" w:hanging="363"/>
      </w:pPr>
      <w:rPr>
        <w:b/>
        <w:caps w:val="0"/>
        <w:smallCaps/>
      </w:rPr>
    </w:lvl>
    <w:lvl w:ilvl="1" w:tplc="FFFFFFFF">
      <w:start w:val="1"/>
      <w:numFmt w:val="bullet"/>
      <w:lvlRestart w:val="0"/>
      <w:lvlText w:val=""/>
      <w:lvlJc w:val="left"/>
      <w:pPr>
        <w:tabs>
          <w:tab w:val="num" w:pos="1443"/>
        </w:tabs>
        <w:ind w:left="1443" w:hanging="363"/>
      </w:pPr>
      <w:rPr>
        <w:rFonts w:ascii="Symbol" w:hAnsi="Symbol" w:hint="default"/>
        <w:b/>
        <w:caps w:val="0"/>
        <w:smallCap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5842BB8"/>
    <w:multiLevelType w:val="singleLevel"/>
    <w:tmpl w:val="9EB6589E"/>
    <w:name w:val="Tiret 1"/>
    <w:lvl w:ilvl="0">
      <w:start w:val="1"/>
      <w:numFmt w:val="bullet"/>
      <w:lvlRestart w:val="0"/>
      <w:pStyle w:val="Punktlista4"/>
      <w:lvlText w:val=""/>
      <w:lvlJc w:val="left"/>
      <w:pPr>
        <w:tabs>
          <w:tab w:val="num" w:pos="1134"/>
        </w:tabs>
        <w:ind w:left="1134" w:hanging="283"/>
      </w:pPr>
      <w:rPr>
        <w:rFonts w:ascii="Symbol" w:hAnsi="Symbol"/>
      </w:rPr>
    </w:lvl>
  </w:abstractNum>
  <w:abstractNum w:abstractNumId="23" w15:restartNumberingAfterBreak="0">
    <w:nsid w:val="49C8346C"/>
    <w:multiLevelType w:val="multilevel"/>
    <w:tmpl w:val="C0145086"/>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60F45FC"/>
    <w:multiLevelType w:val="singleLevel"/>
    <w:tmpl w:val="3F3EA308"/>
    <w:name w:val="List Number 1"/>
    <w:lvl w:ilvl="0">
      <w:start w:val="1"/>
      <w:numFmt w:val="bullet"/>
      <w:lvlRestart w:val="0"/>
      <w:pStyle w:val="Punktlista"/>
      <w:lvlText w:val=""/>
      <w:lvlJc w:val="left"/>
      <w:pPr>
        <w:tabs>
          <w:tab w:val="num" w:pos="283"/>
        </w:tabs>
        <w:ind w:left="283" w:hanging="283"/>
      </w:pPr>
      <w:rPr>
        <w:rFonts w:ascii="Symbol" w:hAnsi="Symbol"/>
      </w:rPr>
    </w:lvl>
  </w:abstractNum>
  <w:abstractNum w:abstractNumId="25" w15:restartNumberingAfterBreak="0">
    <w:nsid w:val="576A32C9"/>
    <w:multiLevelType w:val="multilevel"/>
    <w:tmpl w:val="9FA4C1EA"/>
    <w:name w:val="List Bullet 4"/>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272686E"/>
    <w:multiLevelType w:val="singleLevel"/>
    <w:tmpl w:val="6292DC68"/>
    <w:name w:val="NumPar"/>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7" w15:restartNumberingAfterBreak="0">
    <w:nsid w:val="62910FBB"/>
    <w:multiLevelType w:val="multilevel"/>
    <w:tmpl w:val="F4782DB6"/>
    <w:name w:val="List Bullet"/>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E4DAD"/>
    <w:multiLevelType w:val="singleLevel"/>
    <w:tmpl w:val="DC928774"/>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29" w15:restartNumberingAfterBreak="0">
    <w:nsid w:val="67EC134D"/>
    <w:multiLevelType w:val="singleLevel"/>
    <w:tmpl w:val="C9963BB4"/>
    <w:name w:val="Heading"/>
    <w:lvl w:ilvl="0">
      <w:start w:val="1"/>
      <w:numFmt w:val="bullet"/>
      <w:lvlRestart w:val="0"/>
      <w:pStyle w:val="Tiret3"/>
      <w:lvlText w:val="–"/>
      <w:lvlJc w:val="left"/>
      <w:pPr>
        <w:tabs>
          <w:tab w:val="num" w:pos="2551"/>
        </w:tabs>
        <w:ind w:left="2551" w:hanging="567"/>
      </w:pPr>
    </w:lvl>
  </w:abstractNum>
  <w:abstractNum w:abstractNumId="30" w15:restartNumberingAfterBreak="0">
    <w:nsid w:val="69A53F65"/>
    <w:multiLevelType w:val="multilevel"/>
    <w:tmpl w:val="C3B20EB4"/>
    <w:name w:val="List Dash 1"/>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12154A4"/>
    <w:multiLevelType w:val="singleLevel"/>
    <w:tmpl w:val="99F26DBE"/>
    <w:name w:val="LegalNumbering"/>
    <w:lvl w:ilvl="0">
      <w:start w:val="1"/>
      <w:numFmt w:val="bullet"/>
      <w:lvlRestart w:val="0"/>
      <w:pStyle w:val="Tiret4"/>
      <w:lvlText w:val="–"/>
      <w:lvlJc w:val="left"/>
      <w:pPr>
        <w:tabs>
          <w:tab w:val="num" w:pos="3118"/>
        </w:tabs>
        <w:ind w:left="3118" w:hanging="567"/>
      </w:pPr>
    </w:lvl>
  </w:abstractNum>
  <w:abstractNum w:abstractNumId="32" w15:restartNumberingAfterBreak="0">
    <w:nsid w:val="7BE66D97"/>
    <w:multiLevelType w:val="singleLevel"/>
    <w:tmpl w:val="AAB21E0E"/>
    <w:name w:val="List Dash 3"/>
    <w:lvl w:ilvl="0">
      <w:start w:val="1"/>
      <w:numFmt w:val="bullet"/>
      <w:lvlRestart w:val="0"/>
      <w:pStyle w:val="Tiret0"/>
      <w:lvlText w:val="–"/>
      <w:lvlJc w:val="left"/>
      <w:pPr>
        <w:tabs>
          <w:tab w:val="num" w:pos="850"/>
        </w:tabs>
        <w:ind w:left="850" w:hanging="850"/>
      </w:pPr>
    </w:lvl>
  </w:abstractNum>
  <w:abstractNum w:abstractNumId="33" w15:restartNumberingAfterBreak="0">
    <w:nsid w:val="7F0F3B56"/>
    <w:multiLevelType w:val="singleLevel"/>
    <w:tmpl w:val="175453F2"/>
    <w:name w:val="Tiret 3"/>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4" w15:restartNumberingAfterBreak="0">
    <w:nsid w:val="7F7575D0"/>
    <w:multiLevelType w:val="singleLevel"/>
    <w:tmpl w:val="123E1F50"/>
    <w:name w:val="List Number"/>
    <w:lvl w:ilvl="0">
      <w:start w:val="1"/>
      <w:numFmt w:val="bullet"/>
      <w:lvlRestart w:val="0"/>
      <w:pStyle w:val="ListDash"/>
      <w:lvlText w:val="–"/>
      <w:lvlJc w:val="left"/>
      <w:pPr>
        <w:tabs>
          <w:tab w:val="num" w:pos="283"/>
        </w:tabs>
        <w:ind w:left="283" w:hanging="283"/>
      </w:pPr>
      <w:rPr>
        <w:rFonts w:ascii="Times New Roman" w:hAnsi="Times New Roman"/>
      </w:rPr>
    </w:lvl>
  </w:abstractNum>
  <w:num w:numId="1" w16cid:durableId="1129324100">
    <w:abstractNumId w:val="7"/>
  </w:num>
  <w:num w:numId="2" w16cid:durableId="1266966262">
    <w:abstractNumId w:val="5"/>
  </w:num>
  <w:num w:numId="3" w16cid:durableId="1592197793">
    <w:abstractNumId w:val="4"/>
  </w:num>
  <w:num w:numId="4" w16cid:durableId="325016742">
    <w:abstractNumId w:val="3"/>
  </w:num>
  <w:num w:numId="5" w16cid:durableId="283469353">
    <w:abstractNumId w:val="6"/>
  </w:num>
  <w:num w:numId="6" w16cid:durableId="2026906324">
    <w:abstractNumId w:val="2"/>
  </w:num>
  <w:num w:numId="7" w16cid:durableId="1518696605">
    <w:abstractNumId w:val="1"/>
  </w:num>
  <w:num w:numId="8" w16cid:durableId="1803496881">
    <w:abstractNumId w:val="0"/>
  </w:num>
  <w:num w:numId="9" w16cid:durableId="736056336">
    <w:abstractNumId w:val="32"/>
  </w:num>
  <w:num w:numId="10" w16cid:durableId="600064367">
    <w:abstractNumId w:val="19"/>
  </w:num>
  <w:num w:numId="11" w16cid:durableId="35399906">
    <w:abstractNumId w:val="18"/>
  </w:num>
  <w:num w:numId="12" w16cid:durableId="356586449">
    <w:abstractNumId w:val="29"/>
  </w:num>
  <w:num w:numId="13" w16cid:durableId="1765493748">
    <w:abstractNumId w:val="31"/>
  </w:num>
  <w:num w:numId="14" w16cid:durableId="277489219">
    <w:abstractNumId w:val="23"/>
  </w:num>
  <w:num w:numId="15" w16cid:durableId="97876475">
    <w:abstractNumId w:val="25"/>
  </w:num>
  <w:num w:numId="16" w16cid:durableId="1408530133">
    <w:abstractNumId w:val="24"/>
  </w:num>
  <w:num w:numId="17" w16cid:durableId="211119516">
    <w:abstractNumId w:val="8"/>
  </w:num>
  <w:num w:numId="18" w16cid:durableId="1109278713">
    <w:abstractNumId w:val="12"/>
  </w:num>
  <w:num w:numId="19" w16cid:durableId="1938899520">
    <w:abstractNumId w:val="11"/>
  </w:num>
  <w:num w:numId="20" w16cid:durableId="1407410241">
    <w:abstractNumId w:val="22"/>
  </w:num>
  <w:num w:numId="21" w16cid:durableId="1895505106">
    <w:abstractNumId w:val="34"/>
  </w:num>
  <w:num w:numId="22" w16cid:durableId="1431044670">
    <w:abstractNumId w:val="26"/>
  </w:num>
  <w:num w:numId="23" w16cid:durableId="1004168291">
    <w:abstractNumId w:val="14"/>
  </w:num>
  <w:num w:numId="24" w16cid:durableId="1969891409">
    <w:abstractNumId w:val="28"/>
  </w:num>
  <w:num w:numId="25" w16cid:durableId="2004235675">
    <w:abstractNumId w:val="33"/>
  </w:num>
  <w:num w:numId="26" w16cid:durableId="819880570">
    <w:abstractNumId w:val="30"/>
  </w:num>
  <w:num w:numId="27" w16cid:durableId="704863828">
    <w:abstractNumId w:val="20"/>
  </w:num>
  <w:num w:numId="28" w16cid:durableId="2144807515">
    <w:abstractNumId w:val="9"/>
  </w:num>
  <w:num w:numId="29" w16cid:durableId="486171355">
    <w:abstractNumId w:val="10"/>
  </w:num>
  <w:num w:numId="30" w16cid:durableId="653684485">
    <w:abstractNumId w:val="17"/>
  </w:num>
  <w:num w:numId="31" w16cid:durableId="1955407306">
    <w:abstractNumId w:val="13"/>
  </w:num>
  <w:num w:numId="32" w16cid:durableId="2074237402">
    <w:abstractNumId w:val="21"/>
  </w:num>
  <w:num w:numId="33" w16cid:durableId="10384353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W_DocType" w:val="COM"/>
    <w:docVar w:name="VSSDB_IniPath" w:val="\\at100\user\wovo\SEILEG\vss\srcsafe.ini"/>
    <w:docVar w:name="VSSDB_ProjectPath" w:val="$/LegisWrite/DOT/COM"/>
  </w:docVars>
  <w:rsids>
    <w:rsidRoot w:val="00F67456"/>
    <w:rsid w:val="00006878"/>
    <w:rsid w:val="00013682"/>
    <w:rsid w:val="0002563E"/>
    <w:rsid w:val="00040C6E"/>
    <w:rsid w:val="00052D16"/>
    <w:rsid w:val="0006751E"/>
    <w:rsid w:val="000B6419"/>
    <w:rsid w:val="000C18EF"/>
    <w:rsid w:val="000F4390"/>
    <w:rsid w:val="000F7EA0"/>
    <w:rsid w:val="00130CD1"/>
    <w:rsid w:val="00142B38"/>
    <w:rsid w:val="00156F0B"/>
    <w:rsid w:val="00190BE5"/>
    <w:rsid w:val="001A4D30"/>
    <w:rsid w:val="001B1314"/>
    <w:rsid w:val="001B232E"/>
    <w:rsid w:val="001B670D"/>
    <w:rsid w:val="001C3D3C"/>
    <w:rsid w:val="001C6B5C"/>
    <w:rsid w:val="002104F1"/>
    <w:rsid w:val="00215FCD"/>
    <w:rsid w:val="00225B27"/>
    <w:rsid w:val="002345F8"/>
    <w:rsid w:val="002350C2"/>
    <w:rsid w:val="00235367"/>
    <w:rsid w:val="002362E2"/>
    <w:rsid w:val="002A03C8"/>
    <w:rsid w:val="002B2808"/>
    <w:rsid w:val="002D11F0"/>
    <w:rsid w:val="002D7792"/>
    <w:rsid w:val="002F29CF"/>
    <w:rsid w:val="0034344D"/>
    <w:rsid w:val="0034653D"/>
    <w:rsid w:val="00350F55"/>
    <w:rsid w:val="00381798"/>
    <w:rsid w:val="003B2EEE"/>
    <w:rsid w:val="003C0F52"/>
    <w:rsid w:val="003D45F8"/>
    <w:rsid w:val="003E3B7C"/>
    <w:rsid w:val="00401D03"/>
    <w:rsid w:val="0040689B"/>
    <w:rsid w:val="00425F1A"/>
    <w:rsid w:val="004273F5"/>
    <w:rsid w:val="0043283A"/>
    <w:rsid w:val="00435694"/>
    <w:rsid w:val="00444393"/>
    <w:rsid w:val="0044748F"/>
    <w:rsid w:val="00483883"/>
    <w:rsid w:val="00496B5D"/>
    <w:rsid w:val="004A24C8"/>
    <w:rsid w:val="004A25EA"/>
    <w:rsid w:val="004E27D9"/>
    <w:rsid w:val="004F77DF"/>
    <w:rsid w:val="004F79C3"/>
    <w:rsid w:val="00510481"/>
    <w:rsid w:val="00526034"/>
    <w:rsid w:val="005314A2"/>
    <w:rsid w:val="00536F3A"/>
    <w:rsid w:val="00547D18"/>
    <w:rsid w:val="00577771"/>
    <w:rsid w:val="00584743"/>
    <w:rsid w:val="0059187E"/>
    <w:rsid w:val="00593429"/>
    <w:rsid w:val="005B37E2"/>
    <w:rsid w:val="005D37D3"/>
    <w:rsid w:val="005D5765"/>
    <w:rsid w:val="005E1198"/>
    <w:rsid w:val="005E6B39"/>
    <w:rsid w:val="00640E53"/>
    <w:rsid w:val="00650F92"/>
    <w:rsid w:val="00673285"/>
    <w:rsid w:val="00690E1A"/>
    <w:rsid w:val="006914C0"/>
    <w:rsid w:val="006B3DEC"/>
    <w:rsid w:val="006C3965"/>
    <w:rsid w:val="006E71BF"/>
    <w:rsid w:val="006F4021"/>
    <w:rsid w:val="00734F64"/>
    <w:rsid w:val="00750F08"/>
    <w:rsid w:val="00765240"/>
    <w:rsid w:val="0078314A"/>
    <w:rsid w:val="00795A25"/>
    <w:rsid w:val="007B58A3"/>
    <w:rsid w:val="00837F60"/>
    <w:rsid w:val="008444D6"/>
    <w:rsid w:val="00866696"/>
    <w:rsid w:val="008A2B39"/>
    <w:rsid w:val="008C7EAA"/>
    <w:rsid w:val="008E0A41"/>
    <w:rsid w:val="0091384E"/>
    <w:rsid w:val="00923F9B"/>
    <w:rsid w:val="00924AA1"/>
    <w:rsid w:val="009250D2"/>
    <w:rsid w:val="00936CFB"/>
    <w:rsid w:val="00964938"/>
    <w:rsid w:val="00974CF7"/>
    <w:rsid w:val="00987863"/>
    <w:rsid w:val="009A10FE"/>
    <w:rsid w:val="009A1189"/>
    <w:rsid w:val="009A14DA"/>
    <w:rsid w:val="009B509E"/>
    <w:rsid w:val="009C465C"/>
    <w:rsid w:val="009C5DC0"/>
    <w:rsid w:val="009D696C"/>
    <w:rsid w:val="009E351A"/>
    <w:rsid w:val="00A002D8"/>
    <w:rsid w:val="00A17C80"/>
    <w:rsid w:val="00A33E8E"/>
    <w:rsid w:val="00A54499"/>
    <w:rsid w:val="00A6333A"/>
    <w:rsid w:val="00A6586F"/>
    <w:rsid w:val="00A71FE3"/>
    <w:rsid w:val="00A7293D"/>
    <w:rsid w:val="00AB2E3F"/>
    <w:rsid w:val="00AB549F"/>
    <w:rsid w:val="00AD3C02"/>
    <w:rsid w:val="00AF07BD"/>
    <w:rsid w:val="00B21623"/>
    <w:rsid w:val="00B2551F"/>
    <w:rsid w:val="00B5580B"/>
    <w:rsid w:val="00B833AB"/>
    <w:rsid w:val="00B860A2"/>
    <w:rsid w:val="00BB2655"/>
    <w:rsid w:val="00BC4553"/>
    <w:rsid w:val="00BF6F58"/>
    <w:rsid w:val="00C00032"/>
    <w:rsid w:val="00C27BD0"/>
    <w:rsid w:val="00C41CA8"/>
    <w:rsid w:val="00C45584"/>
    <w:rsid w:val="00C579DB"/>
    <w:rsid w:val="00C76BA0"/>
    <w:rsid w:val="00C83612"/>
    <w:rsid w:val="00C91B5F"/>
    <w:rsid w:val="00C93605"/>
    <w:rsid w:val="00CD17BC"/>
    <w:rsid w:val="00CD2470"/>
    <w:rsid w:val="00CF0E0C"/>
    <w:rsid w:val="00CF2E55"/>
    <w:rsid w:val="00CF373E"/>
    <w:rsid w:val="00CF5815"/>
    <w:rsid w:val="00D11451"/>
    <w:rsid w:val="00D129D7"/>
    <w:rsid w:val="00D51640"/>
    <w:rsid w:val="00D70BCA"/>
    <w:rsid w:val="00D71E8C"/>
    <w:rsid w:val="00DA4223"/>
    <w:rsid w:val="00DA6D94"/>
    <w:rsid w:val="00DC30BF"/>
    <w:rsid w:val="00DC76F1"/>
    <w:rsid w:val="00DD39F9"/>
    <w:rsid w:val="00DD61E3"/>
    <w:rsid w:val="00DE2864"/>
    <w:rsid w:val="00DF6D5A"/>
    <w:rsid w:val="00E146C6"/>
    <w:rsid w:val="00E24E00"/>
    <w:rsid w:val="00E3298F"/>
    <w:rsid w:val="00E53941"/>
    <w:rsid w:val="00E64C72"/>
    <w:rsid w:val="00E837BA"/>
    <w:rsid w:val="00EA246D"/>
    <w:rsid w:val="00EA2C02"/>
    <w:rsid w:val="00EA6F6F"/>
    <w:rsid w:val="00ED1061"/>
    <w:rsid w:val="00ED2D23"/>
    <w:rsid w:val="00EE532D"/>
    <w:rsid w:val="00EF1418"/>
    <w:rsid w:val="00F00561"/>
    <w:rsid w:val="00F01394"/>
    <w:rsid w:val="00F254D2"/>
    <w:rsid w:val="00F34179"/>
    <w:rsid w:val="00F35622"/>
    <w:rsid w:val="00F612F1"/>
    <w:rsid w:val="00F67456"/>
    <w:rsid w:val="00F81655"/>
    <w:rsid w:val="00FE3775"/>
    <w:rsid w:val="00FF76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B113DDB5-5605-492C-98DD-2A4BA3F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jc w:val="both"/>
    </w:pPr>
    <w:rPr>
      <w:sz w:val="24"/>
      <w:lang w:val="sv-SE" w:eastAsia="zh-CN"/>
    </w:rPr>
  </w:style>
  <w:style w:type="paragraph" w:styleId="Rubrik1">
    <w:name w:val="heading 1"/>
    <w:basedOn w:val="Normal"/>
    <w:next w:val="Text1"/>
    <w:qFormat/>
    <w:pPr>
      <w:keepNext/>
      <w:numPr>
        <w:numId w:val="15"/>
      </w:numPr>
      <w:spacing w:before="360"/>
      <w:outlineLvl w:val="0"/>
    </w:pPr>
    <w:rPr>
      <w:b/>
      <w:smallCaps/>
    </w:rPr>
  </w:style>
  <w:style w:type="paragraph" w:styleId="Rubrik2">
    <w:name w:val="heading 2"/>
    <w:basedOn w:val="Normal"/>
    <w:next w:val="Text2"/>
    <w:qFormat/>
    <w:pPr>
      <w:keepNext/>
      <w:numPr>
        <w:ilvl w:val="1"/>
        <w:numId w:val="15"/>
      </w:numPr>
      <w:outlineLvl w:val="1"/>
    </w:pPr>
    <w:rPr>
      <w:b/>
    </w:rPr>
  </w:style>
  <w:style w:type="paragraph" w:styleId="Rubrik3">
    <w:name w:val="heading 3"/>
    <w:basedOn w:val="Normal"/>
    <w:next w:val="Text3"/>
    <w:qFormat/>
    <w:pPr>
      <w:keepNext/>
      <w:numPr>
        <w:ilvl w:val="2"/>
        <w:numId w:val="15"/>
      </w:numPr>
      <w:outlineLvl w:val="2"/>
    </w:pPr>
    <w:rPr>
      <w:i/>
    </w:rPr>
  </w:style>
  <w:style w:type="paragraph" w:styleId="Rubrik4">
    <w:name w:val="heading 4"/>
    <w:basedOn w:val="Normal"/>
    <w:next w:val="Text4"/>
    <w:qFormat/>
    <w:pPr>
      <w:keepNext/>
      <w:numPr>
        <w:ilvl w:val="3"/>
        <w:numId w:val="15"/>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rPr>
  </w:style>
  <w:style w:type="paragraph" w:styleId="Punktlista">
    <w:name w:val="List Bullet"/>
    <w:basedOn w:val="Normal"/>
    <w:pPr>
      <w:numPr>
        <w:numId w:val="16"/>
      </w:numPr>
    </w:pPr>
  </w:style>
  <w:style w:type="paragraph" w:styleId="Punktlista2">
    <w:name w:val="List Bullet 2"/>
    <w:basedOn w:val="Normal"/>
    <w:pPr>
      <w:numPr>
        <w:numId w:val="18"/>
      </w:numPr>
    </w:pPr>
  </w:style>
  <w:style w:type="paragraph" w:styleId="Punktlista3">
    <w:name w:val="List Bullet 3"/>
    <w:basedOn w:val="Normal"/>
    <w:pPr>
      <w:numPr>
        <w:numId w:val="19"/>
      </w:numPr>
    </w:pPr>
  </w:style>
  <w:style w:type="paragraph" w:styleId="Punktlista4">
    <w:name w:val="List Bullet 4"/>
    <w:basedOn w:val="Normal"/>
    <w:pPr>
      <w:numPr>
        <w:numId w:val="20"/>
      </w:numPr>
    </w:pPr>
  </w:style>
  <w:style w:type="paragraph" w:styleId="Numreradlista">
    <w:name w:val="List Number"/>
    <w:basedOn w:val="Normal"/>
    <w:pPr>
      <w:numPr>
        <w:numId w:val="26"/>
      </w:numPr>
    </w:pPr>
  </w:style>
  <w:style w:type="paragraph" w:styleId="Numreradlista2">
    <w:name w:val="List Number 2"/>
    <w:basedOn w:val="Normal"/>
    <w:pPr>
      <w:numPr>
        <w:numId w:val="28"/>
      </w:numPr>
    </w:pPr>
  </w:style>
  <w:style w:type="paragraph" w:styleId="Numreradlista3">
    <w:name w:val="List Number 3"/>
    <w:basedOn w:val="Normal"/>
    <w:pPr>
      <w:numPr>
        <w:numId w:val="29"/>
      </w:numPr>
    </w:pPr>
  </w:style>
  <w:style w:type="paragraph" w:styleId="Numreradlista4">
    <w:name w:val="List Number 4"/>
    <w:basedOn w:val="Normal"/>
    <w:pPr>
      <w:numPr>
        <w:numId w:val="30"/>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2"/>
    <w:pPr>
      <w:numPr>
        <w:ilvl w:val="1"/>
        <w:numId w:val="14"/>
      </w:numPr>
    </w:pPr>
  </w:style>
  <w:style w:type="paragraph" w:customStyle="1" w:styleId="NumPar3">
    <w:name w:val="NumPar 3"/>
    <w:basedOn w:val="Normal"/>
    <w:next w:val="Text3"/>
    <w:pPr>
      <w:numPr>
        <w:ilvl w:val="2"/>
        <w:numId w:val="14"/>
      </w:numPr>
    </w:pPr>
  </w:style>
  <w:style w:type="paragraph" w:customStyle="1" w:styleId="NumPar4">
    <w:name w:val="NumPar 4"/>
    <w:basedOn w:val="Normal"/>
    <w:next w:val="Text4"/>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ListBullet1">
    <w:name w:val="List Bullet 1"/>
    <w:basedOn w:val="Normal"/>
    <w:pPr>
      <w:numPr>
        <w:numId w:val="17"/>
      </w:numPr>
    </w:pPr>
  </w:style>
  <w:style w:type="paragraph" w:customStyle="1" w:styleId="ListDash">
    <w:name w:val="List Dash"/>
    <w:basedOn w:val="Normal"/>
    <w:pPr>
      <w:numPr>
        <w:numId w:val="21"/>
      </w:numPr>
    </w:pPr>
  </w:style>
  <w:style w:type="paragraph" w:customStyle="1" w:styleId="ListDash1">
    <w:name w:val="List Dash 1"/>
    <w:basedOn w:val="Normal"/>
    <w:pPr>
      <w:numPr>
        <w:numId w:val="22"/>
      </w:numPr>
    </w:pPr>
  </w:style>
  <w:style w:type="paragraph" w:customStyle="1" w:styleId="ListDash2">
    <w:name w:val="List Dash 2"/>
    <w:basedOn w:val="Normal"/>
    <w:pPr>
      <w:numPr>
        <w:numId w:val="23"/>
      </w:numPr>
    </w:pPr>
  </w:style>
  <w:style w:type="paragraph" w:customStyle="1" w:styleId="ListDash3">
    <w:name w:val="List Dash 3"/>
    <w:basedOn w:val="Normal"/>
    <w:pPr>
      <w:numPr>
        <w:numId w:val="24"/>
      </w:numPr>
    </w:pPr>
  </w:style>
  <w:style w:type="paragraph" w:customStyle="1" w:styleId="ListDash4">
    <w:name w:val="List Dash 4"/>
    <w:basedOn w:val="Normal"/>
    <w:pPr>
      <w:numPr>
        <w:numId w:val="25"/>
      </w:numPr>
    </w:pPr>
  </w:style>
  <w:style w:type="paragraph" w:customStyle="1" w:styleId="ListNumber1">
    <w:name w:val="List Number 1"/>
    <w:basedOn w:val="Text1"/>
    <w:pPr>
      <w:numPr>
        <w:numId w:val="27"/>
      </w:numPr>
    </w:pPr>
  </w:style>
  <w:style w:type="paragraph" w:customStyle="1" w:styleId="ListNumberLevel2">
    <w:name w:val="List Number (Level 2)"/>
    <w:basedOn w:val="Normal"/>
    <w:pPr>
      <w:numPr>
        <w:ilvl w:val="1"/>
        <w:numId w:val="26"/>
      </w:numPr>
    </w:pPr>
  </w:style>
  <w:style w:type="paragraph" w:customStyle="1" w:styleId="ListNumber1Level2">
    <w:name w:val="List Number 1 (Level 2)"/>
    <w:basedOn w:val="Text1"/>
    <w:pPr>
      <w:numPr>
        <w:ilvl w:val="1"/>
        <w:numId w:val="27"/>
      </w:numPr>
    </w:pPr>
  </w:style>
  <w:style w:type="paragraph" w:customStyle="1" w:styleId="ListNumber2Level2">
    <w:name w:val="List Number 2 (Level 2)"/>
    <w:basedOn w:val="Text2"/>
    <w:pPr>
      <w:numPr>
        <w:ilvl w:val="1"/>
        <w:numId w:val="28"/>
      </w:numPr>
    </w:pPr>
  </w:style>
  <w:style w:type="paragraph" w:customStyle="1" w:styleId="ListNumber3Level2">
    <w:name w:val="List Number 3 (Level 2)"/>
    <w:basedOn w:val="Text3"/>
    <w:pPr>
      <w:numPr>
        <w:ilvl w:val="1"/>
        <w:numId w:val="29"/>
      </w:numPr>
    </w:pPr>
  </w:style>
  <w:style w:type="paragraph" w:customStyle="1" w:styleId="ListNumber4Level2">
    <w:name w:val="List Number 4 (Level 2)"/>
    <w:basedOn w:val="Text4"/>
    <w:pPr>
      <w:numPr>
        <w:ilvl w:val="1"/>
        <w:numId w:val="30"/>
      </w:numPr>
    </w:pPr>
  </w:style>
  <w:style w:type="paragraph" w:customStyle="1" w:styleId="ListNumberLevel3">
    <w:name w:val="List Number (Level 3)"/>
    <w:basedOn w:val="Normal"/>
    <w:pPr>
      <w:numPr>
        <w:ilvl w:val="2"/>
        <w:numId w:val="26"/>
      </w:numPr>
    </w:pPr>
  </w:style>
  <w:style w:type="paragraph" w:customStyle="1" w:styleId="ListNumber1Level3">
    <w:name w:val="List Number 1 (Level 3)"/>
    <w:basedOn w:val="Text1"/>
    <w:pPr>
      <w:numPr>
        <w:ilvl w:val="2"/>
        <w:numId w:val="27"/>
      </w:numPr>
    </w:pPr>
  </w:style>
  <w:style w:type="paragraph" w:customStyle="1" w:styleId="ListNumber2Level3">
    <w:name w:val="List Number 2 (Level 3)"/>
    <w:basedOn w:val="Text2"/>
    <w:pPr>
      <w:numPr>
        <w:ilvl w:val="2"/>
        <w:numId w:val="28"/>
      </w:numPr>
    </w:pPr>
  </w:style>
  <w:style w:type="paragraph" w:customStyle="1" w:styleId="ListNumber3Level3">
    <w:name w:val="List Number 3 (Level 3)"/>
    <w:basedOn w:val="Text3"/>
    <w:pPr>
      <w:numPr>
        <w:ilvl w:val="2"/>
        <w:numId w:val="29"/>
      </w:numPr>
    </w:pPr>
  </w:style>
  <w:style w:type="paragraph" w:customStyle="1" w:styleId="ListNumber4Level3">
    <w:name w:val="List Number 4 (Level 3)"/>
    <w:basedOn w:val="Text4"/>
    <w:pPr>
      <w:numPr>
        <w:ilvl w:val="2"/>
        <w:numId w:val="30"/>
      </w:numPr>
    </w:pPr>
  </w:style>
  <w:style w:type="paragraph" w:customStyle="1" w:styleId="ListNumberLevel4">
    <w:name w:val="List Number (Level 4)"/>
    <w:basedOn w:val="Normal"/>
    <w:pPr>
      <w:numPr>
        <w:ilvl w:val="3"/>
        <w:numId w:val="26"/>
      </w:numPr>
    </w:pPr>
  </w:style>
  <w:style w:type="paragraph" w:customStyle="1" w:styleId="ListNumber1Level4">
    <w:name w:val="List Number 1 (Level 4)"/>
    <w:basedOn w:val="Text1"/>
    <w:pPr>
      <w:numPr>
        <w:ilvl w:val="3"/>
        <w:numId w:val="27"/>
      </w:numPr>
    </w:pPr>
  </w:style>
  <w:style w:type="paragraph" w:customStyle="1" w:styleId="ListNumber2Level4">
    <w:name w:val="List Number 2 (Level 4)"/>
    <w:basedOn w:val="Text2"/>
    <w:pPr>
      <w:numPr>
        <w:ilvl w:val="3"/>
        <w:numId w:val="28"/>
      </w:numPr>
    </w:pPr>
  </w:style>
  <w:style w:type="paragraph" w:customStyle="1" w:styleId="ListNumber3Level4">
    <w:name w:val="List Number 3 (Level 4)"/>
    <w:basedOn w:val="Text3"/>
    <w:pPr>
      <w:numPr>
        <w:ilvl w:val="3"/>
        <w:numId w:val="29"/>
      </w:numPr>
    </w:pPr>
  </w:style>
  <w:style w:type="paragraph" w:customStyle="1" w:styleId="ListNumber4Level4">
    <w:name w:val="List Number 4 (Level 4)"/>
    <w:basedOn w:val="Text4"/>
    <w:pPr>
      <w:numPr>
        <w:ilvl w:val="3"/>
        <w:numId w:val="30"/>
      </w:numPr>
    </w:pPr>
  </w:style>
  <w:style w:type="paragraph" w:customStyle="1" w:styleId="TableTitle">
    <w:name w:val="Table Title"/>
    <w:basedOn w:val="Normal"/>
    <w:next w:val="Normal"/>
    <w:pPr>
      <w:jc w:val="center"/>
    </w:pPr>
    <w:rPr>
      <w:b/>
    </w:rPr>
  </w:style>
  <w:style w:type="character" w:customStyle="1" w:styleId="Marker">
    <w:name w:val="Marker"/>
    <w:basedOn w:val="Standardstycketeckensnitt"/>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TOCHeading">
    <w:name w:val="TOC Heading"/>
    <w:basedOn w:val="Normal"/>
    <w:next w:val="Normal"/>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rsid w:val="00547D18"/>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table" w:styleId="Tabellrutnt">
    <w:name w:val="Table Grid"/>
    <w:basedOn w:val="Normaltabell"/>
    <w:rsid w:val="006F4021"/>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qFormat/>
    <w:rPr>
      <w:i/>
      <w:iCs/>
    </w:rPr>
  </w:style>
  <w:style w:type="character" w:customStyle="1" w:styleId="Point1Char">
    <w:name w:val="Point 1 Char"/>
    <w:basedOn w:val="Standardstycketeckensnitt"/>
    <w:rPr>
      <w:noProof w:val="0"/>
      <w:snapToGrid w:val="0"/>
      <w:sz w:val="24"/>
      <w:szCs w:val="24"/>
      <w:lang w:val="de-DE" w:eastAsia="en-GB" w:bidi="ar-SA"/>
    </w:rPr>
  </w:style>
  <w:style w:type="character" w:customStyle="1" w:styleId="NormalRightChar">
    <w:name w:val="Normal Right Char"/>
    <w:basedOn w:val="Standardstycketeckensnitt"/>
    <w:rPr>
      <w:noProof w:val="0"/>
      <w:snapToGrid w:val="0"/>
      <w:sz w:val="24"/>
      <w:szCs w:val="24"/>
      <w:lang w:val="en-GB" w:eastAsia="en-GB"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paragraph" w:styleId="Ballongtext">
    <w:name w:val="Balloon Text"/>
    <w:basedOn w:val="Normal"/>
    <w:semiHidden/>
    <w:rPr>
      <w:rFonts w:ascii="Tahoma" w:hAnsi="Tahoma" w:cs="Tahoma"/>
      <w:sz w:val="16"/>
      <w:szCs w:val="16"/>
    </w:rPr>
  </w:style>
  <w:style w:type="character" w:customStyle="1" w:styleId="FichefinancirestandardtitreChar">
    <w:name w:val="Fiche financière (standard) titre Char"/>
    <w:basedOn w:val="Standardstycketeckensnitt"/>
    <w:rPr>
      <w:b/>
      <w:noProof w:val="0"/>
      <w:sz w:val="24"/>
      <w:u w:val="single"/>
      <w:lang w:val="en-GB" w:eastAsia="zh-CN" w:bidi="ar-SA"/>
    </w:rPr>
  </w:style>
  <w:style w:type="paragraph" w:customStyle="1" w:styleId="FichedimpactPMEtitre">
    <w:name w:val="Fiche d'impact PME titre"/>
    <w:basedOn w:val="Normal"/>
    <w:next w:val="Normal"/>
    <w:rsid w:val="000F4390"/>
    <w:pPr>
      <w:jc w:val="center"/>
    </w:pPr>
    <w:rPr>
      <w:b/>
      <w:lang w:eastAsia="en-US"/>
    </w:rPr>
  </w:style>
  <w:style w:type="paragraph" w:customStyle="1" w:styleId="Fichefinanciretextetable">
    <w:name w:val="Fiche financière texte (table)"/>
    <w:basedOn w:val="Normal"/>
    <w:rsid w:val="000F4390"/>
    <w:pPr>
      <w:spacing w:before="0" w:after="0"/>
      <w:jc w:val="left"/>
    </w:pPr>
    <w:rPr>
      <w:sz w:val="20"/>
      <w:lang w:eastAsia="en-US"/>
    </w:rPr>
  </w:style>
  <w:style w:type="paragraph" w:customStyle="1" w:styleId="Fichefinanciretitre">
    <w:name w:val="Fiche financière titre"/>
    <w:basedOn w:val="Normal"/>
    <w:next w:val="Normal"/>
    <w:rsid w:val="000F4390"/>
    <w:pPr>
      <w:jc w:val="center"/>
    </w:pPr>
    <w:rPr>
      <w:b/>
      <w:u w:val="single"/>
      <w:lang w:eastAsia="en-US"/>
    </w:rPr>
  </w:style>
  <w:style w:type="paragraph" w:customStyle="1" w:styleId="Fichefinanciretitreactetable">
    <w:name w:val="Fiche financière titre (acte table)"/>
    <w:basedOn w:val="Normal"/>
    <w:next w:val="Normal"/>
    <w:rsid w:val="000F4390"/>
    <w:pPr>
      <w:jc w:val="center"/>
    </w:pPr>
    <w:rPr>
      <w:b/>
      <w:sz w:val="40"/>
      <w:lang w:eastAsia="en-US"/>
    </w:rPr>
  </w:style>
  <w:style w:type="paragraph" w:customStyle="1" w:styleId="Fichefinanciretitreacte">
    <w:name w:val="Fiche financière titre (acte)"/>
    <w:basedOn w:val="Normal"/>
    <w:next w:val="Normal"/>
    <w:rsid w:val="000F4390"/>
    <w:pPr>
      <w:jc w:val="center"/>
    </w:pPr>
    <w:rPr>
      <w:b/>
      <w:u w:val="single"/>
      <w:lang w:eastAsia="en-US"/>
    </w:rPr>
  </w:style>
  <w:style w:type="paragraph" w:customStyle="1" w:styleId="Fichefinanciretitretable">
    <w:name w:val="Fiche financière titre (table)"/>
    <w:basedOn w:val="Normal"/>
    <w:rsid w:val="000F4390"/>
    <w:pPr>
      <w:jc w:val="center"/>
    </w:pPr>
    <w:rPr>
      <w:b/>
      <w:sz w:val="40"/>
      <w:lang w:eastAsia="en-US"/>
    </w:rPr>
  </w:style>
  <w:style w:type="paragraph" w:styleId="Brdtext">
    <w:name w:val="Body Text"/>
    <w:basedOn w:val="Normal"/>
    <w:rsid w:val="00F0056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9608</Words>
  <Characters>52847</Characters>
  <Application>Microsoft Office Word</Application>
  <DocSecurity>4</DocSecurity>
  <Lines>1601</Lines>
  <Paragraphs>879</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61576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cp:lastModifiedBy>Lars Brink</cp:lastModifiedBy>
  <cp:revision>2</cp:revision>
  <cp:lastPrinted>2006-06-16T08:10:00Z</cp:lastPrinted>
  <dcterms:created xsi:type="dcterms:W3CDTF">2025-12-16T23:15:00Z</dcterms:created>
  <dcterms:modified xsi:type="dcterms:W3CDTF">2025-12-16T23:15:00Z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COM/SEC</vt:lpwstr>
  </property>
  <property fmtid="{D5CDD505-2E9C-101B-9397-08002B2CF9AE}" pid="3" name="Classification">
    <vt:lpwstr> </vt:lpwstr>
  </property>
  <property fmtid="{D5CDD505-2E9C-101B-9397-08002B2CF9AE}" pid="4" name="Version">
    <vt:lpwstr>5.4.2.5</vt:lpwstr>
  </property>
  <property fmtid="{D5CDD505-2E9C-101B-9397-08002B2CF9AE}" pid="5" name="Last edited using">
    <vt:lpwstr>LW 5.4, Build 20051126</vt:lpwstr>
  </property>
  <property fmtid="{D5CDD505-2E9C-101B-9397-08002B2CF9AE}" pid="6" name="Created using">
    <vt:lpwstr>LW 5.4, Build 20051126</vt:lpwstr>
  </property>
</Properties>
</file>