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B28B7">
        <w:tblPrEx>
          <w:tblCellMar>
            <w:top w:w="0" w:type="dxa"/>
            <w:left w:w="0" w:type="dxa"/>
            <w:bottom w:w="0" w:type="dxa"/>
            <w:right w:w="0" w:type="dxa"/>
          </w:tblCellMar>
        </w:tblPrEx>
        <w:trPr>
          <w:gridAfter w:val="2"/>
          <w:wAfter w:w="1758" w:type="dxa"/>
          <w:cantSplit/>
          <w:trHeight w:val="1320"/>
        </w:trPr>
        <w:tc>
          <w:tcPr>
            <w:tcW w:w="5897" w:type="dxa"/>
          </w:tcPr>
          <w:p w:rsidR="008B28B7" w:rsidRPr="008B28B7" w:rsidRDefault="008B28B7">
            <w:pPr>
              <w:pStyle w:val="HuvudRubrik"/>
            </w:pPr>
            <w:r w:rsidRPr="008B28B7">
              <w:t>Regeringskansliet</w:t>
            </w:r>
          </w:p>
          <w:p w:rsidR="008B28B7" w:rsidRPr="008B28B7" w:rsidRDefault="008B28B7">
            <w:pPr>
              <w:pStyle w:val="HuvudRubrik"/>
            </w:pPr>
            <w:r w:rsidRPr="008B28B7">
              <w:t>Faktapromemoria  2008/09:FPM5</w:t>
            </w:r>
          </w:p>
        </w:tc>
      </w:tr>
      <w:tr w:rsidR="00000000" w:rsidRPr="008B28B7">
        <w:tblPrEx>
          <w:tblCellMar>
            <w:top w:w="0" w:type="dxa"/>
            <w:left w:w="0" w:type="dxa"/>
            <w:bottom w:w="0" w:type="dxa"/>
            <w:right w:w="0" w:type="dxa"/>
          </w:tblCellMar>
        </w:tblPrEx>
        <w:trPr>
          <w:gridAfter w:val="2"/>
          <w:wAfter w:w="1758" w:type="dxa"/>
          <w:cantSplit/>
          <w:trHeight w:val="240"/>
        </w:trPr>
        <w:tc>
          <w:tcPr>
            <w:tcW w:w="5897" w:type="dxa"/>
          </w:tcPr>
          <w:p w:rsidR="008B28B7" w:rsidRPr="008B28B7" w:rsidRDefault="008B28B7">
            <w:pPr>
              <w:pStyle w:val="HuvudRubrik"/>
              <w:rPr>
                <w:sz w:val="28"/>
              </w:rPr>
            </w:pPr>
            <w:r w:rsidRPr="008B28B7">
              <w:t>Informationssystemet för utbyte av uppgifter ur kriminalregister (Ecris)</w:t>
            </w:r>
          </w:p>
        </w:tc>
      </w:tr>
      <w:tr w:rsidR="00000000" w:rsidRPr="008B28B7">
        <w:tblPrEx>
          <w:tblCellMar>
            <w:top w:w="0" w:type="dxa"/>
            <w:left w:w="0" w:type="dxa"/>
            <w:bottom w:w="0" w:type="dxa"/>
            <w:right w:w="0" w:type="dxa"/>
          </w:tblCellMar>
        </w:tblPrEx>
        <w:trPr>
          <w:cantSplit/>
          <w:trHeight w:val="285"/>
        </w:trPr>
        <w:tc>
          <w:tcPr>
            <w:tcW w:w="7655" w:type="dxa"/>
            <w:gridSpan w:val="3"/>
          </w:tcPr>
          <w:p w:rsidR="008B28B7" w:rsidRPr="008B28B7" w:rsidRDefault="008B28B7">
            <w:pPr>
              <w:pStyle w:val="Departement"/>
              <w:rPr>
                <w:sz w:val="28"/>
              </w:rPr>
            </w:pPr>
            <w:r w:rsidRPr="008B28B7">
              <w:t>Justitiedepartementet</w:t>
            </w:r>
          </w:p>
        </w:tc>
      </w:tr>
      <w:tr w:rsidR="00000000" w:rsidRPr="008B28B7">
        <w:tblPrEx>
          <w:tblCellMar>
            <w:top w:w="0" w:type="dxa"/>
            <w:left w:w="0" w:type="dxa"/>
            <w:bottom w:w="0" w:type="dxa"/>
            <w:right w:w="0" w:type="dxa"/>
          </w:tblCellMar>
        </w:tblPrEx>
        <w:trPr>
          <w:cantSplit/>
          <w:trHeight w:val="240"/>
        </w:trPr>
        <w:tc>
          <w:tcPr>
            <w:tcW w:w="7655" w:type="dxa"/>
            <w:gridSpan w:val="3"/>
          </w:tcPr>
          <w:p w:rsidR="008B28B7" w:rsidRPr="008B28B7" w:rsidRDefault="008B28B7">
            <w:pPr>
              <w:pStyle w:val="Dokumentdatum"/>
            </w:pPr>
            <w:r w:rsidRPr="008B28B7">
              <w:t>2008-09-19</w:t>
            </w:r>
          </w:p>
        </w:tc>
      </w:tr>
      <w:tr w:rsidR="00000000" w:rsidRPr="008B28B7">
        <w:tblPrEx>
          <w:tblCellMar>
            <w:top w:w="0" w:type="dxa"/>
            <w:left w:w="0" w:type="dxa"/>
            <w:bottom w:w="0" w:type="dxa"/>
            <w:right w:w="0" w:type="dxa"/>
          </w:tblCellMar>
        </w:tblPrEx>
        <w:trPr>
          <w:cantSplit/>
          <w:trHeight w:val="726"/>
        </w:trPr>
        <w:tc>
          <w:tcPr>
            <w:tcW w:w="7655" w:type="dxa"/>
            <w:gridSpan w:val="3"/>
            <w:vAlign w:val="bottom"/>
          </w:tcPr>
          <w:p w:rsidR="008B28B7" w:rsidRPr="008B28B7" w:rsidRDefault="008B28B7">
            <w:pPr>
              <w:pStyle w:val="Dokumentbeteckning"/>
            </w:pPr>
            <w:r w:rsidRPr="008B28B7">
              <w:t>Dokumentbeteckning</w:t>
            </w:r>
          </w:p>
        </w:tc>
      </w:tr>
      <w:tr w:rsidR="00000000" w:rsidRPr="008B28B7">
        <w:tblPrEx>
          <w:tblCellMar>
            <w:top w:w="0" w:type="dxa"/>
            <w:left w:w="0" w:type="dxa"/>
            <w:bottom w:w="0" w:type="dxa"/>
            <w:right w:w="0" w:type="dxa"/>
          </w:tblCellMar>
        </w:tblPrEx>
        <w:trPr>
          <w:gridAfter w:val="1"/>
          <w:wAfter w:w="1560" w:type="dxa"/>
          <w:trHeight w:val="120"/>
        </w:trPr>
        <w:tc>
          <w:tcPr>
            <w:tcW w:w="6095" w:type="dxa"/>
            <w:gridSpan w:val="2"/>
          </w:tcPr>
          <w:p w:rsidR="008B28B7" w:rsidRPr="008B28B7" w:rsidRDefault="008B28B7">
            <w:bookmarkStart w:id="0" w:name="KomNr"/>
            <w:bookmarkEnd w:id="0"/>
            <w:r w:rsidRPr="008B28B7">
              <w:t>KOM (2008) 332</w:t>
            </w:r>
          </w:p>
        </w:tc>
      </w:tr>
      <w:tr w:rsidR="00000000" w:rsidRPr="008B28B7">
        <w:tblPrEx>
          <w:tblCellMar>
            <w:top w:w="0" w:type="dxa"/>
            <w:left w:w="0" w:type="dxa"/>
            <w:bottom w:w="0" w:type="dxa"/>
            <w:right w:w="0" w:type="dxa"/>
          </w:tblCellMar>
        </w:tblPrEx>
        <w:trPr>
          <w:gridAfter w:val="1"/>
          <w:wAfter w:w="1560" w:type="dxa"/>
          <w:trHeight w:val="120"/>
        </w:trPr>
        <w:tc>
          <w:tcPr>
            <w:tcW w:w="6095" w:type="dxa"/>
            <w:gridSpan w:val="2"/>
          </w:tcPr>
          <w:p w:rsidR="008B28B7" w:rsidRPr="008B28B7" w:rsidRDefault="008B28B7">
            <w:pPr>
              <w:pStyle w:val="Dokumentbeteckning-titel"/>
            </w:pPr>
            <w:r w:rsidRPr="008B28B7">
              <w:t>Förslag till rådets beslut om inrättande av Europeiska informationssystemet för utbyte av uppgifter ur kriminalregister (Ecris) i enlighet med 11 I rambeslut 2008/XX/RIF</w:t>
            </w:r>
          </w:p>
        </w:tc>
      </w:tr>
      <w:tr w:rsidR="00000000" w:rsidRPr="008B28B7">
        <w:tblPrEx>
          <w:tblCellMar>
            <w:top w:w="0" w:type="dxa"/>
            <w:left w:w="0" w:type="dxa"/>
            <w:bottom w:w="0" w:type="dxa"/>
            <w:right w:w="0" w:type="dxa"/>
          </w:tblCellMar>
        </w:tblPrEx>
        <w:trPr>
          <w:gridAfter w:val="1"/>
          <w:wAfter w:w="1560" w:type="dxa"/>
          <w:trHeight w:val="120"/>
        </w:trPr>
        <w:tc>
          <w:tcPr>
            <w:tcW w:w="6095" w:type="dxa"/>
            <w:gridSpan w:val="2"/>
          </w:tcPr>
          <w:p w:rsidR="008B28B7" w:rsidRPr="008B28B7" w:rsidRDefault="008B28B7">
            <w:r w:rsidRPr="008B28B7">
              <w:t>2008/XX/RIF 5968/08</w:t>
            </w:r>
          </w:p>
        </w:tc>
      </w:tr>
      <w:tr w:rsidR="00000000" w:rsidRPr="008B28B7">
        <w:tblPrEx>
          <w:tblCellMar>
            <w:top w:w="0" w:type="dxa"/>
            <w:left w:w="0" w:type="dxa"/>
            <w:bottom w:w="0" w:type="dxa"/>
            <w:right w:w="0" w:type="dxa"/>
          </w:tblCellMar>
        </w:tblPrEx>
        <w:trPr>
          <w:gridAfter w:val="1"/>
          <w:wAfter w:w="1560" w:type="dxa"/>
          <w:trHeight w:val="120"/>
        </w:trPr>
        <w:tc>
          <w:tcPr>
            <w:tcW w:w="6095" w:type="dxa"/>
            <w:gridSpan w:val="2"/>
          </w:tcPr>
          <w:p w:rsidR="008B28B7" w:rsidRPr="008B28B7" w:rsidRDefault="008B28B7">
            <w:pPr>
              <w:pStyle w:val="Dokumentbeteckning-titel"/>
            </w:pPr>
            <w:r w:rsidRPr="008B28B7">
              <w:t>Förslag till rådets rambeslut om organisationen av medlemsstaternas utbyte av uppgifter ur kriminalregistret och uppgifternas innehåll</w:t>
            </w:r>
          </w:p>
        </w:tc>
      </w:tr>
      <w:tr w:rsidR="00000000" w:rsidRPr="008B28B7">
        <w:tblPrEx>
          <w:tblCellMar>
            <w:top w:w="0" w:type="dxa"/>
            <w:left w:w="0" w:type="dxa"/>
            <w:bottom w:w="0" w:type="dxa"/>
            <w:right w:w="0" w:type="dxa"/>
          </w:tblCellMar>
        </w:tblPrEx>
        <w:trPr>
          <w:gridAfter w:val="1"/>
          <w:wAfter w:w="1560" w:type="dxa"/>
          <w:trHeight w:val="120"/>
        </w:trPr>
        <w:tc>
          <w:tcPr>
            <w:tcW w:w="6095" w:type="dxa"/>
            <w:gridSpan w:val="2"/>
          </w:tcPr>
          <w:p w:rsidR="008B28B7" w:rsidRPr="008B28B7" w:rsidRDefault="008B28B7">
            <w:r w:rsidRPr="008B28B7">
              <w:t>FaktaPM 2005/06:FPM74</w:t>
            </w:r>
          </w:p>
        </w:tc>
      </w:tr>
      <w:tr w:rsidR="00000000" w:rsidRPr="008B28B7">
        <w:tblPrEx>
          <w:tblCellMar>
            <w:top w:w="0" w:type="dxa"/>
            <w:left w:w="0" w:type="dxa"/>
            <w:bottom w:w="0" w:type="dxa"/>
            <w:right w:w="0" w:type="dxa"/>
          </w:tblCellMar>
        </w:tblPrEx>
        <w:trPr>
          <w:gridAfter w:val="1"/>
          <w:wAfter w:w="1560" w:type="dxa"/>
          <w:trHeight w:val="120"/>
        </w:trPr>
        <w:tc>
          <w:tcPr>
            <w:tcW w:w="6095" w:type="dxa"/>
            <w:gridSpan w:val="2"/>
          </w:tcPr>
          <w:p w:rsidR="008B28B7" w:rsidRPr="008B28B7" w:rsidRDefault="008B28B7">
            <w:pPr>
              <w:pStyle w:val="Dokumentbeteckning-titel"/>
            </w:pPr>
            <w:r w:rsidRPr="008B28B7">
              <w:t>Rambeslut om utbyte av information ur kriminalregister</w:t>
            </w:r>
          </w:p>
        </w:tc>
      </w:tr>
    </w:tbl>
    <w:p w:rsidR="008B28B7" w:rsidRPr="008B28B7" w:rsidRDefault="008B28B7">
      <w:pPr>
        <w:pStyle w:val="Rubrik1"/>
        <w:numPr>
          <w:ilvl w:val="0"/>
          <w:numId w:val="0"/>
        </w:numPr>
      </w:pPr>
      <w:r w:rsidRPr="008B28B7">
        <w:rPr>
          <w:noProof/>
        </w:rPr>
        <w:drawing>
          <wp:inline distT="0" distB="0" distL="0" distR="0">
            <wp:extent cx="3746500" cy="2349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6500" cy="234950"/>
                    </a:xfrm>
                    <a:prstGeom prst="rect">
                      <a:avLst/>
                    </a:prstGeom>
                    <a:noFill/>
                    <a:ln>
                      <a:noFill/>
                    </a:ln>
                  </pic:spPr>
                </pic:pic>
              </a:graphicData>
            </a:graphic>
          </wp:inline>
        </w:drawing>
      </w:r>
    </w:p>
    <w:p w:rsidR="008B28B7" w:rsidRPr="008B28B7" w:rsidRDefault="008B28B7">
      <w:pPr>
        <w:pStyle w:val="Rubrik1"/>
        <w:numPr>
          <w:ilvl w:val="0"/>
          <w:numId w:val="0"/>
        </w:numPr>
      </w:pPr>
      <w:r w:rsidRPr="008B28B7">
        <w:t>Sammanfattning</w:t>
      </w:r>
    </w:p>
    <w:p w:rsidR="008B28B7" w:rsidRPr="008B28B7" w:rsidRDefault="008B28B7">
      <w:pPr>
        <w:pStyle w:val="normal0"/>
      </w:pPr>
      <w:r w:rsidRPr="008B28B7">
        <w:t>Förslaget är av teknisk karaktär och har till uppgift att inrätta den tekniska lösningen för genomförandet av rambeslutet om medlemsstaternas utbyte av uppgifter ur kriminalregister. Genom rådsbeslutet inrättas Europeiska informationssystemet för utbyte av uppgifter ur kriminalregister (Ecris). Beståndsdelarna i ett standardiserat format för det elektroniska utbytet fastställs samt vissa allmänna och tekniska aspekter kring det tekniska genomförandet. Systemet ska vara decentraliserat och baseras på medlem</w:t>
      </w:r>
      <w:r w:rsidRPr="008B28B7">
        <w:t>sstaternas nationella kriminalregister. Det kommer inte att skapas någon EU-</w:t>
      </w:r>
      <w:r w:rsidRPr="008B28B7">
        <w:lastRenderedPageBreak/>
        <w:t xml:space="preserve">gemensam databas där uppgifter lagras centralt och medlemsstaterna kommer inte att ha direkt åtkomst till andra medlemsstaters kriminalregister. </w:t>
      </w:r>
    </w:p>
    <w:p w:rsidR="008B28B7" w:rsidRPr="008B28B7" w:rsidRDefault="008B28B7">
      <w:r w:rsidRPr="008B28B7">
        <w:t xml:space="preserve">Regeringen är positiv till ett förbättrat och mer effektivt informationsutbyte av uppgifter ur kriminalregister. Det är viktigt, inte minst ur ett brottsbekämpningsperspektiv, att medlemsstaterna får en samlad bild över vilka domar som har meddelats mot de egna medborgarna. </w:t>
      </w:r>
    </w:p>
    <w:p w:rsidR="008B28B7" w:rsidRPr="008B28B7" w:rsidRDefault="008B28B7">
      <w:pPr>
        <w:pStyle w:val="Rubrik1"/>
      </w:pPr>
      <w:r w:rsidRPr="008B28B7">
        <w:t>Förslaget</w:t>
      </w:r>
    </w:p>
    <w:p w:rsidR="008B28B7" w:rsidRPr="008B28B7" w:rsidRDefault="008B28B7">
      <w:pPr>
        <w:pStyle w:val="Rubrik2"/>
      </w:pPr>
      <w:r w:rsidRPr="008B28B7">
        <w:t>Ärendets bakgrund</w:t>
      </w:r>
    </w:p>
    <w:p w:rsidR="008B28B7" w:rsidRPr="008B28B7" w:rsidRDefault="008B28B7">
      <w:r w:rsidRPr="008B28B7">
        <w:t>I juni 2007 nådde rådet en politisk överenskommelse om rambeslutet om organisationen av medlemsstaternas utbyte av uppgifter ur kriminalregistret och uppgifternas innehåll. Rambeslutets huvudsyfte är att precisera hur medlemsstaterna ska överföra uppgifter om fällande domar till den medlemsstat där den dömda personen är medborgare samt att lägga grunden för ett datoriserat system för utbyte av uppgifter om fällande domar. Det rör sig bl.a. om uppgifter såsom namn, kön, födelsedatum, datum för domen, domsto</w:t>
      </w:r>
      <w:r w:rsidRPr="008B28B7">
        <w:t xml:space="preserve">lens namn, brottstyp och utdömd påföljd. </w:t>
      </w:r>
    </w:p>
    <w:p w:rsidR="008B28B7" w:rsidRPr="008B28B7" w:rsidRDefault="008B28B7">
      <w:pPr>
        <w:ind w:firstLine="142"/>
      </w:pPr>
      <w:r w:rsidRPr="008B28B7">
        <w:t xml:space="preserve">Syftet med det aktuella rådsbeslutet är att genomföra artikel 11 i rambeslutet som reglerar ”Format och andra sätt att organisera och underlätta utbytet”, det vill säga att skapa den tekniska lösningen för informationsutbytet. </w:t>
      </w:r>
    </w:p>
    <w:p w:rsidR="008B28B7" w:rsidRPr="008B28B7" w:rsidRDefault="008B28B7">
      <w:pPr>
        <w:pStyle w:val="Rubrik2"/>
      </w:pPr>
      <w:r w:rsidRPr="008B28B7">
        <w:t>Förslagets innehåll</w:t>
      </w:r>
    </w:p>
    <w:p w:rsidR="008B28B7" w:rsidRPr="008B28B7" w:rsidRDefault="008B28B7">
      <w:r w:rsidRPr="008B28B7">
        <w:t xml:space="preserve">Genom förslaget inrättas Ecris som är ett europeiskt informationssystem för utbyte av uppgifter ur kriminalregister. Samtidigt fastställs komponenterna i ett standardiserat format för det elektroniska utbytet. </w:t>
      </w:r>
    </w:p>
    <w:p w:rsidR="008B28B7" w:rsidRPr="008B28B7" w:rsidRDefault="008B28B7">
      <w:pPr>
        <w:pStyle w:val="normal0"/>
      </w:pPr>
    </w:p>
    <w:p w:rsidR="008B28B7" w:rsidRPr="008B28B7" w:rsidRDefault="008B28B7">
      <w:pPr>
        <w:pStyle w:val="normal0"/>
      </w:pPr>
      <w:r w:rsidRPr="008B28B7">
        <w:t xml:space="preserve">Systemet ska vara decentraliserat och baseras på medlemsstaternas nationella kriminalregister, en gemensam kommunikationsstruktur och en anslutningsprogramvara. Det kommer därför inte att skapas någon EU-gemensam databas där uppgifter lagras centralt och medlemsstaterna kommer inte att ha direkt åtkomst till andra medlemsstaters kriminalregister. </w:t>
      </w:r>
    </w:p>
    <w:p w:rsidR="008B28B7" w:rsidRPr="008B28B7" w:rsidRDefault="008B28B7">
      <w:pPr>
        <w:pStyle w:val="normal0"/>
      </w:pPr>
    </w:p>
    <w:p w:rsidR="008B28B7" w:rsidRPr="008B28B7" w:rsidRDefault="008B28B7">
      <w:pPr>
        <w:pStyle w:val="normal0"/>
      </w:pPr>
      <w:r w:rsidRPr="008B28B7">
        <w:t xml:space="preserve">Den gemensamma kommunikationsinfrastrukturen ska vara baserad på kommunikationsnätet för säkra transeuropeiska telematiktjänster för myndigheter (S-Testa) som kommissionen ansvarar för. Med anledning av detta ska kommissionen tillhandahålla mjukvara och allmänt stöd till medlemsstaterna för att driften av systemet ska fungera. Mjukvaran är dock frivillig för medlemsstaterna att använda. </w:t>
      </w:r>
    </w:p>
    <w:p w:rsidR="008B28B7" w:rsidRPr="008B28B7" w:rsidRDefault="008B28B7">
      <w:pPr>
        <w:pStyle w:val="normal0"/>
      </w:pPr>
    </w:p>
    <w:p w:rsidR="008B28B7" w:rsidRPr="008B28B7" w:rsidRDefault="008B28B7">
      <w:pPr>
        <w:pStyle w:val="normal0"/>
      </w:pPr>
      <w:r w:rsidRPr="008B28B7">
        <w:t>Vid översändande av uppgifterna ska medlemsstaterna uppge speciella koder för brottstyper, påföljder och parametrar som fastställs i de två annexen. Medlemsstaterna ska därför upprätta en förteckning över brott och påföljder i den nationella brottsbalken och specificera inom vilka kategorier de faller. Förteckningen ska inkludera gärningens beteckning eller rättsliga klassificering samt en hänvisning till tillämplig lagbestämmelse. Det är frivilligt att även tillhandahålla en kort beskrivning av brottsrekvi</w:t>
      </w:r>
      <w:r w:rsidRPr="008B28B7">
        <w:t>siten. En lista över de nationella brottmålsdomstolarna ska också bifogas. Informationen ska uppdateras regelbundet och sändas till kommissionen. Kategorierna ska inte användas för att uppnå rättslig likvärdighet mellan medlemsstaternas brott och påföljder utan de har till syfte att fungera som verktyg för mottagarna att lättare förstå den översända informationens innehåll.</w:t>
      </w:r>
    </w:p>
    <w:p w:rsidR="008B28B7" w:rsidRPr="008B28B7" w:rsidRDefault="008B28B7">
      <w:pPr>
        <w:pStyle w:val="normal0"/>
      </w:pPr>
    </w:p>
    <w:p w:rsidR="008B28B7" w:rsidRPr="008B28B7" w:rsidRDefault="008B28B7">
      <w:pPr>
        <w:pStyle w:val="normal0"/>
      </w:pPr>
      <w:r w:rsidRPr="008B28B7">
        <w:t>Enligt förslaget ska åtgärder som krävs för den tekniska utvecklingen och driften av Ecris antas enligt kommittéförfarande, särskilt frågor kring tekniska specifikationer för utbytet, förfaranden för att bekräfta att programvaran stämmer överens med de tekniska specifikationerna och frågor som rör den gemensamma kommunikationsinfrastrukturen. Kommittén ska även anta en handbok för utbyte av uppgifter samt bestämmelser kring den statistik som krävs för övervakning av systemet och statistik om utbytet av uppg</w:t>
      </w:r>
      <w:r w:rsidRPr="008B28B7">
        <w:t xml:space="preserve">ifter ur registret, deras typ och förekomstfrekvens. </w:t>
      </w:r>
    </w:p>
    <w:p w:rsidR="008B28B7" w:rsidRPr="008B28B7" w:rsidRDefault="008B28B7">
      <w:pPr>
        <w:pStyle w:val="normal0"/>
      </w:pPr>
    </w:p>
    <w:p w:rsidR="008B28B7" w:rsidRPr="008B28B7" w:rsidRDefault="008B28B7">
      <w:pPr>
        <w:pStyle w:val="normal0"/>
      </w:pPr>
      <w:r w:rsidRPr="008B28B7">
        <w:t xml:space="preserve">Kommissionen ska regelbundet offentliggöra en rapport över användandet av Ecris, baserat på den statistik som systemet genererar. </w:t>
      </w:r>
    </w:p>
    <w:p w:rsidR="008B28B7" w:rsidRPr="008B28B7" w:rsidRDefault="008B28B7">
      <w:pPr>
        <w:pStyle w:val="normal0"/>
      </w:pPr>
    </w:p>
    <w:p w:rsidR="008B28B7" w:rsidRPr="008B28B7" w:rsidRDefault="008B28B7">
      <w:pPr>
        <w:pStyle w:val="normal0"/>
      </w:pPr>
      <w:r w:rsidRPr="008B28B7">
        <w:t xml:space="preserve">Medlemsstaterna beslutar själva när de ska koppla upp sig till Ecris beroende på hur snabbt systemet kommer på plats i respektive land. Det måste dock ske inom den tidsfrist som anges i rambeslutets artikel 11.6 det vill säga senast tre år efter rådsbeslutets antagande. </w:t>
      </w:r>
    </w:p>
    <w:p w:rsidR="008B28B7" w:rsidRPr="008B28B7" w:rsidRDefault="008B28B7">
      <w:pPr>
        <w:pStyle w:val="Rubrik2"/>
      </w:pPr>
      <w:r w:rsidRPr="008B28B7">
        <w:t>Gällande svenska regler och förslagets effekt på dessa</w:t>
      </w:r>
    </w:p>
    <w:p w:rsidR="008B28B7" w:rsidRPr="008B28B7" w:rsidRDefault="008B28B7">
      <w:r w:rsidRPr="008B28B7">
        <w:t>Förslaget berör främst tekniska frågor och torde inte kräva några lagändringar.</w:t>
      </w:r>
    </w:p>
    <w:p w:rsidR="008B28B7" w:rsidRPr="008B28B7" w:rsidRDefault="008B28B7">
      <w:pPr>
        <w:pStyle w:val="Rubrik2"/>
      </w:pPr>
      <w:r w:rsidRPr="008B28B7">
        <w:t>Budgetära konsekvenser / Konsekvensanalys</w:t>
      </w:r>
    </w:p>
    <w:p w:rsidR="008B28B7" w:rsidRPr="008B28B7" w:rsidRDefault="008B28B7">
      <w:r w:rsidRPr="008B28B7">
        <w:t>Rådsbeslutet är avsett att effektivisera och förbättra det rättsliga samarbetet inom EU. Förbättrade möjligheter för de brottsutredande myndigheterna bidrar till en förbättrad brottsbekämpning. Genomförande av ett elektroniskt informationsutbyte kommer att få konsekvenser för budgeten, både på EU-nivå och nationell nivå. Stora delar av de gemensamma kostnaderna kommer att täckas av det särskilda finansieringsprogrammet Straffrätt, som en del av det allmänna programmet om säkerhet och skydd av friheter. Kom</w:t>
      </w:r>
      <w:r w:rsidRPr="008B28B7">
        <w:t xml:space="preserve">missionen ska stå för kostnaderna för mjukvara och teknisk support medan medlemsstaterna står för nationella implementeringskostnader samt normala förvaltnings- och användarkostnader. </w:t>
      </w:r>
    </w:p>
    <w:p w:rsidR="008B28B7" w:rsidRPr="008B28B7" w:rsidRDefault="008B28B7">
      <w:pPr>
        <w:autoSpaceDE w:val="0"/>
        <w:autoSpaceDN w:val="0"/>
        <w:adjustRightInd w:val="0"/>
        <w:spacing w:before="0" w:line="240" w:lineRule="auto"/>
        <w:jc w:val="left"/>
      </w:pPr>
    </w:p>
    <w:p w:rsidR="008B28B7" w:rsidRPr="008B28B7" w:rsidRDefault="008B28B7">
      <w:pPr>
        <w:pStyle w:val="normal0"/>
      </w:pPr>
      <w:r w:rsidRPr="008B28B7">
        <w:t xml:space="preserve">Under senare tid har det inom EU förhandlats ett flertal rättsakter som rör samarbetet mellan brottsbekämpande myndigheter och det straffrättsliga samarbetet. Flera av dessa rättsakter liksom den nu aktuella rör informationsutbyte </w:t>
      </w:r>
      <w:r w:rsidRPr="008B28B7">
        <w:rPr>
          <w:color w:val="000000"/>
          <w:sz w:val="20"/>
        </w:rPr>
        <w:t>och påverkar bl.a. myndigheters tekniska lösningar för personuppgiftsbehandling. Flera av dessa rättsakter syftar till att effektivisera brottsbekämpningen och kan därmed på sikt väntas medföra ett effektivare resursutnyttjande. Det är dock svårt att med säkerhet bedöma vilka kostnader arbetet med Ecris kommer att medföra. I</w:t>
      </w:r>
      <w:r w:rsidRPr="008B28B7">
        <w:rPr>
          <w:color w:val="000000"/>
          <w:sz w:val="20"/>
          <w:u w:val="single"/>
        </w:rPr>
        <w:t xml:space="preserve"> </w:t>
      </w:r>
      <w:r w:rsidRPr="008B28B7">
        <w:rPr>
          <w:color w:val="000000"/>
          <w:sz w:val="20"/>
        </w:rPr>
        <w:t xml:space="preserve">dagsläget görs bedömningen att dessa kostnader ryms inom befintliga ramar på statsbudgeten. </w:t>
      </w:r>
    </w:p>
    <w:p w:rsidR="008B28B7" w:rsidRPr="008B28B7" w:rsidRDefault="008B28B7">
      <w:pPr>
        <w:pStyle w:val="Rubrik1"/>
      </w:pPr>
      <w:r w:rsidRPr="008B28B7">
        <w:t>Ståndpunkter</w:t>
      </w:r>
    </w:p>
    <w:p w:rsidR="008B28B7" w:rsidRPr="008B28B7" w:rsidRDefault="008B28B7">
      <w:pPr>
        <w:pStyle w:val="Rubrik2"/>
      </w:pPr>
      <w:r w:rsidRPr="008B28B7">
        <w:t>Preliminär svensk ståndpunkt</w:t>
      </w:r>
    </w:p>
    <w:p w:rsidR="008B28B7" w:rsidRPr="008B28B7" w:rsidRDefault="008B28B7">
      <w:r w:rsidRPr="008B28B7">
        <w:t>Regeringen är positiv till ett förbättrat och mer effektivt informationsutbyte beträffande uppgifter ur kriminalregister. Sverige är också positivt till att aktuell information ska kunna översändas på ett mer effektivt sätt än vad som sker idag.</w:t>
      </w:r>
    </w:p>
    <w:p w:rsidR="008B28B7" w:rsidRPr="008B28B7" w:rsidRDefault="008B28B7">
      <w:r w:rsidRPr="008B28B7">
        <w:t>Det finns skäl att närmare överväga det av kommissionen föreslagna kommittéförfarandet.</w:t>
      </w:r>
    </w:p>
    <w:p w:rsidR="008B28B7" w:rsidRPr="008B28B7" w:rsidRDefault="008B28B7">
      <w:pPr>
        <w:pStyle w:val="Rubrik2"/>
      </w:pPr>
      <w:r w:rsidRPr="008B28B7">
        <w:t>Medlemsstaternas ståndpunkter</w:t>
      </w:r>
    </w:p>
    <w:p w:rsidR="008B28B7" w:rsidRPr="008B28B7" w:rsidRDefault="008B28B7">
      <w:r w:rsidRPr="008B28B7">
        <w:t>Majoriteten av medlemsstaterna har uttryckt sitt stöd till förslaget.</w:t>
      </w:r>
    </w:p>
    <w:p w:rsidR="008B28B7" w:rsidRPr="008B28B7" w:rsidRDefault="008B28B7">
      <w:pPr>
        <w:pStyle w:val="Rubrik2"/>
      </w:pPr>
      <w:r w:rsidRPr="008B28B7">
        <w:t>Institutionernas ståndpunkter</w:t>
      </w:r>
    </w:p>
    <w:p w:rsidR="008B28B7" w:rsidRPr="008B28B7" w:rsidRDefault="008B28B7">
      <w:r w:rsidRPr="008B28B7">
        <w:t>Europaparlamentet har inte lämnat några synpunkter på förslaget.</w:t>
      </w:r>
    </w:p>
    <w:p w:rsidR="008B28B7" w:rsidRPr="008B28B7" w:rsidRDefault="008B28B7">
      <w:pPr>
        <w:pStyle w:val="Rubrik2"/>
      </w:pPr>
      <w:r w:rsidRPr="008B28B7">
        <w:t>Remissinstansernas ståndpunkter</w:t>
      </w:r>
    </w:p>
    <w:p w:rsidR="008B28B7" w:rsidRPr="008B28B7" w:rsidRDefault="008B28B7">
      <w:r w:rsidRPr="008B28B7">
        <w:t>Förslaget har inte varit föremål för remissbehandling.</w:t>
      </w:r>
    </w:p>
    <w:p w:rsidR="008B28B7" w:rsidRPr="008B28B7" w:rsidRDefault="008B28B7">
      <w:pPr>
        <w:pStyle w:val="Rubrik1"/>
      </w:pPr>
      <w:r w:rsidRPr="008B28B7">
        <w:t>Förslagets förutsättningar</w:t>
      </w:r>
    </w:p>
    <w:p w:rsidR="008B28B7" w:rsidRPr="008B28B7" w:rsidRDefault="008B28B7">
      <w:pPr>
        <w:pStyle w:val="Rubrik2"/>
      </w:pPr>
      <w:r w:rsidRPr="008B28B7">
        <w:t>Rättslig grund och beslutsförfarande</w:t>
      </w:r>
    </w:p>
    <w:p w:rsidR="008B28B7" w:rsidRPr="008B28B7" w:rsidRDefault="008B28B7">
      <w:r w:rsidRPr="008B28B7">
        <w:t xml:space="preserve">Den rättsliga grunden för förslaget är artikel 31 och 34.2 c i fördraget om Europeiska unionen. Europaparlamentet har möjlighet att lämna synpunkter på förslaget. Beslut fattas med enhällighet av rådet. </w:t>
      </w:r>
    </w:p>
    <w:p w:rsidR="008B28B7" w:rsidRPr="008B28B7" w:rsidRDefault="008B28B7">
      <w:pPr>
        <w:pStyle w:val="Rubrik2"/>
      </w:pPr>
      <w:r w:rsidRPr="008B28B7">
        <w:t>Subsidiaritets- och proportionalitetsprincipen</w:t>
      </w:r>
    </w:p>
    <w:p w:rsidR="008B28B7" w:rsidRPr="008B28B7" w:rsidRDefault="008B28B7">
      <w:r w:rsidRPr="008B28B7">
        <w:t xml:space="preserve">Enligt kommissionen kan införandet av gemensamma tekniska element och standarder för datoriserad överföring av uppgifter mellan medlemsstaterna inte utföras på ett tillfredsställande sätt av medlemsstaterna själva. Inte heller det centrala stödet eller rådgivningstjänsten kan organiseras individuellt. Målet kan därför lättare uppnås genom samordnade insatser på EU-nivå. Det är dock medlemsstaternas ansvar att sköta utbytet av uppgifter ur kriminalregister och att förvalta registret på ett sätt som gör det </w:t>
      </w:r>
      <w:r w:rsidRPr="008B28B7">
        <w:t>möjligt att delta i Ecris.</w:t>
      </w:r>
    </w:p>
    <w:p w:rsidR="008B28B7" w:rsidRPr="008B28B7" w:rsidRDefault="008B28B7">
      <w:r w:rsidRPr="008B28B7">
        <w:t xml:space="preserve">Beslutet innehåller miniminormer som krävs för att möjliggöra elektronisk uppkoppling mellan nationella kriminalregister och inkräktar således inte på proportionalitetsprincipen. </w:t>
      </w:r>
    </w:p>
    <w:p w:rsidR="008B28B7" w:rsidRPr="008B28B7" w:rsidRDefault="008B28B7">
      <w:pPr>
        <w:pStyle w:val="Rubrik1"/>
      </w:pPr>
      <w:r w:rsidRPr="008B28B7">
        <w:t>Övrigt</w:t>
      </w:r>
    </w:p>
    <w:p w:rsidR="008B28B7" w:rsidRPr="008B28B7" w:rsidRDefault="008B28B7">
      <w:pPr>
        <w:pStyle w:val="Rubrik2"/>
      </w:pPr>
      <w:r w:rsidRPr="008B28B7">
        <w:t>Fortsatt behandling av ärendet</w:t>
      </w:r>
    </w:p>
    <w:p w:rsidR="008B28B7" w:rsidRPr="008B28B7" w:rsidRDefault="008B28B7">
      <w:r w:rsidRPr="008B28B7">
        <w:t xml:space="preserve">Förslaget presenterades av kommissionen den 28 maj 2008 och förhandlingarna påbörjades i rådet den 11 juli samma år i rådsarbetsgruppen för straffrättsligt samarbete. Förhandlingar fortsätter under hösten med förhoppning om ett antagande i oktober eller november. </w:t>
      </w:r>
    </w:p>
    <w:p w:rsidR="008B28B7" w:rsidRPr="008B28B7" w:rsidRDefault="008B28B7">
      <w:pPr>
        <w:pStyle w:val="Rubrik2"/>
      </w:pPr>
      <w:r w:rsidRPr="008B28B7">
        <w:t>Fackuttryck/termer</w:t>
      </w:r>
    </w:p>
    <w:sectPr w:rsidR="00000000" w:rsidRPr="008B28B7">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8B7" w:rsidRPr="008B28B7" w:rsidRDefault="008B28B7">
      <w:r w:rsidRPr="008B28B7">
        <w:separator/>
      </w:r>
    </w:p>
  </w:endnote>
  <w:endnote w:type="continuationSeparator" w:id="0">
    <w:p w:rsidR="008B28B7" w:rsidRPr="008B28B7" w:rsidRDefault="008B28B7">
      <w:r w:rsidRPr="008B28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fotH"/>
      <w:framePr w:wrap="around"/>
    </w:pPr>
    <w:r w:rsidRPr="008B28B7">
      <w:t>2</w:t>
    </w:r>
  </w:p>
  <w:p w:rsidR="008B28B7" w:rsidRPr="008B28B7" w:rsidRDefault="008B28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fotH"/>
      <w:framePr w:wrap="around"/>
    </w:pPr>
    <w:r w:rsidRPr="008B28B7">
      <w:t>1</w:t>
    </w:r>
  </w:p>
  <w:p w:rsidR="008B28B7" w:rsidRPr="008B28B7" w:rsidRDefault="008B28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8B7" w:rsidRPr="008B28B7" w:rsidRDefault="008B28B7">
      <w:r w:rsidRPr="008B28B7">
        <w:separator/>
      </w:r>
    </w:p>
  </w:footnote>
  <w:footnote w:type="continuationSeparator" w:id="0">
    <w:p w:rsidR="008B28B7" w:rsidRPr="008B28B7" w:rsidRDefault="008B28B7">
      <w:r w:rsidRPr="008B28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Kantrubrik"/>
      <w:framePr w:h="1157" w:hRule="exact" w:wrap="around" w:y="738"/>
    </w:pPr>
    <w:r w:rsidRPr="008B28B7">
      <w:t>2008/09:FPM5</w:t>
    </w:r>
  </w:p>
  <w:p w:rsidR="008B28B7" w:rsidRPr="008B28B7" w:rsidRDefault="008B28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8B7" w:rsidRPr="008B28B7" w:rsidRDefault="008B28B7">
    <w:pPr>
      <w:pStyle w:val="Sidhuvud"/>
    </w:pPr>
    <w:r w:rsidRPr="008B28B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59707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8B7" w:rsidRDefault="008B28B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5pt" filled="t">
                                <v:imagedata r:id="rId1" o:title=""/>
                              </v:shape>
                              <o:OLEObject Type="Embed" ProgID="Word.Picture.8" ShapeID="_x0000_i1026" DrawAspect="Content" ObjectID="_18275102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B28B7" w:rsidRDefault="008B28B7">
                    <w:pPr>
                      <w:pStyle w:val="Logo"/>
                    </w:pPr>
                    <w:r>
                      <w:object w:dxaOrig="840" w:dyaOrig="1545">
                        <v:shape id="_x0000_i1026" type="#_x0000_t75" style="width:42pt;height:77.5pt" filled="t">
                          <v:imagedata r:id="rId1" o:title=""/>
                        </v:shape>
                        <o:OLEObject Type="Embed" ProgID="Word.Picture.8" ShapeID="_x0000_i1026" DrawAspect="Content" ObjectID="_18275102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36A1F09"/>
    <w:multiLevelType w:val="hybridMultilevel"/>
    <w:tmpl w:val="B07C2B2E"/>
    <w:lvl w:ilvl="0" w:tplc="8AF8C330">
      <w:start w:val="1"/>
      <w:numFmt w:val="bullet"/>
      <w:lvlText w:val="­"/>
      <w:lvlJc w:val="left"/>
      <w:pPr>
        <w:tabs>
          <w:tab w:val="num" w:pos="720"/>
        </w:tabs>
        <w:ind w:left="720" w:hanging="360"/>
      </w:pPr>
      <w:rPr>
        <w:rFonts w:ascii="Verdana" w:hAnsi="Verdan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5FE692B"/>
    <w:multiLevelType w:val="hybridMultilevel"/>
    <w:tmpl w:val="D8FA9728"/>
    <w:lvl w:ilvl="0" w:tplc="8AF8C330">
      <w:start w:val="1"/>
      <w:numFmt w:val="bullet"/>
      <w:lvlText w:val="­"/>
      <w:lvlJc w:val="left"/>
      <w:pPr>
        <w:tabs>
          <w:tab w:val="num" w:pos="720"/>
        </w:tabs>
        <w:ind w:left="720" w:hanging="360"/>
      </w:pPr>
      <w:rPr>
        <w:rFonts w:ascii="Verdana" w:hAnsi="Verdana"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6729507">
    <w:abstractNumId w:val="6"/>
  </w:num>
  <w:num w:numId="2" w16cid:durableId="1240486770">
    <w:abstractNumId w:val="1"/>
  </w:num>
  <w:num w:numId="3" w16cid:durableId="242178080">
    <w:abstractNumId w:val="3"/>
  </w:num>
  <w:num w:numId="4" w16cid:durableId="449977401">
    <w:abstractNumId w:val="4"/>
  </w:num>
  <w:num w:numId="5" w16cid:durableId="1731029880">
    <w:abstractNumId w:val="7"/>
  </w:num>
  <w:num w:numId="6" w16cid:durableId="532688849">
    <w:abstractNumId w:val="0"/>
  </w:num>
  <w:num w:numId="7" w16cid:durableId="768161080">
    <w:abstractNumId w:val="2"/>
  </w:num>
  <w:num w:numId="8" w16cid:durableId="1372731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19"/>
    <w:docVar w:name="Ar" w:val="2008/09"/>
    <w:docVar w:name="Dep" w:val="Justitiedepartementet"/>
    <w:docVar w:name="DepWeb" w:val="Justitiedepartementet"/>
    <w:docVar w:name="GDB1" w:val="KOM (2008) 332"/>
    <w:docVar w:name="GDB10" w:val=" "/>
    <w:docVar w:name="GDB11" w:val=" "/>
    <w:docVar w:name="GDB12" w:val=" "/>
    <w:docVar w:name="GDB13" w:val=" "/>
    <w:docVar w:name="GDB2" w:val="2008/XX/RIF 5968/08"/>
    <w:docVar w:name="GDB3" w:val="FaktaPM 2005/06:FPM74"/>
    <w:docVar w:name="GDB4" w:val=" "/>
    <w:docVar w:name="GDB5" w:val=" "/>
    <w:docVar w:name="GDB6" w:val=" "/>
    <w:docVar w:name="GDB7" w:val=" "/>
    <w:docVar w:name="GDB8" w:val=" "/>
    <w:docVar w:name="GDB9" w:val=" "/>
    <w:docVar w:name="GDT1" w:val="Förslag till rådets beslut om inrättande av Europeiska informationssystemet för utbyte av uppgifter ur kriminalregister (Ecris) i enlighet med 11 I rambeslut 2008/XX/RIF"/>
    <w:docVar w:name="GDT10" w:val=" "/>
    <w:docVar w:name="GDT11" w:val=" "/>
    <w:docVar w:name="GDT12" w:val=" "/>
    <w:docVar w:name="GDT13" w:val=" "/>
    <w:docVar w:name="GDT2" w:val="Förslag till rådets rambeslut om organisationen av medlemsstaternas utbyte av uppgifter ur kriminalregistret och uppgifternas innehåll"/>
    <w:docVar w:name="GDT3" w:val="Rambeslut om utbyte av information ur kriminalregister"/>
    <w:docVar w:name="GDT4" w:val=" "/>
    <w:docVar w:name="GDT5" w:val=" "/>
    <w:docVar w:name="GDT6" w:val=" "/>
    <w:docVar w:name="GDT7" w:val=" "/>
    <w:docVar w:name="GDT8" w:val=" "/>
    <w:docVar w:name="GDT9" w:val=" "/>
    <w:docVar w:name="GDTWeb" w:val="KOM (2008) 332, 2008/XX/RIF 5968/08, FaktaPM 2005/06:FPM74"/>
    <w:docVar w:name="Nr" w:val="5"/>
    <w:docVar w:name="RD_APPVERSION" w:val="3.00"/>
    <w:docVar w:name="Rub" w:val="Informationssystemet för utbyte av uppgifter ur kriminalregister (Ecris)"/>
    <w:docVar w:name="UppDat" w:val="2008-09-19"/>
    <w:docVar w:name="Utsk" w:val="Justitieutskottet"/>
  </w:docVars>
  <w:rsids>
    <w:rsidRoot w:val="009F1680"/>
    <w:rsid w:val="008B28B7"/>
    <w:rsid w:val="009F168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34680B4-FA78-4479-8A39-CB67D90F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 w:type="character" w:styleId="Betoning">
    <w:name w:val="Emphasis"/>
    <w:basedOn w:val="Standardstycketeckensnitt"/>
    <w:qFormat/>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441792">
      <w:bodyDiv w:val="1"/>
      <w:marLeft w:val="0"/>
      <w:marRight w:val="0"/>
      <w:marTop w:val="0"/>
      <w:marBottom w:val="0"/>
      <w:divBdr>
        <w:top w:val="none" w:sz="0" w:space="0" w:color="auto"/>
        <w:left w:val="none" w:sz="0" w:space="0" w:color="auto"/>
        <w:bottom w:val="none" w:sz="0" w:space="0" w:color="auto"/>
        <w:right w:val="none" w:sz="0" w:space="0" w:color="auto"/>
      </w:divBdr>
      <w:divsChild>
        <w:div w:id="272324197">
          <w:marLeft w:val="-15"/>
          <w:marRight w:val="-15"/>
          <w:marTop w:val="0"/>
          <w:marBottom w:val="0"/>
          <w:divBdr>
            <w:top w:val="none" w:sz="0" w:space="0" w:color="auto"/>
            <w:left w:val="single" w:sz="6" w:space="0" w:color="DADADA"/>
            <w:bottom w:val="none" w:sz="0" w:space="0" w:color="auto"/>
            <w:right w:val="single" w:sz="6" w:space="0" w:color="DADADA"/>
          </w:divBdr>
          <w:divsChild>
            <w:div w:id="1601837935">
              <w:marLeft w:val="0"/>
              <w:marRight w:val="0"/>
              <w:marTop w:val="0"/>
              <w:marBottom w:val="0"/>
              <w:divBdr>
                <w:top w:val="none" w:sz="0" w:space="0" w:color="auto"/>
                <w:left w:val="single" w:sz="48" w:space="0" w:color="FFFFFF"/>
                <w:bottom w:val="none" w:sz="0" w:space="0" w:color="auto"/>
                <w:right w:val="none" w:sz="0" w:space="0" w:color="auto"/>
              </w:divBdr>
              <w:divsChild>
                <w:div w:id="349332282">
                  <w:marLeft w:val="-15"/>
                  <w:marRight w:val="-15"/>
                  <w:marTop w:val="0"/>
                  <w:marBottom w:val="0"/>
                  <w:divBdr>
                    <w:top w:val="none" w:sz="0" w:space="0" w:color="auto"/>
                    <w:left w:val="single" w:sz="6" w:space="0" w:color="F9C661"/>
                    <w:bottom w:val="none" w:sz="0" w:space="0" w:color="auto"/>
                    <w:right w:val="single" w:sz="6" w:space="0" w:color="DADADA"/>
                  </w:divBdr>
                  <w:divsChild>
                    <w:div w:id="335766946">
                      <w:marLeft w:val="-30"/>
                      <w:marRight w:val="-45"/>
                      <w:marTop w:val="0"/>
                      <w:marBottom w:val="0"/>
                      <w:divBdr>
                        <w:top w:val="none" w:sz="0" w:space="0" w:color="auto"/>
                        <w:left w:val="none" w:sz="0" w:space="0" w:color="auto"/>
                        <w:bottom w:val="none" w:sz="0" w:space="0" w:color="auto"/>
                        <w:right w:val="none" w:sz="0" w:space="0" w:color="auto"/>
                      </w:divBdr>
                      <w:divsChild>
                        <w:div w:id="143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323390">
      <w:bodyDiv w:val="1"/>
      <w:marLeft w:val="0"/>
      <w:marRight w:val="0"/>
      <w:marTop w:val="0"/>
      <w:marBottom w:val="0"/>
      <w:divBdr>
        <w:top w:val="none" w:sz="0" w:space="0" w:color="auto"/>
        <w:left w:val="none" w:sz="0" w:space="0" w:color="auto"/>
        <w:bottom w:val="none" w:sz="0" w:space="0" w:color="auto"/>
        <w:right w:val="none" w:sz="0" w:space="0" w:color="auto"/>
      </w:divBdr>
      <w:divsChild>
        <w:div w:id="782962932">
          <w:marLeft w:val="-15"/>
          <w:marRight w:val="-15"/>
          <w:marTop w:val="0"/>
          <w:marBottom w:val="0"/>
          <w:divBdr>
            <w:top w:val="none" w:sz="0" w:space="0" w:color="auto"/>
            <w:left w:val="single" w:sz="6" w:space="0" w:color="DADADA"/>
            <w:bottom w:val="none" w:sz="0" w:space="0" w:color="auto"/>
            <w:right w:val="single" w:sz="6" w:space="0" w:color="DADADA"/>
          </w:divBdr>
          <w:divsChild>
            <w:div w:id="291787616">
              <w:marLeft w:val="0"/>
              <w:marRight w:val="0"/>
              <w:marTop w:val="0"/>
              <w:marBottom w:val="0"/>
              <w:divBdr>
                <w:top w:val="none" w:sz="0" w:space="0" w:color="auto"/>
                <w:left w:val="single" w:sz="48" w:space="0" w:color="FFFFFF"/>
                <w:bottom w:val="none" w:sz="0" w:space="0" w:color="auto"/>
                <w:right w:val="none" w:sz="0" w:space="0" w:color="auto"/>
              </w:divBdr>
              <w:divsChild>
                <w:div w:id="201095680">
                  <w:marLeft w:val="-15"/>
                  <w:marRight w:val="-15"/>
                  <w:marTop w:val="0"/>
                  <w:marBottom w:val="0"/>
                  <w:divBdr>
                    <w:top w:val="none" w:sz="0" w:space="0" w:color="auto"/>
                    <w:left w:val="single" w:sz="6" w:space="0" w:color="F9C661"/>
                    <w:bottom w:val="none" w:sz="0" w:space="0" w:color="auto"/>
                    <w:right w:val="single" w:sz="6" w:space="0" w:color="DADADA"/>
                  </w:divBdr>
                  <w:divsChild>
                    <w:div w:id="366877571">
                      <w:marLeft w:val="-30"/>
                      <w:marRight w:val="-45"/>
                      <w:marTop w:val="0"/>
                      <w:marBottom w:val="0"/>
                      <w:divBdr>
                        <w:top w:val="none" w:sz="0" w:space="0" w:color="auto"/>
                        <w:left w:val="none" w:sz="0" w:space="0" w:color="auto"/>
                        <w:bottom w:val="none" w:sz="0" w:space="0" w:color="auto"/>
                        <w:right w:val="none" w:sz="0" w:space="0" w:color="auto"/>
                      </w:divBdr>
                      <w:divsChild>
                        <w:div w:id="9278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1144</Words>
  <Characters>7666</Characters>
  <Application>Microsoft Office Word</Application>
  <DocSecurity>4</DocSecurity>
  <Lines>186</Lines>
  <Paragraphs>59</Paragraphs>
  <ScaleCrop>false</ScaleCrop>
  <HeadingPairs>
    <vt:vector size="2" baseType="variant">
      <vt:variant>
        <vt:lpstr>Rubrik</vt:lpstr>
      </vt:variant>
      <vt:variant>
        <vt:i4>1</vt:i4>
      </vt:variant>
    </vt:vector>
  </HeadingPairs>
  <TitlesOfParts>
    <vt:vector size="1" baseType="lpstr">
      <vt:lpstr>FPM_200809__5</vt:lpstr>
    </vt:vector>
  </TitlesOfParts>
  <Company>RD-DTSL</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FPM_200809__5</dc:title>
  <dc:subject>FPM_200809__5</dc:subject>
  <dc:creator>Riksdagen</dc:creator>
  <cp:keywords>Riksdagen</cp:keywords>
  <dc:description>KP2004-version.  Ändringarna påverkar enbart användningen inom Riksdagen. 050429 nya departement DTSL.</dc:description>
  <cp:lastModifiedBy>Lars Brink</cp:lastModifiedBy>
  <cp:revision>2</cp:revision>
  <cp:lastPrinted>2008-09-19T14:54:00Z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vt:lpwstr>
  </property>
  <property fmtid="{D5CDD505-2E9C-101B-9397-08002B2CF9AE}" pid="4" name="GDB1">
    <vt:lpwstr>KOM (2008) 332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Informationssystemet för utbyte av uppgifter ur kriminalregister (Ecris)</vt:lpwstr>
  </property>
  <property fmtid="{D5CDD505-2E9C-101B-9397-08002B2CF9AE}" pid="8" name="UppDat">
    <vt:lpwstr>2008-09-19</vt:lpwstr>
  </property>
  <property fmtid="{D5CDD505-2E9C-101B-9397-08002B2CF9AE}" pid="9" name="AnkDat">
    <vt:lpwstr>2008-09-19</vt:lpwstr>
  </property>
  <property fmtid="{D5CDD505-2E9C-101B-9397-08002B2CF9AE}" pid="10" name="Utsk">
    <vt:lpwstr>Justitieutskottet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2008/XX/RIF 5968/08</vt:lpwstr>
  </property>
  <property fmtid="{D5CDD505-2E9C-101B-9397-08002B2CF9AE}" pid="15" name="GDB3">
    <vt:lpwstr>FaktaPM 2005/06:FPM74</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2;0;0;351</vt:lpwstr>
  </property>
  <property fmtid="{D5CDD505-2E9C-101B-9397-08002B2CF9AE}" pid="42" name="Sprak">
    <vt:lpwstr>Svenska</vt:lpwstr>
  </property>
  <property fmtid="{D5CDD505-2E9C-101B-9397-08002B2CF9AE}" pid="43" name="DokID">
    <vt:i4>80</vt:i4>
  </property>
</Properties>
</file>