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AD7B7D" w:rsidRPr="00372CE4">
        <w:tblPrEx>
          <w:tblCellMar>
            <w:top w:w="0" w:type="dxa"/>
            <w:bottom w:w="0" w:type="dxa"/>
          </w:tblCellMar>
        </w:tblPrEx>
        <w:trPr>
          <w:cantSplit/>
          <w:trHeight w:val="1720"/>
        </w:trPr>
        <w:tc>
          <w:tcPr>
            <w:tcW w:w="6024" w:type="dxa"/>
            <w:gridSpan w:val="2"/>
          </w:tcPr>
          <w:p w:rsidR="00AD7B7D" w:rsidRPr="00372CE4" w:rsidRDefault="00AD7B7D">
            <w:pPr>
              <w:pStyle w:val="HuvudRubrik"/>
            </w:pPr>
            <w:r w:rsidRPr="00372CE4">
              <w:t>Försvarsutskottets betänkande</w:t>
            </w:r>
          </w:p>
          <w:p w:rsidR="00AD7B7D" w:rsidRPr="00372CE4" w:rsidRDefault="005570AA">
            <w:pPr>
              <w:pStyle w:val="HuvudRubrikRad2"/>
            </w:pPr>
            <w:bookmarkStart w:id="0" w:name="BetänkandeNr"/>
            <w:bookmarkEnd w:id="0"/>
            <w:r w:rsidRPr="00372CE4">
              <w:t>2004/05</w:t>
            </w:r>
            <w:r w:rsidR="00AD7B7D" w:rsidRPr="00372CE4">
              <w:t>:</w:t>
            </w:r>
            <w:r w:rsidRPr="00372CE4">
              <w:t>FöU10</w:t>
            </w:r>
          </w:p>
        </w:tc>
        <w:tc>
          <w:tcPr>
            <w:tcW w:w="1418" w:type="dxa"/>
            <w:tcBorders>
              <w:bottom w:val="nil"/>
            </w:tcBorders>
          </w:tcPr>
          <w:p w:rsidR="00AD7B7D" w:rsidRPr="00372CE4" w:rsidRDefault="00372CE4">
            <w:pPr>
              <w:spacing w:line="230" w:lineRule="auto"/>
              <w:jc w:val="center"/>
            </w:pPr>
            <w:r w:rsidRPr="00372CE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D7B7D" w:rsidRPr="00372CE4" w:rsidRDefault="00AD7B7D">
            <w:pPr>
              <w:pStyle w:val="Normaltindrag"/>
              <w:jc w:val="center"/>
            </w:pPr>
          </w:p>
          <w:p w:rsidR="00AD7B7D" w:rsidRPr="00372CE4" w:rsidRDefault="00AD7B7D">
            <w:pPr>
              <w:pStyle w:val="StatusSida1"/>
            </w:pPr>
          </w:p>
          <w:p w:rsidR="00AD7B7D" w:rsidRPr="00372CE4" w:rsidRDefault="00AD7B7D">
            <w:pPr>
              <w:pStyle w:val="UtskriftsdatumSida1"/>
              <w:framePr w:wrap="around"/>
            </w:pPr>
          </w:p>
        </w:tc>
      </w:tr>
      <w:tr w:rsidR="00AD7B7D" w:rsidRPr="00372CE4">
        <w:tblPrEx>
          <w:tblCellMar>
            <w:top w:w="0" w:type="dxa"/>
            <w:bottom w:w="0" w:type="dxa"/>
          </w:tblCellMar>
        </w:tblPrEx>
        <w:trPr>
          <w:cantSplit/>
        </w:trPr>
        <w:tc>
          <w:tcPr>
            <w:tcW w:w="6024" w:type="dxa"/>
            <w:gridSpan w:val="2"/>
            <w:tcBorders>
              <w:bottom w:val="single" w:sz="4" w:space="0" w:color="auto"/>
            </w:tcBorders>
          </w:tcPr>
          <w:p w:rsidR="00AD7B7D" w:rsidRPr="00372CE4" w:rsidRDefault="00AD7B7D">
            <w:pPr>
              <w:pStyle w:val="DokumentRubrik"/>
              <w:rPr>
                <w:noProof w:val="0"/>
              </w:rPr>
            </w:pPr>
            <w:bookmarkStart w:id="1" w:name="Huvudrubrik"/>
            <w:bookmarkEnd w:id="1"/>
            <w:r w:rsidRPr="00372CE4">
              <w:rPr>
                <w:noProof w:val="0"/>
              </w:rPr>
              <w:t>Privilegier och immunitet för Europeiska försvarsbyrån</w:t>
            </w:r>
          </w:p>
        </w:tc>
        <w:tc>
          <w:tcPr>
            <w:tcW w:w="1418" w:type="dxa"/>
            <w:tcBorders>
              <w:bottom w:val="nil"/>
            </w:tcBorders>
          </w:tcPr>
          <w:p w:rsidR="00AD7B7D" w:rsidRPr="00372CE4" w:rsidRDefault="00AD7B7D"/>
        </w:tc>
      </w:tr>
      <w:tr w:rsidR="00AD7B7D" w:rsidRPr="00372CE4">
        <w:tblPrEx>
          <w:tblCellMar>
            <w:top w:w="0" w:type="dxa"/>
            <w:bottom w:w="0" w:type="dxa"/>
          </w:tblCellMar>
        </w:tblPrEx>
        <w:trPr>
          <w:cantSplit/>
          <w:trHeight w:hRule="exact" w:val="360"/>
        </w:trPr>
        <w:tc>
          <w:tcPr>
            <w:tcW w:w="3012" w:type="dxa"/>
          </w:tcPr>
          <w:p w:rsidR="00AD7B7D" w:rsidRPr="00372CE4" w:rsidRDefault="00AD7B7D"/>
        </w:tc>
        <w:tc>
          <w:tcPr>
            <w:tcW w:w="3012" w:type="dxa"/>
          </w:tcPr>
          <w:p w:rsidR="00AD7B7D" w:rsidRPr="00372CE4" w:rsidRDefault="00AD7B7D"/>
        </w:tc>
        <w:tc>
          <w:tcPr>
            <w:tcW w:w="1418" w:type="dxa"/>
          </w:tcPr>
          <w:p w:rsidR="00AD7B7D" w:rsidRPr="00372CE4" w:rsidRDefault="00AD7B7D"/>
        </w:tc>
      </w:tr>
    </w:tbl>
    <w:p w:rsidR="00AD7B7D" w:rsidRPr="00372CE4" w:rsidRDefault="00AD7B7D"/>
    <w:p w:rsidR="00AD7B7D" w:rsidRPr="00372CE4" w:rsidRDefault="00AD7B7D" w:rsidP="00AD7B7D">
      <w:pPr>
        <w:pStyle w:val="Rubrik1"/>
        <w:spacing w:after="180"/>
        <w:rPr>
          <w:noProof w:val="0"/>
        </w:rPr>
      </w:pPr>
      <w:bookmarkStart w:id="2" w:name="_Toc102377530"/>
      <w:r w:rsidRPr="00372CE4">
        <w:rPr>
          <w:noProof w:val="0"/>
        </w:rPr>
        <w:t>Sammanfattning</w:t>
      </w:r>
      <w:bookmarkEnd w:id="2"/>
    </w:p>
    <w:p w:rsidR="008A1A64" w:rsidRPr="00372CE4" w:rsidRDefault="008A1A64" w:rsidP="007D51B8">
      <w:pPr>
        <w:rPr>
          <w:i/>
        </w:rPr>
      </w:pPr>
      <w:r w:rsidRPr="00372CE4">
        <w:t>I betänkandet behandlar</w:t>
      </w:r>
      <w:r w:rsidR="007671F4" w:rsidRPr="00372CE4">
        <w:t xml:space="preserve"> utskottet proposition 2004/05:</w:t>
      </w:r>
      <w:r w:rsidRPr="00372CE4">
        <w:t xml:space="preserve">76 </w:t>
      </w:r>
      <w:r w:rsidRPr="00372CE4">
        <w:rPr>
          <w:i/>
        </w:rPr>
        <w:t xml:space="preserve">Privilegier och immunitet för Europeiska försvarsbyrån. </w:t>
      </w:r>
    </w:p>
    <w:p w:rsidR="007D51B8" w:rsidRPr="00372CE4" w:rsidRDefault="007D51B8" w:rsidP="008A1A64">
      <w:pPr>
        <w:pStyle w:val="Normaltindrag"/>
      </w:pPr>
      <w:r w:rsidRPr="00372CE4">
        <w:t>Inom Europeiska unionen har rådet beslutat om att inrätta en europeisk försvarsbyrå. Syftet med byrån är bl.a. att utveckla försvarskapacitet på o</w:t>
      </w:r>
      <w:r w:rsidRPr="00372CE4">
        <w:t>m</w:t>
      </w:r>
      <w:r w:rsidRPr="00372CE4">
        <w:t>rådet krishantering, främja och stärka det europeiska försvarsmaterielsama</w:t>
      </w:r>
      <w:r w:rsidRPr="00372CE4">
        <w:t>r</w:t>
      </w:r>
      <w:r w:rsidRPr="00372CE4">
        <w:t xml:space="preserve">betet, stärka den försvarsindustriella och tekniska basen i Europa samt skapa en konkurrenskraftig europeisk försvarsmaterielmarknad. </w:t>
      </w:r>
    </w:p>
    <w:p w:rsidR="007D51B8" w:rsidRPr="00372CE4" w:rsidRDefault="007D51B8" w:rsidP="007D51B8">
      <w:r w:rsidRPr="00372CE4">
        <w:t>Rådet har även beslutat om privilegier och immunitet för Europeiska fö</w:t>
      </w:r>
      <w:r w:rsidRPr="00372CE4">
        <w:t>r</w:t>
      </w:r>
      <w:r w:rsidRPr="00372CE4">
        <w:t>svarsbyrån och dess anställda. I propositionen föreslås att r</w:t>
      </w:r>
      <w:r w:rsidR="008A1A64" w:rsidRPr="00372CE4">
        <w:t>iksdagen godkä</w:t>
      </w:r>
      <w:r w:rsidR="008A1A64" w:rsidRPr="00372CE4">
        <w:t>n</w:t>
      </w:r>
      <w:r w:rsidR="008A1A64" w:rsidRPr="00372CE4">
        <w:t xml:space="preserve">ner det beslutet. Vidare föreslår regeringen att riksdagen antar förslag till lag om ändring i lagen (1976:661) om immunitet och privilegier i vissa fall. </w:t>
      </w:r>
    </w:p>
    <w:p w:rsidR="008A1A64" w:rsidRPr="00372CE4" w:rsidRDefault="00372CE4" w:rsidP="008A1A64">
      <w:pPr>
        <w:pStyle w:val="Normaltindrag"/>
      </w:pPr>
      <w:r w:rsidRPr="00372CE4">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3084830</wp:posOffset>
                </wp:positionV>
                <wp:extent cx="3197225" cy="457200"/>
                <wp:effectExtent l="0" t="0" r="0" b="0"/>
                <wp:wrapNone/>
                <wp:docPr id="1717322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2E5" w:rsidRPr="00372CE4" w:rsidRDefault="004302E5" w:rsidP="00385A52">
                            <w:pPr>
                              <w:spacing w:before="0" w:line="200" w:lineRule="exact"/>
                              <w:rPr>
                                <w:i/>
                                <w:sz w:val="16"/>
                                <w:szCs w:val="16"/>
                              </w:rPr>
                            </w:pPr>
                            <w:r w:rsidRPr="00372CE4">
                              <w:rPr>
                                <w:sz w:val="16"/>
                                <w:szCs w:val="16"/>
                              </w:rPr>
                              <w:t>1</w:t>
                            </w:r>
                            <w:r w:rsidRPr="00372CE4">
                              <w:rPr>
                                <w:i/>
                                <w:sz w:val="16"/>
                                <w:szCs w:val="16"/>
                              </w:rPr>
                              <w:t xml:space="preserve"> Riksdagen 2004/05. 10 saml. FoU10</w:t>
                            </w:r>
                          </w:p>
                          <w:p w:rsidR="004302E5" w:rsidRPr="00372CE4" w:rsidRDefault="004302E5" w:rsidP="00385A52">
                            <w:pPr>
                              <w:pStyle w:val="Normaltindrag"/>
                              <w:spacing w:before="60"/>
                              <w:ind w:firstLine="0"/>
                              <w:rPr>
                                <w:sz w:val="16"/>
                                <w:szCs w:val="16"/>
                              </w:rPr>
                            </w:pPr>
                            <w:r w:rsidRPr="00372CE4">
                              <w:rPr>
                                <w:sz w:val="16"/>
                                <w:szCs w:val="16"/>
                              </w:rPr>
                              <w:t>Rättelse: S. 9 rad 7–10 ny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2.9pt;width:251.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8g8QEAAMoDAAAOAAAAZHJzL2Uyb0RvYy54bWysU9uO0zAQfUfiHyy/0zSly7JR09XSVRHS&#10;cpEWPsBxnMTC8Zix26R8PWMn2y3whsiD5fHYZ+acOdncjr1hR4Vegy15vlhypqyEWtu25N++7l+9&#10;5cwHYWthwKqSn5Tnt9uXLzaDK9QKOjC1QkYg1heDK3kXgiuyzMtO9cIvwClLyQawF4FCbLMaxUDo&#10;vclWy+WbbACsHYJU3tPp/ZTk24TfNEqGz03jVWCm5NRbSCumtYprtt2IokXhOi3nNsQ/dNELbano&#10;GepeBMEOqP+C6rVE8NCEhYQ+g6bRUiUOxCZf/sHmsRNOJS4kjndnmfz/g5Wfjo/uC7IwvoORBphI&#10;ePcA8rtnFnadsK26Q4ShU6KmwnmULBucL+anUWpf+AhSDR+hpiGLQ4AENDbYR1WIJyN0GsDpLLoa&#10;A5N0+Dq/uV6trjiTlFtfXdNUUwlRPL126MN7BT2Lm5IjDTWhi+ODD7EbUTxdicU8GF3vtTEpwLba&#10;GWRHQQbYp29G/+2asfGyhfhsQowniWZkNnEMYzVSMtKtoD4RYYTJUPQD0KYD/MnZQGYquf9xEKg4&#10;Mx8siXaTr9fRfSlIHDnDy0x1mRFWElTJA2fTdhcmxx4c6rajStOYLNyR0I1OGjx3NfdNhknSzOaO&#10;jryM063nX3D7CwAA//8DAFBLAwQUAAYACAAAACEAzQ/nk90AAAAIAQAADwAAAGRycy9kb3ducmV2&#10;LnhtbEyPwU7DMAyG70i8Q2QkLoilwLKWrukESCCuG3uAtPHaao1TNdnavT3mxG62fuv39xWb2fXi&#10;jGPoPGl4WiQgkGpvO2o07H8+HzMQIRqypveEGi4YYFPe3hQmt36iLZ53sRFcQiE3GtoYh1zKULfo&#10;TFj4AYmzgx+dibyOjbSjmbjc9fI5SVbSmY74Q2sG/GixPu5OTsPhe3pQr1P1Fffpdrl6N11a+YvW&#10;93fz2xpExDn+H8MfPqNDyUyVP5ENotfAIlHDMlMswLFKXhSIigeVZiDLQl4LlL8AAAD//wMAUEsB&#10;Ai0AFAAGAAgAAAAhALaDOJL+AAAA4QEAABMAAAAAAAAAAAAAAAAAAAAAAFtDb250ZW50X1R5cGVz&#10;XS54bWxQSwECLQAUAAYACAAAACEAOP0h/9YAAACUAQAACwAAAAAAAAAAAAAAAAAvAQAAX3JlbHMv&#10;LnJlbHNQSwECLQAUAAYACAAAACEA44svIPEBAADKAwAADgAAAAAAAAAAAAAAAAAuAgAAZHJzL2Uy&#10;b0RvYy54bWxQSwECLQAUAAYACAAAACEAzQ/nk90AAAAIAQAADwAAAAAAAAAAAAAAAABLBAAAZHJz&#10;L2Rvd25yZXYueG1sUEsFBgAAAAAEAAQA8wAAAFUFAAAAAA==&#10;" stroked="f">
                <v:textbox>
                  <w:txbxContent>
                    <w:p w:rsidR="004302E5" w:rsidRPr="00372CE4" w:rsidRDefault="004302E5" w:rsidP="00385A52">
                      <w:pPr>
                        <w:spacing w:before="0" w:line="200" w:lineRule="exact"/>
                        <w:rPr>
                          <w:i/>
                          <w:sz w:val="16"/>
                          <w:szCs w:val="16"/>
                        </w:rPr>
                      </w:pPr>
                      <w:r w:rsidRPr="00372CE4">
                        <w:rPr>
                          <w:sz w:val="16"/>
                          <w:szCs w:val="16"/>
                        </w:rPr>
                        <w:t>1</w:t>
                      </w:r>
                      <w:r w:rsidRPr="00372CE4">
                        <w:rPr>
                          <w:i/>
                          <w:sz w:val="16"/>
                          <w:szCs w:val="16"/>
                        </w:rPr>
                        <w:t xml:space="preserve"> Riksdagen 2004/05. 10 saml. FoU10</w:t>
                      </w:r>
                    </w:p>
                    <w:p w:rsidR="004302E5" w:rsidRPr="00372CE4" w:rsidRDefault="004302E5" w:rsidP="00385A52">
                      <w:pPr>
                        <w:pStyle w:val="Normaltindrag"/>
                        <w:spacing w:before="60"/>
                        <w:ind w:firstLine="0"/>
                        <w:rPr>
                          <w:sz w:val="16"/>
                          <w:szCs w:val="16"/>
                        </w:rPr>
                      </w:pPr>
                      <w:r w:rsidRPr="00372CE4">
                        <w:rPr>
                          <w:sz w:val="16"/>
                          <w:szCs w:val="16"/>
                        </w:rPr>
                        <w:t>Rättelse: S. 9 rad 7–10 ny text.</w:t>
                      </w:r>
                    </w:p>
                  </w:txbxContent>
                </v:textbox>
              </v:shape>
            </w:pict>
          </mc:Fallback>
        </mc:AlternateContent>
      </w:r>
      <w:r w:rsidR="008A1A64" w:rsidRPr="00372CE4">
        <w:t>I två följdmotioner av (v) och (mp) yrkas avslag på propositionen. Utsko</w:t>
      </w:r>
      <w:r w:rsidR="008A1A64" w:rsidRPr="00372CE4">
        <w:t>t</w:t>
      </w:r>
      <w:r w:rsidR="008A1A64" w:rsidRPr="00372CE4">
        <w:t>tet avstyrker motionerna.</w:t>
      </w:r>
    </w:p>
    <w:p w:rsidR="00AD7B7D" w:rsidRPr="00372CE4" w:rsidRDefault="00AD7B7D" w:rsidP="00AD7B7D">
      <w:pPr>
        <w:pStyle w:val="Normaltindrag"/>
        <w:sectPr w:rsidR="00AD7B7D" w:rsidRPr="00372CE4" w:rsidSect="00B33C1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bookmarkStart w:id="3" w:name="TextStart"/>
      <w:bookmarkEnd w:id="3"/>
    </w:p>
    <w:p w:rsidR="00AD7B7D" w:rsidRPr="00372CE4" w:rsidRDefault="00AD7B7D" w:rsidP="00AD7B7D">
      <w:pPr>
        <w:pStyle w:val="Rubrik1"/>
        <w:rPr>
          <w:noProof w:val="0"/>
        </w:rPr>
      </w:pPr>
      <w:bookmarkStart w:id="4" w:name="_Toc102377531"/>
      <w:r w:rsidRPr="00372CE4">
        <w:rPr>
          <w:noProof w:val="0"/>
        </w:rPr>
        <w:lastRenderedPageBreak/>
        <w:t>Innehållsförteckning</w:t>
      </w:r>
      <w:bookmarkEnd w:id="4"/>
    </w:p>
    <w:p w:rsidR="00623EED" w:rsidRPr="00372CE4" w:rsidRDefault="00623EED">
      <w:pPr>
        <w:pStyle w:val="Innehll1"/>
        <w:rPr>
          <w:sz w:val="24"/>
          <w:szCs w:val="24"/>
        </w:rPr>
      </w:pPr>
      <w:r w:rsidRPr="00372CE4">
        <w:t>Sammanfattning</w:t>
      </w:r>
      <w:r w:rsidRPr="00372CE4">
        <w:tab/>
      </w:r>
      <w:r w:rsidR="001E0538" w:rsidRPr="00372CE4">
        <w:t>1</w:t>
      </w:r>
    </w:p>
    <w:p w:rsidR="00623EED" w:rsidRPr="00372CE4" w:rsidRDefault="00623EED">
      <w:pPr>
        <w:pStyle w:val="Innehll1"/>
        <w:rPr>
          <w:sz w:val="24"/>
          <w:szCs w:val="24"/>
        </w:rPr>
      </w:pPr>
      <w:r w:rsidRPr="00372CE4">
        <w:t>Innehållsförteckning</w:t>
      </w:r>
      <w:r w:rsidRPr="00372CE4">
        <w:tab/>
      </w:r>
      <w:r w:rsidR="001E0538" w:rsidRPr="00372CE4">
        <w:t>2</w:t>
      </w:r>
    </w:p>
    <w:p w:rsidR="00623EED" w:rsidRPr="00372CE4" w:rsidRDefault="00623EED">
      <w:pPr>
        <w:pStyle w:val="Innehll1"/>
        <w:rPr>
          <w:sz w:val="24"/>
          <w:szCs w:val="24"/>
        </w:rPr>
      </w:pPr>
      <w:r w:rsidRPr="00372CE4">
        <w:t>Utskottets förslag till riksdagsbeslut</w:t>
      </w:r>
      <w:r w:rsidRPr="00372CE4">
        <w:tab/>
      </w:r>
      <w:r w:rsidR="001E0538" w:rsidRPr="00372CE4">
        <w:t>3</w:t>
      </w:r>
    </w:p>
    <w:p w:rsidR="00623EED" w:rsidRPr="00372CE4" w:rsidRDefault="00623EED">
      <w:pPr>
        <w:pStyle w:val="Innehll1"/>
        <w:rPr>
          <w:sz w:val="24"/>
          <w:szCs w:val="24"/>
        </w:rPr>
      </w:pPr>
      <w:r w:rsidRPr="00372CE4">
        <w:t>Redogörelse för ärendet</w:t>
      </w:r>
      <w:r w:rsidRPr="00372CE4">
        <w:tab/>
      </w:r>
      <w:r w:rsidR="001E0538" w:rsidRPr="00372CE4">
        <w:t>4</w:t>
      </w:r>
    </w:p>
    <w:p w:rsidR="00623EED" w:rsidRPr="00372CE4" w:rsidRDefault="00623EED">
      <w:pPr>
        <w:pStyle w:val="Innehll2"/>
        <w:rPr>
          <w:sz w:val="24"/>
          <w:szCs w:val="24"/>
        </w:rPr>
      </w:pPr>
      <w:r w:rsidRPr="00372CE4">
        <w:t>Ärendet och dess beredning</w:t>
      </w:r>
      <w:r w:rsidRPr="00372CE4">
        <w:tab/>
      </w:r>
      <w:r w:rsidR="001E0538" w:rsidRPr="00372CE4">
        <w:t>4</w:t>
      </w:r>
    </w:p>
    <w:p w:rsidR="00623EED" w:rsidRPr="00372CE4" w:rsidRDefault="00623EED">
      <w:pPr>
        <w:pStyle w:val="Innehll2"/>
        <w:rPr>
          <w:sz w:val="24"/>
          <w:szCs w:val="24"/>
        </w:rPr>
      </w:pPr>
      <w:r w:rsidRPr="00372CE4">
        <w:t>Propositionens huvudsakliga innehåll</w:t>
      </w:r>
      <w:r w:rsidRPr="00372CE4">
        <w:tab/>
      </w:r>
      <w:r w:rsidR="001E0538" w:rsidRPr="00372CE4">
        <w:t>4</w:t>
      </w:r>
    </w:p>
    <w:p w:rsidR="00623EED" w:rsidRPr="00372CE4" w:rsidRDefault="00623EED">
      <w:pPr>
        <w:pStyle w:val="Innehll3"/>
        <w:rPr>
          <w:sz w:val="24"/>
          <w:szCs w:val="24"/>
        </w:rPr>
      </w:pPr>
      <w:r w:rsidRPr="00372CE4">
        <w:t>Europeiska försvarsbyrån</w:t>
      </w:r>
      <w:r w:rsidRPr="00372CE4">
        <w:tab/>
      </w:r>
      <w:r w:rsidR="001E0538" w:rsidRPr="00372CE4">
        <w:t>4</w:t>
      </w:r>
    </w:p>
    <w:p w:rsidR="00623EED" w:rsidRPr="00372CE4" w:rsidRDefault="00623EED">
      <w:pPr>
        <w:pStyle w:val="Innehll3"/>
        <w:rPr>
          <w:sz w:val="24"/>
          <w:szCs w:val="24"/>
        </w:rPr>
      </w:pPr>
      <w:r w:rsidRPr="00372CE4">
        <w:t>Beslutet om privilegier och immunitet för Europeiska försvarsbyrån och dess anställda</w:t>
      </w:r>
      <w:r w:rsidRPr="00372CE4">
        <w:tab/>
      </w:r>
      <w:r w:rsidR="001E0538" w:rsidRPr="00372CE4">
        <w:t>5</w:t>
      </w:r>
    </w:p>
    <w:p w:rsidR="00623EED" w:rsidRPr="00372CE4" w:rsidRDefault="00623EED">
      <w:pPr>
        <w:pStyle w:val="Innehll3"/>
        <w:rPr>
          <w:sz w:val="24"/>
          <w:szCs w:val="24"/>
        </w:rPr>
      </w:pPr>
      <w:r w:rsidRPr="00372CE4">
        <w:t>Ändring i lagen (1976:661) om immunitet och privilegier i vissa fall</w:t>
      </w:r>
      <w:r w:rsidRPr="00372CE4">
        <w:tab/>
      </w:r>
      <w:r w:rsidR="001E0538" w:rsidRPr="00372CE4">
        <w:t>5</w:t>
      </w:r>
    </w:p>
    <w:p w:rsidR="00623EED" w:rsidRPr="00372CE4" w:rsidRDefault="00623EED">
      <w:pPr>
        <w:pStyle w:val="Innehll2"/>
        <w:rPr>
          <w:sz w:val="24"/>
          <w:szCs w:val="24"/>
        </w:rPr>
      </w:pPr>
      <w:r w:rsidRPr="00372CE4">
        <w:t>Motionerna</w:t>
      </w:r>
      <w:r w:rsidRPr="00372CE4">
        <w:tab/>
      </w:r>
      <w:r w:rsidR="001E0538" w:rsidRPr="00372CE4">
        <w:t>6</w:t>
      </w:r>
    </w:p>
    <w:p w:rsidR="00623EED" w:rsidRPr="00372CE4" w:rsidRDefault="00623EED">
      <w:pPr>
        <w:pStyle w:val="Innehll1"/>
        <w:rPr>
          <w:sz w:val="24"/>
          <w:szCs w:val="24"/>
        </w:rPr>
      </w:pPr>
      <w:r w:rsidRPr="00372CE4">
        <w:t>Utskottets överväganden</w:t>
      </w:r>
      <w:r w:rsidRPr="00372CE4">
        <w:tab/>
      </w:r>
      <w:r w:rsidR="001E0538" w:rsidRPr="00372CE4">
        <w:t>7</w:t>
      </w:r>
    </w:p>
    <w:p w:rsidR="00623EED" w:rsidRPr="00372CE4" w:rsidRDefault="00623EED">
      <w:pPr>
        <w:pStyle w:val="Innehll1"/>
        <w:rPr>
          <w:sz w:val="24"/>
          <w:szCs w:val="24"/>
        </w:rPr>
      </w:pPr>
      <w:r w:rsidRPr="00372CE4">
        <w:t>Reservationer</w:t>
      </w:r>
      <w:r w:rsidRPr="00372CE4">
        <w:tab/>
      </w:r>
      <w:r w:rsidR="001E0538" w:rsidRPr="00372CE4">
        <w:t>9</w:t>
      </w:r>
    </w:p>
    <w:p w:rsidR="001E0538" w:rsidRPr="00372CE4" w:rsidRDefault="001E0538">
      <w:pPr>
        <w:pStyle w:val="Innehll1"/>
      </w:pPr>
      <w:r w:rsidRPr="00372CE4">
        <w:t>Bilagor:</w:t>
      </w:r>
    </w:p>
    <w:p w:rsidR="00623EED" w:rsidRPr="00372CE4" w:rsidRDefault="001E0538">
      <w:pPr>
        <w:pStyle w:val="Innehll1"/>
        <w:rPr>
          <w:sz w:val="24"/>
          <w:szCs w:val="24"/>
        </w:rPr>
      </w:pPr>
      <w:r w:rsidRPr="00372CE4">
        <w:t xml:space="preserve">1. </w:t>
      </w:r>
      <w:r w:rsidR="00623EED" w:rsidRPr="00372CE4">
        <w:t>Förteckning över behandlade förslag</w:t>
      </w:r>
      <w:r w:rsidR="00623EED" w:rsidRPr="00372CE4">
        <w:tab/>
      </w:r>
      <w:r w:rsidRPr="00372CE4">
        <w:t>10</w:t>
      </w:r>
    </w:p>
    <w:p w:rsidR="00623EED" w:rsidRPr="00372CE4" w:rsidRDefault="00623EED">
      <w:pPr>
        <w:pStyle w:val="Innehll2"/>
        <w:rPr>
          <w:sz w:val="24"/>
          <w:szCs w:val="24"/>
        </w:rPr>
      </w:pPr>
      <w:r w:rsidRPr="00372CE4">
        <w:t>Propositionen</w:t>
      </w:r>
      <w:r w:rsidRPr="00372CE4">
        <w:tab/>
      </w:r>
      <w:r w:rsidR="001E0538" w:rsidRPr="00372CE4">
        <w:t>10</w:t>
      </w:r>
    </w:p>
    <w:p w:rsidR="00623EED" w:rsidRPr="00372CE4" w:rsidRDefault="00623EED">
      <w:pPr>
        <w:pStyle w:val="Innehll2"/>
        <w:rPr>
          <w:sz w:val="24"/>
          <w:szCs w:val="24"/>
        </w:rPr>
      </w:pPr>
      <w:r w:rsidRPr="00372CE4">
        <w:t>Följdmotioner</w:t>
      </w:r>
      <w:r w:rsidRPr="00372CE4">
        <w:tab/>
      </w:r>
      <w:r w:rsidR="001E0538" w:rsidRPr="00372CE4">
        <w:t>10</w:t>
      </w:r>
    </w:p>
    <w:p w:rsidR="00623EED" w:rsidRPr="00372CE4" w:rsidRDefault="001E0538">
      <w:pPr>
        <w:pStyle w:val="Innehll1"/>
        <w:rPr>
          <w:sz w:val="24"/>
          <w:szCs w:val="24"/>
        </w:rPr>
      </w:pPr>
      <w:r w:rsidRPr="00372CE4">
        <w:t xml:space="preserve">2. </w:t>
      </w:r>
      <w:r w:rsidR="00623EED" w:rsidRPr="00372CE4">
        <w:t>Regeringens lagförslag</w:t>
      </w:r>
      <w:r w:rsidR="00623EED" w:rsidRPr="00372CE4">
        <w:tab/>
      </w:r>
      <w:r w:rsidRPr="00372CE4">
        <w:t>11</w:t>
      </w:r>
    </w:p>
    <w:p w:rsidR="00623EED" w:rsidRPr="00372CE4" w:rsidRDefault="001E0538">
      <w:pPr>
        <w:pStyle w:val="Innehll1"/>
        <w:rPr>
          <w:sz w:val="24"/>
          <w:szCs w:val="24"/>
        </w:rPr>
      </w:pPr>
      <w:r w:rsidRPr="00372CE4">
        <w:t xml:space="preserve">3. </w:t>
      </w:r>
      <w:r w:rsidR="00623EED" w:rsidRPr="00372CE4">
        <w:t>Konventionstexter</w:t>
      </w:r>
      <w:r w:rsidR="00623EED" w:rsidRPr="00372CE4">
        <w:tab/>
      </w:r>
      <w:r w:rsidRPr="00372CE4">
        <w:t>13</w:t>
      </w:r>
    </w:p>
    <w:p w:rsidR="00623EED" w:rsidRPr="00372CE4" w:rsidRDefault="00623EED">
      <w:pPr>
        <w:pStyle w:val="Innehll2"/>
        <w:rPr>
          <w:sz w:val="24"/>
          <w:szCs w:val="24"/>
        </w:rPr>
      </w:pPr>
      <w:r w:rsidRPr="00372CE4">
        <w:t>Beslut av företrädarna för medlemsstaternas regeringar, församlade i rådet, av den 10/11/2004</w:t>
      </w:r>
      <w:r w:rsidRPr="00372CE4">
        <w:tab/>
      </w:r>
      <w:r w:rsidR="001E0538" w:rsidRPr="00372CE4">
        <w:t>13</w:t>
      </w:r>
    </w:p>
    <w:p w:rsidR="00AD7B7D" w:rsidRPr="00372CE4" w:rsidRDefault="00AD7B7D" w:rsidP="002915EF">
      <w:pPr>
        <w:sectPr w:rsidR="00AD7B7D" w:rsidRPr="00372CE4" w:rsidSect="00B33C1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AD7B7D" w:rsidRPr="00372CE4" w:rsidRDefault="00AD7B7D" w:rsidP="00AD7B7D">
      <w:pPr>
        <w:pStyle w:val="Rubrik1"/>
        <w:rPr>
          <w:noProof w:val="0"/>
        </w:rPr>
      </w:pPr>
      <w:bookmarkStart w:id="5" w:name="_Toc102377532"/>
      <w:r w:rsidRPr="00372CE4">
        <w:rPr>
          <w:noProof w:val="0"/>
        </w:rPr>
        <w:t>Utskottets förslag till riksdagsbeslut</w:t>
      </w:r>
      <w:bookmarkEnd w:id="5"/>
    </w:p>
    <w:p w:rsidR="00E11DD7" w:rsidRPr="00372CE4" w:rsidRDefault="007B0B45" w:rsidP="002915EF">
      <w:pPr>
        <w:pStyle w:val="Frslagspunkt"/>
        <w:spacing w:before="0"/>
        <w:rPr>
          <w:noProof w:val="0"/>
        </w:rPr>
      </w:pPr>
      <w:r w:rsidRPr="00372CE4">
        <w:rPr>
          <w:noProof w:val="0"/>
        </w:rPr>
        <w:t xml:space="preserve">       </w:t>
      </w:r>
      <w:r w:rsidR="00860BC3" w:rsidRPr="00372CE4">
        <w:rPr>
          <w:noProof w:val="0"/>
        </w:rPr>
        <w:t>Privilegier och immuni</w:t>
      </w:r>
      <w:r w:rsidR="003C093A" w:rsidRPr="00372CE4">
        <w:rPr>
          <w:noProof w:val="0"/>
        </w:rPr>
        <w:t>t</w:t>
      </w:r>
      <w:r w:rsidR="00860BC3" w:rsidRPr="00372CE4">
        <w:rPr>
          <w:noProof w:val="0"/>
        </w:rPr>
        <w:t>et för Europeiska försvarsbyrån</w:t>
      </w:r>
    </w:p>
    <w:p w:rsidR="007B0B45" w:rsidRPr="00372CE4" w:rsidRDefault="007B0B45" w:rsidP="00E11DD7">
      <w:pPr>
        <w:pStyle w:val="Frslagstext"/>
      </w:pPr>
    </w:p>
    <w:p w:rsidR="00D56AC0" w:rsidRPr="00372CE4" w:rsidRDefault="00E11DD7" w:rsidP="00E11DD7">
      <w:pPr>
        <w:pStyle w:val="Frslagstext"/>
      </w:pPr>
      <w:r w:rsidRPr="00372CE4">
        <w:t>Riksdagen</w:t>
      </w:r>
    </w:p>
    <w:p w:rsidR="00E11DD7" w:rsidRPr="00372CE4" w:rsidRDefault="00D56AC0" w:rsidP="00E11DD7">
      <w:pPr>
        <w:pStyle w:val="Frslagstext"/>
      </w:pPr>
      <w:r w:rsidRPr="00372CE4">
        <w:t>a) godkänner beslutet om privilegier och immunitet för Europeiska fö</w:t>
      </w:r>
      <w:r w:rsidRPr="00372CE4">
        <w:t>r</w:t>
      </w:r>
      <w:r w:rsidRPr="00372CE4">
        <w:t>svarsbyrån.</w:t>
      </w:r>
      <w:r w:rsidR="00F97E52" w:rsidRPr="00372CE4">
        <w:t xml:space="preserve"> </w:t>
      </w:r>
      <w:r w:rsidR="00E11DD7" w:rsidRPr="00372CE4">
        <w:t xml:space="preserve">Därmed </w:t>
      </w:r>
      <w:r w:rsidRPr="00372CE4">
        <w:t xml:space="preserve">bifaller </w:t>
      </w:r>
      <w:r w:rsidR="00E11DD7" w:rsidRPr="00372CE4">
        <w:t xml:space="preserve">riksdagen </w:t>
      </w:r>
      <w:r w:rsidRPr="00372CE4">
        <w:t xml:space="preserve">punkt 1 i </w:t>
      </w:r>
      <w:r w:rsidR="003C093A" w:rsidRPr="00372CE4">
        <w:t>proposition 2004/05</w:t>
      </w:r>
      <w:r w:rsidR="00E11DD7" w:rsidRPr="00372CE4">
        <w:t>:76 Privilegier och immunitet för Europeiska försvarsbyrån</w:t>
      </w:r>
      <w:bookmarkStart w:id="6" w:name="RESPARTI001"/>
      <w:bookmarkEnd w:id="6"/>
      <w:r w:rsidRPr="00372CE4">
        <w:t xml:space="preserve">, </w:t>
      </w:r>
    </w:p>
    <w:p w:rsidR="00F97E52" w:rsidRPr="00372CE4" w:rsidRDefault="00D56AC0" w:rsidP="00F97E52">
      <w:pPr>
        <w:pStyle w:val="Frslagstext"/>
      </w:pPr>
      <w:r w:rsidRPr="00372CE4">
        <w:t>b) antar r</w:t>
      </w:r>
      <w:r w:rsidR="00F97E52" w:rsidRPr="00372CE4">
        <w:t xml:space="preserve">egeringens förslag till lag om ändring i lagen (1976:661) om immunitet och privilegier i vissa fall. Därmed </w:t>
      </w:r>
      <w:r w:rsidRPr="00372CE4">
        <w:t xml:space="preserve">bifaller </w:t>
      </w:r>
      <w:r w:rsidR="00F97E52" w:rsidRPr="00372CE4">
        <w:t xml:space="preserve">riksdagen </w:t>
      </w:r>
      <w:r w:rsidRPr="00372CE4">
        <w:t xml:space="preserve">punkt 2 i </w:t>
      </w:r>
      <w:r w:rsidR="00860BC3" w:rsidRPr="00372CE4">
        <w:t>proposition 2004</w:t>
      </w:r>
      <w:r w:rsidR="00F97E52" w:rsidRPr="00372CE4">
        <w:t>/</w:t>
      </w:r>
      <w:r w:rsidRPr="00372CE4">
        <w:t>05:76 Privilegier och immunitet</w:t>
      </w:r>
      <w:r w:rsidR="00855432" w:rsidRPr="00372CE4">
        <w:t xml:space="preserve"> för Europeiska fö</w:t>
      </w:r>
      <w:r w:rsidR="00855432" w:rsidRPr="00372CE4">
        <w:t>r</w:t>
      </w:r>
      <w:r w:rsidR="00855432" w:rsidRPr="00372CE4">
        <w:t>svarsbyrån,</w:t>
      </w:r>
    </w:p>
    <w:p w:rsidR="00D56AC0" w:rsidRPr="00372CE4" w:rsidRDefault="00D56AC0" w:rsidP="00F97E52">
      <w:pPr>
        <w:pStyle w:val="Frslagstext"/>
      </w:pPr>
      <w:r w:rsidRPr="00372CE4">
        <w:t>c</w:t>
      </w:r>
      <w:r w:rsidR="00860BC3" w:rsidRPr="00372CE4">
        <w:t>) avslår</w:t>
      </w:r>
      <w:r w:rsidRPr="00372CE4">
        <w:t xml:space="preserve"> motionerna </w:t>
      </w:r>
      <w:r w:rsidR="003C093A" w:rsidRPr="00372CE4">
        <w:t>2004/05:</w:t>
      </w:r>
      <w:r w:rsidR="00203F8C" w:rsidRPr="00372CE4">
        <w:t>Fö41</w:t>
      </w:r>
      <w:r w:rsidR="00860BC3" w:rsidRPr="00372CE4">
        <w:t xml:space="preserve"> </w:t>
      </w:r>
      <w:r w:rsidR="00855432" w:rsidRPr="00372CE4">
        <w:t xml:space="preserve">(v) </w:t>
      </w:r>
      <w:r w:rsidR="003C093A" w:rsidRPr="00372CE4">
        <w:t>och 2004/05:</w:t>
      </w:r>
      <w:r w:rsidR="00860BC3" w:rsidRPr="00372CE4">
        <w:t>Fö42</w:t>
      </w:r>
      <w:r w:rsidR="00855432" w:rsidRPr="00372CE4">
        <w:t xml:space="preserve"> (mp)</w:t>
      </w:r>
      <w:r w:rsidR="00860BC3" w:rsidRPr="00372CE4">
        <w:t>.</w:t>
      </w:r>
    </w:p>
    <w:p w:rsidR="00860BC3" w:rsidRPr="00372CE4" w:rsidRDefault="00860BC3" w:rsidP="00F97E52">
      <w:pPr>
        <w:pStyle w:val="Frslagstext"/>
      </w:pPr>
    </w:p>
    <w:p w:rsidR="00860BC3" w:rsidRPr="00372CE4" w:rsidRDefault="00FA2FB7" w:rsidP="003C093A">
      <w:pPr>
        <w:pStyle w:val="Frslagstext"/>
        <w:jc w:val="right"/>
        <w:rPr>
          <w:i/>
        </w:rPr>
      </w:pPr>
      <w:r w:rsidRPr="00372CE4">
        <w:rPr>
          <w:i/>
        </w:rPr>
        <w:t xml:space="preserve">Reservation </w:t>
      </w:r>
      <w:r w:rsidR="00A80726" w:rsidRPr="00372CE4">
        <w:rPr>
          <w:i/>
        </w:rPr>
        <w:t xml:space="preserve">1 </w:t>
      </w:r>
      <w:r w:rsidRPr="00372CE4">
        <w:rPr>
          <w:i/>
        </w:rPr>
        <w:t>(v</w:t>
      </w:r>
      <w:r w:rsidR="00A80726" w:rsidRPr="00372CE4">
        <w:rPr>
          <w:i/>
        </w:rPr>
        <w:t>)</w:t>
      </w:r>
    </w:p>
    <w:p w:rsidR="00A80726" w:rsidRPr="00372CE4" w:rsidRDefault="00A80726" w:rsidP="003C093A">
      <w:pPr>
        <w:pStyle w:val="Frslagstext"/>
        <w:jc w:val="right"/>
        <w:rPr>
          <w:i/>
        </w:rPr>
      </w:pPr>
      <w:r w:rsidRPr="00372CE4">
        <w:rPr>
          <w:i/>
        </w:rPr>
        <w:t>Reservation 2 (mp)</w:t>
      </w:r>
    </w:p>
    <w:p w:rsidR="00F97E52" w:rsidRPr="00372CE4" w:rsidRDefault="00F97E52" w:rsidP="00F97E52">
      <w:pPr>
        <w:pStyle w:val="Frslagstext"/>
      </w:pPr>
      <w:bookmarkStart w:id="7" w:name="Nästa_Hpunkt"/>
      <w:bookmarkEnd w:id="7"/>
    </w:p>
    <w:p w:rsidR="00AD7B7D" w:rsidRPr="00372CE4" w:rsidRDefault="00AD7B7D" w:rsidP="00AD7B7D">
      <w:pPr>
        <w:pStyle w:val="Normaltindrag"/>
      </w:pPr>
    </w:p>
    <w:p w:rsidR="00AD7B7D" w:rsidRPr="00372CE4" w:rsidRDefault="00AD7B7D" w:rsidP="00AD7B7D">
      <w:pPr>
        <w:pStyle w:val="Normaltindrag"/>
      </w:pPr>
    </w:p>
    <w:p w:rsidR="00A24501" w:rsidRPr="00372CE4" w:rsidRDefault="00FA2FB7" w:rsidP="00A24501">
      <w:pPr>
        <w:pStyle w:val="Utskriftsdatum"/>
      </w:pPr>
      <w:r w:rsidRPr="00372CE4">
        <w:t>Stockholm den 28  april 2005</w:t>
      </w:r>
    </w:p>
    <w:p w:rsidR="00A24501" w:rsidRPr="00372CE4" w:rsidRDefault="00A24501" w:rsidP="00A24501">
      <w:pPr>
        <w:pStyle w:val="Utskriftsdatum"/>
      </w:pPr>
    </w:p>
    <w:p w:rsidR="00AD7B7D" w:rsidRPr="00372CE4" w:rsidRDefault="00AD7B7D" w:rsidP="00A24501">
      <w:pPr>
        <w:pStyle w:val="Utskriftsdatum"/>
      </w:pPr>
      <w:r w:rsidRPr="00372CE4">
        <w:t>På försvarsutskottets vägnar</w:t>
      </w:r>
    </w:p>
    <w:p w:rsidR="00AD7B7D" w:rsidRPr="00372CE4" w:rsidRDefault="00A24501" w:rsidP="00A24501">
      <w:pPr>
        <w:pStyle w:val="Ordfranden"/>
        <w:rPr>
          <w:noProof w:val="0"/>
        </w:rPr>
      </w:pPr>
      <w:bookmarkStart w:id="8" w:name="Ordförande"/>
      <w:bookmarkEnd w:id="8"/>
      <w:r w:rsidRPr="00372CE4">
        <w:rPr>
          <w:noProof w:val="0"/>
        </w:rPr>
        <w:t xml:space="preserve">Eskil Erlandsson </w:t>
      </w:r>
    </w:p>
    <w:p w:rsidR="00AD7B7D" w:rsidRPr="00372CE4" w:rsidRDefault="00A24501" w:rsidP="00A24501">
      <w:pPr>
        <w:pStyle w:val="Deltagare"/>
        <w:rPr>
          <w:noProof w:val="0"/>
        </w:rPr>
      </w:pPr>
      <w:bookmarkStart w:id="9" w:name="Deltagare"/>
      <w:bookmarkEnd w:id="9"/>
      <w:r w:rsidRPr="00372CE4">
        <w:rPr>
          <w:noProof w:val="0"/>
        </w:rPr>
        <w:t>Följande ledamöter har deltagit i beslutet: Eskil Erlandsson (c), Tone Tingsgård (s), Ola Rask (s), Ola Sundell (m), Berndt Sköldestig (s), Berit Jóhannesson (v), Peter Jonsson (s), Karin Enström (m), Marie Nordén (s), Christer Skoog (s), Else-Marie Lindgren (kd), Gunilla Carlsson i Hisings Backa (s), Mikael Johansson (mp) och Yvonne Ångström (fp).</w:t>
      </w:r>
    </w:p>
    <w:p w:rsidR="00AD7B7D" w:rsidRPr="00372CE4" w:rsidRDefault="00AD7B7D" w:rsidP="00AD7B7D">
      <w:pPr>
        <w:pStyle w:val="Normaltindrag"/>
        <w:sectPr w:rsidR="00AD7B7D" w:rsidRPr="00372CE4" w:rsidSect="00B33C1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CA5924" w:rsidRPr="00372CE4" w:rsidRDefault="00AD7B7D" w:rsidP="00CA5924">
      <w:pPr>
        <w:pStyle w:val="Rubrik1"/>
        <w:rPr>
          <w:noProof w:val="0"/>
        </w:rPr>
      </w:pPr>
      <w:bookmarkStart w:id="10" w:name="_Toc102377533"/>
      <w:r w:rsidRPr="00372CE4">
        <w:rPr>
          <w:noProof w:val="0"/>
        </w:rPr>
        <w:t>Redogörelse för ärendet</w:t>
      </w:r>
      <w:bookmarkEnd w:id="10"/>
    </w:p>
    <w:p w:rsidR="00AD7B7D" w:rsidRPr="00372CE4" w:rsidRDefault="00AD7B7D" w:rsidP="002915EF">
      <w:pPr>
        <w:pStyle w:val="Rubrik2"/>
        <w:spacing w:before="0"/>
      </w:pPr>
      <w:bookmarkStart w:id="11" w:name="_Toc102377534"/>
      <w:r w:rsidRPr="00372CE4">
        <w:t>Ärendet och dess beredning</w:t>
      </w:r>
      <w:bookmarkEnd w:id="11"/>
    </w:p>
    <w:p w:rsidR="00CA5924" w:rsidRPr="00372CE4" w:rsidRDefault="00CA5924" w:rsidP="00CA5924">
      <w:r w:rsidRPr="00372CE4">
        <w:t>Den 12 juli 2004 antog Europeiska unionens råd en gemensam åtgärd om att inrätta en europeisk försvarsbyrå (2004/551/GUSP). Byrån har till uppgift att bl.a. främja och stärka det europeiska försvarsmaterielsamarbetet samt u</w:t>
      </w:r>
      <w:r w:rsidRPr="00372CE4">
        <w:t>t</w:t>
      </w:r>
      <w:r w:rsidRPr="00372CE4">
        <w:t>veckla försvarskapaciteten inom EU:s krishantering.</w:t>
      </w:r>
    </w:p>
    <w:p w:rsidR="00CA5924" w:rsidRPr="00372CE4" w:rsidRDefault="00CA5924" w:rsidP="00CA5924">
      <w:r w:rsidRPr="00372CE4">
        <w:t>Medlemsstaterna i EU har enats om ett beslut som reglerar privilegier och immunitet för byrån och dess anställda (</w:t>
      </w:r>
      <w:r w:rsidRPr="00372CE4">
        <w:rPr>
          <w:i/>
          <w:iCs/>
        </w:rPr>
        <w:t>bilaga</w:t>
      </w:r>
      <w:r w:rsidRPr="00372CE4">
        <w:t>). Beslutet undertecknades den 10 november 2004 av företrädarna för medlemsstaternas regeringar församl</w:t>
      </w:r>
      <w:r w:rsidRPr="00372CE4">
        <w:t>a</w:t>
      </w:r>
      <w:r w:rsidRPr="00372CE4">
        <w:t>de i rådet.</w:t>
      </w:r>
    </w:p>
    <w:p w:rsidR="00CA5924" w:rsidRPr="00372CE4" w:rsidRDefault="00CA5924" w:rsidP="003C093A">
      <w:pPr>
        <w:pStyle w:val="Normaltindrag"/>
      </w:pPr>
      <w:r w:rsidRPr="00372CE4">
        <w:t>Av artikel 17 i beslutet framgår att det träder i kraft den första dagen i den andra månaden som infaller efter det att tio medlemsstater, samt byråns vär</w:t>
      </w:r>
      <w:r w:rsidRPr="00372CE4">
        <w:t>d</w:t>
      </w:r>
      <w:r w:rsidRPr="00372CE4">
        <w:t>land, har underrättat rådets generalsekretariat om att de förfaranden som krävs för genomförandet inom deras nationella rättssystem har slutförts. För varje annan medlemsstat träder beslutet i kraft den första dagen i den andra mån</w:t>
      </w:r>
      <w:r w:rsidRPr="00372CE4">
        <w:t>a</w:t>
      </w:r>
      <w:r w:rsidRPr="00372CE4">
        <w:t xml:space="preserve">den som infaller efter det att medlemsstaten i fråga har underrättat rådets generalsekretariat om att de förfaranden som krävs för genomförandet inom deras nationella rättssystem har slutförts. Beslutet fogas i svensk text som </w:t>
      </w:r>
      <w:r w:rsidRPr="00372CE4">
        <w:rPr>
          <w:i/>
          <w:iCs/>
        </w:rPr>
        <w:t xml:space="preserve">bilaga </w:t>
      </w:r>
      <w:r w:rsidRPr="00372CE4">
        <w:t>till propositionen.</w:t>
      </w:r>
    </w:p>
    <w:p w:rsidR="00CA5924" w:rsidRPr="00372CE4" w:rsidRDefault="00CA5924" w:rsidP="003C093A">
      <w:pPr>
        <w:pStyle w:val="Normaltindrag"/>
      </w:pPr>
      <w:r w:rsidRPr="00372CE4">
        <w:t>I detta sammanhang föreslås även en ändring i 7 § lagen (1976:661) om immunitet och privilegier med anledning av ett felaktigt datum för ett i par</w:t>
      </w:r>
      <w:r w:rsidRPr="00372CE4">
        <w:t>a</w:t>
      </w:r>
      <w:r w:rsidRPr="00372CE4">
        <w:t xml:space="preserve">grafen upptaget avtal. </w:t>
      </w:r>
    </w:p>
    <w:p w:rsidR="008805FE" w:rsidRPr="00372CE4" w:rsidRDefault="008805FE" w:rsidP="003C093A">
      <w:pPr>
        <w:pStyle w:val="Normaltindrag"/>
      </w:pPr>
      <w:r w:rsidRPr="00372CE4">
        <w:t xml:space="preserve">De föreslagna lagändringarna är enligt regeringen av enkel beskaffenhet. Regeringen </w:t>
      </w:r>
      <w:r w:rsidR="002D7F0A" w:rsidRPr="00372CE4">
        <w:t xml:space="preserve">har </w:t>
      </w:r>
      <w:r w:rsidRPr="00372CE4">
        <w:t xml:space="preserve">därför </w:t>
      </w:r>
      <w:r w:rsidR="002D7F0A" w:rsidRPr="00372CE4">
        <w:t>inte inhämtat Lagrådets yttrande.</w:t>
      </w:r>
    </w:p>
    <w:p w:rsidR="002D7F0A" w:rsidRPr="00372CE4" w:rsidRDefault="002D7F0A" w:rsidP="002D7F0A">
      <w:r w:rsidRPr="00372CE4">
        <w:t>I anledning av propositionen har två motioner väckts. I motionerna 2004/05:Fö41 av Berit Jóhannesson m.fl. (v) och 2004/05</w:t>
      </w:r>
      <w:r w:rsidR="00D5287C" w:rsidRPr="00372CE4">
        <w:t>:Fö42 av Lars Ån</w:t>
      </w:r>
      <w:r w:rsidR="00D5287C" w:rsidRPr="00372CE4">
        <w:t>g</w:t>
      </w:r>
      <w:r w:rsidR="00D5287C" w:rsidRPr="00372CE4">
        <w:t>ström och Lotta</w:t>
      </w:r>
      <w:r w:rsidRPr="00372CE4">
        <w:t xml:space="preserve"> Hedström (mp) föreslås att riksdagen avslår propositionen.</w:t>
      </w:r>
    </w:p>
    <w:p w:rsidR="00AD7B7D" w:rsidRPr="00372CE4" w:rsidRDefault="00AD7B7D" w:rsidP="002352BA">
      <w:pPr>
        <w:pStyle w:val="Rubrik2"/>
        <w:spacing w:before="250"/>
      </w:pPr>
      <w:bookmarkStart w:id="12" w:name="_Toc102377535"/>
      <w:r w:rsidRPr="00372CE4">
        <w:t>Propositionens huvudsakliga innehåll</w:t>
      </w:r>
      <w:bookmarkEnd w:id="12"/>
    </w:p>
    <w:p w:rsidR="00932D9D" w:rsidRPr="00372CE4" w:rsidRDefault="00932D9D" w:rsidP="002352BA">
      <w:pPr>
        <w:pStyle w:val="Rubrik3"/>
        <w:spacing w:before="235"/>
        <w:rPr>
          <w:noProof w:val="0"/>
        </w:rPr>
      </w:pPr>
      <w:bookmarkStart w:id="13" w:name="_Toc102377536"/>
      <w:r w:rsidRPr="00372CE4">
        <w:rPr>
          <w:noProof w:val="0"/>
        </w:rPr>
        <w:t>Europeiska försvarsbyrån</w:t>
      </w:r>
      <w:bookmarkEnd w:id="13"/>
    </w:p>
    <w:p w:rsidR="007D0793" w:rsidRPr="00372CE4" w:rsidRDefault="007D0793" w:rsidP="007D0793">
      <w:r w:rsidRPr="00372CE4">
        <w:t>Vid Europeiska rådets möte i Thessaloniki i juni 2003 gavs rådets rel</w:t>
      </w:r>
      <w:r w:rsidRPr="00372CE4">
        <w:t>e</w:t>
      </w:r>
      <w:r w:rsidRPr="00372CE4">
        <w:t>vanta organ i uppdrag att vidta de åtgärder som krävs för att under 2004 inrätta en mellanstatlig byrå för utveckling av försvarsresurser, fors</w:t>
      </w:r>
      <w:r w:rsidRPr="00372CE4">
        <w:t>k</w:t>
      </w:r>
      <w:r w:rsidRPr="00372CE4">
        <w:t>ning, anskaffning och försvarsmateriel. I november 2003 inrä</w:t>
      </w:r>
      <w:r w:rsidRPr="00372CE4">
        <w:t>t</w:t>
      </w:r>
      <w:r w:rsidRPr="00372CE4">
        <w:t>tade rådet en arbetsgrupp med uppdrag att lämna förslag till byråns inriktning, uppgi</w:t>
      </w:r>
      <w:r w:rsidRPr="00372CE4">
        <w:t>f</w:t>
      </w:r>
      <w:r w:rsidRPr="00372CE4">
        <w:t xml:space="preserve">ter, organisation m.m. Arbetsgruppen </w:t>
      </w:r>
      <w:r w:rsidRPr="00372CE4">
        <w:rPr>
          <w:iCs/>
        </w:rPr>
        <w:t>slutredovisade sitt arbete den 3 maj 2004 till den särskilda rådsarbetsgrupp som inrättats för att hantera frågan om inrättandet av en europeisk försvarsbyrå. Den 12 juli 2004 fattade rådet beslut om att anta den geme</w:t>
      </w:r>
      <w:r w:rsidRPr="00372CE4">
        <w:rPr>
          <w:iCs/>
        </w:rPr>
        <w:t>n</w:t>
      </w:r>
      <w:r w:rsidRPr="00372CE4">
        <w:rPr>
          <w:iCs/>
        </w:rPr>
        <w:t>samma åtgärden för Europeiska försvarsbyrån (Försvarsbyrån) och därmed formellt et</w:t>
      </w:r>
      <w:r w:rsidRPr="00372CE4">
        <w:rPr>
          <w:iCs/>
        </w:rPr>
        <w:t>a</w:t>
      </w:r>
      <w:r w:rsidRPr="00372CE4">
        <w:rPr>
          <w:iCs/>
        </w:rPr>
        <w:t>blera den (2004/551/GUSP).</w:t>
      </w:r>
    </w:p>
    <w:p w:rsidR="007E2ADD" w:rsidRPr="00372CE4" w:rsidRDefault="007E2ADD" w:rsidP="003C093A">
      <w:pPr>
        <w:pStyle w:val="Normaltindrag"/>
      </w:pPr>
      <w:r w:rsidRPr="00372CE4">
        <w:t>Syftet med Försvarsbyrån är att utveckla fö</w:t>
      </w:r>
      <w:r w:rsidRPr="00372CE4">
        <w:t>r</w:t>
      </w:r>
      <w:r w:rsidRPr="00372CE4">
        <w:t>svarskapacitet på området krishantering, främja och stärka det europeiska försvarsmaterielsamarb</w:t>
      </w:r>
      <w:r w:rsidRPr="00372CE4">
        <w:t>e</w:t>
      </w:r>
      <w:r w:rsidRPr="00372CE4">
        <w:t>tet, stärka den försvarsindustriella och tekniska basen i Europa samt sk</w:t>
      </w:r>
      <w:r w:rsidRPr="00372CE4">
        <w:t>a</w:t>
      </w:r>
      <w:r w:rsidRPr="00372CE4">
        <w:t>pa en konkurrenskraftig europeisk försvarsmaterielmarknad. Vidare skall Försvar</w:t>
      </w:r>
      <w:r w:rsidRPr="00372CE4">
        <w:t>s</w:t>
      </w:r>
      <w:r w:rsidRPr="00372CE4">
        <w:t>byrån, vid behov i förening med gemenskapens forskningsverksa</w:t>
      </w:r>
      <w:r w:rsidRPr="00372CE4">
        <w:t>m</w:t>
      </w:r>
      <w:r w:rsidRPr="00372CE4">
        <w:t>het, främja forskning som syftar till en ledande position inom teknik av strategisk bet</w:t>
      </w:r>
      <w:r w:rsidRPr="00372CE4">
        <w:t>y</w:t>
      </w:r>
      <w:r w:rsidRPr="00372CE4">
        <w:t>delse för framtida kapacitet på försvars- och säkerhet</w:t>
      </w:r>
      <w:r w:rsidRPr="00372CE4">
        <w:t>s</w:t>
      </w:r>
      <w:r w:rsidRPr="00372CE4">
        <w:t>området och därigenom stärka Europas industriella potential på området. Inrätta</w:t>
      </w:r>
      <w:r w:rsidRPr="00372CE4">
        <w:t>n</w:t>
      </w:r>
      <w:r w:rsidRPr="00372CE4">
        <w:t>det av Försvarsbyrån skall även bidra till genomförandet av den gemensamma utrikes- och säke</w:t>
      </w:r>
      <w:r w:rsidRPr="00372CE4">
        <w:t>r</w:t>
      </w:r>
      <w:r w:rsidRPr="00372CE4">
        <w:t>hetspolitiken (GUSP) och framför allt den europeiska säkerhets- och fö</w:t>
      </w:r>
      <w:r w:rsidRPr="00372CE4">
        <w:t>r</w:t>
      </w:r>
      <w:r w:rsidRPr="00372CE4">
        <w:t>svarsp</w:t>
      </w:r>
      <w:r w:rsidRPr="00372CE4">
        <w:t>o</w:t>
      </w:r>
      <w:r w:rsidRPr="00372CE4">
        <w:t>litiken (ESFP).</w:t>
      </w:r>
    </w:p>
    <w:p w:rsidR="00932D9D" w:rsidRPr="00372CE4" w:rsidRDefault="00932D9D" w:rsidP="002352BA">
      <w:pPr>
        <w:pStyle w:val="Rubrik3"/>
        <w:spacing w:before="235"/>
        <w:rPr>
          <w:noProof w:val="0"/>
        </w:rPr>
      </w:pPr>
      <w:bookmarkStart w:id="14" w:name="_Toc102377537"/>
      <w:r w:rsidRPr="00372CE4">
        <w:rPr>
          <w:noProof w:val="0"/>
        </w:rPr>
        <w:t>Beslutet om privilegier och immunitet för Europeiska försvarsbyrån och dess anställda</w:t>
      </w:r>
      <w:bookmarkEnd w:id="14"/>
    </w:p>
    <w:p w:rsidR="007E2ADD" w:rsidRPr="00372CE4" w:rsidRDefault="007E2ADD" w:rsidP="007E2ADD">
      <w:r w:rsidRPr="00372CE4">
        <w:t>Företrädarna för regeringarna i Europeiska unionens medlemsstater, försa</w:t>
      </w:r>
      <w:r w:rsidRPr="00372CE4">
        <w:t>m</w:t>
      </w:r>
      <w:r w:rsidRPr="00372CE4">
        <w:t>lade i rådet, beslutade den 10 november 2004 om immunitet och pr</w:t>
      </w:r>
      <w:r w:rsidRPr="00372CE4">
        <w:t>i</w:t>
      </w:r>
      <w:r w:rsidRPr="00372CE4">
        <w:t>vilegier för Europeiska fö</w:t>
      </w:r>
      <w:r w:rsidRPr="00372CE4">
        <w:t>r</w:t>
      </w:r>
      <w:r w:rsidRPr="00372CE4">
        <w:t>svarsbyrån och dess anställda. Beslutet redovisas i</w:t>
      </w:r>
      <w:r w:rsidR="006B14C0" w:rsidRPr="00372CE4">
        <w:t xml:space="preserve"> en </w:t>
      </w:r>
      <w:r w:rsidRPr="00372CE4">
        <w:t xml:space="preserve"> </w:t>
      </w:r>
      <w:r w:rsidRPr="00372CE4">
        <w:rPr>
          <w:i/>
        </w:rPr>
        <w:t>bilaga</w:t>
      </w:r>
      <w:r w:rsidRPr="00372CE4">
        <w:t xml:space="preserve">  till detta betänkande.  </w:t>
      </w:r>
    </w:p>
    <w:p w:rsidR="007E2ADD" w:rsidRPr="00372CE4" w:rsidRDefault="007E2ADD" w:rsidP="003C093A">
      <w:pPr>
        <w:pStyle w:val="Normaltindrag"/>
      </w:pPr>
      <w:r w:rsidRPr="00372CE4">
        <w:t>Internationella organ av sådan karaktär som Europeiska försvarsbyrån b</w:t>
      </w:r>
      <w:r w:rsidRPr="00372CE4">
        <w:t>e</w:t>
      </w:r>
      <w:r w:rsidRPr="00372CE4">
        <w:t xml:space="preserve">traktas </w:t>
      </w:r>
      <w:r w:rsidR="003C093A" w:rsidRPr="00372CE4">
        <w:t xml:space="preserve">enligt regeringen </w:t>
      </w:r>
      <w:r w:rsidRPr="00372CE4">
        <w:t>som folkrättsliga su</w:t>
      </w:r>
      <w:r w:rsidRPr="00372CE4">
        <w:t>b</w:t>
      </w:r>
      <w:r w:rsidRPr="00372CE4">
        <w:t>jekt och anses ha ett behov av att tillerkännas rättskapacitet liksom viss immunitet och vissa andra förm</w:t>
      </w:r>
      <w:r w:rsidRPr="00372CE4">
        <w:t>å</w:t>
      </w:r>
      <w:r w:rsidRPr="00372CE4">
        <w:t>ner för att på ett från värdlandet oberoende sätt kunna fullgöra de uppgifter st</w:t>
      </w:r>
      <w:r w:rsidRPr="00372CE4">
        <w:t>a</w:t>
      </w:r>
      <w:r w:rsidRPr="00372CE4">
        <w:t>terna lämnat organet. Immunitet innebär att en talan inför domstol eller en ansökan om verkställighet skall avvisas. Privilegier innebär vissa undantag från nationell lagstiftning. Genom beslutet får Försvarsbyrån och dess anstäl</w:t>
      </w:r>
      <w:r w:rsidRPr="00372CE4">
        <w:t>l</w:t>
      </w:r>
      <w:r w:rsidRPr="00372CE4">
        <w:t>da immunitet och privil</w:t>
      </w:r>
      <w:r w:rsidRPr="00372CE4">
        <w:t>e</w:t>
      </w:r>
      <w:r w:rsidRPr="00372CE4">
        <w:t>gier.</w:t>
      </w:r>
    </w:p>
    <w:p w:rsidR="007D51B8" w:rsidRPr="00372CE4" w:rsidRDefault="007D51B8" w:rsidP="003C093A">
      <w:pPr>
        <w:pStyle w:val="Normaltindrag"/>
      </w:pPr>
      <w:r w:rsidRPr="00372CE4">
        <w:t>Beslutet fattades av företrädarna för regeringarna i EU:s medlemsstater, församlade i rådet, och skall vara bindande för parterna. Beslutet tr</w:t>
      </w:r>
      <w:r w:rsidRPr="00372CE4">
        <w:t>ä</w:t>
      </w:r>
      <w:r w:rsidRPr="00372CE4">
        <w:t>der i kraft den första dagen i den andra månaden efter det att tio medlemsst</w:t>
      </w:r>
      <w:r w:rsidRPr="00372CE4">
        <w:t>a</w:t>
      </w:r>
      <w:r w:rsidRPr="00372CE4">
        <w:t>ter, samt den medlemsstat där byrån har sitt säte, har anmält till rådets generalsekret</w:t>
      </w:r>
      <w:r w:rsidRPr="00372CE4">
        <w:t>a</w:t>
      </w:r>
      <w:r w:rsidRPr="00372CE4">
        <w:t>riat att de förfaranden som krävs för genomförandet av beslutet i deras nati</w:t>
      </w:r>
      <w:r w:rsidRPr="00372CE4">
        <w:t>o</w:t>
      </w:r>
      <w:r w:rsidRPr="00372CE4">
        <w:t>nella rättsordningar har slutförts, för de medlem</w:t>
      </w:r>
      <w:r w:rsidRPr="00372CE4">
        <w:t>s</w:t>
      </w:r>
      <w:r w:rsidRPr="00372CE4">
        <w:t>stater som har gjort en sådan anmälan. Sedan avtalet har trätt i kraft e</w:t>
      </w:r>
      <w:r w:rsidRPr="00372CE4">
        <w:t>n</w:t>
      </w:r>
      <w:r w:rsidRPr="00372CE4">
        <w:t>ligt ovan, träder det i kraft för varje tillkommande medlemsstat den första dagen i den andra månaden efter mo</w:t>
      </w:r>
      <w:r w:rsidRPr="00372CE4">
        <w:t>t</w:t>
      </w:r>
      <w:r w:rsidRPr="00372CE4">
        <w:t>svarande anmälan till rådets gen</w:t>
      </w:r>
      <w:r w:rsidRPr="00372CE4">
        <w:t>e</w:t>
      </w:r>
      <w:r w:rsidRPr="00372CE4">
        <w:t>ralsekretariat.</w:t>
      </w:r>
    </w:p>
    <w:p w:rsidR="007D51B8" w:rsidRPr="00372CE4" w:rsidRDefault="007D51B8" w:rsidP="003C093A">
      <w:pPr>
        <w:pStyle w:val="Normaltindrag"/>
      </w:pPr>
      <w:r w:rsidRPr="00372CE4">
        <w:t>Eftersom beslutet förutsätter ändring av lag krävs, enligt 10 kap. 2 § rege</w:t>
      </w:r>
      <w:r w:rsidRPr="00372CE4">
        <w:t>r</w:t>
      </w:r>
      <w:r w:rsidRPr="00372CE4">
        <w:t>ingsformen, riksd</w:t>
      </w:r>
      <w:r w:rsidRPr="00372CE4">
        <w:t>a</w:t>
      </w:r>
      <w:r w:rsidRPr="00372CE4">
        <w:t>gens godkännande för att Sverige skall kunna tillträda det.</w:t>
      </w:r>
      <w:r w:rsidRPr="00372CE4">
        <w:rPr>
          <w:rFonts w:ascii="Helv" w:hAnsi="Helv"/>
          <w:color w:val="000000"/>
          <w:sz w:val="20"/>
        </w:rPr>
        <w:t xml:space="preserve"> </w:t>
      </w:r>
    </w:p>
    <w:p w:rsidR="007D51B8" w:rsidRPr="00372CE4" w:rsidRDefault="007D51B8" w:rsidP="007D51B8">
      <w:r w:rsidRPr="00372CE4">
        <w:rPr>
          <w:i/>
        </w:rPr>
        <w:t>Regeringen</w:t>
      </w:r>
      <w:r w:rsidRPr="00372CE4">
        <w:t xml:space="preserve"> </w:t>
      </w:r>
      <w:r w:rsidRPr="00372CE4">
        <w:rPr>
          <w:i/>
        </w:rPr>
        <w:t>föreslår</w:t>
      </w:r>
      <w:r w:rsidRPr="00372CE4">
        <w:t xml:space="preserve"> därför att riksdagen godkänner beslutet om priv</w:t>
      </w:r>
      <w:r w:rsidRPr="00372CE4">
        <w:t>i</w:t>
      </w:r>
      <w:r w:rsidRPr="00372CE4">
        <w:t>legier och immunitet för Europeiska försvarsbyrån och dess anställda.</w:t>
      </w:r>
    </w:p>
    <w:p w:rsidR="00932D9D" w:rsidRPr="00372CE4" w:rsidRDefault="00932D9D" w:rsidP="002352BA">
      <w:pPr>
        <w:pStyle w:val="Rubrik3"/>
        <w:spacing w:before="235"/>
        <w:rPr>
          <w:noProof w:val="0"/>
        </w:rPr>
      </w:pPr>
      <w:bookmarkStart w:id="15" w:name="_Toc102377538"/>
      <w:r w:rsidRPr="00372CE4">
        <w:rPr>
          <w:noProof w:val="0"/>
        </w:rPr>
        <w:t>Ändring i lagen (1976:661) om immunitet och privilegier i vissa fall</w:t>
      </w:r>
      <w:bookmarkEnd w:id="15"/>
    </w:p>
    <w:p w:rsidR="00F1583D" w:rsidRPr="00372CE4" w:rsidRDefault="00F1583D" w:rsidP="00F1583D">
      <w:r w:rsidRPr="00372CE4">
        <w:t>För att beslutets bestämmelser om immunitet och privilegier för Försvarsb</w:t>
      </w:r>
      <w:r w:rsidRPr="00372CE4">
        <w:t>y</w:t>
      </w:r>
      <w:r w:rsidRPr="00372CE4">
        <w:t>rån skall bli gällande för sven</w:t>
      </w:r>
      <w:r w:rsidRPr="00372CE4">
        <w:t>s</w:t>
      </w:r>
      <w:r w:rsidRPr="00372CE4">
        <w:t>ka myndigheter måste de införlivas med svensk rätt. Frågor om immunitet och privilegier för internationella organ och pers</w:t>
      </w:r>
      <w:r w:rsidRPr="00372CE4">
        <w:t>o</w:t>
      </w:r>
      <w:r w:rsidRPr="00372CE4">
        <w:t>ner med anknytning till sådana organ regleras i lagen (1976:661) om immun</w:t>
      </w:r>
      <w:r w:rsidRPr="00372CE4">
        <w:t>i</w:t>
      </w:r>
      <w:r w:rsidRPr="00372CE4">
        <w:t>tet och privileg</w:t>
      </w:r>
      <w:r w:rsidRPr="00372CE4">
        <w:t>i</w:t>
      </w:r>
      <w:r w:rsidRPr="00372CE4">
        <w:t>er i vissa fall.</w:t>
      </w:r>
    </w:p>
    <w:p w:rsidR="00F1583D" w:rsidRPr="00372CE4" w:rsidRDefault="00F1583D" w:rsidP="00F1583D">
      <w:pPr>
        <w:pStyle w:val="Normaltindrag"/>
      </w:pPr>
      <w:r w:rsidRPr="00372CE4">
        <w:t>Enligt 4 § har vissa i en bilaga till lagen angivna organ och personer med anknytning till sådana organ immunitet och privilegier enligt vad som b</w:t>
      </w:r>
      <w:r w:rsidRPr="00372CE4">
        <w:t>e</w:t>
      </w:r>
      <w:r w:rsidRPr="00372CE4">
        <w:t>stämts i stadga eller avtal som är i kraft i förhållande till Sverige. Bil</w:t>
      </w:r>
      <w:r w:rsidRPr="00372CE4">
        <w:t>a</w:t>
      </w:r>
      <w:r w:rsidRPr="00372CE4">
        <w:t>gan bör kompletteras så att den också omfattar Försvarsbyrån och dess anställda. Immuniteten och privilegierna gäller i den utsträc</w:t>
      </w:r>
      <w:r w:rsidRPr="00372CE4">
        <w:t>k</w:t>
      </w:r>
      <w:r w:rsidRPr="00372CE4">
        <w:t>ning som framgår av rådets beslut.</w:t>
      </w:r>
    </w:p>
    <w:p w:rsidR="00F1583D" w:rsidRPr="00372CE4" w:rsidRDefault="00F1583D" w:rsidP="00F1583D">
      <w:pPr>
        <w:pStyle w:val="Normaltindrag"/>
      </w:pPr>
      <w:r w:rsidRPr="00372CE4">
        <w:t>I 7 § lagen om immunitet och privilegier i vissa fall skedde en ändring den 1 januari 200</w:t>
      </w:r>
      <w:r w:rsidR="003C093A" w:rsidRPr="00372CE4">
        <w:t>5 med anledning av proposition</w:t>
      </w:r>
      <w:r w:rsidRPr="00372CE4">
        <w:t xml:space="preserve"> </w:t>
      </w:r>
      <w:r w:rsidRPr="00372CE4">
        <w:rPr>
          <w:i/>
        </w:rPr>
        <w:t>Vissa rättigheter vid internati</w:t>
      </w:r>
      <w:r w:rsidRPr="00372CE4">
        <w:rPr>
          <w:i/>
        </w:rPr>
        <w:t>o</w:t>
      </w:r>
      <w:r w:rsidRPr="00372CE4">
        <w:rPr>
          <w:i/>
        </w:rPr>
        <w:t>nellt militärt samarbete och internationell krishantering</w:t>
      </w:r>
      <w:r w:rsidRPr="00372CE4">
        <w:t xml:space="preserve"> (prop. 2004/05:7, bet. 2004/05:FöU2, rskr. 2004/05:44). Av misstag anges nu i paragrafen felaktigt att avtalet me</w:t>
      </w:r>
      <w:r w:rsidR="003C093A" w:rsidRPr="00372CE4">
        <w:t>llan de stater som är parter i n</w:t>
      </w:r>
      <w:r w:rsidRPr="00372CE4">
        <w:t>ordatla</w:t>
      </w:r>
      <w:r w:rsidRPr="00372CE4">
        <w:t>n</w:t>
      </w:r>
      <w:r w:rsidRPr="00372CE4">
        <w:t>tiska fördraget och de andra stater som deltar i Partnerskap för fred om status för deras sty</w:t>
      </w:r>
      <w:r w:rsidRPr="00372CE4">
        <w:t>r</w:t>
      </w:r>
      <w:r w:rsidRPr="00372CE4">
        <w:t>kor, det s.k. PFF-avtalet, undertecknades den 9 maj 1994. Rätt datum är den 19 juni 1995. Felet bör nu rättas till.</w:t>
      </w:r>
    </w:p>
    <w:p w:rsidR="00F1583D" w:rsidRPr="00372CE4" w:rsidRDefault="00F1583D" w:rsidP="00F1583D">
      <w:pPr>
        <w:pStyle w:val="Normaltindrag"/>
      </w:pPr>
      <w:r w:rsidRPr="00372CE4">
        <w:t>I regel skall alla för Sverige bindande överenskommelser som har i</w:t>
      </w:r>
      <w:r w:rsidRPr="00372CE4">
        <w:t>n</w:t>
      </w:r>
      <w:r w:rsidRPr="00372CE4">
        <w:t xml:space="preserve">gåtts av regeringen publiceras i </w:t>
      </w:r>
      <w:r w:rsidRPr="00372CE4">
        <w:rPr>
          <w:i/>
          <w:iCs/>
        </w:rPr>
        <w:t>Sveriges internationella överenskomme</w:t>
      </w:r>
      <w:r w:rsidRPr="00372CE4">
        <w:rPr>
          <w:i/>
          <w:iCs/>
        </w:rPr>
        <w:t>l</w:t>
      </w:r>
      <w:r w:rsidRPr="00372CE4">
        <w:rPr>
          <w:i/>
          <w:iCs/>
        </w:rPr>
        <w:t>ser</w:t>
      </w:r>
      <w:r w:rsidRPr="00372CE4">
        <w:t xml:space="preserve"> (SÖ). För att underlätta tillämpningen av 7 § bör den kompletteras med SÖ-numren för de i paragrafen angivna avtalen, eftersom sådana nummer nu finns för samtliga avtal.   </w:t>
      </w:r>
    </w:p>
    <w:p w:rsidR="00F1583D" w:rsidRPr="00372CE4" w:rsidRDefault="00F1583D" w:rsidP="00F1583D">
      <w:r w:rsidRPr="00372CE4">
        <w:rPr>
          <w:i/>
        </w:rPr>
        <w:t>Regeringen föreslår</w:t>
      </w:r>
      <w:r w:rsidRPr="00372CE4">
        <w:t xml:space="preserve"> därför att </w:t>
      </w:r>
      <w:r w:rsidR="003C093A" w:rsidRPr="00372CE4">
        <w:t>l</w:t>
      </w:r>
      <w:r w:rsidRPr="00372CE4">
        <w:t>agen (1976:661) om immunitet och privileg</w:t>
      </w:r>
      <w:r w:rsidRPr="00372CE4">
        <w:t>i</w:t>
      </w:r>
      <w:r w:rsidRPr="00372CE4">
        <w:t xml:space="preserve">er i vissa fall </w:t>
      </w:r>
      <w:r w:rsidR="003C093A" w:rsidRPr="00372CE4">
        <w:t xml:space="preserve">även </w:t>
      </w:r>
      <w:r w:rsidRPr="00372CE4">
        <w:t>skall omfatta Europeiska försvarsbyrån och dess personal. Vidare skall det felaktigt angivna datumet i 7 § rättas till. Par</w:t>
      </w:r>
      <w:r w:rsidRPr="00372CE4">
        <w:t>a</w:t>
      </w:r>
      <w:r w:rsidRPr="00372CE4">
        <w:t xml:space="preserve">grafen skall även kompletteras med de angivna avtalens SÖ-nummer. </w:t>
      </w:r>
    </w:p>
    <w:p w:rsidR="00F1583D" w:rsidRPr="00372CE4" w:rsidRDefault="00D05862" w:rsidP="002352BA">
      <w:pPr>
        <w:pStyle w:val="Rubrik2"/>
        <w:spacing w:before="250"/>
      </w:pPr>
      <w:bookmarkStart w:id="16" w:name="_Toc102377539"/>
      <w:r w:rsidRPr="00372CE4">
        <w:t>Motionerna</w:t>
      </w:r>
      <w:bookmarkEnd w:id="16"/>
    </w:p>
    <w:p w:rsidR="00D05862" w:rsidRPr="00372CE4" w:rsidRDefault="00346439" w:rsidP="00D05862">
      <w:r w:rsidRPr="00372CE4">
        <w:t xml:space="preserve">I motion 2004/05:Fö41 av </w:t>
      </w:r>
      <w:r w:rsidRPr="00372CE4">
        <w:rPr>
          <w:i/>
        </w:rPr>
        <w:t>Berit Jóhannesson m.fl. (v)</w:t>
      </w:r>
      <w:r w:rsidRPr="00372CE4">
        <w:t xml:space="preserve"> erinrar motionärerna om att Vänsterpartiet var emot inrättandet av en europeisk försvarsbyrå. M</w:t>
      </w:r>
      <w:r w:rsidRPr="00372CE4">
        <w:t>o</w:t>
      </w:r>
      <w:r w:rsidRPr="00372CE4">
        <w:t xml:space="preserve">tionärerna anser att </w:t>
      </w:r>
      <w:r w:rsidR="00CC7493" w:rsidRPr="00372CE4">
        <w:t xml:space="preserve">Försvarsbyrån </w:t>
      </w:r>
      <w:r w:rsidRPr="00372CE4">
        <w:t>föreslås omgärdas av immunitets- och privilegieregler som är främmande för den svenska traditionen. Immunitet</w:t>
      </w:r>
      <w:r w:rsidRPr="00372CE4">
        <w:t>s</w:t>
      </w:r>
      <w:r w:rsidRPr="00372CE4">
        <w:t xml:space="preserve">reglerna är så pass omfattande att det </w:t>
      </w:r>
      <w:r w:rsidR="003C093A" w:rsidRPr="00372CE4">
        <w:t>t.o.m.</w:t>
      </w:r>
      <w:r w:rsidRPr="00372CE4">
        <w:t xml:space="preserve"> blir omöjligt att beivra eventuell brottslighet inom byrån. </w:t>
      </w:r>
      <w:r w:rsidR="00CC7493" w:rsidRPr="00372CE4">
        <w:t xml:space="preserve">Vidare </w:t>
      </w:r>
      <w:r w:rsidRPr="00372CE4">
        <w:t xml:space="preserve">inrättas </w:t>
      </w:r>
      <w:r w:rsidR="00CC7493" w:rsidRPr="00372CE4">
        <w:t xml:space="preserve">det </w:t>
      </w:r>
      <w:r w:rsidRPr="00372CE4">
        <w:t>enligt motionärerna ytterligare ett skattefrälse genom att Försvarsbyråns anställda befrias från inkomstskatt. Motionärerna föreslår sålunda att propositionen avslås av rik</w:t>
      </w:r>
      <w:r w:rsidRPr="00372CE4">
        <w:t>s</w:t>
      </w:r>
      <w:r w:rsidRPr="00372CE4">
        <w:t>dagen.</w:t>
      </w:r>
    </w:p>
    <w:p w:rsidR="00932D9D" w:rsidRPr="00372CE4" w:rsidRDefault="001D0B3B" w:rsidP="003C093A">
      <w:pPr>
        <w:pStyle w:val="Normaltindrag"/>
      </w:pPr>
      <w:r w:rsidRPr="00372CE4">
        <w:t xml:space="preserve">I motion 2004/05:Fö42 av </w:t>
      </w:r>
      <w:r w:rsidRPr="00372CE4">
        <w:rPr>
          <w:i/>
        </w:rPr>
        <w:t>Lars Ångström och Lotta Hedström (mp)</w:t>
      </w:r>
      <w:r w:rsidRPr="00372CE4">
        <w:t xml:space="preserve"> anförs att vapenindustrin är en av de sektorer där mutor är vanligast förekommande. </w:t>
      </w:r>
      <w:r w:rsidR="00D7404E" w:rsidRPr="00372CE4">
        <w:t>Att ge anställda i Europeiska försvarsbyrån immunitet och särskilda privileg</w:t>
      </w:r>
      <w:r w:rsidR="00D7404E" w:rsidRPr="00372CE4">
        <w:t>i</w:t>
      </w:r>
      <w:r w:rsidR="00D7404E" w:rsidRPr="00372CE4">
        <w:t>er, även efter att de lämnat sin anställning, anser motionärerna är fel väg att gå. Ökad transparens och öppenhet när det gäller byråns arbete är i stället att föredra. Propositionen bör därför avslås av riksdagen.</w:t>
      </w:r>
    </w:p>
    <w:p w:rsidR="00AD7B7D" w:rsidRPr="00372CE4" w:rsidRDefault="00AD7B7D" w:rsidP="00AD7B7D">
      <w:pPr>
        <w:pStyle w:val="Normaltindrag"/>
        <w:sectPr w:rsidR="00AD7B7D" w:rsidRPr="00372CE4" w:rsidSect="00B33C1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AD7B7D" w:rsidRPr="00372CE4" w:rsidRDefault="00AD7B7D" w:rsidP="00AD7B7D">
      <w:pPr>
        <w:pStyle w:val="Rubrik1"/>
        <w:rPr>
          <w:noProof w:val="0"/>
        </w:rPr>
      </w:pPr>
      <w:bookmarkStart w:id="17" w:name="_Toc102377540"/>
      <w:r w:rsidRPr="00372CE4">
        <w:rPr>
          <w:noProof w:val="0"/>
        </w:rPr>
        <w:t>Utskottets överväganden</w:t>
      </w:r>
      <w:bookmarkEnd w:id="17"/>
    </w:p>
    <w:p w:rsidR="00E556AE" w:rsidRPr="00372CE4" w:rsidRDefault="00E556AE" w:rsidP="00E556AE">
      <w:r w:rsidRPr="00372CE4">
        <w:rPr>
          <w:i/>
        </w:rPr>
        <w:t>Utskottet</w:t>
      </w:r>
      <w:r w:rsidRPr="00372CE4">
        <w:t xml:space="preserve"> vill i likhet med regeringen </w:t>
      </w:r>
      <w:r w:rsidR="008A735A" w:rsidRPr="00372CE4">
        <w:t xml:space="preserve">inledningsvis </w:t>
      </w:r>
      <w:r w:rsidRPr="00372CE4">
        <w:t>peka på att syftet med Försvarsbyrån är att utveckla en fö</w:t>
      </w:r>
      <w:r w:rsidRPr="00372CE4">
        <w:t>r</w:t>
      </w:r>
      <w:r w:rsidRPr="00372CE4">
        <w:t>svarskapacitet på området krishantering, främja och stärka det europeiska försvarsmaterielsamarbetet, stärka den fö</w:t>
      </w:r>
      <w:r w:rsidRPr="00372CE4">
        <w:t>r</w:t>
      </w:r>
      <w:r w:rsidRPr="00372CE4">
        <w:t>svarsindustriella och tekniska basen i Europa samt sk</w:t>
      </w:r>
      <w:r w:rsidRPr="00372CE4">
        <w:t>a</w:t>
      </w:r>
      <w:r w:rsidRPr="00372CE4">
        <w:t>pa en konkurrenskraftig europeisk försvarsmaterielmarknad. Försvarsbyrån skall vidare främja fors</w:t>
      </w:r>
      <w:r w:rsidRPr="00372CE4">
        <w:t>k</w:t>
      </w:r>
      <w:r w:rsidRPr="00372CE4">
        <w:t>ning som syftar till en ledande position inom teknik av strategisk betydelse för framtida kapacitet på försvars- och säkerhet</w:t>
      </w:r>
      <w:r w:rsidRPr="00372CE4">
        <w:t>s</w:t>
      </w:r>
      <w:r w:rsidRPr="00372CE4">
        <w:t xml:space="preserve">området. Därigenom kan Europas industriella potential på området stärkas. Utskottet välkomnar dessa strävanden.  </w:t>
      </w:r>
    </w:p>
    <w:p w:rsidR="005522C7" w:rsidRPr="00372CE4" w:rsidRDefault="00E556AE" w:rsidP="008A735A">
      <w:r w:rsidRPr="00372CE4">
        <w:rPr>
          <w:i/>
        </w:rPr>
        <w:t>Regeringen</w:t>
      </w:r>
      <w:r w:rsidRPr="00372CE4">
        <w:t xml:space="preserve"> </w:t>
      </w:r>
      <w:r w:rsidRPr="00372CE4">
        <w:rPr>
          <w:i/>
        </w:rPr>
        <w:t>framhåller</w:t>
      </w:r>
      <w:r w:rsidRPr="00372CE4">
        <w:t xml:space="preserve"> att Försvarsbyrån är öppen för deltagande av alla EU:s medlemsstater som är bundna av den gemensamma åtgärden och att me</w:t>
      </w:r>
      <w:r w:rsidRPr="00372CE4">
        <w:t>d</w:t>
      </w:r>
      <w:r w:rsidRPr="00372CE4">
        <w:t>lemsstaternas befogenheter i försvarsfrågor inte påverkas. Byrån skall ha sitt huvudkontor i Bryssel. Försvarsbyrån skall ha status som juridisk person för att kunna utföra sina uppgi</w:t>
      </w:r>
      <w:r w:rsidRPr="00372CE4">
        <w:t>f</w:t>
      </w:r>
      <w:r w:rsidRPr="00372CE4">
        <w:t>ter och uppnå ställda mål. Varje medlemsstat skall vidta de åtgärder som krävs för att byrån skall få den rättskapacitet som tille</w:t>
      </w:r>
      <w:r w:rsidRPr="00372CE4">
        <w:t>r</w:t>
      </w:r>
      <w:r w:rsidRPr="00372CE4">
        <w:t>känns juridiska personer enligt deras nationella lagstif</w:t>
      </w:r>
      <w:r w:rsidRPr="00372CE4">
        <w:t>t</w:t>
      </w:r>
      <w:r w:rsidR="005522C7" w:rsidRPr="00372CE4">
        <w:t xml:space="preserve">ning. </w:t>
      </w:r>
    </w:p>
    <w:p w:rsidR="0034576A" w:rsidRPr="00372CE4" w:rsidRDefault="0034576A" w:rsidP="0034576A">
      <w:pPr>
        <w:pStyle w:val="Normaltindrag"/>
      </w:pPr>
      <w:r w:rsidRPr="00372CE4">
        <w:t>Internationella organ av sådan karaktär som Europeiska försvarsbyrån b</w:t>
      </w:r>
      <w:r w:rsidRPr="00372CE4">
        <w:t>e</w:t>
      </w:r>
      <w:r w:rsidRPr="00372CE4">
        <w:t xml:space="preserve">traktas </w:t>
      </w:r>
      <w:r w:rsidR="005522C7" w:rsidRPr="00372CE4">
        <w:t xml:space="preserve">enligt regeringen </w:t>
      </w:r>
      <w:r w:rsidRPr="00372CE4">
        <w:t>som folkrättsliga su</w:t>
      </w:r>
      <w:r w:rsidRPr="00372CE4">
        <w:t>b</w:t>
      </w:r>
      <w:r w:rsidRPr="00372CE4">
        <w:t>jekt och anses ha ett behov av att tillerkännas rättskapacitet liksom viss immunitet och vissa andra förm</w:t>
      </w:r>
      <w:r w:rsidRPr="00372CE4">
        <w:t>å</w:t>
      </w:r>
      <w:r w:rsidRPr="00372CE4">
        <w:t>ner för att på ett från värdlandet oberoende sätt kunna fullgöra de uppgifter st</w:t>
      </w:r>
      <w:r w:rsidRPr="00372CE4">
        <w:t>a</w:t>
      </w:r>
      <w:r w:rsidRPr="00372CE4">
        <w:t>terna lämnat organet. Immunitet innebär att en talan inför domstol eller en ansökan om verkställighet skall avvisas. Pr</w:t>
      </w:r>
      <w:r w:rsidRPr="00372CE4">
        <w:t>i</w:t>
      </w:r>
      <w:r w:rsidRPr="00372CE4">
        <w:t>vilegier innebär vissa undantag från nationell lagstiftning. Genom beslutet får Försvarsbyrån och dess anstäl</w:t>
      </w:r>
      <w:r w:rsidRPr="00372CE4">
        <w:t>l</w:t>
      </w:r>
      <w:r w:rsidRPr="00372CE4">
        <w:t>da immunitet och privilegier.</w:t>
      </w:r>
      <w:r w:rsidR="005522C7" w:rsidRPr="00372CE4">
        <w:t xml:space="preserve"> Beslutet fattades av företrädarna för regeringa</w:t>
      </w:r>
      <w:r w:rsidR="005522C7" w:rsidRPr="00372CE4">
        <w:t>r</w:t>
      </w:r>
      <w:r w:rsidR="005522C7" w:rsidRPr="00372CE4">
        <w:t>na i EU:s medlemsst</w:t>
      </w:r>
      <w:r w:rsidR="005522C7" w:rsidRPr="00372CE4">
        <w:t>a</w:t>
      </w:r>
      <w:r w:rsidR="005522C7" w:rsidRPr="00372CE4">
        <w:t>ter, församlade i rådet, och skall vara bindande för parterna</w:t>
      </w:r>
      <w:r w:rsidR="003C093A" w:rsidRPr="00372CE4">
        <w:t>.</w:t>
      </w:r>
    </w:p>
    <w:p w:rsidR="008A735A" w:rsidRPr="00372CE4" w:rsidRDefault="008A735A" w:rsidP="008A735A">
      <w:pPr>
        <w:pStyle w:val="Normaltindrag"/>
      </w:pPr>
      <w:r w:rsidRPr="00372CE4">
        <w:rPr>
          <w:i/>
        </w:rPr>
        <w:t>Regeringen föreslår</w:t>
      </w:r>
      <w:r w:rsidRPr="00372CE4">
        <w:t xml:space="preserve"> sålunda att beslutet den 10 november 2004 av företr</w:t>
      </w:r>
      <w:r w:rsidRPr="00372CE4">
        <w:t>ä</w:t>
      </w:r>
      <w:r w:rsidRPr="00372CE4">
        <w:t>darna för regeringarna i Europeiska unionens medlemsstater, fö</w:t>
      </w:r>
      <w:r w:rsidRPr="00372CE4">
        <w:t>r</w:t>
      </w:r>
      <w:r w:rsidRPr="00372CE4">
        <w:t>samlade i rådet, om immunitet och privilegier för Europeiska fö</w:t>
      </w:r>
      <w:r w:rsidRPr="00372CE4">
        <w:t>r</w:t>
      </w:r>
      <w:r w:rsidRPr="00372CE4">
        <w:t>svarsbyrån och dess anställda skall godkännas av riksdagen.</w:t>
      </w:r>
    </w:p>
    <w:p w:rsidR="008A735A" w:rsidRPr="00372CE4" w:rsidRDefault="008A735A" w:rsidP="008A735A">
      <w:pPr>
        <w:pStyle w:val="Normaltindrag"/>
      </w:pPr>
      <w:r w:rsidRPr="00372CE4">
        <w:rPr>
          <w:i/>
        </w:rPr>
        <w:t>Utskottet</w:t>
      </w:r>
      <w:r w:rsidRPr="00372CE4">
        <w:t xml:space="preserve"> tillstyrker regeringens förslag</w:t>
      </w:r>
      <w:r w:rsidR="003C093A" w:rsidRPr="00372CE4">
        <w:t>.</w:t>
      </w:r>
    </w:p>
    <w:p w:rsidR="004112E0" w:rsidRPr="00372CE4" w:rsidRDefault="004112E0" w:rsidP="004112E0">
      <w:r w:rsidRPr="00372CE4">
        <w:t>För att beslutets bestämmelser om immunitet och privilegier för Försvarsb</w:t>
      </w:r>
      <w:r w:rsidRPr="00372CE4">
        <w:t>y</w:t>
      </w:r>
      <w:r w:rsidRPr="00372CE4">
        <w:t>rån skall bli gällande för sven</w:t>
      </w:r>
      <w:r w:rsidRPr="00372CE4">
        <w:t>s</w:t>
      </w:r>
      <w:r w:rsidRPr="00372CE4">
        <w:t>ka myndigheter måste de införlivas med svensk rätt. Frågor om immunitet och privilegier för internationella organ och pers</w:t>
      </w:r>
      <w:r w:rsidRPr="00372CE4">
        <w:t>o</w:t>
      </w:r>
      <w:r w:rsidRPr="00372CE4">
        <w:t>ner med anknytning till sådana organ regleras i lagen (1976:661) om immun</w:t>
      </w:r>
      <w:r w:rsidRPr="00372CE4">
        <w:t>i</w:t>
      </w:r>
      <w:r w:rsidRPr="00372CE4">
        <w:t>tet och privileg</w:t>
      </w:r>
      <w:r w:rsidRPr="00372CE4">
        <w:t>i</w:t>
      </w:r>
      <w:r w:rsidRPr="00372CE4">
        <w:t>er i vissa fall.</w:t>
      </w:r>
    </w:p>
    <w:p w:rsidR="004112E0" w:rsidRPr="00372CE4" w:rsidRDefault="004112E0" w:rsidP="004112E0">
      <w:pPr>
        <w:pStyle w:val="Normaltindrag"/>
      </w:pPr>
      <w:r w:rsidRPr="00372CE4">
        <w:t>Enligt 4 § har vissa i en bilaga till lagen angivna organ och personer med anknytning till sådana organ immunitet och privilegier enligt vad som närm</w:t>
      </w:r>
      <w:r w:rsidRPr="00372CE4">
        <w:t>a</w:t>
      </w:r>
      <w:r w:rsidRPr="00372CE4">
        <w:t xml:space="preserve">re bestämts i stadga eller avtal som är i kraft i förhållande till Sverige. </w:t>
      </w:r>
      <w:r w:rsidRPr="00372CE4">
        <w:rPr>
          <w:i/>
        </w:rPr>
        <w:t>Rege</w:t>
      </w:r>
      <w:r w:rsidRPr="00372CE4">
        <w:rPr>
          <w:i/>
        </w:rPr>
        <w:t>r</w:t>
      </w:r>
      <w:r w:rsidRPr="00372CE4">
        <w:rPr>
          <w:i/>
        </w:rPr>
        <w:t>ingen föreslår</w:t>
      </w:r>
      <w:r w:rsidRPr="00372CE4">
        <w:t xml:space="preserve"> därför att bil</w:t>
      </w:r>
      <w:r w:rsidRPr="00372CE4">
        <w:t>a</w:t>
      </w:r>
      <w:r w:rsidRPr="00372CE4">
        <w:t>gan bör kompletteras så att den också omfattar Försvarsbyrån och dess anställda. Immuniteten och privilegierna gäller i den utsträc</w:t>
      </w:r>
      <w:r w:rsidRPr="00372CE4">
        <w:t>k</w:t>
      </w:r>
      <w:r w:rsidRPr="00372CE4">
        <w:t xml:space="preserve">ning som framgår av rådets beslut. Rådets beslut i ärendet framgår av en </w:t>
      </w:r>
      <w:r w:rsidRPr="00372CE4">
        <w:rPr>
          <w:i/>
        </w:rPr>
        <w:t>bilaga</w:t>
      </w:r>
      <w:r w:rsidRPr="00372CE4">
        <w:t xml:space="preserve"> till detta betänkande.</w:t>
      </w:r>
    </w:p>
    <w:p w:rsidR="00361DBB" w:rsidRPr="00372CE4" w:rsidRDefault="004112E0" w:rsidP="00361DBB">
      <w:r w:rsidRPr="00372CE4">
        <w:t xml:space="preserve">I motion 2004/05:Fö41 </w:t>
      </w:r>
      <w:r w:rsidR="003C05C4" w:rsidRPr="00372CE4">
        <w:t xml:space="preserve">av </w:t>
      </w:r>
      <w:r w:rsidR="003C05C4" w:rsidRPr="00372CE4">
        <w:rPr>
          <w:i/>
        </w:rPr>
        <w:t>Berit Jóhannesson m.fl.</w:t>
      </w:r>
      <w:r w:rsidR="003C093A" w:rsidRPr="00372CE4">
        <w:rPr>
          <w:i/>
        </w:rPr>
        <w:t xml:space="preserve"> </w:t>
      </w:r>
      <w:r w:rsidR="003C05C4" w:rsidRPr="00372CE4">
        <w:rPr>
          <w:i/>
        </w:rPr>
        <w:t>(v)</w:t>
      </w:r>
      <w:r w:rsidR="003C05C4" w:rsidRPr="00372CE4">
        <w:t xml:space="preserve"> </w:t>
      </w:r>
      <w:r w:rsidRPr="00372CE4">
        <w:t xml:space="preserve">framhålls att de för Försvarsbyrån föreslagna immunitets- och privilegiereglerna är främmande för den svenska traditionen </w:t>
      </w:r>
      <w:r w:rsidR="003C05C4" w:rsidRPr="00372CE4">
        <w:t>och att det skapas ytterligare ett skattefrälse. Propositionen bör därför avslås</w:t>
      </w:r>
      <w:r w:rsidR="00117BBF" w:rsidRPr="00372CE4">
        <w:t xml:space="preserve">. Även </w:t>
      </w:r>
      <w:r w:rsidR="00117BBF" w:rsidRPr="00372CE4">
        <w:rPr>
          <w:i/>
        </w:rPr>
        <w:t>Lars Ångström och Lotta Hedström (mp)</w:t>
      </w:r>
      <w:r w:rsidR="00117BBF" w:rsidRPr="00372CE4">
        <w:t xml:space="preserve"> föreslår i motion 2004/05:Fö42 att propositionen avslås av riksdagen.</w:t>
      </w:r>
      <w:r w:rsidR="00361DBB" w:rsidRPr="00372CE4">
        <w:t xml:space="preserve"> </w:t>
      </w:r>
    </w:p>
    <w:p w:rsidR="004112E0" w:rsidRPr="00372CE4" w:rsidRDefault="00361DBB" w:rsidP="00361DBB">
      <w:pPr>
        <w:pStyle w:val="Normaltindrag"/>
      </w:pPr>
      <w:r w:rsidRPr="00372CE4">
        <w:t>Enligt vad utskottet inhämtat ligger de föreslagna immunitets- och privil</w:t>
      </w:r>
      <w:r w:rsidRPr="00372CE4">
        <w:t>e</w:t>
      </w:r>
      <w:r w:rsidRPr="00372CE4">
        <w:t>giereglerna väl i linje med vad som är brukligt med jämförbara internationella organisationer</w:t>
      </w:r>
      <w:r w:rsidR="003C093A" w:rsidRPr="00372CE4">
        <w:t>.</w:t>
      </w:r>
    </w:p>
    <w:p w:rsidR="00117BBF" w:rsidRPr="00372CE4" w:rsidRDefault="00117BBF" w:rsidP="00361DBB">
      <w:pPr>
        <w:pStyle w:val="Normaltindrag"/>
      </w:pPr>
      <w:r w:rsidRPr="00372CE4">
        <w:rPr>
          <w:i/>
        </w:rPr>
        <w:t>Utskottet</w:t>
      </w:r>
      <w:r w:rsidRPr="00372CE4">
        <w:t xml:space="preserve"> ställer sig bakom reger</w:t>
      </w:r>
      <w:r w:rsidR="00361DBB" w:rsidRPr="00372CE4">
        <w:t>ingens överväganden och förslag</w:t>
      </w:r>
      <w:r w:rsidRPr="00372CE4">
        <w:t xml:space="preserve"> </w:t>
      </w:r>
      <w:r w:rsidR="00361DBB" w:rsidRPr="00372CE4">
        <w:t>i prop</w:t>
      </w:r>
      <w:r w:rsidR="00361DBB" w:rsidRPr="00372CE4">
        <w:t>o</w:t>
      </w:r>
      <w:r w:rsidR="00361DBB" w:rsidRPr="00372CE4">
        <w:t xml:space="preserve">sitionen </w:t>
      </w:r>
      <w:r w:rsidRPr="00372CE4">
        <w:t>och tillstyrker att riksdagen</w:t>
      </w:r>
      <w:r w:rsidR="00361DBB" w:rsidRPr="00372CE4">
        <w:t xml:space="preserve"> dels </w:t>
      </w:r>
      <w:r w:rsidRPr="00372CE4">
        <w:t xml:space="preserve">godkänner beslutet om privilegier och immunitet för Försvarsbyrån, </w:t>
      </w:r>
      <w:r w:rsidR="00361DBB" w:rsidRPr="00372CE4">
        <w:t xml:space="preserve">dels </w:t>
      </w:r>
      <w:r w:rsidRPr="00372CE4">
        <w:t>antar det framlagda lagförslaget. M</w:t>
      </w:r>
      <w:r w:rsidRPr="00372CE4">
        <w:t>o</w:t>
      </w:r>
      <w:r w:rsidRPr="00372CE4">
        <w:t xml:space="preserve">tionerna 2004/05:Fö41 </w:t>
      </w:r>
      <w:r w:rsidR="0059516B" w:rsidRPr="00372CE4">
        <w:t xml:space="preserve">(v) </w:t>
      </w:r>
      <w:r w:rsidRPr="00372CE4">
        <w:t xml:space="preserve">och 2004/05:Fö42 </w:t>
      </w:r>
      <w:r w:rsidR="0059516B" w:rsidRPr="00372CE4">
        <w:t xml:space="preserve">(mp) </w:t>
      </w:r>
      <w:r w:rsidRPr="00372CE4">
        <w:t>bör därför avslås.</w:t>
      </w:r>
    </w:p>
    <w:p w:rsidR="00AD7B7D" w:rsidRPr="00372CE4" w:rsidRDefault="00AD7B7D" w:rsidP="00AD7B7D">
      <w:pPr>
        <w:pStyle w:val="Normaltindrag"/>
        <w:sectPr w:rsidR="00AD7B7D" w:rsidRPr="00372CE4" w:rsidSect="00B33C1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AD7B7D" w:rsidRPr="00372CE4" w:rsidRDefault="00AD7B7D" w:rsidP="00AD7B7D">
      <w:pPr>
        <w:pStyle w:val="Rubrik1"/>
        <w:rPr>
          <w:noProof w:val="0"/>
        </w:rPr>
      </w:pPr>
      <w:bookmarkStart w:id="18" w:name="_Toc102377541"/>
      <w:r w:rsidRPr="00372CE4">
        <w:rPr>
          <w:noProof w:val="0"/>
        </w:rPr>
        <w:t>Reservationer</w:t>
      </w:r>
      <w:bookmarkEnd w:id="18"/>
    </w:p>
    <w:p w:rsidR="00AD7B7D" w:rsidRPr="00372CE4" w:rsidRDefault="00AD7B7D" w:rsidP="00135209">
      <w:r w:rsidRPr="00372CE4">
        <w:t xml:space="preserve">Utskottets förslag till riksdagsbeslut och ställningstaganden har </w:t>
      </w:r>
      <w:r w:rsidR="00135209" w:rsidRPr="00372CE4">
        <w:t>föranlett följande reservation</w:t>
      </w:r>
      <w:r w:rsidR="00095D45" w:rsidRPr="00372CE4">
        <w:t>er</w:t>
      </w:r>
      <w:r w:rsidRPr="00372CE4">
        <w:t xml:space="preserve">. </w:t>
      </w:r>
    </w:p>
    <w:p w:rsidR="00135209" w:rsidRPr="00372CE4" w:rsidRDefault="00BC7127" w:rsidP="00135209">
      <w:pPr>
        <w:pStyle w:val="R3"/>
      </w:pPr>
      <w:r w:rsidRPr="00372CE4">
        <w:t xml:space="preserve">1. </w:t>
      </w:r>
      <w:r w:rsidR="00101CB0" w:rsidRPr="00372CE4">
        <w:t>P</w:t>
      </w:r>
      <w:r w:rsidR="00135209" w:rsidRPr="00372CE4">
        <w:t xml:space="preserve">rivilegier </w:t>
      </w:r>
      <w:r w:rsidR="00101CB0" w:rsidRPr="00372CE4">
        <w:t xml:space="preserve">och immunitet </w:t>
      </w:r>
      <w:r w:rsidRPr="00372CE4">
        <w:t>för Europeiska försvarsbyrån (v</w:t>
      </w:r>
      <w:r w:rsidR="00135209" w:rsidRPr="00372CE4">
        <w:t>)</w:t>
      </w:r>
    </w:p>
    <w:p w:rsidR="00135209" w:rsidRPr="00372CE4" w:rsidRDefault="00135209" w:rsidP="00135209">
      <w:r w:rsidRPr="00372CE4">
        <w:t xml:space="preserve">av </w:t>
      </w:r>
      <w:r w:rsidR="001E0538" w:rsidRPr="00372CE4">
        <w:t>Berit Jóhannesson (</w:t>
      </w:r>
      <w:r w:rsidRPr="00372CE4">
        <w:t>v)</w:t>
      </w:r>
      <w:r w:rsidR="00B119D7" w:rsidRPr="00372CE4">
        <w:t>.</w:t>
      </w:r>
      <w:r w:rsidRPr="00372CE4">
        <w:t xml:space="preserve"> </w:t>
      </w:r>
    </w:p>
    <w:p w:rsidR="00135209" w:rsidRPr="00372CE4" w:rsidRDefault="00135209" w:rsidP="00135209">
      <w:pPr>
        <w:pStyle w:val="R4"/>
      </w:pPr>
      <w:r w:rsidRPr="00372CE4">
        <w:t>Förslag till riksdagsbeslut</w:t>
      </w:r>
    </w:p>
    <w:p w:rsidR="00135209" w:rsidRPr="00372CE4" w:rsidRDefault="00101CB0" w:rsidP="00135209">
      <w:r w:rsidRPr="00372CE4">
        <w:t>Riks</w:t>
      </w:r>
      <w:r w:rsidR="00BC7127" w:rsidRPr="00372CE4">
        <w:t xml:space="preserve">dagen </w:t>
      </w:r>
      <w:r w:rsidR="00092DC0" w:rsidRPr="00372CE4">
        <w:t>tillkännager för regeringen som sin mening vad som anförs i r</w:t>
      </w:r>
      <w:r w:rsidR="00092DC0" w:rsidRPr="00372CE4">
        <w:t>e</w:t>
      </w:r>
      <w:r w:rsidR="00092DC0" w:rsidRPr="00372CE4">
        <w:t xml:space="preserve">servationen. Riksdagen </w:t>
      </w:r>
      <w:r w:rsidR="00BC7127" w:rsidRPr="00372CE4">
        <w:t xml:space="preserve">bifaller </w:t>
      </w:r>
      <w:r w:rsidR="00092DC0" w:rsidRPr="00372CE4">
        <w:t xml:space="preserve">därmed </w:t>
      </w:r>
      <w:r w:rsidR="00BC7127" w:rsidRPr="00372CE4">
        <w:t>motionerna</w:t>
      </w:r>
      <w:r w:rsidRPr="00372CE4">
        <w:t xml:space="preserve"> 2004/05</w:t>
      </w:r>
      <w:r w:rsidR="00335579" w:rsidRPr="00372CE4">
        <w:t>:</w:t>
      </w:r>
      <w:r w:rsidR="00165FC8" w:rsidRPr="00372CE4">
        <w:t>Fö41</w:t>
      </w:r>
      <w:r w:rsidRPr="00372CE4">
        <w:t xml:space="preserve"> </w:t>
      </w:r>
      <w:r w:rsidR="00BC7127" w:rsidRPr="00372CE4">
        <w:t>och 2004/05:Fö</w:t>
      </w:r>
      <w:r w:rsidR="00092DC0" w:rsidRPr="00372CE4">
        <w:t>42</w:t>
      </w:r>
      <w:r w:rsidR="00135209" w:rsidRPr="00372CE4">
        <w:t xml:space="preserve"> </w:t>
      </w:r>
      <w:r w:rsidR="00092DC0" w:rsidRPr="00372CE4">
        <w:t xml:space="preserve">samt </w:t>
      </w:r>
      <w:r w:rsidR="00135209" w:rsidRPr="00372CE4">
        <w:t>avslår proposition 2004/05:76 Privilegier och immun</w:t>
      </w:r>
      <w:r w:rsidR="00135209" w:rsidRPr="00372CE4">
        <w:t>i</w:t>
      </w:r>
      <w:r w:rsidR="00135209" w:rsidRPr="00372CE4">
        <w:t>tet för Europeiska försvarsb</w:t>
      </w:r>
      <w:r w:rsidR="00135209" w:rsidRPr="00372CE4">
        <w:t>y</w:t>
      </w:r>
      <w:r w:rsidR="00135209" w:rsidRPr="00372CE4">
        <w:t>rån.</w:t>
      </w:r>
    </w:p>
    <w:p w:rsidR="00101CB0" w:rsidRPr="00372CE4" w:rsidRDefault="00101CB0" w:rsidP="00101CB0">
      <w:pPr>
        <w:pStyle w:val="R4"/>
      </w:pPr>
      <w:r w:rsidRPr="00372CE4">
        <w:t xml:space="preserve">Ställningstagande </w:t>
      </w:r>
    </w:p>
    <w:p w:rsidR="009C252B" w:rsidRPr="00372CE4" w:rsidRDefault="009C252B" w:rsidP="009C252B">
      <w:r w:rsidRPr="00372CE4">
        <w:t>Europeiska försvarsbyrån är inrättad av EU bl.a. för att utveckla uni</w:t>
      </w:r>
      <w:r w:rsidRPr="00372CE4">
        <w:t>o</w:t>
      </w:r>
      <w:r w:rsidRPr="00372CE4">
        <w:t>nens försvarskapacitet och för att stärka det europeiska försvarsmaterielarb</w:t>
      </w:r>
      <w:r w:rsidRPr="00372CE4">
        <w:t>e</w:t>
      </w:r>
      <w:r w:rsidRPr="00372CE4">
        <w:t xml:space="preserve">tet. </w:t>
      </w:r>
      <w:r w:rsidR="00BC7127" w:rsidRPr="00372CE4">
        <w:t>Vänsterpartiet var emot inrättandet av en europeisk försvarsbyrå. Den ko</w:t>
      </w:r>
      <w:r w:rsidR="00BC7127" w:rsidRPr="00372CE4">
        <w:t>m</w:t>
      </w:r>
      <w:r w:rsidR="00BC7127" w:rsidRPr="00372CE4">
        <w:t>mer att omgärdas av immunitets- och privilegieregler som är främmande för den svenska traditionen. Reglerna är så pass långtgående at</w:t>
      </w:r>
      <w:r w:rsidR="00335579" w:rsidRPr="00372CE4">
        <w:t>t</w:t>
      </w:r>
      <w:r w:rsidR="00BC7127" w:rsidRPr="00372CE4">
        <w:t xml:space="preserve"> det blir omö</w:t>
      </w:r>
      <w:r w:rsidR="00BC7127" w:rsidRPr="00372CE4">
        <w:t>j</w:t>
      </w:r>
      <w:r w:rsidR="00BC7127" w:rsidRPr="00372CE4">
        <w:t>ligt att beivra eventuell brott</w:t>
      </w:r>
      <w:r w:rsidR="00335579" w:rsidRPr="00372CE4">
        <w:t>s</w:t>
      </w:r>
      <w:r w:rsidR="00BC7127" w:rsidRPr="00372CE4">
        <w:t>lighet inom byrån. Även de anställdas immun</w:t>
      </w:r>
      <w:r w:rsidR="00BC7127" w:rsidRPr="00372CE4">
        <w:t>i</w:t>
      </w:r>
      <w:r w:rsidR="00BC7127" w:rsidRPr="00372CE4">
        <w:t>tets- och privilegieregler blir för långtgående. Därutöver inrättas det ytterlig</w:t>
      </w:r>
      <w:r w:rsidR="00BC7127" w:rsidRPr="00372CE4">
        <w:t>a</w:t>
      </w:r>
      <w:r w:rsidR="00BC7127" w:rsidRPr="00372CE4">
        <w:t>re ett skattefrälse eftersom de anställda blir befriade från inkomstskatt.</w:t>
      </w:r>
    </w:p>
    <w:p w:rsidR="00BC7127" w:rsidRPr="00372CE4" w:rsidRDefault="00335579" w:rsidP="00BC7127">
      <w:pPr>
        <w:pStyle w:val="R3"/>
      </w:pPr>
      <w:bookmarkStart w:id="19" w:name="Nästa_Reservation"/>
      <w:bookmarkEnd w:id="19"/>
      <w:r w:rsidRPr="00372CE4">
        <w:t>2</w:t>
      </w:r>
      <w:r w:rsidR="00BC7127" w:rsidRPr="00372CE4">
        <w:t>. Privilegier och immunitet för Europeiska försvarsbyrån (mp)</w:t>
      </w:r>
    </w:p>
    <w:p w:rsidR="00BC7127" w:rsidRPr="00372CE4" w:rsidRDefault="009E5542" w:rsidP="00BC7127">
      <w:r w:rsidRPr="00372CE4">
        <w:t>a</w:t>
      </w:r>
      <w:r w:rsidR="00BC7127" w:rsidRPr="00372CE4">
        <w:t xml:space="preserve">v </w:t>
      </w:r>
      <w:r w:rsidR="001E0538" w:rsidRPr="00372CE4">
        <w:t>Mikael Johansson (</w:t>
      </w:r>
      <w:r w:rsidR="00BC7127" w:rsidRPr="00372CE4">
        <w:t>mp)</w:t>
      </w:r>
      <w:r w:rsidRPr="00372CE4">
        <w:t>.</w:t>
      </w:r>
    </w:p>
    <w:p w:rsidR="00BC7127" w:rsidRPr="00372CE4" w:rsidRDefault="00BC7127" w:rsidP="00BC7127">
      <w:pPr>
        <w:pStyle w:val="R4"/>
      </w:pPr>
      <w:r w:rsidRPr="00372CE4">
        <w:t>Förslag till riksdagsbeslut</w:t>
      </w:r>
    </w:p>
    <w:p w:rsidR="00BC7127" w:rsidRPr="00372CE4" w:rsidRDefault="009E5542" w:rsidP="00BC7127">
      <w:r w:rsidRPr="00372CE4">
        <w:t>Jag anser</w:t>
      </w:r>
      <w:r w:rsidR="00BC7127" w:rsidRPr="00372CE4">
        <w:t xml:space="preserve"> att förslaget till riksdagsbeslut borde ha följande lydelse:</w:t>
      </w:r>
    </w:p>
    <w:p w:rsidR="00BC7127" w:rsidRPr="00372CE4" w:rsidRDefault="00BC7127" w:rsidP="00BC7127">
      <w:r w:rsidRPr="00372CE4">
        <w:t>Riksdag</w:t>
      </w:r>
      <w:r w:rsidR="00335579" w:rsidRPr="00372CE4">
        <w:t>en bifaller motionerna 2004/05:</w:t>
      </w:r>
      <w:r w:rsidRPr="00372CE4">
        <w:t>Fö41 och 2004/05:Fö42. Riksdagen avslår därmed proposition 2004/05:76 Privilegier och immunitet för Europ</w:t>
      </w:r>
      <w:r w:rsidRPr="00372CE4">
        <w:t>e</w:t>
      </w:r>
      <w:r w:rsidRPr="00372CE4">
        <w:t>iska försvarsbyrån.</w:t>
      </w:r>
    </w:p>
    <w:p w:rsidR="00BC7127" w:rsidRPr="00372CE4" w:rsidRDefault="00BC7127" w:rsidP="00BC7127">
      <w:pPr>
        <w:pStyle w:val="R4"/>
      </w:pPr>
      <w:r w:rsidRPr="00372CE4">
        <w:t xml:space="preserve">Ställningstagande </w:t>
      </w:r>
    </w:p>
    <w:p w:rsidR="00BC7127" w:rsidRPr="00372CE4" w:rsidRDefault="009E5542" w:rsidP="00BC7127">
      <w:r w:rsidRPr="00372CE4">
        <w:t>Vapenindustrin är en av de sektorer där mutor och liknande är vanligast för</w:t>
      </w:r>
      <w:r w:rsidRPr="00372CE4">
        <w:t>e</w:t>
      </w:r>
      <w:r w:rsidRPr="00372CE4">
        <w:t>kommande. Att ge de anställda i Europeiska försvarsbyrån särs</w:t>
      </w:r>
      <w:r w:rsidR="007E51E5" w:rsidRPr="00372CE4">
        <w:t>kilda privileg</w:t>
      </w:r>
      <w:r w:rsidR="007E51E5" w:rsidRPr="00372CE4">
        <w:t>i</w:t>
      </w:r>
      <w:r w:rsidR="007E51E5" w:rsidRPr="00372CE4">
        <w:t>er och immunitet</w:t>
      </w:r>
      <w:r w:rsidRPr="00372CE4">
        <w:t xml:space="preserve">, även </w:t>
      </w:r>
      <w:r w:rsidR="00335579" w:rsidRPr="00372CE4">
        <w:t>sedan</w:t>
      </w:r>
      <w:r w:rsidRPr="00372CE4">
        <w:t xml:space="preserve"> de lämnat sin anställning, är fel väg att gå. Ökad öppenhet och transparens när det gäller byråns arbete är i</w:t>
      </w:r>
      <w:r w:rsidR="00335579" w:rsidRPr="00372CE4">
        <w:t xml:space="preserve"> </w:t>
      </w:r>
      <w:r w:rsidRPr="00372CE4">
        <w:t>stället att föredra.</w:t>
      </w:r>
    </w:p>
    <w:p w:rsidR="00BC7127" w:rsidRPr="00372CE4" w:rsidRDefault="00BC7127" w:rsidP="00AD7B7D">
      <w:pPr>
        <w:pStyle w:val="Normaltindrag"/>
      </w:pPr>
    </w:p>
    <w:p w:rsidR="00AD7B7D" w:rsidRPr="00372CE4" w:rsidRDefault="00AD7B7D" w:rsidP="00AD7B7D">
      <w:pPr>
        <w:pStyle w:val="Normaltindrag"/>
        <w:sectPr w:rsidR="00AD7B7D" w:rsidRPr="00372CE4" w:rsidSect="00B33C1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2915EF" w:rsidRPr="00372CE4" w:rsidRDefault="005570AA" w:rsidP="002915EF">
      <w:pPr>
        <w:pStyle w:val="Bilaga"/>
      </w:pPr>
      <w:bookmarkStart w:id="20" w:name="_Toc102377542"/>
      <w:r w:rsidRPr="00372CE4">
        <w:t>Bilaga 1</w:t>
      </w:r>
    </w:p>
    <w:p w:rsidR="00AD7B7D" w:rsidRPr="00372CE4" w:rsidRDefault="00AD7B7D" w:rsidP="00AD7B7D">
      <w:pPr>
        <w:pStyle w:val="Rubrik1"/>
        <w:rPr>
          <w:noProof w:val="0"/>
        </w:rPr>
      </w:pPr>
      <w:r w:rsidRPr="00372CE4">
        <w:rPr>
          <w:noProof w:val="0"/>
        </w:rPr>
        <w:t>Förteckning över behandlade förslag</w:t>
      </w:r>
      <w:bookmarkEnd w:id="20"/>
    </w:p>
    <w:p w:rsidR="00AD7B7D" w:rsidRPr="00372CE4" w:rsidRDefault="00AD7B7D" w:rsidP="002915EF">
      <w:pPr>
        <w:pStyle w:val="Rubrik2"/>
        <w:spacing w:before="0"/>
      </w:pPr>
      <w:bookmarkStart w:id="21" w:name="_Toc102377543"/>
      <w:r w:rsidRPr="00372CE4">
        <w:t>Propositionen</w:t>
      </w:r>
      <w:bookmarkEnd w:id="21"/>
    </w:p>
    <w:p w:rsidR="002035E5" w:rsidRPr="00372CE4" w:rsidRDefault="00335579" w:rsidP="002035E5">
      <w:pPr>
        <w:pStyle w:val="Motioner"/>
      </w:pPr>
      <w:r w:rsidRPr="00372CE4">
        <w:t>Proposition 2004/05:</w:t>
      </w:r>
      <w:r w:rsidR="002035E5" w:rsidRPr="00372CE4">
        <w:t>76 Privilegier och immunitet för Europeiska försvarsb</w:t>
      </w:r>
      <w:r w:rsidR="002035E5" w:rsidRPr="00372CE4">
        <w:t>y</w:t>
      </w:r>
      <w:r w:rsidR="002035E5" w:rsidRPr="00372CE4">
        <w:t>rån</w:t>
      </w:r>
      <w:r w:rsidR="00270C7A" w:rsidRPr="00372CE4">
        <w:t>:</w:t>
      </w:r>
    </w:p>
    <w:p w:rsidR="002035E5" w:rsidRPr="00372CE4" w:rsidRDefault="002035E5" w:rsidP="002035E5">
      <w:pPr>
        <w:pStyle w:val="Yrkanden"/>
      </w:pPr>
      <w:r w:rsidRPr="00372CE4">
        <w:t>1. Regeringen föreslår att riksdagen godkänner beslutet av företrädarna för regeringarna i Europeiska unionens medlemsstater, församlade i rådet, av den 10 november 2004 om privilegier och immunitet för Europeiska fö</w:t>
      </w:r>
      <w:r w:rsidRPr="00372CE4">
        <w:t>r</w:t>
      </w:r>
      <w:r w:rsidRPr="00372CE4">
        <w:t xml:space="preserve">svarsbyrån och dess anställda.  </w:t>
      </w:r>
    </w:p>
    <w:p w:rsidR="002035E5" w:rsidRPr="00372CE4" w:rsidRDefault="002035E5" w:rsidP="002035E5">
      <w:pPr>
        <w:pStyle w:val="Yrkanden"/>
      </w:pPr>
      <w:r w:rsidRPr="00372CE4">
        <w:t xml:space="preserve">2. Regeringen föreslår att riksdagen antar regeringens förslag till lag om ändring i lagen (1976:661) om immunitet och privilegier i vissa fall.  </w:t>
      </w:r>
    </w:p>
    <w:p w:rsidR="00AD7B7D" w:rsidRPr="00372CE4" w:rsidRDefault="00AD7B7D" w:rsidP="00AD7B7D">
      <w:pPr>
        <w:pStyle w:val="Rubrik2"/>
      </w:pPr>
      <w:bookmarkStart w:id="22" w:name="_Toc102377544"/>
      <w:r w:rsidRPr="00372CE4">
        <w:t>Följdmotioner</w:t>
      </w:r>
      <w:bookmarkEnd w:id="22"/>
    </w:p>
    <w:p w:rsidR="002035E5" w:rsidRPr="00372CE4" w:rsidRDefault="00335579" w:rsidP="002035E5">
      <w:pPr>
        <w:pStyle w:val="Motioner"/>
      </w:pPr>
      <w:bookmarkStart w:id="23" w:name="RangeStart"/>
      <w:bookmarkEnd w:id="23"/>
      <w:r w:rsidRPr="00372CE4">
        <w:t>2004/05:Fö</w:t>
      </w:r>
      <w:r w:rsidR="002035E5" w:rsidRPr="00372CE4">
        <w:t>41 av Berit Jóhannesson m.fl. (v):</w:t>
      </w:r>
    </w:p>
    <w:p w:rsidR="002035E5" w:rsidRPr="00372CE4" w:rsidRDefault="002035E5" w:rsidP="002035E5">
      <w:r w:rsidRPr="00372CE4">
        <w:t>Riksdagen avslår proposition 2004/05:76 Privilegier och immunitet för Eur</w:t>
      </w:r>
      <w:r w:rsidRPr="00372CE4">
        <w:t>o</w:t>
      </w:r>
      <w:r w:rsidRPr="00372CE4">
        <w:t xml:space="preserve">peiska försvarsbyrån.  </w:t>
      </w:r>
    </w:p>
    <w:p w:rsidR="002035E5" w:rsidRPr="00372CE4" w:rsidRDefault="00335579" w:rsidP="002035E5">
      <w:pPr>
        <w:pStyle w:val="Motioner"/>
      </w:pPr>
      <w:r w:rsidRPr="00372CE4">
        <w:t>2004/05:Fö</w:t>
      </w:r>
      <w:r w:rsidR="002035E5" w:rsidRPr="00372CE4">
        <w:t>42 av Lars Ångström och Lotta Hedström (mp):</w:t>
      </w:r>
    </w:p>
    <w:p w:rsidR="002035E5" w:rsidRPr="00372CE4" w:rsidRDefault="002035E5" w:rsidP="002035E5">
      <w:r w:rsidRPr="00372CE4">
        <w:t>Riksdagen avslår proposition 2004/05:76.</w:t>
      </w:r>
    </w:p>
    <w:p w:rsidR="00AD7B7D" w:rsidRPr="00372CE4" w:rsidRDefault="002035E5" w:rsidP="002035E5">
      <w:pPr>
        <w:pStyle w:val="Yrkanden"/>
      </w:pPr>
      <w:r w:rsidRPr="00372CE4">
        <w:t xml:space="preserve"> </w:t>
      </w:r>
      <w:bookmarkStart w:id="24" w:name="RangeEnd"/>
    </w:p>
    <w:bookmarkEnd w:id="24"/>
    <w:p w:rsidR="00AD7B7D" w:rsidRPr="00372CE4" w:rsidRDefault="00AD7B7D" w:rsidP="00AD7B7D">
      <w:pPr>
        <w:pStyle w:val="Normaltindrag"/>
        <w:sectPr w:rsidR="00AD7B7D" w:rsidRPr="00372CE4" w:rsidSect="00B33C1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2915EF" w:rsidRPr="00372CE4" w:rsidRDefault="005570AA" w:rsidP="002915EF">
      <w:pPr>
        <w:pStyle w:val="Bilaga"/>
      </w:pPr>
      <w:bookmarkStart w:id="25" w:name="_Toc102377545"/>
      <w:r w:rsidRPr="00372CE4">
        <w:t>Bilaga 2</w:t>
      </w:r>
    </w:p>
    <w:p w:rsidR="00AD7B7D" w:rsidRPr="00372CE4" w:rsidRDefault="00AD7B7D" w:rsidP="00AD7B7D">
      <w:pPr>
        <w:pStyle w:val="Rubrik1"/>
        <w:rPr>
          <w:noProof w:val="0"/>
        </w:rPr>
      </w:pPr>
      <w:r w:rsidRPr="00372CE4">
        <w:rPr>
          <w:noProof w:val="0"/>
        </w:rPr>
        <w:t>Regeringens lagförslag</w:t>
      </w:r>
      <w:bookmarkEnd w:id="25"/>
    </w:p>
    <w:p w:rsidR="00DA5112" w:rsidRPr="00372CE4" w:rsidRDefault="00DA5112" w:rsidP="002915EF">
      <w:pPr>
        <w:pStyle w:val="R2"/>
        <w:spacing w:before="0"/>
      </w:pPr>
      <w:bookmarkStart w:id="26" w:name="_Toc90190390"/>
      <w:bookmarkStart w:id="27" w:name="_Toc90204203"/>
      <w:bookmarkStart w:id="28" w:name="_Toc94523474"/>
      <w:bookmarkStart w:id="29" w:name="_Toc95029806"/>
      <w:bookmarkStart w:id="30" w:name="_Toc95638796"/>
      <w:bookmarkStart w:id="31" w:name="_Toc95640185"/>
      <w:r w:rsidRPr="00372CE4">
        <w:t>Förslag till lag om ändring i lagen (1976:661) om immunitet och privilegier i vissa fall</w:t>
      </w:r>
      <w:bookmarkEnd w:id="26"/>
      <w:bookmarkEnd w:id="27"/>
      <w:bookmarkEnd w:id="28"/>
      <w:bookmarkEnd w:id="29"/>
      <w:bookmarkEnd w:id="30"/>
      <w:bookmarkEnd w:id="31"/>
    </w:p>
    <w:p w:rsidR="00DA5112" w:rsidRPr="00372CE4" w:rsidRDefault="00DA5112" w:rsidP="00DA5112">
      <w:pPr>
        <w:pStyle w:val="Normaltindrag"/>
      </w:pPr>
    </w:p>
    <w:p w:rsidR="00DA5112" w:rsidRPr="00372CE4" w:rsidRDefault="00DA5112" w:rsidP="00DA5112">
      <w:pPr>
        <w:pStyle w:val="Normaltindrag"/>
      </w:pPr>
      <w:r w:rsidRPr="00372CE4">
        <w:t>Härigenom föreskrivs att 7 § lagen (1976:661) om immunitet och privil</w:t>
      </w:r>
      <w:r w:rsidRPr="00372CE4">
        <w:t>e</w:t>
      </w:r>
      <w:r w:rsidRPr="00372CE4">
        <w:t>gier i vissa fall</w:t>
      </w:r>
      <w:r w:rsidRPr="00372CE4">
        <w:rPr>
          <w:rStyle w:val="Fotnotsreferens"/>
        </w:rPr>
        <w:footnoteReference w:id="1"/>
      </w:r>
      <w:r w:rsidRPr="00372CE4">
        <w:t xml:space="preserve"> och bilagan till lagen skall ha följande lydelse.</w:t>
      </w:r>
    </w:p>
    <w:p w:rsidR="00DA5112" w:rsidRPr="00372CE4" w:rsidRDefault="00DA5112" w:rsidP="00DA5112">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7F2388" w:rsidRPr="00372CE4">
        <w:tblPrEx>
          <w:tblCellMar>
            <w:top w:w="0" w:type="dxa"/>
            <w:bottom w:w="0" w:type="dxa"/>
          </w:tblCellMar>
        </w:tblPrEx>
        <w:trPr>
          <w:tblHeader/>
        </w:trPr>
        <w:tc>
          <w:tcPr>
            <w:tcW w:w="3090" w:type="dxa"/>
          </w:tcPr>
          <w:p w:rsidR="007F2388" w:rsidRPr="00372CE4" w:rsidRDefault="007F2388" w:rsidP="007F2388">
            <w:pPr>
              <w:pStyle w:val="LagtextRubrik"/>
            </w:pPr>
            <w:r w:rsidRPr="00372CE4">
              <w:t>Nuvarande lydelse</w:t>
            </w:r>
          </w:p>
        </w:tc>
        <w:tc>
          <w:tcPr>
            <w:tcW w:w="3090" w:type="dxa"/>
          </w:tcPr>
          <w:p w:rsidR="007F2388" w:rsidRPr="00372CE4" w:rsidRDefault="007F2388" w:rsidP="007F2388">
            <w:pPr>
              <w:pStyle w:val="LagtextRubrik"/>
            </w:pPr>
            <w:r w:rsidRPr="00372CE4">
              <w:t>Föreslagen lydelse</w:t>
            </w:r>
          </w:p>
        </w:tc>
      </w:tr>
      <w:tr w:rsidR="007F2388" w:rsidRPr="00372CE4">
        <w:tblPrEx>
          <w:tblCellMar>
            <w:top w:w="0" w:type="dxa"/>
            <w:bottom w:w="0" w:type="dxa"/>
          </w:tblCellMar>
        </w:tblPrEx>
        <w:tc>
          <w:tcPr>
            <w:tcW w:w="6180" w:type="dxa"/>
            <w:gridSpan w:val="2"/>
          </w:tcPr>
          <w:p w:rsidR="007F2388" w:rsidRPr="00372CE4" w:rsidRDefault="007F2388" w:rsidP="007F2388">
            <w:pPr>
              <w:pStyle w:val="Lagtext"/>
              <w:jc w:val="center"/>
            </w:pPr>
            <w:r w:rsidRPr="00372CE4">
              <w:t>7  §</w:t>
            </w:r>
            <w:r w:rsidRPr="00372CE4">
              <w:rPr>
                <w:rStyle w:val="Fotnotsreferens"/>
              </w:rPr>
              <w:footnoteReference w:customMarkFollows="1" w:id="2"/>
              <w:t>2</w:t>
            </w:r>
          </w:p>
        </w:tc>
      </w:tr>
      <w:tr w:rsidR="00DA5112" w:rsidRPr="00372CE4">
        <w:tblPrEx>
          <w:tblCellMar>
            <w:top w:w="0" w:type="dxa"/>
            <w:bottom w:w="0" w:type="dxa"/>
          </w:tblCellMar>
        </w:tblPrEx>
        <w:tc>
          <w:tcPr>
            <w:tcW w:w="3090" w:type="dxa"/>
          </w:tcPr>
          <w:p w:rsidR="00DA5112" w:rsidRPr="00372CE4" w:rsidRDefault="00DA5112" w:rsidP="007F2388">
            <w:pPr>
              <w:pStyle w:val="LagtextIndrag"/>
            </w:pPr>
            <w:r w:rsidRPr="00372CE4">
              <w:t>För främmande stats militära sty</w:t>
            </w:r>
            <w:r w:rsidRPr="00372CE4">
              <w:t>r</w:t>
            </w:r>
            <w:r w:rsidRPr="00372CE4">
              <w:t>ka och dess personal som b</w:t>
            </w:r>
            <w:r w:rsidRPr="00372CE4">
              <w:t>e</w:t>
            </w:r>
            <w:r w:rsidRPr="00372CE4">
              <w:t>finner sig i Sverige inom ramen för intern</w:t>
            </w:r>
            <w:r w:rsidRPr="00372CE4">
              <w:t>a</w:t>
            </w:r>
            <w:r w:rsidRPr="00372CE4">
              <w:t>tionellt militärt samarbete eller inte</w:t>
            </w:r>
            <w:r w:rsidRPr="00372CE4">
              <w:t>r</w:t>
            </w:r>
            <w:r w:rsidRPr="00372CE4">
              <w:t>nationell krishante</w:t>
            </w:r>
            <w:r w:rsidRPr="00372CE4">
              <w:t>r</w:t>
            </w:r>
            <w:r w:rsidRPr="00372CE4">
              <w:t>ing och som omfattas av avtal som är i kraft i förhållande till Sverige, skall imm</w:t>
            </w:r>
            <w:r w:rsidRPr="00372CE4">
              <w:t>u</w:t>
            </w:r>
            <w:r w:rsidRPr="00372CE4">
              <w:t>nitet och privilegier gälla såvitt avser avgifter och skatter vid bruk av fo</w:t>
            </w:r>
            <w:r w:rsidRPr="00372CE4">
              <w:t>r</w:t>
            </w:r>
            <w:r w:rsidRPr="00372CE4">
              <w:t>don i vägtrafik samt import till och export från Sverige i den utsträc</w:t>
            </w:r>
            <w:r w:rsidRPr="00372CE4">
              <w:t>k</w:t>
            </w:r>
            <w:r w:rsidRPr="00372CE4">
              <w:t>ning som anges i fö</w:t>
            </w:r>
            <w:r w:rsidRPr="00372CE4">
              <w:t>l</w:t>
            </w:r>
            <w:r w:rsidRPr="00372CE4">
              <w:t>jande avtal:</w:t>
            </w:r>
          </w:p>
          <w:p w:rsidR="00DA5112" w:rsidRPr="00372CE4" w:rsidRDefault="00DA5112" w:rsidP="007F2388">
            <w:pPr>
              <w:pStyle w:val="LagtextIndrag"/>
            </w:pPr>
            <w:r w:rsidRPr="00372CE4">
              <w:t xml:space="preserve">1. avtalet den </w:t>
            </w:r>
            <w:r w:rsidRPr="00372CE4">
              <w:rPr>
                <w:i/>
                <w:iCs/>
              </w:rPr>
              <w:t xml:space="preserve">9 maj 1994 </w:t>
            </w:r>
            <w:r w:rsidRPr="00372CE4">
              <w:t>mellan de stater som är parter i Nordatla</w:t>
            </w:r>
            <w:r w:rsidRPr="00372CE4">
              <w:t>n</w:t>
            </w:r>
            <w:r w:rsidRPr="00372CE4">
              <w:t>tiska fö</w:t>
            </w:r>
            <w:r w:rsidRPr="00372CE4">
              <w:t>r</w:t>
            </w:r>
            <w:r w:rsidRPr="00372CE4">
              <w:t>draget och de andra stater som deltar i Partne</w:t>
            </w:r>
            <w:r w:rsidRPr="00372CE4">
              <w:t>r</w:t>
            </w:r>
            <w:r w:rsidRPr="00372CE4">
              <w:t xml:space="preserve">skap för fred om status för deras styrkor, och </w:t>
            </w:r>
          </w:p>
          <w:p w:rsidR="00DA5112" w:rsidRPr="00372CE4" w:rsidRDefault="00DA5112" w:rsidP="007F2388">
            <w:pPr>
              <w:pStyle w:val="LagtextIndrag"/>
            </w:pPr>
            <w:r w:rsidRPr="00372CE4">
              <w:t>2. avtalet den 13 d</w:t>
            </w:r>
            <w:r w:rsidRPr="00372CE4">
              <w:t>e</w:t>
            </w:r>
            <w:r w:rsidRPr="00372CE4">
              <w:t>cember 2001 me</w:t>
            </w:r>
            <w:r w:rsidRPr="00372CE4">
              <w:t>l</w:t>
            </w:r>
            <w:r w:rsidRPr="00372CE4">
              <w:t>lan de stater som deltar i den multinationella snabbinsatsbrig</w:t>
            </w:r>
            <w:r w:rsidRPr="00372CE4">
              <w:t>a</w:t>
            </w:r>
            <w:r w:rsidRPr="00372CE4">
              <w:t>den för FN-insatser om status för deras styrkor.</w:t>
            </w:r>
          </w:p>
          <w:p w:rsidR="00DA5112" w:rsidRPr="00372CE4" w:rsidRDefault="00DA5112" w:rsidP="007F2388">
            <w:pPr>
              <w:pStyle w:val="LagtextIndrag"/>
            </w:pPr>
            <w:r w:rsidRPr="00372CE4">
              <w:t>För personal vid någon av Europ</w:t>
            </w:r>
            <w:r w:rsidRPr="00372CE4">
              <w:t>e</w:t>
            </w:r>
            <w:r w:rsidRPr="00372CE4">
              <w:t>iska unionens instituti</w:t>
            </w:r>
            <w:r w:rsidRPr="00372CE4">
              <w:t>o</w:t>
            </w:r>
            <w:r w:rsidRPr="00372CE4">
              <w:t>ner</w:t>
            </w:r>
            <w:r w:rsidRPr="00372CE4">
              <w:rPr>
                <w:i/>
                <w:iCs/>
              </w:rPr>
              <w:t xml:space="preserve"> </w:t>
            </w:r>
            <w:r w:rsidRPr="00372CE4">
              <w:t>samt för högkvarter som verkar inom ramen för Europeiska unionens krishante</w:t>
            </w:r>
            <w:r w:rsidRPr="00372CE4">
              <w:t>r</w:t>
            </w:r>
            <w:r w:rsidRPr="00372CE4">
              <w:t>ing gäller immun</w:t>
            </w:r>
            <w:r w:rsidRPr="00372CE4">
              <w:t>i</w:t>
            </w:r>
            <w:r w:rsidRPr="00372CE4">
              <w:t>tet i enlighet med vad som framgår av artikel 8 respe</w:t>
            </w:r>
            <w:r w:rsidRPr="00372CE4">
              <w:t>k</w:t>
            </w:r>
            <w:r w:rsidRPr="00372CE4">
              <w:t>tive artikel 15 i avtalet den 17 n</w:t>
            </w:r>
            <w:r w:rsidRPr="00372CE4">
              <w:t>o</w:t>
            </w:r>
            <w:r w:rsidRPr="00372CE4">
              <w:t>vember 2003 mellan Europeiska unionens me</w:t>
            </w:r>
            <w:r w:rsidRPr="00372CE4">
              <w:t>d</w:t>
            </w:r>
            <w:r w:rsidRPr="00372CE4">
              <w:t>lemsstater om status för den mil</w:t>
            </w:r>
            <w:r w:rsidRPr="00372CE4">
              <w:t>i</w:t>
            </w:r>
            <w:r w:rsidRPr="00372CE4">
              <w:t>tära och civila personal som utstationeras vid Europ</w:t>
            </w:r>
            <w:r w:rsidRPr="00372CE4">
              <w:t>e</w:t>
            </w:r>
            <w:r w:rsidRPr="00372CE4">
              <w:t>iska unionens militära stab, för de hö</w:t>
            </w:r>
            <w:r w:rsidRPr="00372CE4">
              <w:t>g</w:t>
            </w:r>
            <w:r w:rsidRPr="00372CE4">
              <w:t>kvarter och styrkor som kan ko</w:t>
            </w:r>
            <w:r w:rsidRPr="00372CE4">
              <w:t>m</w:t>
            </w:r>
            <w:r w:rsidRPr="00372CE4">
              <w:t>ma att ställas till Europeiska un</w:t>
            </w:r>
            <w:r w:rsidRPr="00372CE4">
              <w:t>i</w:t>
            </w:r>
            <w:r w:rsidRPr="00372CE4">
              <w:t>onens förfogande inom ramen för förber</w:t>
            </w:r>
            <w:r w:rsidRPr="00372CE4">
              <w:t>e</w:t>
            </w:r>
            <w:r w:rsidRPr="00372CE4">
              <w:t>dande och genomförande av de insa</w:t>
            </w:r>
            <w:r w:rsidRPr="00372CE4">
              <w:t>t</w:t>
            </w:r>
            <w:r w:rsidRPr="00372CE4">
              <w:t>ser som avses i artikel 17.2 i Fördr</w:t>
            </w:r>
            <w:r w:rsidRPr="00372CE4">
              <w:t>a</w:t>
            </w:r>
            <w:r w:rsidRPr="00372CE4">
              <w:t>get om Europeiska unionen, inbegr</w:t>
            </w:r>
            <w:r w:rsidRPr="00372CE4">
              <w:t>i</w:t>
            </w:r>
            <w:r w:rsidRPr="00372CE4">
              <w:t>pet ö</w:t>
            </w:r>
            <w:r w:rsidRPr="00372CE4">
              <w:t>v</w:t>
            </w:r>
            <w:r w:rsidRPr="00372CE4">
              <w:t>ningar, samt för den militära och civila personal från medlemsst</w:t>
            </w:r>
            <w:r w:rsidRPr="00372CE4">
              <w:t>a</w:t>
            </w:r>
            <w:r w:rsidRPr="00372CE4">
              <w:t>terna som ställs till Europeiska uni</w:t>
            </w:r>
            <w:r w:rsidRPr="00372CE4">
              <w:t>o</w:t>
            </w:r>
            <w:r w:rsidRPr="00372CE4">
              <w:t>nens förfogande i detta samma</w:t>
            </w:r>
            <w:r w:rsidRPr="00372CE4">
              <w:t>n</w:t>
            </w:r>
            <w:r w:rsidRPr="00372CE4">
              <w:t xml:space="preserve">hang. </w:t>
            </w:r>
          </w:p>
        </w:tc>
        <w:tc>
          <w:tcPr>
            <w:tcW w:w="3090" w:type="dxa"/>
          </w:tcPr>
          <w:p w:rsidR="00DA5112" w:rsidRPr="00372CE4" w:rsidRDefault="00DA5112" w:rsidP="007F2388">
            <w:pPr>
              <w:pStyle w:val="LagtextIndrag"/>
            </w:pPr>
            <w:r w:rsidRPr="00372CE4">
              <w:t>För främmande stats militära sty</w:t>
            </w:r>
            <w:r w:rsidRPr="00372CE4">
              <w:t>r</w:t>
            </w:r>
            <w:r w:rsidRPr="00372CE4">
              <w:t>ka och dess personal som b</w:t>
            </w:r>
            <w:r w:rsidRPr="00372CE4">
              <w:t>e</w:t>
            </w:r>
            <w:r w:rsidRPr="00372CE4">
              <w:t>finner sig i Sverige inom ramen för intern</w:t>
            </w:r>
            <w:r w:rsidRPr="00372CE4">
              <w:t>a</w:t>
            </w:r>
            <w:r w:rsidRPr="00372CE4">
              <w:t>tionellt militärt samarbete eller inte</w:t>
            </w:r>
            <w:r w:rsidRPr="00372CE4">
              <w:t>r</w:t>
            </w:r>
            <w:r w:rsidRPr="00372CE4">
              <w:t>nationell krishante</w:t>
            </w:r>
            <w:r w:rsidRPr="00372CE4">
              <w:t>r</w:t>
            </w:r>
            <w:r w:rsidRPr="00372CE4">
              <w:t>ing och som omfattas av avtal som är i kraft i förhållande till Sverige, skall imm</w:t>
            </w:r>
            <w:r w:rsidRPr="00372CE4">
              <w:t>u</w:t>
            </w:r>
            <w:r w:rsidRPr="00372CE4">
              <w:t>nitet och privilegier gälla såvitt avser avgifter och skatter vid bruk av fo</w:t>
            </w:r>
            <w:r w:rsidRPr="00372CE4">
              <w:t>r</w:t>
            </w:r>
            <w:r w:rsidRPr="00372CE4">
              <w:t>don i vägtrafik samt import till och export från Sverige i den utsträc</w:t>
            </w:r>
            <w:r w:rsidRPr="00372CE4">
              <w:t>k</w:t>
            </w:r>
            <w:r w:rsidRPr="00372CE4">
              <w:t>ning som anges i fö</w:t>
            </w:r>
            <w:r w:rsidRPr="00372CE4">
              <w:t>l</w:t>
            </w:r>
            <w:r w:rsidRPr="00372CE4">
              <w:t>jande avtal:</w:t>
            </w:r>
          </w:p>
          <w:p w:rsidR="00DA5112" w:rsidRPr="00372CE4" w:rsidRDefault="00DA5112" w:rsidP="007F2388">
            <w:pPr>
              <w:pStyle w:val="LagtextIndrag"/>
            </w:pPr>
            <w:r w:rsidRPr="00372CE4">
              <w:t>1. avtalet den</w:t>
            </w:r>
            <w:r w:rsidRPr="00372CE4">
              <w:rPr>
                <w:i/>
                <w:iCs/>
              </w:rPr>
              <w:t xml:space="preserve"> 19 juni 1995</w:t>
            </w:r>
            <w:r w:rsidRPr="00372CE4">
              <w:t xml:space="preserve"> me</w:t>
            </w:r>
            <w:r w:rsidRPr="00372CE4">
              <w:t>l</w:t>
            </w:r>
            <w:r w:rsidRPr="00372CE4">
              <w:t>lan de stater som är parter i Nordatla</w:t>
            </w:r>
            <w:r w:rsidRPr="00372CE4">
              <w:t>n</w:t>
            </w:r>
            <w:r w:rsidRPr="00372CE4">
              <w:t>tiska fö</w:t>
            </w:r>
            <w:r w:rsidRPr="00372CE4">
              <w:t>r</w:t>
            </w:r>
            <w:r w:rsidRPr="00372CE4">
              <w:t>draget och de andra stater som deltar i Partne</w:t>
            </w:r>
            <w:r w:rsidRPr="00372CE4">
              <w:t>r</w:t>
            </w:r>
            <w:r w:rsidRPr="00372CE4">
              <w:t>skap för fred om status för deras styrkor</w:t>
            </w:r>
            <w:r w:rsidRPr="00372CE4">
              <w:rPr>
                <w:i/>
                <w:iCs/>
              </w:rPr>
              <w:t xml:space="preserve"> (SÖ 1997:51</w:t>
            </w:r>
            <w:r w:rsidRPr="00372CE4">
              <w:t xml:space="preserve">), och </w:t>
            </w:r>
          </w:p>
          <w:p w:rsidR="00DA5112" w:rsidRPr="00372CE4" w:rsidRDefault="00DA5112" w:rsidP="007F2388">
            <w:pPr>
              <w:pStyle w:val="LagtextIndrag"/>
            </w:pPr>
            <w:r w:rsidRPr="00372CE4">
              <w:t>2. avtalet den 13 d</w:t>
            </w:r>
            <w:r w:rsidRPr="00372CE4">
              <w:t>e</w:t>
            </w:r>
            <w:r w:rsidRPr="00372CE4">
              <w:t>cember 2001 me</w:t>
            </w:r>
            <w:r w:rsidRPr="00372CE4">
              <w:t>l</w:t>
            </w:r>
            <w:r w:rsidRPr="00372CE4">
              <w:t>lan de stater som deltar i den multinationella snabbinsatsbrig</w:t>
            </w:r>
            <w:r w:rsidRPr="00372CE4">
              <w:t>a</w:t>
            </w:r>
            <w:r w:rsidRPr="00372CE4">
              <w:t xml:space="preserve">den för FN-insatser om status för deras styrkor </w:t>
            </w:r>
            <w:r w:rsidRPr="00372CE4">
              <w:rPr>
                <w:i/>
                <w:iCs/>
              </w:rPr>
              <w:t>(SÖ 2005:6)</w:t>
            </w:r>
            <w:r w:rsidRPr="00372CE4">
              <w:t>.</w:t>
            </w:r>
          </w:p>
          <w:p w:rsidR="00DA5112" w:rsidRPr="00372CE4" w:rsidRDefault="00DA5112" w:rsidP="007F2388">
            <w:pPr>
              <w:pStyle w:val="LagtextIndrag"/>
            </w:pPr>
            <w:r w:rsidRPr="00372CE4">
              <w:t>För personal vid någon av Europ</w:t>
            </w:r>
            <w:r w:rsidRPr="00372CE4">
              <w:t>e</w:t>
            </w:r>
            <w:r w:rsidRPr="00372CE4">
              <w:t>iska unionens instituti</w:t>
            </w:r>
            <w:r w:rsidRPr="00372CE4">
              <w:t>o</w:t>
            </w:r>
            <w:r w:rsidRPr="00372CE4">
              <w:t>ner samt för högkvarter som verkar</w:t>
            </w:r>
            <w:r w:rsidRPr="00372CE4">
              <w:rPr>
                <w:i/>
                <w:iCs/>
              </w:rPr>
              <w:t xml:space="preserve"> </w:t>
            </w:r>
            <w:r w:rsidRPr="00372CE4">
              <w:t>inom ramen för Europeiska unionens krishante</w:t>
            </w:r>
            <w:r w:rsidRPr="00372CE4">
              <w:t>r</w:t>
            </w:r>
            <w:r w:rsidRPr="00372CE4">
              <w:t>ing gäller immun</w:t>
            </w:r>
            <w:r w:rsidRPr="00372CE4">
              <w:t>i</w:t>
            </w:r>
            <w:r w:rsidRPr="00372CE4">
              <w:t>tet i enlighet med vad som framgår av artikel 8 respe</w:t>
            </w:r>
            <w:r w:rsidRPr="00372CE4">
              <w:t>k</w:t>
            </w:r>
            <w:r w:rsidRPr="00372CE4">
              <w:t>tive artikel 15 i avtalet den 17 n</w:t>
            </w:r>
            <w:r w:rsidRPr="00372CE4">
              <w:t>o</w:t>
            </w:r>
            <w:r w:rsidRPr="00372CE4">
              <w:t>vember 2003 mellan Europeiska unionens me</w:t>
            </w:r>
            <w:r w:rsidRPr="00372CE4">
              <w:t>d</w:t>
            </w:r>
            <w:r w:rsidRPr="00372CE4">
              <w:t>lemsstater om status för den mil</w:t>
            </w:r>
            <w:r w:rsidRPr="00372CE4">
              <w:t>i</w:t>
            </w:r>
            <w:r w:rsidRPr="00372CE4">
              <w:t>tära och civila personal som utstationeras vid Europ</w:t>
            </w:r>
            <w:r w:rsidRPr="00372CE4">
              <w:t>e</w:t>
            </w:r>
            <w:r w:rsidRPr="00372CE4">
              <w:t>iska unionens militära stab, för de hö</w:t>
            </w:r>
            <w:r w:rsidRPr="00372CE4">
              <w:t>g</w:t>
            </w:r>
            <w:r w:rsidRPr="00372CE4">
              <w:t>kvarter och styrkor som kan ko</w:t>
            </w:r>
            <w:r w:rsidRPr="00372CE4">
              <w:t>m</w:t>
            </w:r>
            <w:r w:rsidRPr="00372CE4">
              <w:t>ma att ställas till Europeiska un</w:t>
            </w:r>
            <w:r w:rsidRPr="00372CE4">
              <w:t>i</w:t>
            </w:r>
            <w:r w:rsidRPr="00372CE4">
              <w:t>onens förfogande inom ramen för förber</w:t>
            </w:r>
            <w:r w:rsidRPr="00372CE4">
              <w:t>e</w:t>
            </w:r>
            <w:r w:rsidRPr="00372CE4">
              <w:t>dande och genomförande av de insa</w:t>
            </w:r>
            <w:r w:rsidRPr="00372CE4">
              <w:t>t</w:t>
            </w:r>
            <w:r w:rsidRPr="00372CE4">
              <w:t>ser som avses i artikel 17.2 i Fördr</w:t>
            </w:r>
            <w:r w:rsidRPr="00372CE4">
              <w:t>a</w:t>
            </w:r>
            <w:r w:rsidRPr="00372CE4">
              <w:t>get om Europeiska unionen, inbegr</w:t>
            </w:r>
            <w:r w:rsidRPr="00372CE4">
              <w:t>i</w:t>
            </w:r>
            <w:r w:rsidRPr="00372CE4">
              <w:t>pet ö</w:t>
            </w:r>
            <w:r w:rsidRPr="00372CE4">
              <w:t>v</w:t>
            </w:r>
            <w:r w:rsidRPr="00372CE4">
              <w:t>ningar, samt för den militära och civila personal från medlemsst</w:t>
            </w:r>
            <w:r w:rsidRPr="00372CE4">
              <w:t>a</w:t>
            </w:r>
            <w:r w:rsidRPr="00372CE4">
              <w:t>terna som ställs till Europeiska uni</w:t>
            </w:r>
            <w:r w:rsidRPr="00372CE4">
              <w:t>o</w:t>
            </w:r>
            <w:r w:rsidRPr="00372CE4">
              <w:t>nens förfogande i detta sa</w:t>
            </w:r>
            <w:r w:rsidRPr="00372CE4">
              <w:t>m</w:t>
            </w:r>
            <w:r w:rsidRPr="00372CE4">
              <w:t xml:space="preserve">manhang </w:t>
            </w:r>
            <w:r w:rsidRPr="00372CE4">
              <w:rPr>
                <w:i/>
                <w:iCs/>
              </w:rPr>
              <w:t>(SÖ 2005:7)</w:t>
            </w:r>
            <w:r w:rsidRPr="00372CE4">
              <w:t>.</w:t>
            </w:r>
          </w:p>
        </w:tc>
      </w:tr>
    </w:tbl>
    <w:p w:rsidR="00DA5112" w:rsidRPr="00372CE4" w:rsidRDefault="00DA5112" w:rsidP="002915EF">
      <w:pPr>
        <w:spacing w:before="0"/>
        <w:rPr>
          <w:sz w:val="20"/>
        </w:rPr>
      </w:pPr>
    </w:p>
    <w:p w:rsidR="009A318A" w:rsidRPr="00372CE4" w:rsidRDefault="009A318A" w:rsidP="00977A3E">
      <w:r w:rsidRPr="00372CE4">
        <w:t>Föreslagen lydelse</w:t>
      </w:r>
    </w:p>
    <w:p w:rsidR="009A318A" w:rsidRPr="00372CE4" w:rsidRDefault="00977A3E" w:rsidP="009A318A">
      <w:pPr>
        <w:pStyle w:val="Normaltindrag"/>
      </w:pPr>
      <w:r w:rsidRPr="00372CE4">
        <w:rPr>
          <w:i/>
          <w:iCs/>
        </w:rPr>
        <w:t xml:space="preserve">                                                                                                       </w:t>
      </w:r>
      <w:r w:rsidR="009A318A" w:rsidRPr="00372CE4">
        <w:rPr>
          <w:i/>
          <w:iCs/>
        </w:rPr>
        <w:t>Bilaga</w:t>
      </w:r>
      <w:r w:rsidR="009A318A" w:rsidRPr="00372CE4">
        <w:rPr>
          <w:rStyle w:val="Fotnotsreferens"/>
        </w:rPr>
        <w:footnoteReference w:id="3"/>
        <w:t>3</w:t>
      </w:r>
    </w:p>
    <w:p w:rsidR="007F2388" w:rsidRPr="00372CE4" w:rsidRDefault="007F2388" w:rsidP="009A318A">
      <w:pPr>
        <w:pStyle w:val="Normaltindrag"/>
        <w:rPr>
          <w:rStyle w:val="Fotnotsreferens"/>
          <w:szCs w:val="19"/>
        </w:rPr>
      </w:pPr>
    </w:p>
    <w:tbl>
      <w:tblPr>
        <w:tblW w:w="6180" w:type="dxa"/>
        <w:tblCellMar>
          <w:left w:w="113" w:type="dxa"/>
          <w:right w:w="113" w:type="dxa"/>
        </w:tblCellMar>
        <w:tblLook w:val="0000" w:firstRow="0" w:lastRow="0" w:firstColumn="0" w:lastColumn="0" w:noHBand="0" w:noVBand="0"/>
      </w:tblPr>
      <w:tblGrid>
        <w:gridCol w:w="2091"/>
        <w:gridCol w:w="999"/>
        <w:gridCol w:w="553"/>
        <w:gridCol w:w="2526"/>
        <w:gridCol w:w="11"/>
      </w:tblGrid>
      <w:tr w:rsidR="009A318A" w:rsidRPr="00372CE4">
        <w:tblPrEx>
          <w:tblCellMar>
            <w:top w:w="0" w:type="dxa"/>
            <w:bottom w:w="0" w:type="dxa"/>
          </w:tblCellMar>
        </w:tblPrEx>
        <w:tc>
          <w:tcPr>
            <w:tcW w:w="3090" w:type="dxa"/>
            <w:gridSpan w:val="2"/>
            <w:tcBorders>
              <w:top w:val="single" w:sz="4" w:space="0" w:color="auto"/>
            </w:tcBorders>
          </w:tcPr>
          <w:p w:rsidR="009A318A" w:rsidRPr="00372CE4" w:rsidRDefault="009A318A" w:rsidP="007F2388">
            <w:pPr>
              <w:pStyle w:val="LagtextIndrag"/>
            </w:pPr>
            <w:r w:rsidRPr="00372CE4">
              <w:t>Immunitet och/eller privilegier gäller för följande</w:t>
            </w:r>
          </w:p>
        </w:tc>
        <w:tc>
          <w:tcPr>
            <w:tcW w:w="3090" w:type="dxa"/>
            <w:gridSpan w:val="3"/>
            <w:tcBorders>
              <w:top w:val="single" w:sz="4" w:space="0" w:color="auto"/>
            </w:tcBorders>
          </w:tcPr>
          <w:p w:rsidR="009A318A" w:rsidRPr="00372CE4" w:rsidRDefault="009A318A" w:rsidP="009A318A">
            <w:pPr>
              <w:pStyle w:val="Normaltindrag"/>
            </w:pPr>
          </w:p>
        </w:tc>
      </w:tr>
      <w:tr w:rsidR="009A318A" w:rsidRPr="00372CE4">
        <w:tblPrEx>
          <w:tblCellMar>
            <w:top w:w="0" w:type="dxa"/>
            <w:left w:w="108" w:type="dxa"/>
            <w:bottom w:w="0" w:type="dxa"/>
            <w:right w:w="108" w:type="dxa"/>
          </w:tblCellMar>
        </w:tblPrEx>
        <w:trPr>
          <w:gridAfter w:val="1"/>
          <w:wAfter w:w="11" w:type="dxa"/>
        </w:trPr>
        <w:tc>
          <w:tcPr>
            <w:tcW w:w="2091" w:type="dxa"/>
            <w:tcBorders>
              <w:top w:val="single" w:sz="4" w:space="0" w:color="auto"/>
              <w:bottom w:val="single" w:sz="4" w:space="0" w:color="auto"/>
            </w:tcBorders>
          </w:tcPr>
          <w:p w:rsidR="009A318A" w:rsidRPr="00372CE4" w:rsidRDefault="009A318A" w:rsidP="007F2388">
            <w:pPr>
              <w:pStyle w:val="LagtextIndrag"/>
            </w:pPr>
            <w:r w:rsidRPr="00372CE4">
              <w:t>Internationella organ</w:t>
            </w:r>
          </w:p>
        </w:tc>
        <w:tc>
          <w:tcPr>
            <w:tcW w:w="1552" w:type="dxa"/>
            <w:gridSpan w:val="2"/>
            <w:tcBorders>
              <w:top w:val="single" w:sz="4" w:space="0" w:color="auto"/>
              <w:bottom w:val="single" w:sz="4" w:space="0" w:color="auto"/>
            </w:tcBorders>
          </w:tcPr>
          <w:p w:rsidR="009A318A" w:rsidRPr="00372CE4" w:rsidRDefault="009A318A" w:rsidP="007F2388">
            <w:pPr>
              <w:pStyle w:val="LagtextIndrag"/>
            </w:pPr>
            <w:r w:rsidRPr="00372CE4">
              <w:t>Fysiska pers</w:t>
            </w:r>
            <w:r w:rsidRPr="00372CE4">
              <w:t>o</w:t>
            </w:r>
            <w:r w:rsidRPr="00372CE4">
              <w:t>ner</w:t>
            </w:r>
          </w:p>
        </w:tc>
        <w:tc>
          <w:tcPr>
            <w:tcW w:w="2526" w:type="dxa"/>
            <w:tcBorders>
              <w:bottom w:val="single" w:sz="4" w:space="0" w:color="auto"/>
            </w:tcBorders>
          </w:tcPr>
          <w:p w:rsidR="009A318A" w:rsidRPr="00372CE4" w:rsidRDefault="009A318A" w:rsidP="007F2388">
            <w:pPr>
              <w:pStyle w:val="LagtextIndrag"/>
            </w:pPr>
            <w:r w:rsidRPr="00372CE4">
              <w:t>Tillämplig internationell överenskommelse</w:t>
            </w:r>
          </w:p>
        </w:tc>
      </w:tr>
    </w:tbl>
    <w:p w:rsidR="009A318A" w:rsidRPr="00372CE4" w:rsidRDefault="009A318A" w:rsidP="009A318A">
      <w:r w:rsidRPr="00372CE4">
        <w:t xml:space="preserve">– – – – – – – – – – – – – – – – – – – – – – – – – – – – – – – – – – – – – – – </w:t>
      </w:r>
    </w:p>
    <w:tbl>
      <w:tblPr>
        <w:tblW w:w="0" w:type="auto"/>
        <w:tblLook w:val="0000" w:firstRow="0" w:lastRow="0" w:firstColumn="0" w:lastColumn="0" w:noHBand="0" w:noVBand="0"/>
      </w:tblPr>
      <w:tblGrid>
        <w:gridCol w:w="1968"/>
        <w:gridCol w:w="1635"/>
        <w:gridCol w:w="2350"/>
      </w:tblGrid>
      <w:tr w:rsidR="009A318A" w:rsidRPr="00372CE4">
        <w:tblPrEx>
          <w:tblCellMar>
            <w:top w:w="0" w:type="dxa"/>
            <w:bottom w:w="0" w:type="dxa"/>
          </w:tblCellMar>
        </w:tblPrEx>
        <w:tc>
          <w:tcPr>
            <w:tcW w:w="2483" w:type="dxa"/>
          </w:tcPr>
          <w:p w:rsidR="009A318A" w:rsidRPr="00372CE4" w:rsidRDefault="009A318A" w:rsidP="007F2388">
            <w:pPr>
              <w:pStyle w:val="LagtextIndrag"/>
            </w:pPr>
            <w:r w:rsidRPr="00372CE4">
              <w:t>69. Europeiska fö</w:t>
            </w:r>
            <w:r w:rsidRPr="00372CE4">
              <w:t>r</w:t>
            </w:r>
            <w:r w:rsidRPr="00372CE4">
              <w:t>svarsbyrån</w:t>
            </w:r>
          </w:p>
        </w:tc>
        <w:tc>
          <w:tcPr>
            <w:tcW w:w="2000" w:type="dxa"/>
          </w:tcPr>
          <w:p w:rsidR="009A318A" w:rsidRPr="00372CE4" w:rsidRDefault="009A318A" w:rsidP="007F2388">
            <w:pPr>
              <w:pStyle w:val="LagtextIndrag"/>
            </w:pPr>
            <w:r w:rsidRPr="00372CE4">
              <w:t>Försvarsbyråns anställda</w:t>
            </w:r>
          </w:p>
        </w:tc>
        <w:tc>
          <w:tcPr>
            <w:tcW w:w="3000" w:type="dxa"/>
          </w:tcPr>
          <w:p w:rsidR="009A318A" w:rsidRPr="00372CE4" w:rsidRDefault="009A318A" w:rsidP="007F2388">
            <w:pPr>
              <w:pStyle w:val="LagtextIndrag"/>
            </w:pPr>
            <w:r w:rsidRPr="00372CE4">
              <w:t>Beslut av företrädarna för regeringarna i Europ</w:t>
            </w:r>
            <w:r w:rsidRPr="00372CE4">
              <w:t>e</w:t>
            </w:r>
            <w:r w:rsidRPr="00372CE4">
              <w:t>iska unionens medlemsst</w:t>
            </w:r>
            <w:r w:rsidRPr="00372CE4">
              <w:t>a</w:t>
            </w:r>
            <w:r w:rsidRPr="00372CE4">
              <w:t>ter, församlade i rådet, av den 10 november 2004 om privil</w:t>
            </w:r>
            <w:r w:rsidRPr="00372CE4">
              <w:t>e</w:t>
            </w:r>
            <w:r w:rsidRPr="00372CE4">
              <w:t>gier och immunitet för Europeiska försvarsb</w:t>
            </w:r>
            <w:r w:rsidRPr="00372CE4">
              <w:t>y</w:t>
            </w:r>
            <w:r w:rsidRPr="00372CE4">
              <w:t>rån och dess anstäl</w:t>
            </w:r>
            <w:r w:rsidRPr="00372CE4">
              <w:t>l</w:t>
            </w:r>
            <w:r w:rsidRPr="00372CE4">
              <w:t>da</w:t>
            </w:r>
          </w:p>
        </w:tc>
      </w:tr>
    </w:tbl>
    <w:p w:rsidR="007F2388" w:rsidRPr="00372CE4" w:rsidRDefault="007F2388" w:rsidP="007F2388">
      <w:r w:rsidRPr="00372CE4">
        <w:t>____________</w:t>
      </w:r>
    </w:p>
    <w:p w:rsidR="005570AA" w:rsidRPr="00372CE4" w:rsidRDefault="007F2388" w:rsidP="007F2388">
      <w:pPr>
        <w:pStyle w:val="Normaltindrag"/>
      </w:pPr>
      <w:r w:rsidRPr="00372CE4">
        <w:t>Denna lag träder i kraft den 1 juli 2005 i fråga om 7 § och i övrigt den dag regeringen bestämmer.</w:t>
      </w:r>
    </w:p>
    <w:p w:rsidR="007F2388" w:rsidRPr="00372CE4" w:rsidRDefault="007F2388" w:rsidP="007F2388">
      <w:pPr>
        <w:pStyle w:val="Normaltindrag"/>
      </w:pPr>
      <w:r w:rsidRPr="00372CE4">
        <w:t xml:space="preserve"> </w:t>
      </w:r>
    </w:p>
    <w:p w:rsidR="005570AA" w:rsidRPr="00372CE4" w:rsidRDefault="005570AA" w:rsidP="001E0538">
      <w:pPr>
        <w:pStyle w:val="Fotnotstext"/>
      </w:pPr>
      <w:bookmarkStart w:id="32" w:name="_Toc102377546"/>
    </w:p>
    <w:p w:rsidR="005570AA" w:rsidRPr="00372CE4" w:rsidRDefault="005570AA" w:rsidP="005570AA">
      <w:pPr>
        <w:pStyle w:val="Fotnotstextindrag"/>
        <w:sectPr w:rsidR="005570AA" w:rsidRPr="00372CE4" w:rsidSect="00B33C1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pPr>
    </w:p>
    <w:p w:rsidR="005570AA" w:rsidRPr="00372CE4" w:rsidRDefault="005570AA" w:rsidP="005570AA">
      <w:pPr>
        <w:pStyle w:val="Bilaga"/>
      </w:pPr>
      <w:r w:rsidRPr="00372CE4">
        <w:t>Bilaga 3</w:t>
      </w:r>
    </w:p>
    <w:p w:rsidR="00AD7B7D" w:rsidRPr="00372CE4" w:rsidRDefault="00AD7B7D" w:rsidP="001E0538">
      <w:pPr>
        <w:pStyle w:val="Rubrik1"/>
        <w:rPr>
          <w:noProof w:val="0"/>
        </w:rPr>
      </w:pPr>
      <w:r w:rsidRPr="00372CE4">
        <w:rPr>
          <w:noProof w:val="0"/>
        </w:rPr>
        <w:t>Konventionstexter</w:t>
      </w:r>
      <w:bookmarkEnd w:id="32"/>
    </w:p>
    <w:p w:rsidR="005058CA" w:rsidRPr="00372CE4" w:rsidRDefault="005058CA" w:rsidP="001E0538">
      <w:pPr>
        <w:pStyle w:val="Rubrik2"/>
        <w:spacing w:before="0"/>
      </w:pPr>
      <w:bookmarkStart w:id="33" w:name="_Toc102377547"/>
      <w:r w:rsidRPr="00372CE4">
        <w:t>Beslut av företrädarna f</w:t>
      </w:r>
      <w:r w:rsidR="00D7404E" w:rsidRPr="00372CE4">
        <w:t xml:space="preserve">ör medlemsstaternas          </w:t>
      </w:r>
      <w:r w:rsidRPr="00372CE4">
        <w:t>regeringar, församlade i rådet, av den 10/11/2004</w:t>
      </w:r>
      <w:bookmarkEnd w:id="33"/>
    </w:p>
    <w:p w:rsidR="005058CA" w:rsidRPr="00372CE4" w:rsidRDefault="005058CA" w:rsidP="005058CA">
      <w:pPr>
        <w:pStyle w:val="Normaltindrag"/>
      </w:pPr>
    </w:p>
    <w:p w:rsidR="005058CA" w:rsidRPr="00372CE4" w:rsidRDefault="005058CA" w:rsidP="005058CA">
      <w:pPr>
        <w:pStyle w:val="Normaltindrag"/>
        <w:jc w:val="center"/>
      </w:pPr>
      <w:r w:rsidRPr="00372CE4">
        <w:rPr>
          <w:b/>
          <w:bCs/>
        </w:rPr>
        <w:t>om privilegier och immunitet för Europeiska försvarsbyrån</w:t>
      </w:r>
    </w:p>
    <w:p w:rsidR="005058CA" w:rsidRPr="00372CE4" w:rsidRDefault="005058CA" w:rsidP="005058CA">
      <w:pPr>
        <w:pStyle w:val="Normaltindrag"/>
        <w:jc w:val="center"/>
      </w:pPr>
      <w:r w:rsidRPr="00372CE4">
        <w:rPr>
          <w:b/>
          <w:bCs/>
        </w:rPr>
        <w:t>och dess anställda</w:t>
      </w:r>
    </w:p>
    <w:p w:rsidR="005058CA" w:rsidRPr="00372CE4" w:rsidRDefault="005058CA" w:rsidP="005058CA">
      <w:pPr>
        <w:pStyle w:val="Normaltindrag"/>
      </w:pPr>
    </w:p>
    <w:p w:rsidR="005058CA" w:rsidRPr="00372CE4" w:rsidRDefault="005058CA" w:rsidP="005058CA">
      <w:pPr>
        <w:pStyle w:val="Normaltindrag"/>
      </w:pPr>
    </w:p>
    <w:p w:rsidR="005058CA" w:rsidRPr="00372CE4" w:rsidRDefault="005058CA" w:rsidP="005058CA">
      <w:r w:rsidRPr="00372CE4">
        <w:t>FÖRETRÄDARNA FÖR REGERINGARNA I EUROPEISKA        UNI</w:t>
      </w:r>
      <w:r w:rsidRPr="00372CE4">
        <w:t>O</w:t>
      </w:r>
      <w:r w:rsidRPr="00372CE4">
        <w:t>NENS MEDLEMSSTATER, FÖRSAMLADE I RÅDET, HAR B</w:t>
      </w:r>
      <w:r w:rsidRPr="00372CE4">
        <w:t>E</w:t>
      </w:r>
      <w:r w:rsidRPr="00372CE4">
        <w:t>SLUTAT FÖLJANDE</w:t>
      </w:r>
    </w:p>
    <w:p w:rsidR="005058CA" w:rsidRPr="00372CE4" w:rsidRDefault="005058CA" w:rsidP="005058CA">
      <w:pPr>
        <w:pStyle w:val="Normaltindrag"/>
      </w:pPr>
      <w:r w:rsidRPr="00372CE4">
        <w:t xml:space="preserve"> </w:t>
      </w:r>
    </w:p>
    <w:p w:rsidR="005058CA" w:rsidRPr="00372CE4" w:rsidRDefault="005058CA" w:rsidP="005058CA">
      <w:r w:rsidRPr="00372CE4">
        <w:t>av följande skäl:</w:t>
      </w:r>
    </w:p>
    <w:p w:rsidR="005058CA" w:rsidRPr="00372CE4" w:rsidRDefault="005058CA" w:rsidP="005058CA">
      <w:pPr>
        <w:pStyle w:val="Normaltindrag"/>
      </w:pPr>
    </w:p>
    <w:p w:rsidR="005058CA" w:rsidRPr="00372CE4" w:rsidRDefault="005058CA" w:rsidP="005058CA">
      <w:r w:rsidRPr="00372CE4">
        <w:t>(1)</w:t>
      </w:r>
      <w:r w:rsidRPr="00372CE4">
        <w:tab/>
        <w:t>Den 12 juli 2004 antog rådet gemensam å</w:t>
      </w:r>
      <w:r w:rsidRPr="00372CE4">
        <w:t>t</w:t>
      </w:r>
      <w:r w:rsidRPr="00372CE4">
        <w:t>gärd 2004/551/GUSP om inrättande av en europeisk försvarsbyrå (nedan ka</w:t>
      </w:r>
      <w:r w:rsidRPr="00372CE4">
        <w:t>l</w:t>
      </w:r>
      <w:r w:rsidRPr="00372CE4">
        <w:t>lad "byrån").</w:t>
      </w:r>
    </w:p>
    <w:p w:rsidR="005058CA" w:rsidRPr="00372CE4" w:rsidRDefault="005058CA" w:rsidP="005058CA">
      <w:pPr>
        <w:pStyle w:val="Normaltindrag"/>
      </w:pPr>
    </w:p>
    <w:p w:rsidR="005058CA" w:rsidRPr="00372CE4" w:rsidRDefault="005058CA" w:rsidP="005058CA">
      <w:r w:rsidRPr="00372CE4">
        <w:t>(2)</w:t>
      </w:r>
      <w:r w:rsidRPr="00372CE4">
        <w:tab/>
        <w:t>För att denna byrå inom Europeiska unionen skall kunna börja fungera bör byrån och dess personal, enbart i byråns och Europeiska unionens intressen, tillerkännas de privilegier, den immunitet och de resu</w:t>
      </w:r>
      <w:r w:rsidRPr="00372CE4">
        <w:t>r</w:t>
      </w:r>
      <w:r w:rsidRPr="00372CE4">
        <w:t>ser som är nödvändiga för detta ändamål.</w:t>
      </w:r>
    </w:p>
    <w:p w:rsidR="005058CA" w:rsidRPr="00372CE4" w:rsidRDefault="005058CA" w:rsidP="005058CA">
      <w:pPr>
        <w:pStyle w:val="Normaltindrag"/>
      </w:pPr>
    </w:p>
    <w:p w:rsidR="005058CA" w:rsidRPr="00372CE4" w:rsidRDefault="005058CA" w:rsidP="005058CA">
      <w:r w:rsidRPr="00372CE4">
        <w:t>HÄRIGENOM FÖRESKRIVS FÖLJANDE.</w:t>
      </w:r>
    </w:p>
    <w:p w:rsidR="005058CA" w:rsidRPr="00372CE4" w:rsidRDefault="005058CA" w:rsidP="005058CA"/>
    <w:p w:rsidR="005058CA" w:rsidRPr="00372CE4" w:rsidRDefault="005058CA" w:rsidP="005058CA">
      <w:pPr>
        <w:jc w:val="center"/>
      </w:pPr>
      <w:r w:rsidRPr="00372CE4">
        <w:rPr>
          <w:i/>
          <w:iCs/>
        </w:rPr>
        <w:t>Artikel 1</w:t>
      </w:r>
    </w:p>
    <w:p w:rsidR="005058CA" w:rsidRPr="00372CE4" w:rsidRDefault="005058CA" w:rsidP="005058CA">
      <w:pPr>
        <w:jc w:val="center"/>
      </w:pPr>
      <w:r w:rsidRPr="00372CE4">
        <w:rPr>
          <w:b/>
          <w:bCs/>
        </w:rPr>
        <w:t>Immunitet mot rättsliga förfaranden och immunitet mot genomsö</w:t>
      </w:r>
      <w:r w:rsidRPr="00372CE4">
        <w:rPr>
          <w:b/>
          <w:bCs/>
        </w:rPr>
        <w:t>k</w:t>
      </w:r>
      <w:r w:rsidRPr="00372CE4">
        <w:rPr>
          <w:b/>
          <w:bCs/>
        </w:rPr>
        <w:t>ning, beslag, rekvisition, konfiskation eller andra slag av tvångså</w:t>
      </w:r>
      <w:r w:rsidRPr="00372CE4">
        <w:rPr>
          <w:b/>
          <w:bCs/>
        </w:rPr>
        <w:t>t</w:t>
      </w:r>
      <w:r w:rsidRPr="00372CE4">
        <w:rPr>
          <w:b/>
          <w:bCs/>
        </w:rPr>
        <w:t>gärder</w:t>
      </w:r>
    </w:p>
    <w:p w:rsidR="005058CA" w:rsidRPr="00372CE4" w:rsidRDefault="005058CA" w:rsidP="005058CA"/>
    <w:p w:rsidR="005058CA" w:rsidRPr="00372CE4" w:rsidRDefault="005058CA" w:rsidP="005058CA">
      <w:r w:rsidRPr="00372CE4">
        <w:t>Byråns lokaler och byggnader skall vara okränkbara. De får inte geno</w:t>
      </w:r>
      <w:r w:rsidRPr="00372CE4">
        <w:t>m</w:t>
      </w:r>
      <w:r w:rsidRPr="00372CE4">
        <w:t>sökas, beslagtas, konfiskeras eller exproprieras. Byråns egendom och tillgångar får inte bli föremål för några administrativa eller rättsliga tvångsåtgärder.</w:t>
      </w:r>
    </w:p>
    <w:p w:rsidR="005058CA" w:rsidRPr="00372CE4" w:rsidRDefault="00335579" w:rsidP="00335579">
      <w:pPr>
        <w:jc w:val="center"/>
      </w:pPr>
      <w:r w:rsidRPr="00372CE4">
        <w:br w:type="page"/>
      </w:r>
      <w:r w:rsidR="005058CA" w:rsidRPr="00372CE4">
        <w:rPr>
          <w:i/>
          <w:iCs/>
        </w:rPr>
        <w:t>Artikel 2</w:t>
      </w:r>
    </w:p>
    <w:p w:rsidR="005058CA" w:rsidRPr="00372CE4" w:rsidRDefault="005058CA" w:rsidP="005058CA">
      <w:pPr>
        <w:jc w:val="center"/>
      </w:pPr>
      <w:r w:rsidRPr="00372CE4">
        <w:rPr>
          <w:b/>
          <w:bCs/>
        </w:rPr>
        <w:t>Arkivens okränkbarhet</w:t>
      </w:r>
    </w:p>
    <w:p w:rsidR="005058CA" w:rsidRPr="00372CE4" w:rsidRDefault="005058CA" w:rsidP="005058CA"/>
    <w:p w:rsidR="005058CA" w:rsidRPr="00372CE4" w:rsidRDefault="005058CA" w:rsidP="005058CA">
      <w:r w:rsidRPr="00372CE4">
        <w:t>Byråns arkiv skall vara okränkbara.</w:t>
      </w:r>
    </w:p>
    <w:p w:rsidR="005058CA" w:rsidRPr="00372CE4" w:rsidRDefault="005058CA" w:rsidP="005058CA"/>
    <w:p w:rsidR="005058CA" w:rsidRPr="00372CE4" w:rsidRDefault="005058CA" w:rsidP="005058CA">
      <w:pPr>
        <w:jc w:val="center"/>
      </w:pPr>
      <w:r w:rsidRPr="00372CE4">
        <w:rPr>
          <w:i/>
          <w:iCs/>
        </w:rPr>
        <w:t>Artikel 3</w:t>
      </w:r>
    </w:p>
    <w:p w:rsidR="005058CA" w:rsidRPr="00372CE4" w:rsidRDefault="005058CA" w:rsidP="005058CA">
      <w:pPr>
        <w:jc w:val="center"/>
      </w:pPr>
      <w:r w:rsidRPr="00372CE4">
        <w:rPr>
          <w:b/>
          <w:bCs/>
        </w:rPr>
        <w:t>Befrielse från skatt och avgifter</w:t>
      </w:r>
    </w:p>
    <w:p w:rsidR="005058CA" w:rsidRPr="00372CE4" w:rsidRDefault="005058CA" w:rsidP="005058CA"/>
    <w:p w:rsidR="005058CA" w:rsidRPr="00372CE4" w:rsidRDefault="005058CA" w:rsidP="005058CA">
      <w:r w:rsidRPr="00372CE4">
        <w:t>1.</w:t>
      </w:r>
      <w:r w:rsidRPr="00372CE4">
        <w:tab/>
        <w:t>Byrån, dess tillgångar, inkomster och övrig egendom skall vara b</w:t>
      </w:r>
      <w:r w:rsidRPr="00372CE4">
        <w:t>e</w:t>
      </w:r>
      <w:r w:rsidRPr="00372CE4">
        <w:t>friade från alla direkta skatter.</w:t>
      </w:r>
    </w:p>
    <w:p w:rsidR="005058CA" w:rsidRPr="00372CE4" w:rsidRDefault="005058CA" w:rsidP="005058CA">
      <w:r w:rsidRPr="00372CE4">
        <w:t xml:space="preserve"> </w:t>
      </w:r>
    </w:p>
    <w:p w:rsidR="005058CA" w:rsidRPr="00372CE4" w:rsidRDefault="005058CA" w:rsidP="005058CA">
      <w:r w:rsidRPr="00372CE4">
        <w:t>2.</w:t>
      </w:r>
      <w:r w:rsidRPr="00372CE4">
        <w:tab/>
        <w:t>Medlemsstaternas regeringar skall i alla de fall där så är möjligt vidta lämpliga åtgärder för att efterskänka eller betala tillbaka su</w:t>
      </w:r>
      <w:r w:rsidRPr="00372CE4">
        <w:t>m</w:t>
      </w:r>
      <w:r w:rsidRPr="00372CE4">
        <w:t>man av de indirekta skatter och avgifter som ingår i priset på fast eller lös egendom eller tjänster när byrån för tjänstebruk, för att fullgöra sitt uppdrag, sina funktioner och uppgifter, gör betydande inköp i vilka denna typ av ska</w:t>
      </w:r>
      <w:r w:rsidRPr="00372CE4">
        <w:t>t</w:t>
      </w:r>
      <w:r w:rsidRPr="00372CE4">
        <w:t>ter och avgifter inkluderas i priset. Dessa bestämmelser får dock inte tillä</w:t>
      </w:r>
      <w:r w:rsidRPr="00372CE4">
        <w:t>m</w:t>
      </w:r>
      <w:r w:rsidRPr="00372CE4">
        <w:t>pas på ett sådant sätt att konkurrensen inom geme</w:t>
      </w:r>
      <w:r w:rsidRPr="00372CE4">
        <w:t>n</w:t>
      </w:r>
      <w:r w:rsidRPr="00372CE4">
        <w:t>skapen snedvrids.</w:t>
      </w:r>
    </w:p>
    <w:p w:rsidR="005058CA" w:rsidRPr="00372CE4" w:rsidRDefault="005058CA" w:rsidP="005058CA"/>
    <w:p w:rsidR="005058CA" w:rsidRPr="00372CE4" w:rsidRDefault="005058CA" w:rsidP="005058CA">
      <w:r w:rsidRPr="00372CE4">
        <w:t>3.</w:t>
      </w:r>
      <w:r w:rsidRPr="00372CE4">
        <w:tab/>
        <w:t>Inköp med befrielse från indirekta skatter och avgifter enligt punkt 2 får inte försäljas eller på annat sätt avyttras, utom på villkor som har a</w:t>
      </w:r>
      <w:r w:rsidRPr="00372CE4">
        <w:t>v</w:t>
      </w:r>
      <w:r w:rsidRPr="00372CE4">
        <w:t>talats med den medlemsstat som har beviljat befrielsen.</w:t>
      </w:r>
    </w:p>
    <w:p w:rsidR="005058CA" w:rsidRPr="00372CE4" w:rsidRDefault="005058CA" w:rsidP="005058CA"/>
    <w:p w:rsidR="005058CA" w:rsidRPr="00372CE4" w:rsidRDefault="005058CA" w:rsidP="005058CA">
      <w:r w:rsidRPr="00372CE4">
        <w:t>4.</w:t>
      </w:r>
      <w:r w:rsidRPr="00372CE4">
        <w:tab/>
        <w:t>Ingen befrielse skall beviljas för sådana skatter och avgifter som u</w:t>
      </w:r>
      <w:r w:rsidRPr="00372CE4">
        <w:t>t</w:t>
      </w:r>
      <w:r w:rsidRPr="00372CE4">
        <w:t>gör betalning för allmännyttiga tjänster.</w:t>
      </w:r>
    </w:p>
    <w:p w:rsidR="005058CA" w:rsidRPr="00372CE4" w:rsidRDefault="005058CA" w:rsidP="005058CA"/>
    <w:p w:rsidR="005058CA" w:rsidRPr="00372CE4" w:rsidRDefault="005058CA" w:rsidP="005058CA">
      <w:pPr>
        <w:jc w:val="center"/>
      </w:pPr>
      <w:r w:rsidRPr="00372CE4">
        <w:rPr>
          <w:i/>
          <w:iCs/>
        </w:rPr>
        <w:t>Artikel 4</w:t>
      </w:r>
    </w:p>
    <w:p w:rsidR="005058CA" w:rsidRPr="00372CE4" w:rsidRDefault="005058CA" w:rsidP="005058CA">
      <w:pPr>
        <w:jc w:val="center"/>
      </w:pPr>
      <w:r w:rsidRPr="00372CE4">
        <w:rPr>
          <w:b/>
          <w:bCs/>
        </w:rPr>
        <w:t>Överföring av försvarsmateriel för byråns tjänstebruk</w:t>
      </w:r>
    </w:p>
    <w:p w:rsidR="005058CA" w:rsidRPr="00372CE4" w:rsidRDefault="005058CA" w:rsidP="005058CA"/>
    <w:p w:rsidR="005058CA" w:rsidRPr="00372CE4" w:rsidRDefault="005058CA" w:rsidP="005058CA">
      <w:r w:rsidRPr="00372CE4">
        <w:t>I fråga om överföring mellan medlemsstaterna av försvarsmateriel för byråns tjänstebruk för att fullgöra dess uppdrag, funktioner och uppgifter</w:t>
      </w:r>
    </w:p>
    <w:p w:rsidR="005058CA" w:rsidRPr="00372CE4" w:rsidRDefault="005058CA" w:rsidP="005058CA"/>
    <w:p w:rsidR="005058CA" w:rsidRPr="00372CE4" w:rsidRDefault="005058CA" w:rsidP="005058CA">
      <w:r w:rsidRPr="00372CE4">
        <w:t>–</w:t>
      </w:r>
      <w:r w:rsidRPr="00372CE4">
        <w:tab/>
        <w:t>skall byrån vara befriad från betalningar och avgifter som åläggs av medlemsstater, med undantag för administration</w:t>
      </w:r>
      <w:r w:rsidRPr="00372CE4">
        <w:t>s</w:t>
      </w:r>
      <w:r w:rsidRPr="00372CE4">
        <w:t>avgifter,</w:t>
      </w:r>
    </w:p>
    <w:p w:rsidR="005058CA" w:rsidRPr="00372CE4" w:rsidRDefault="005058CA" w:rsidP="005058CA"/>
    <w:p w:rsidR="005058CA" w:rsidRPr="00372CE4" w:rsidRDefault="005058CA" w:rsidP="005058CA">
      <w:r w:rsidRPr="00372CE4">
        <w:t>–</w:t>
      </w:r>
      <w:r w:rsidRPr="00372CE4">
        <w:tab/>
        <w:t>skall medlemsstaterna så långt möjligt och i enlighet med sina lagar och andra författningar söka underlätta sådana överföringar, utan att det p</w:t>
      </w:r>
      <w:r w:rsidRPr="00372CE4">
        <w:t>å</w:t>
      </w:r>
      <w:r w:rsidRPr="00372CE4">
        <w:t>verkar deras skyldigheter enligt internationell rätt.</w:t>
      </w:r>
    </w:p>
    <w:p w:rsidR="005058CA" w:rsidRPr="00372CE4" w:rsidRDefault="005058CA" w:rsidP="005058CA"/>
    <w:p w:rsidR="005058CA" w:rsidRPr="00372CE4" w:rsidRDefault="005058CA" w:rsidP="005058CA">
      <w:pPr>
        <w:jc w:val="center"/>
      </w:pPr>
      <w:r w:rsidRPr="00372CE4">
        <w:rPr>
          <w:i/>
          <w:iCs/>
        </w:rPr>
        <w:t>Artikel 5</w:t>
      </w:r>
    </w:p>
    <w:p w:rsidR="005058CA" w:rsidRPr="00372CE4" w:rsidRDefault="005058CA" w:rsidP="005058CA">
      <w:pPr>
        <w:jc w:val="center"/>
      </w:pPr>
      <w:r w:rsidRPr="00372CE4">
        <w:rPr>
          <w:b/>
          <w:bCs/>
        </w:rPr>
        <w:t>Lättnader och immunitet för kommunikation</w:t>
      </w:r>
    </w:p>
    <w:p w:rsidR="005058CA" w:rsidRPr="00372CE4" w:rsidRDefault="005058CA" w:rsidP="005058CA"/>
    <w:p w:rsidR="005058CA" w:rsidRPr="00372CE4" w:rsidRDefault="005058CA" w:rsidP="005058CA">
      <w:r w:rsidRPr="00372CE4">
        <w:t>Medlemsstaterna skall tillåta byrån att inom deras territorier kommunic</w:t>
      </w:r>
      <w:r w:rsidRPr="00372CE4">
        <w:t>e</w:t>
      </w:r>
      <w:r w:rsidRPr="00372CE4">
        <w:t>ra fritt och utan tillstånd för alla officiella ändamål, och skall skydda b</w:t>
      </w:r>
      <w:r w:rsidRPr="00372CE4">
        <w:t>y</w:t>
      </w:r>
      <w:r w:rsidRPr="00372CE4">
        <w:t>råns rätt härtill. Byrån skall ha rätt att använda koder och att sända och ta emot offic</w:t>
      </w:r>
      <w:r w:rsidRPr="00372CE4">
        <w:t>i</w:t>
      </w:r>
      <w:r w:rsidRPr="00372CE4">
        <w:t>ell korrespondens och andra officiella meddelanden genom kurir eller i fö</w:t>
      </w:r>
      <w:r w:rsidRPr="00372CE4">
        <w:t>r</w:t>
      </w:r>
      <w:r w:rsidRPr="00372CE4">
        <w:t>seglade väskor för vilka samma privilegier och samma immunitet skall gälla som för diplomatiska kurirer och väskor.</w:t>
      </w:r>
    </w:p>
    <w:p w:rsidR="005058CA" w:rsidRPr="00372CE4" w:rsidRDefault="005058CA" w:rsidP="005058CA"/>
    <w:p w:rsidR="005058CA" w:rsidRPr="00372CE4" w:rsidRDefault="005058CA" w:rsidP="005058CA">
      <w:pPr>
        <w:jc w:val="center"/>
      </w:pPr>
      <w:r w:rsidRPr="00372CE4">
        <w:rPr>
          <w:i/>
          <w:iCs/>
        </w:rPr>
        <w:t>Artikel 6</w:t>
      </w:r>
    </w:p>
    <w:p w:rsidR="005058CA" w:rsidRPr="00372CE4" w:rsidRDefault="005058CA" w:rsidP="005058CA">
      <w:pPr>
        <w:jc w:val="center"/>
      </w:pPr>
      <w:r w:rsidRPr="00372CE4">
        <w:rPr>
          <w:b/>
          <w:bCs/>
        </w:rPr>
        <w:t>Inresa, vistelse och utresa</w:t>
      </w:r>
    </w:p>
    <w:p w:rsidR="005058CA" w:rsidRPr="00372CE4" w:rsidRDefault="005058CA" w:rsidP="005058CA"/>
    <w:p w:rsidR="005058CA" w:rsidRPr="00372CE4" w:rsidRDefault="005058CA" w:rsidP="005058CA">
      <w:r w:rsidRPr="00372CE4">
        <w:t>Medlemsstaterna skall vid behov underlätta inresa, vistelse och utresa å tjän</w:t>
      </w:r>
      <w:r w:rsidRPr="00372CE4">
        <w:t>s</w:t>
      </w:r>
      <w:r w:rsidRPr="00372CE4">
        <w:t>tens vägnar för de personer som avses i artikel 7. Emellertid skall bevis för</w:t>
      </w:r>
      <w:r w:rsidRPr="00372CE4">
        <w:t>e</w:t>
      </w:r>
      <w:r w:rsidRPr="00372CE4">
        <w:t>tes för att fastställa att personer som gör anspråk på den b</w:t>
      </w:r>
      <w:r w:rsidRPr="00372CE4">
        <w:t>e</w:t>
      </w:r>
      <w:r w:rsidRPr="00372CE4">
        <w:t>handling som avses i denna artikel tillhör de kategorier som beskrivs i artikel 7.</w:t>
      </w:r>
    </w:p>
    <w:p w:rsidR="005058CA" w:rsidRPr="00372CE4" w:rsidRDefault="005058CA" w:rsidP="005058CA">
      <w:pPr>
        <w:jc w:val="center"/>
      </w:pPr>
    </w:p>
    <w:p w:rsidR="005058CA" w:rsidRPr="00372CE4" w:rsidRDefault="005058CA" w:rsidP="005058CA">
      <w:pPr>
        <w:jc w:val="center"/>
      </w:pPr>
      <w:r w:rsidRPr="00372CE4">
        <w:rPr>
          <w:i/>
          <w:iCs/>
        </w:rPr>
        <w:t>Artikel 7</w:t>
      </w:r>
    </w:p>
    <w:p w:rsidR="005058CA" w:rsidRPr="00372CE4" w:rsidRDefault="005058CA" w:rsidP="005058CA">
      <w:pPr>
        <w:jc w:val="center"/>
      </w:pPr>
      <w:r w:rsidRPr="00372CE4">
        <w:rPr>
          <w:b/>
          <w:bCs/>
        </w:rPr>
        <w:t>Privilegier och immunitet för byråns anställda</w:t>
      </w:r>
    </w:p>
    <w:p w:rsidR="005058CA" w:rsidRPr="00372CE4" w:rsidRDefault="005058CA" w:rsidP="005058CA"/>
    <w:p w:rsidR="005058CA" w:rsidRPr="00372CE4" w:rsidRDefault="005058CA" w:rsidP="005058CA">
      <w:r w:rsidRPr="00372CE4">
        <w:t>1.</w:t>
      </w:r>
      <w:r w:rsidRPr="00372CE4">
        <w:tab/>
        <w:t>Inom varje medlemsstats territorium och oberoende av me</w:t>
      </w:r>
      <w:r w:rsidRPr="00372CE4">
        <w:t>d</w:t>
      </w:r>
      <w:r w:rsidRPr="00372CE4">
        <w:t>borga</w:t>
      </w:r>
      <w:r w:rsidRPr="00372CE4">
        <w:t>r</w:t>
      </w:r>
      <w:r w:rsidRPr="00372CE4">
        <w:t>skap skall anställda vid byrån enligt avtal eller kontrakt åtnjuta följande immunitet:</w:t>
      </w:r>
    </w:p>
    <w:p w:rsidR="005058CA" w:rsidRPr="00372CE4" w:rsidRDefault="005058CA" w:rsidP="005058CA"/>
    <w:p w:rsidR="005058CA" w:rsidRPr="00372CE4" w:rsidRDefault="005058CA" w:rsidP="005058CA">
      <w:r w:rsidRPr="00372CE4">
        <w:t>a)</w:t>
      </w:r>
      <w:r w:rsidRPr="00372CE4">
        <w:tab/>
        <w:t>Immunitet mot varje slag av rättsligt förfarande när det gäller i tjänsten gjorda, skriftliga eller muntliga uttalanden samt i tjänsten utförda handlingar; de skall åtnjuta denna immunitet även om deras anstäl</w:t>
      </w:r>
      <w:r w:rsidRPr="00372CE4">
        <w:t>l</w:t>
      </w:r>
      <w:r w:rsidRPr="00372CE4">
        <w:t>ning vid byrån har upphört.</w:t>
      </w:r>
    </w:p>
    <w:p w:rsidR="005058CA" w:rsidRPr="00372CE4" w:rsidRDefault="005058CA" w:rsidP="005058CA"/>
    <w:p w:rsidR="005058CA" w:rsidRPr="00372CE4" w:rsidRDefault="005058CA" w:rsidP="005058CA">
      <w:r w:rsidRPr="00372CE4">
        <w:t>b)</w:t>
      </w:r>
      <w:r w:rsidRPr="00372CE4">
        <w:tab/>
        <w:t>Okränkbarhet för alla sina officiella han</w:t>
      </w:r>
      <w:r w:rsidRPr="00372CE4">
        <w:t>d</w:t>
      </w:r>
      <w:r w:rsidRPr="00372CE4">
        <w:t>lingar och annat officiellt material.</w:t>
      </w:r>
    </w:p>
    <w:p w:rsidR="005058CA" w:rsidRPr="00372CE4" w:rsidRDefault="005058CA" w:rsidP="005058CA"/>
    <w:p w:rsidR="005058CA" w:rsidRPr="00372CE4" w:rsidRDefault="005058CA" w:rsidP="005058CA">
      <w:r w:rsidRPr="00372CE4">
        <w:t>c)</w:t>
      </w:r>
      <w:r w:rsidRPr="00372CE4">
        <w:tab/>
        <w:t>De skall, tillsammans med sina äkta makar och av dem försörjda familjemedlemmar, vara undantagna från bestämmelser om b</w:t>
      </w:r>
      <w:r w:rsidRPr="00372CE4">
        <w:t>e</w:t>
      </w:r>
      <w:r w:rsidRPr="00372CE4">
        <w:t>gränsning av invandring och formaliteter för registrering av utlä</w:t>
      </w:r>
      <w:r w:rsidRPr="00372CE4">
        <w:t>n</w:t>
      </w:r>
      <w:r w:rsidRPr="00372CE4">
        <w:t>ningar.</w:t>
      </w:r>
    </w:p>
    <w:p w:rsidR="005058CA" w:rsidRPr="00372CE4" w:rsidRDefault="005058CA" w:rsidP="005058CA"/>
    <w:p w:rsidR="005058CA" w:rsidRPr="00372CE4" w:rsidRDefault="005058CA" w:rsidP="005058CA">
      <w:r w:rsidRPr="00372CE4">
        <w:t>2.</w:t>
      </w:r>
      <w:r w:rsidRPr="00372CE4">
        <w:tab/>
        <w:t>Anställda vid byrån enligt avtal eller ko</w:t>
      </w:r>
      <w:r w:rsidRPr="00372CE4">
        <w:t>n</w:t>
      </w:r>
      <w:r w:rsidRPr="00372CE4">
        <w:t>trakt, vars löner och tillägg eller ersättningar enligt artikel 9 är belagda med en skatt till förmån för byrån, skall vara befriade från nationell i</w:t>
      </w:r>
      <w:r w:rsidRPr="00372CE4">
        <w:t>n</w:t>
      </w:r>
      <w:r w:rsidRPr="00372CE4">
        <w:t>komstskatt för löner och tillägg eller ersättningar som betalas av byrån. Sådana löner och tillägg eller ersät</w:t>
      </w:r>
      <w:r w:rsidRPr="00372CE4">
        <w:t>t</w:t>
      </w:r>
      <w:r w:rsidRPr="00372CE4">
        <w:t>ningar får dock beaktas vid bedö</w:t>
      </w:r>
      <w:r w:rsidRPr="00372CE4">
        <w:t>m</w:t>
      </w:r>
      <w:r w:rsidRPr="00372CE4">
        <w:t>ning av vilket belopp som skall betalas i skatt för inkomster från andra källor. Denna punkt gäller inte avgångsvede</w:t>
      </w:r>
      <w:r w:rsidRPr="00372CE4">
        <w:t>r</w:t>
      </w:r>
      <w:r w:rsidRPr="00372CE4">
        <w:t>lag eller andra ersättningar eller bidrag som utbetalas till personer som tidig</w:t>
      </w:r>
      <w:r w:rsidRPr="00372CE4">
        <w:t>a</w:t>
      </w:r>
      <w:r w:rsidRPr="00372CE4">
        <w:t>re har varit anställda vid byrån enligt avtal eller ko</w:t>
      </w:r>
      <w:r w:rsidRPr="00372CE4">
        <w:t>n</w:t>
      </w:r>
      <w:r w:rsidRPr="00372CE4">
        <w:t>trakt och deras anhöriga.</w:t>
      </w:r>
    </w:p>
    <w:p w:rsidR="005058CA" w:rsidRPr="00372CE4" w:rsidRDefault="005058CA" w:rsidP="005058CA"/>
    <w:p w:rsidR="005058CA" w:rsidRPr="00372CE4" w:rsidRDefault="005058CA" w:rsidP="005058CA">
      <w:pPr>
        <w:jc w:val="center"/>
      </w:pPr>
      <w:r w:rsidRPr="00372CE4">
        <w:rPr>
          <w:i/>
          <w:iCs/>
        </w:rPr>
        <w:t>Artikel 8</w:t>
      </w:r>
    </w:p>
    <w:p w:rsidR="005058CA" w:rsidRPr="00372CE4" w:rsidRDefault="005058CA" w:rsidP="005058CA">
      <w:pPr>
        <w:jc w:val="center"/>
      </w:pPr>
      <w:r w:rsidRPr="00372CE4">
        <w:rPr>
          <w:b/>
          <w:bCs/>
        </w:rPr>
        <w:t>Undantag från immuniteten</w:t>
      </w:r>
    </w:p>
    <w:p w:rsidR="005058CA" w:rsidRPr="00372CE4" w:rsidRDefault="005058CA" w:rsidP="005058CA"/>
    <w:p w:rsidR="005058CA" w:rsidRPr="00372CE4" w:rsidRDefault="005058CA" w:rsidP="005058CA">
      <w:r w:rsidRPr="00372CE4">
        <w:t>Den immunitet som tillerkänns de personer som nämns i artikel 7 skall inte omfatta tredje mans krav på skadestånd till följd av trafikolycka, dödsfall eller personskada som har orsakats av dessa personer.</w:t>
      </w:r>
    </w:p>
    <w:p w:rsidR="005058CA" w:rsidRPr="00372CE4" w:rsidRDefault="005058CA" w:rsidP="005058CA"/>
    <w:p w:rsidR="005058CA" w:rsidRPr="00372CE4" w:rsidRDefault="005058CA" w:rsidP="00335579">
      <w:pPr>
        <w:jc w:val="center"/>
      </w:pPr>
      <w:r w:rsidRPr="00372CE4">
        <w:rPr>
          <w:i/>
        </w:rPr>
        <w:t>Artikel</w:t>
      </w:r>
      <w:r w:rsidRPr="00372CE4">
        <w:t xml:space="preserve"> 9</w:t>
      </w:r>
    </w:p>
    <w:p w:rsidR="005058CA" w:rsidRPr="00372CE4" w:rsidRDefault="005058CA" w:rsidP="005058CA">
      <w:pPr>
        <w:jc w:val="center"/>
      </w:pPr>
      <w:r w:rsidRPr="00372CE4">
        <w:rPr>
          <w:b/>
          <w:bCs/>
        </w:rPr>
        <w:t>Skatter</w:t>
      </w:r>
    </w:p>
    <w:p w:rsidR="005058CA" w:rsidRPr="00372CE4" w:rsidRDefault="005058CA" w:rsidP="005058CA"/>
    <w:p w:rsidR="005058CA" w:rsidRPr="00372CE4" w:rsidRDefault="005058CA" w:rsidP="005058CA">
      <w:r w:rsidRPr="00372CE4">
        <w:t>1.</w:t>
      </w:r>
      <w:r w:rsidRPr="00372CE4">
        <w:tab/>
        <w:t>I enlighet med de villkor och med iakttagande av de förf</w:t>
      </w:r>
      <w:r w:rsidRPr="00372CE4">
        <w:t>a</w:t>
      </w:r>
      <w:r w:rsidRPr="00372CE4">
        <w:t>randen som föreskrivs i byråns tjänsteföreskrifter, skall anställda vid byrån e</w:t>
      </w:r>
      <w:r w:rsidRPr="00372CE4">
        <w:t>n</w:t>
      </w:r>
      <w:r w:rsidRPr="00372CE4">
        <w:t>ligt avtal eller kontrakt för minst ett år betala skatt till förmån för byrån på de löner och tillägg eller ersättningar som betalas av byrån.</w:t>
      </w:r>
    </w:p>
    <w:p w:rsidR="005058CA" w:rsidRPr="00372CE4" w:rsidRDefault="005058CA" w:rsidP="005058CA"/>
    <w:p w:rsidR="005058CA" w:rsidRPr="00372CE4" w:rsidRDefault="005058CA" w:rsidP="005058CA">
      <w:r w:rsidRPr="00372CE4">
        <w:t>2.</w:t>
      </w:r>
      <w:r w:rsidRPr="00372CE4">
        <w:tab/>
        <w:t>Varje år skall medlemsstaterna underrättas om namn och adress på de personer som är anställda vid byrån enligt avtal eller ko</w:t>
      </w:r>
      <w:r w:rsidRPr="00372CE4">
        <w:t>n</w:t>
      </w:r>
      <w:r w:rsidRPr="00372CE4">
        <w:t>trakt och som avses i denna artikel samt all annan personal som enligt ingångna avtal skall arbeta vid byrån. Byrån skall varje år ge varje anställd en redovi</w:t>
      </w:r>
      <w:r w:rsidRPr="00372CE4">
        <w:t>s</w:t>
      </w:r>
      <w:r w:rsidRPr="00372CE4">
        <w:t>ning över de totala brutto och nettobeloppen på alla ersättningar som u</w:t>
      </w:r>
      <w:r w:rsidRPr="00372CE4">
        <w:t>n</w:t>
      </w:r>
      <w:r w:rsidRPr="00372CE4">
        <w:t>der det ifrågavarande året har utbetalats av byrån, med närmare up</w:t>
      </w:r>
      <w:r w:rsidRPr="00372CE4">
        <w:t>p</w:t>
      </w:r>
      <w:r w:rsidRPr="00372CE4">
        <w:t>gifter om betalningarna och deras art samt om innehå</w:t>
      </w:r>
      <w:r w:rsidRPr="00372CE4">
        <w:t>l</w:t>
      </w:r>
      <w:r w:rsidRPr="00372CE4">
        <w:t>len källskatt.</w:t>
      </w:r>
    </w:p>
    <w:p w:rsidR="005058CA" w:rsidRPr="00372CE4" w:rsidRDefault="005058CA" w:rsidP="005058CA">
      <w:r w:rsidRPr="00372CE4">
        <w:t xml:space="preserve"> </w:t>
      </w:r>
    </w:p>
    <w:p w:rsidR="005058CA" w:rsidRPr="00372CE4" w:rsidRDefault="005058CA" w:rsidP="005058CA">
      <w:r w:rsidRPr="00372CE4">
        <w:t>3.</w:t>
      </w:r>
      <w:r w:rsidRPr="00372CE4">
        <w:tab/>
        <w:t>Denna artikel gäller inte avgångsvederlag eller andra ersät</w:t>
      </w:r>
      <w:r w:rsidRPr="00372CE4">
        <w:t>t</w:t>
      </w:r>
      <w:r w:rsidRPr="00372CE4">
        <w:t>ningar eller bidrag som utbetalas till personer som tidigare har varit a</w:t>
      </w:r>
      <w:r w:rsidRPr="00372CE4">
        <w:t>n</w:t>
      </w:r>
      <w:r w:rsidRPr="00372CE4">
        <w:t>ställda vid byrån enligt avtal eller kontrakt och deras anhör</w:t>
      </w:r>
      <w:r w:rsidRPr="00372CE4">
        <w:t>i</w:t>
      </w:r>
      <w:r w:rsidRPr="00372CE4">
        <w:t>ga.</w:t>
      </w:r>
    </w:p>
    <w:p w:rsidR="005058CA" w:rsidRPr="00372CE4" w:rsidRDefault="005058CA" w:rsidP="005058CA"/>
    <w:p w:rsidR="005058CA" w:rsidRPr="00372CE4" w:rsidRDefault="00335579" w:rsidP="005058CA">
      <w:pPr>
        <w:jc w:val="center"/>
      </w:pPr>
      <w:r w:rsidRPr="00372CE4">
        <w:rPr>
          <w:i/>
          <w:iCs/>
        </w:rPr>
        <w:br w:type="page"/>
      </w:r>
      <w:r w:rsidR="005058CA" w:rsidRPr="00372CE4">
        <w:rPr>
          <w:i/>
          <w:iCs/>
        </w:rPr>
        <w:t>Artikel 10</w:t>
      </w:r>
    </w:p>
    <w:p w:rsidR="005058CA" w:rsidRPr="00372CE4" w:rsidRDefault="005058CA" w:rsidP="005058CA">
      <w:pPr>
        <w:jc w:val="center"/>
      </w:pPr>
      <w:r w:rsidRPr="00372CE4">
        <w:rPr>
          <w:b/>
          <w:bCs/>
        </w:rPr>
        <w:t>Skydd av de anställda</w:t>
      </w:r>
    </w:p>
    <w:p w:rsidR="005058CA" w:rsidRPr="00372CE4" w:rsidRDefault="005058CA" w:rsidP="005058CA"/>
    <w:p w:rsidR="005058CA" w:rsidRPr="00372CE4" w:rsidRDefault="005058CA" w:rsidP="005058CA">
      <w:r w:rsidRPr="00372CE4">
        <w:t>Medlemsstaterna skall – om byråns verkställande direktör begär det – vidta alla nödvändiga åtgärder för att de personer som avses i detta beslut och vi</w:t>
      </w:r>
      <w:r w:rsidRPr="00372CE4">
        <w:t>l</w:t>
      </w:r>
      <w:r w:rsidRPr="00372CE4">
        <w:t>kas säkerhet är hotad till följd av tjänstgöringen vid byrån skall ges säkerhet och skydd.</w:t>
      </w:r>
    </w:p>
    <w:p w:rsidR="005058CA" w:rsidRPr="00372CE4" w:rsidRDefault="005058CA" w:rsidP="005058CA"/>
    <w:p w:rsidR="005058CA" w:rsidRPr="00372CE4" w:rsidRDefault="005058CA" w:rsidP="005058CA">
      <w:pPr>
        <w:jc w:val="center"/>
      </w:pPr>
      <w:r w:rsidRPr="00372CE4">
        <w:rPr>
          <w:i/>
          <w:iCs/>
        </w:rPr>
        <w:t>Artikel 11</w:t>
      </w:r>
    </w:p>
    <w:p w:rsidR="005058CA" w:rsidRPr="00372CE4" w:rsidRDefault="005058CA" w:rsidP="005058CA">
      <w:pPr>
        <w:jc w:val="center"/>
      </w:pPr>
      <w:r w:rsidRPr="00372CE4">
        <w:rPr>
          <w:b/>
          <w:bCs/>
        </w:rPr>
        <w:t>Upphävande av immuniteten</w:t>
      </w:r>
    </w:p>
    <w:p w:rsidR="005058CA" w:rsidRPr="00372CE4" w:rsidRDefault="005058CA" w:rsidP="005058CA"/>
    <w:p w:rsidR="005058CA" w:rsidRPr="00372CE4" w:rsidRDefault="005058CA" w:rsidP="005058CA">
      <w:r w:rsidRPr="00372CE4">
        <w:t>1.</w:t>
      </w:r>
      <w:r w:rsidRPr="00372CE4">
        <w:tab/>
        <w:t>Privilegier och immunitet enligt detta beslut tillerkänns i b</w:t>
      </w:r>
      <w:r w:rsidRPr="00372CE4">
        <w:t>y</w:t>
      </w:r>
      <w:r w:rsidRPr="00372CE4">
        <w:t>råns och Europeiska unionens intressen och inte som en förmån för de berörda personerna själva. Det åligger byrån och alla personer som åtnjuter såd</w:t>
      </w:r>
      <w:r w:rsidRPr="00372CE4">
        <w:t>a</w:t>
      </w:r>
      <w:r w:rsidRPr="00372CE4">
        <w:t>na privilegier och sådan immunitet att i alla andra hänseenden iaktta medlemsstaternas lagar och förordningar.</w:t>
      </w:r>
    </w:p>
    <w:p w:rsidR="005058CA" w:rsidRPr="00372CE4" w:rsidRDefault="005058CA" w:rsidP="005058CA"/>
    <w:p w:rsidR="005058CA" w:rsidRPr="00372CE4" w:rsidRDefault="005058CA" w:rsidP="005058CA">
      <w:r w:rsidRPr="00372CE4">
        <w:t>2.</w:t>
      </w:r>
      <w:r w:rsidRPr="00372CE4">
        <w:tab/>
        <w:t>På begäran av en behörig myndighet eller en rättslig my</w:t>
      </w:r>
      <w:r w:rsidRPr="00372CE4">
        <w:t>n</w:t>
      </w:r>
      <w:r w:rsidRPr="00372CE4">
        <w:t>dighet i en medlemsstat skall byråns chef, och när det gäller nationella expe</w:t>
      </w:r>
      <w:r w:rsidRPr="00372CE4">
        <w:t>r</w:t>
      </w:r>
      <w:r w:rsidRPr="00372CE4">
        <w:t>ter som utstationerats vid byrån av en medlemsstat, även den behöriga my</w:t>
      </w:r>
      <w:r w:rsidRPr="00372CE4">
        <w:t>n</w:t>
      </w:r>
      <w:r w:rsidRPr="00372CE4">
        <w:t>digheten i den medlemsstaten, vara skyldiga att upphäva immuniteten för b</w:t>
      </w:r>
      <w:r w:rsidRPr="00372CE4">
        <w:t>y</w:t>
      </w:r>
      <w:r w:rsidRPr="00372CE4">
        <w:t>rån, dess verkställande direktör och annan personal enligt artikel 7, om immuniteten utgör ett hinder för att rättvisa skipas och om den kan up</w:t>
      </w:r>
      <w:r w:rsidRPr="00372CE4">
        <w:t>p</w:t>
      </w:r>
      <w:r w:rsidRPr="00372CE4">
        <w:t>hävas utan att det skadar byråns intressen.</w:t>
      </w:r>
    </w:p>
    <w:p w:rsidR="005058CA" w:rsidRPr="00372CE4" w:rsidRDefault="005058CA" w:rsidP="005058CA"/>
    <w:p w:rsidR="005058CA" w:rsidRPr="00372CE4" w:rsidRDefault="005058CA" w:rsidP="005058CA">
      <w:r w:rsidRPr="00372CE4">
        <w:t>Om en tvist uppstår på grund av ett sådant upphävande och samråd med den behöriga myndigheten inte leder till en för båda parter tillfredsställande lö</w:t>
      </w:r>
      <w:r w:rsidRPr="00372CE4">
        <w:t>s</w:t>
      </w:r>
      <w:r w:rsidRPr="00372CE4">
        <w:t>ning, skall frågan avgöras i enlighet med artikel 12.</w:t>
      </w:r>
    </w:p>
    <w:p w:rsidR="005058CA" w:rsidRPr="00372CE4" w:rsidRDefault="005058CA" w:rsidP="005058CA"/>
    <w:p w:rsidR="005058CA" w:rsidRPr="00372CE4" w:rsidRDefault="005058CA" w:rsidP="005058CA">
      <w:r w:rsidRPr="00372CE4">
        <w:t>3.</w:t>
      </w:r>
      <w:r w:rsidRPr="00372CE4">
        <w:tab/>
        <w:t>Om byråns immunitet har upphävts skall genomsökningar och beslag som beordras av medlemsstaternas rättsliga myndigheter verkstä</w:t>
      </w:r>
      <w:r w:rsidRPr="00372CE4">
        <w:t>l</w:t>
      </w:r>
      <w:r w:rsidRPr="00372CE4">
        <w:t>las i närvaro av antingen byråns verkställande dire</w:t>
      </w:r>
      <w:r w:rsidRPr="00372CE4">
        <w:t>k</w:t>
      </w:r>
      <w:r w:rsidRPr="00372CE4">
        <w:t>tör eller en person som har utsetts av denne, i enlighet med gällande se</w:t>
      </w:r>
      <w:r w:rsidRPr="00372CE4">
        <w:t>k</w:t>
      </w:r>
      <w:r w:rsidRPr="00372CE4">
        <w:t>retessregler.</w:t>
      </w:r>
    </w:p>
    <w:p w:rsidR="005058CA" w:rsidRPr="00372CE4" w:rsidRDefault="005058CA" w:rsidP="005058CA"/>
    <w:p w:rsidR="005058CA" w:rsidRPr="00372CE4" w:rsidRDefault="005058CA" w:rsidP="005058CA">
      <w:r w:rsidRPr="00372CE4">
        <w:t>4.</w:t>
      </w:r>
      <w:r w:rsidRPr="00372CE4">
        <w:tab/>
        <w:t>Byrån skall alltid samarbeta med medlemsstaternas behöriga my</w:t>
      </w:r>
      <w:r w:rsidRPr="00372CE4">
        <w:t>n</w:t>
      </w:r>
      <w:r w:rsidRPr="00372CE4">
        <w:t>digheter för att underlätta rättskipningen och skall vidta åtgärder för att förhindra missbruk av de privilegier och den immunitet som tille</w:t>
      </w:r>
      <w:r w:rsidRPr="00372CE4">
        <w:t>r</w:t>
      </w:r>
      <w:r w:rsidRPr="00372CE4">
        <w:t>känns enligt detta beslut.</w:t>
      </w:r>
    </w:p>
    <w:p w:rsidR="005058CA" w:rsidRPr="00372CE4" w:rsidRDefault="005058CA" w:rsidP="005058CA"/>
    <w:p w:rsidR="005058CA" w:rsidRPr="00372CE4" w:rsidRDefault="005058CA" w:rsidP="005058CA">
      <w:r w:rsidRPr="00372CE4">
        <w:t>5.</w:t>
      </w:r>
      <w:r w:rsidRPr="00372CE4">
        <w:tab/>
        <w:t>Om en behörig myndighet eller en rättslig myndighet i en medlem</w:t>
      </w:r>
      <w:r w:rsidRPr="00372CE4">
        <w:t>s</w:t>
      </w:r>
      <w:r w:rsidRPr="00372CE4">
        <w:t>stat anser att missbruk av ett privilegium eller immunitet enligt detta beslut har förekommit och lämnar in en begäran till byrån om up</w:t>
      </w:r>
      <w:r w:rsidRPr="00372CE4">
        <w:t>p</w:t>
      </w:r>
      <w:r w:rsidRPr="00372CE4">
        <w:t>hävande av immuniteten, skall samråd ske mellan byrån och den behöriga my</w:t>
      </w:r>
      <w:r w:rsidRPr="00372CE4">
        <w:t>n</w:t>
      </w:r>
      <w:r w:rsidRPr="00372CE4">
        <w:t>digheten eller den rättsliga myndigheten för att avgöra om sådant mis</w:t>
      </w:r>
      <w:r w:rsidRPr="00372CE4">
        <w:t>s</w:t>
      </w:r>
      <w:r w:rsidRPr="00372CE4">
        <w:t>bruk verkligen har förekommit. Beslut om upphävande skall fattas enligt punkt 2. Om sa</w:t>
      </w:r>
      <w:r w:rsidRPr="00372CE4">
        <w:t>m</w:t>
      </w:r>
      <w:r w:rsidRPr="00372CE4">
        <w:t>rådet inte leder till ett för båda parter tillfredsstä</w:t>
      </w:r>
      <w:r w:rsidRPr="00372CE4">
        <w:t>l</w:t>
      </w:r>
      <w:r w:rsidRPr="00372CE4">
        <w:t>lande resultat skall saken avgöras i enlighet med det förfarande som a</w:t>
      </w:r>
      <w:r w:rsidRPr="00372CE4">
        <w:t>n</w:t>
      </w:r>
      <w:r w:rsidRPr="00372CE4">
        <w:t>ges i artikel 12.</w:t>
      </w:r>
    </w:p>
    <w:p w:rsidR="005058CA" w:rsidRPr="00372CE4" w:rsidRDefault="005058CA" w:rsidP="005058CA"/>
    <w:p w:rsidR="005058CA" w:rsidRPr="00372CE4" w:rsidRDefault="005058CA" w:rsidP="005058CA">
      <w:pPr>
        <w:jc w:val="center"/>
      </w:pPr>
      <w:r w:rsidRPr="00372CE4">
        <w:rPr>
          <w:i/>
          <w:iCs/>
        </w:rPr>
        <w:t>Artikel 12</w:t>
      </w:r>
    </w:p>
    <w:p w:rsidR="005058CA" w:rsidRPr="00372CE4" w:rsidRDefault="005058CA" w:rsidP="005058CA">
      <w:pPr>
        <w:jc w:val="center"/>
      </w:pPr>
      <w:r w:rsidRPr="00372CE4">
        <w:rPr>
          <w:b/>
          <w:bCs/>
        </w:rPr>
        <w:t>Tvistlösning</w:t>
      </w:r>
    </w:p>
    <w:p w:rsidR="005058CA" w:rsidRPr="00372CE4" w:rsidRDefault="005058CA" w:rsidP="005058CA"/>
    <w:p w:rsidR="005058CA" w:rsidRPr="00372CE4" w:rsidRDefault="005058CA" w:rsidP="005058CA">
      <w:r w:rsidRPr="00372CE4">
        <w:t>Tvister om vägran att upphäva immuniteten eller om missbruk av immunit</w:t>
      </w:r>
      <w:r w:rsidRPr="00372CE4">
        <w:t>e</w:t>
      </w:r>
      <w:r w:rsidRPr="00372CE4">
        <w:t>ten för byrån eller för en person som på grund av sin tjänstestäl</w:t>
      </w:r>
      <w:r w:rsidRPr="00372CE4">
        <w:t>l</w:t>
      </w:r>
      <w:r w:rsidRPr="00372CE4">
        <w:t>ning åtnjuter immunitet enligt artikel 7.1 skall behandlas av rådet i syfte att finna en lö</w:t>
      </w:r>
      <w:r w:rsidRPr="00372CE4">
        <w:t>s</w:t>
      </w:r>
      <w:r w:rsidRPr="00372CE4">
        <w:t>ning.</w:t>
      </w:r>
    </w:p>
    <w:p w:rsidR="005058CA" w:rsidRPr="00372CE4" w:rsidRDefault="005058CA" w:rsidP="005058CA"/>
    <w:p w:rsidR="005058CA" w:rsidRPr="00372CE4" w:rsidRDefault="005058CA" w:rsidP="005058CA">
      <w:pPr>
        <w:jc w:val="center"/>
      </w:pPr>
      <w:r w:rsidRPr="00372CE4">
        <w:rPr>
          <w:i/>
          <w:iCs/>
        </w:rPr>
        <w:t>Artikel 13</w:t>
      </w:r>
    </w:p>
    <w:p w:rsidR="005058CA" w:rsidRPr="00372CE4" w:rsidRDefault="005058CA" w:rsidP="005058CA">
      <w:pPr>
        <w:jc w:val="center"/>
      </w:pPr>
      <w:r w:rsidRPr="00372CE4">
        <w:rPr>
          <w:b/>
          <w:bCs/>
        </w:rPr>
        <w:t>Bestämmelser för nationella experter som är utstationerade vid    b</w:t>
      </w:r>
      <w:r w:rsidRPr="00372CE4">
        <w:rPr>
          <w:b/>
          <w:bCs/>
        </w:rPr>
        <w:t>y</w:t>
      </w:r>
      <w:r w:rsidRPr="00372CE4">
        <w:rPr>
          <w:b/>
          <w:bCs/>
        </w:rPr>
        <w:t>rån</w:t>
      </w:r>
    </w:p>
    <w:p w:rsidR="005058CA" w:rsidRPr="00372CE4" w:rsidRDefault="005058CA" w:rsidP="005058CA"/>
    <w:p w:rsidR="005058CA" w:rsidRPr="00372CE4" w:rsidRDefault="005058CA" w:rsidP="005058CA">
      <w:r w:rsidRPr="00372CE4">
        <w:t>Bestämmelserna i artikel 6, artikel 7.1, artikel 8, artikel 11 och artikel 12 skall också tillämpas på nationella experter som är utstationerade vid byrån enligt artikel 11.3.2 i den gemensamma åtgärden om inrättande av byrån.</w:t>
      </w:r>
    </w:p>
    <w:p w:rsidR="005058CA" w:rsidRPr="00372CE4" w:rsidRDefault="005058CA" w:rsidP="005058CA"/>
    <w:p w:rsidR="005058CA" w:rsidRPr="00372CE4" w:rsidRDefault="005058CA" w:rsidP="005058CA">
      <w:pPr>
        <w:jc w:val="center"/>
      </w:pPr>
      <w:r w:rsidRPr="00372CE4">
        <w:rPr>
          <w:i/>
          <w:iCs/>
        </w:rPr>
        <w:t>Artikel 14</w:t>
      </w:r>
    </w:p>
    <w:p w:rsidR="005058CA" w:rsidRPr="00372CE4" w:rsidRDefault="005058CA" w:rsidP="005058CA">
      <w:pPr>
        <w:jc w:val="center"/>
      </w:pPr>
      <w:r w:rsidRPr="00372CE4">
        <w:rPr>
          <w:b/>
          <w:bCs/>
        </w:rPr>
        <w:t>Samarbete med medlemsstaternas myndigheter</w:t>
      </w:r>
    </w:p>
    <w:p w:rsidR="005058CA" w:rsidRPr="00372CE4" w:rsidRDefault="005058CA" w:rsidP="005058CA"/>
    <w:p w:rsidR="005058CA" w:rsidRPr="00372CE4" w:rsidRDefault="005058CA" w:rsidP="005058CA">
      <w:r w:rsidRPr="00372CE4">
        <w:t>Byrån skall vid tillämpningen av detta beslut samarbeta med medlemsstate</w:t>
      </w:r>
      <w:r w:rsidRPr="00372CE4">
        <w:t>r</w:t>
      </w:r>
      <w:r w:rsidRPr="00372CE4">
        <w:t>nas behöriga myndigheter.</w:t>
      </w:r>
    </w:p>
    <w:p w:rsidR="005058CA" w:rsidRPr="00372CE4" w:rsidRDefault="005058CA" w:rsidP="005058CA">
      <w:r w:rsidRPr="00372CE4">
        <w:t xml:space="preserve"> </w:t>
      </w:r>
    </w:p>
    <w:p w:rsidR="005058CA" w:rsidRPr="00372CE4" w:rsidRDefault="005058CA" w:rsidP="005058CA">
      <w:pPr>
        <w:jc w:val="center"/>
      </w:pPr>
      <w:r w:rsidRPr="00372CE4">
        <w:rPr>
          <w:i/>
          <w:iCs/>
        </w:rPr>
        <w:t>Artikel 15</w:t>
      </w:r>
    </w:p>
    <w:p w:rsidR="005058CA" w:rsidRPr="00372CE4" w:rsidRDefault="005058CA" w:rsidP="005058CA">
      <w:pPr>
        <w:jc w:val="center"/>
      </w:pPr>
      <w:r w:rsidRPr="00372CE4">
        <w:rPr>
          <w:b/>
          <w:bCs/>
        </w:rPr>
        <w:t>Utvärdering</w:t>
      </w:r>
    </w:p>
    <w:p w:rsidR="005058CA" w:rsidRPr="00372CE4" w:rsidRDefault="005058CA" w:rsidP="005058CA"/>
    <w:p w:rsidR="005058CA" w:rsidRPr="00372CE4" w:rsidRDefault="005058CA" w:rsidP="005058CA">
      <w:r w:rsidRPr="00372CE4">
        <w:t>Inom två år efter ikraftträdandet av detta beslut, dock senast vid ikraftträda</w:t>
      </w:r>
      <w:r w:rsidRPr="00372CE4">
        <w:t>n</w:t>
      </w:r>
      <w:r w:rsidRPr="00372CE4">
        <w:t>det av fördraget om upprättande av en konstitution för Europa, skall företr</w:t>
      </w:r>
      <w:r w:rsidRPr="00372CE4">
        <w:t>ä</w:t>
      </w:r>
      <w:r w:rsidRPr="00372CE4">
        <w:t>darna för medlemsstaternas regeringar, församlade i rådet, utvärdera och ändra bestämmelserna i detta beslut eller i förekommande fall besluta att de skall upphävas.</w:t>
      </w:r>
    </w:p>
    <w:p w:rsidR="005058CA" w:rsidRPr="00372CE4" w:rsidRDefault="005058CA" w:rsidP="005058CA"/>
    <w:p w:rsidR="005058CA" w:rsidRPr="00372CE4" w:rsidRDefault="00335579" w:rsidP="005058CA">
      <w:pPr>
        <w:jc w:val="center"/>
      </w:pPr>
      <w:r w:rsidRPr="00372CE4">
        <w:rPr>
          <w:i/>
          <w:iCs/>
        </w:rPr>
        <w:br w:type="page"/>
      </w:r>
      <w:r w:rsidR="005058CA" w:rsidRPr="00372CE4">
        <w:rPr>
          <w:i/>
          <w:iCs/>
        </w:rPr>
        <w:t>Artikel 16</w:t>
      </w:r>
    </w:p>
    <w:p w:rsidR="005058CA" w:rsidRPr="00372CE4" w:rsidRDefault="005058CA" w:rsidP="005058CA">
      <w:pPr>
        <w:jc w:val="center"/>
      </w:pPr>
      <w:r w:rsidRPr="00372CE4">
        <w:rPr>
          <w:b/>
          <w:bCs/>
        </w:rPr>
        <w:t>Territoriellt tillämpningsområde</w:t>
      </w:r>
    </w:p>
    <w:p w:rsidR="005058CA" w:rsidRPr="00372CE4" w:rsidRDefault="005058CA" w:rsidP="005058CA"/>
    <w:p w:rsidR="005058CA" w:rsidRPr="00372CE4" w:rsidRDefault="005058CA" w:rsidP="005058CA">
      <w:r w:rsidRPr="00372CE4">
        <w:t>1.</w:t>
      </w:r>
      <w:r w:rsidRPr="00372CE4">
        <w:tab/>
        <w:t>Detta beslut skall endast tillämpas på medlemsstaternas m</w:t>
      </w:r>
      <w:r w:rsidRPr="00372CE4">
        <w:t>o</w:t>
      </w:r>
      <w:r w:rsidRPr="00372CE4">
        <w:t>derland.</w:t>
      </w:r>
    </w:p>
    <w:p w:rsidR="005058CA" w:rsidRPr="00372CE4" w:rsidRDefault="005058CA" w:rsidP="005058CA"/>
    <w:p w:rsidR="005058CA" w:rsidRPr="00372CE4" w:rsidRDefault="005058CA" w:rsidP="005058CA">
      <w:r w:rsidRPr="00372CE4">
        <w:t>2.</w:t>
      </w:r>
      <w:r w:rsidRPr="00372CE4">
        <w:tab/>
        <w:t>Varje medlemsstat kan meddela generalsekreteraren för Europeiska unionens råd att detta beslut även skall tillämpas på andra territ</w:t>
      </w:r>
      <w:r w:rsidRPr="00372CE4">
        <w:t>o</w:t>
      </w:r>
      <w:r w:rsidRPr="00372CE4">
        <w:t>rier för vars internationella förbindelser staten är ansvarig.</w:t>
      </w:r>
    </w:p>
    <w:p w:rsidR="00335579" w:rsidRPr="00372CE4" w:rsidRDefault="00335579" w:rsidP="00335579">
      <w:pPr>
        <w:pStyle w:val="Normaltindrag"/>
      </w:pPr>
    </w:p>
    <w:p w:rsidR="005058CA" w:rsidRPr="00372CE4" w:rsidRDefault="005058CA" w:rsidP="005058CA">
      <w:pPr>
        <w:jc w:val="center"/>
      </w:pPr>
      <w:r w:rsidRPr="00372CE4">
        <w:rPr>
          <w:i/>
          <w:iCs/>
        </w:rPr>
        <w:t>Artikel 17</w:t>
      </w:r>
    </w:p>
    <w:p w:rsidR="005058CA" w:rsidRPr="00372CE4" w:rsidRDefault="005058CA" w:rsidP="005058CA">
      <w:pPr>
        <w:jc w:val="center"/>
      </w:pPr>
      <w:r w:rsidRPr="00372CE4">
        <w:rPr>
          <w:b/>
          <w:bCs/>
        </w:rPr>
        <w:t>Ikraftträdande</w:t>
      </w:r>
    </w:p>
    <w:p w:rsidR="005058CA" w:rsidRPr="00372CE4" w:rsidRDefault="005058CA" w:rsidP="005058CA"/>
    <w:p w:rsidR="005058CA" w:rsidRPr="00372CE4" w:rsidRDefault="005058CA" w:rsidP="005058CA">
      <w:r w:rsidRPr="00372CE4">
        <w:t>Detta beslut träder i kraft den första dagen i den andra månaden efter det att tio medlemsstater, samt den medlemsstat där byrån har sitt säte, har anmält till rådets generalsekretariat att de förfaranden som krävs för g</w:t>
      </w:r>
      <w:r w:rsidRPr="00372CE4">
        <w:t>e</w:t>
      </w:r>
      <w:r w:rsidRPr="00372CE4">
        <w:t>nomförandet av detta beslut i deras nationella rättsordningar har slutförts, för de medlem</w:t>
      </w:r>
      <w:r w:rsidRPr="00372CE4">
        <w:t>s</w:t>
      </w:r>
      <w:r w:rsidRPr="00372CE4">
        <w:t>stater som har gjort en sådan anmälan. Utan att det påverkar nationell lagstif</w:t>
      </w:r>
      <w:r w:rsidRPr="00372CE4">
        <w:t>t</w:t>
      </w:r>
      <w:r w:rsidRPr="00372CE4">
        <w:t>ning skall detta beslut genomföras i de medlemsst</w:t>
      </w:r>
      <w:r w:rsidRPr="00372CE4">
        <w:t>a</w:t>
      </w:r>
      <w:r w:rsidRPr="00372CE4">
        <w:t>terna från och med den dag då det antas.</w:t>
      </w:r>
    </w:p>
    <w:p w:rsidR="005058CA" w:rsidRPr="00372CE4" w:rsidRDefault="005058CA" w:rsidP="005058CA"/>
    <w:p w:rsidR="005058CA" w:rsidRPr="00372CE4" w:rsidRDefault="005058CA" w:rsidP="005058CA">
      <w:r w:rsidRPr="00372CE4">
        <w:t>Detta beslut träder i kraft för varje annan medlemsstat den första dagen i den andra månaden efter anmälan till rådets generalsekretariat att de fö</w:t>
      </w:r>
      <w:r w:rsidRPr="00372CE4">
        <w:t>r</w:t>
      </w:r>
      <w:r w:rsidRPr="00372CE4">
        <w:t>faranden som krävs för genomförandet av detta beslut i dess nationella rättsordning har slutförts.</w:t>
      </w:r>
    </w:p>
    <w:p w:rsidR="005058CA" w:rsidRPr="00372CE4" w:rsidRDefault="005058CA" w:rsidP="005058CA"/>
    <w:p w:rsidR="005058CA" w:rsidRPr="00372CE4" w:rsidRDefault="005058CA" w:rsidP="005058CA">
      <w:pPr>
        <w:jc w:val="center"/>
      </w:pPr>
      <w:r w:rsidRPr="00372CE4">
        <w:rPr>
          <w:i/>
          <w:iCs/>
        </w:rPr>
        <w:t>Artikel 18</w:t>
      </w:r>
    </w:p>
    <w:p w:rsidR="005058CA" w:rsidRPr="00372CE4" w:rsidRDefault="005058CA" w:rsidP="005058CA">
      <w:pPr>
        <w:jc w:val="center"/>
      </w:pPr>
      <w:r w:rsidRPr="00372CE4">
        <w:rPr>
          <w:b/>
          <w:bCs/>
        </w:rPr>
        <w:t>Offentliggörande</w:t>
      </w:r>
    </w:p>
    <w:p w:rsidR="005058CA" w:rsidRPr="00372CE4" w:rsidRDefault="005058CA" w:rsidP="005058CA"/>
    <w:p w:rsidR="005058CA" w:rsidRPr="00372CE4" w:rsidRDefault="005058CA" w:rsidP="005058CA">
      <w:r w:rsidRPr="00372CE4">
        <w:t>Detta beslut skall offentliggöras i Europeiska unionens officiella ti</w:t>
      </w:r>
      <w:r w:rsidRPr="00372CE4">
        <w:t>d</w:t>
      </w:r>
      <w:r w:rsidRPr="00372CE4">
        <w:t>ning.</w:t>
      </w:r>
    </w:p>
    <w:p w:rsidR="004B5D32" w:rsidRPr="00372CE4" w:rsidRDefault="004B5D32" w:rsidP="00AD7B7D"/>
    <w:p w:rsidR="004B5D32" w:rsidRPr="00372CE4" w:rsidRDefault="004B5D32" w:rsidP="004B5D32">
      <w:pPr>
        <w:pStyle w:val="Tryckort"/>
        <w:framePr w:wrap="around"/>
      </w:pPr>
      <w:r w:rsidRPr="00372CE4">
        <w:t>Elanders Gotab, Stockholm  2005</w:t>
      </w:r>
    </w:p>
    <w:p w:rsidR="00AD7B7D" w:rsidRPr="00372CE4" w:rsidRDefault="00AD7B7D" w:rsidP="004B5D32">
      <w:pPr>
        <w:pStyle w:val="Normaltindrag"/>
      </w:pPr>
    </w:p>
    <w:sectPr w:rsidR="00AD7B7D" w:rsidRPr="00372CE4" w:rsidSect="00B33C1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574" w:rsidRPr="00372CE4" w:rsidRDefault="00F47574">
      <w:r w:rsidRPr="00372CE4">
        <w:separator/>
      </w:r>
    </w:p>
  </w:endnote>
  <w:endnote w:type="continuationSeparator" w:id="0">
    <w:p w:rsidR="00F47574" w:rsidRPr="00372CE4" w:rsidRDefault="00F47574">
      <w:r w:rsidRPr="00372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2</w:t>
    </w:r>
    <w:r w:rsidRPr="00372CE4">
      <w:fldChar w:fldCharType="end"/>
    </w:r>
  </w:p>
  <w:p w:rsidR="004302E5" w:rsidRPr="00372CE4" w:rsidRDefault="004302E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t>6</w:t>
    </w:r>
    <w:r w:rsidRPr="00372CE4">
      <w:fldChar w:fldCharType="end"/>
    </w:r>
  </w:p>
  <w:p w:rsidR="004302E5" w:rsidRPr="00372CE4" w:rsidRDefault="004302E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t>5</w:t>
    </w:r>
    <w:r w:rsidRPr="00372CE4">
      <w:fldChar w:fldCharType="end"/>
    </w:r>
  </w:p>
  <w:p w:rsidR="004302E5" w:rsidRPr="00372CE4" w:rsidRDefault="004302E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4</w:instrText>
    </w:r>
    <w:r w:rsidRPr="00372CE4">
      <w:fldChar w:fldCharType="end"/>
    </w:r>
    <w:r w:rsidRPr="00372CE4">
      <w:instrText xml:space="preserve">/2 </w:instrText>
    </w:r>
    <w:r w:rsidRPr="00372CE4">
      <w:fldChar w:fldCharType="separate"/>
    </w:r>
    <w:r w:rsidR="00455CED" w:rsidRPr="00372CE4">
      <w:instrText>2</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4</w:instrText>
    </w:r>
    <w:r w:rsidRPr="00372CE4">
      <w:fldChar w:fldCharType="end"/>
    </w:r>
    <w:r w:rsidRPr="00372CE4">
      <w:instrText xml:space="preserve">/2) </w:instrText>
    </w:r>
    <w:r w:rsidRPr="00372CE4">
      <w:fldChar w:fldCharType="separate"/>
    </w:r>
    <w:r w:rsidR="00455CED" w:rsidRPr="00372CE4">
      <w:instrText>2</w:instrText>
    </w:r>
    <w:r w:rsidRPr="00372CE4">
      <w:fldChar w:fldCharType="end"/>
    </w:r>
    <w:r w:rsidRPr="00372CE4">
      <w:fldChar w:fldCharType="separate"/>
    </w:r>
    <w:r w:rsidR="00455CED" w:rsidRPr="00372CE4">
      <w:instrText>0</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4</w:instrText>
    </w:r>
    <w:r w:rsidRPr="00372CE4">
      <w:fldChar w:fldCharType="end"/>
    </w:r>
  </w:p>
  <w:p w:rsidR="00455CED" w:rsidRPr="00372CE4" w:rsidRDefault="004302E5">
    <w:pPr>
      <w:pStyle w:val="SidfotV"/>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w:instrText>
    </w:r>
    <w:r w:rsidRPr="00372CE4">
      <w:fldChar w:fldCharType="end"/>
    </w:r>
    <w:r w:rsidRPr="00372CE4">
      <w:instrText>"</w:instrText>
    </w:r>
    <w:r w:rsidR="00455CED" w:rsidRPr="00372CE4">
      <w:fldChar w:fldCharType="separate"/>
    </w:r>
    <w:r w:rsidR="00455CED" w:rsidRPr="00372CE4">
      <w:t>4</w:t>
    </w:r>
  </w:p>
  <w:p w:rsidR="004302E5" w:rsidRPr="00372CE4" w:rsidRDefault="004302E5">
    <w:pPr>
      <w:pStyle w:val="SidfotH"/>
      <w:framePr w:w="8732" w:h="284" w:hRule="exact" w:hSpace="0" w:vSpace="0" w:wrap="around" w:xAlign="inside" w:y="13042" w:anchorLock="0"/>
    </w:pPr>
    <w:r w:rsidRPr="00372CE4">
      <w:fldChar w:fldCharType="end"/>
    </w:r>
  </w:p>
  <w:p w:rsidR="004302E5" w:rsidRPr="00372CE4" w:rsidRDefault="004302E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t>8</w:t>
    </w:r>
    <w:r w:rsidRPr="00372CE4">
      <w:fldChar w:fldCharType="end"/>
    </w:r>
  </w:p>
  <w:p w:rsidR="004302E5" w:rsidRPr="00372CE4" w:rsidRDefault="004302E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9</w:t>
    </w:r>
    <w:r w:rsidRPr="00372CE4">
      <w:fldChar w:fldCharType="end"/>
    </w:r>
  </w:p>
  <w:p w:rsidR="004302E5" w:rsidRPr="00372CE4" w:rsidRDefault="004302E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7</w:instrText>
    </w:r>
    <w:r w:rsidRPr="00372CE4">
      <w:fldChar w:fldCharType="end"/>
    </w:r>
    <w:r w:rsidRPr="00372CE4">
      <w:instrText xml:space="preserve">/2 </w:instrText>
    </w:r>
    <w:r w:rsidRPr="00372CE4">
      <w:fldChar w:fldCharType="separate"/>
    </w:r>
    <w:r w:rsidR="00455CED" w:rsidRPr="00372CE4">
      <w:instrText>3,5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7</w:instrText>
    </w:r>
    <w:r w:rsidRPr="00372CE4">
      <w:fldChar w:fldCharType="end"/>
    </w:r>
    <w:r w:rsidRPr="00372CE4">
      <w:instrText xml:space="preserve">/2) </w:instrText>
    </w:r>
    <w:r w:rsidRPr="00372CE4">
      <w:fldChar w:fldCharType="separate"/>
    </w:r>
    <w:r w:rsidR="00455CED" w:rsidRPr="00372CE4">
      <w:instrText>3</w:instrText>
    </w:r>
    <w:r w:rsidRPr="00372CE4">
      <w:fldChar w:fldCharType="end"/>
    </w:r>
    <w:r w:rsidRPr="00372CE4">
      <w:fldChar w:fldCharType="separate"/>
    </w:r>
    <w:r w:rsidR="00455CED" w:rsidRPr="00372CE4">
      <w:instrText>0,5</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8</w:instrText>
    </w:r>
    <w:r w:rsidRPr="00372CE4">
      <w:fldChar w:fldCharType="end"/>
    </w:r>
  </w:p>
  <w:p w:rsidR="004302E5" w:rsidRPr="00372CE4" w:rsidRDefault="004302E5">
    <w:pPr>
      <w:pStyle w:val="SidfotH"/>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7</w:instrText>
    </w:r>
    <w:r w:rsidRPr="00372CE4">
      <w:fldChar w:fldCharType="end"/>
    </w:r>
    <w:r w:rsidRPr="00372CE4">
      <w:instrText>"</w:instrText>
    </w:r>
    <w:r w:rsidR="00455CED" w:rsidRPr="00372CE4">
      <w:fldChar w:fldCharType="separate"/>
    </w:r>
    <w:r w:rsidR="00455CED" w:rsidRPr="00372CE4">
      <w:t>7</w:t>
    </w:r>
    <w:r w:rsidRPr="00372CE4">
      <w:fldChar w:fldCharType="end"/>
    </w:r>
  </w:p>
  <w:p w:rsidR="004302E5" w:rsidRPr="00372CE4" w:rsidRDefault="004302E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10</w:t>
    </w:r>
    <w:r w:rsidRPr="00372CE4">
      <w:fldChar w:fldCharType="end"/>
    </w:r>
  </w:p>
  <w:p w:rsidR="004302E5" w:rsidRPr="00372CE4" w:rsidRDefault="004302E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11</w:t>
    </w:r>
    <w:r w:rsidRPr="00372CE4">
      <w:fldChar w:fldCharType="end"/>
    </w:r>
  </w:p>
  <w:p w:rsidR="004302E5" w:rsidRPr="00372CE4" w:rsidRDefault="004302E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9</w:instrText>
    </w:r>
    <w:r w:rsidRPr="00372CE4">
      <w:fldChar w:fldCharType="end"/>
    </w:r>
    <w:r w:rsidRPr="00372CE4">
      <w:instrText xml:space="preserve">/2 </w:instrText>
    </w:r>
    <w:r w:rsidRPr="00372CE4">
      <w:fldChar w:fldCharType="separate"/>
    </w:r>
    <w:r w:rsidR="00455CED" w:rsidRPr="00372CE4">
      <w:instrText>4,5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9</w:instrText>
    </w:r>
    <w:r w:rsidRPr="00372CE4">
      <w:fldChar w:fldCharType="end"/>
    </w:r>
    <w:r w:rsidRPr="00372CE4">
      <w:instrText xml:space="preserve">/2) </w:instrText>
    </w:r>
    <w:r w:rsidRPr="00372CE4">
      <w:fldChar w:fldCharType="separate"/>
    </w:r>
    <w:r w:rsidR="00455CED" w:rsidRPr="00372CE4">
      <w:instrText>4</w:instrText>
    </w:r>
    <w:r w:rsidRPr="00372CE4">
      <w:fldChar w:fldCharType="end"/>
    </w:r>
    <w:r w:rsidRPr="00372CE4">
      <w:fldChar w:fldCharType="separate"/>
    </w:r>
    <w:r w:rsidR="00455CED" w:rsidRPr="00372CE4">
      <w:instrText>0,5</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10</w:instrText>
    </w:r>
    <w:r w:rsidRPr="00372CE4">
      <w:fldChar w:fldCharType="end"/>
    </w:r>
  </w:p>
  <w:p w:rsidR="004302E5" w:rsidRPr="00372CE4" w:rsidRDefault="004302E5">
    <w:pPr>
      <w:pStyle w:val="SidfotH"/>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9</w:instrText>
    </w:r>
    <w:r w:rsidRPr="00372CE4">
      <w:fldChar w:fldCharType="end"/>
    </w:r>
    <w:r w:rsidRPr="00372CE4">
      <w:instrText>"</w:instrText>
    </w:r>
    <w:r w:rsidR="00455CED" w:rsidRPr="00372CE4">
      <w:fldChar w:fldCharType="separate"/>
    </w:r>
    <w:r w:rsidR="00455CED" w:rsidRPr="00372CE4">
      <w:t>9</w:t>
    </w:r>
    <w:r w:rsidRPr="00372CE4">
      <w:fldChar w:fldCharType="end"/>
    </w:r>
  </w:p>
  <w:p w:rsidR="004302E5" w:rsidRPr="00372CE4" w:rsidRDefault="004302E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12</w:t>
    </w:r>
    <w:r w:rsidRPr="00372CE4">
      <w:fldChar w:fldCharType="end"/>
    </w:r>
  </w:p>
  <w:p w:rsidR="004302E5" w:rsidRPr="00372CE4" w:rsidRDefault="004302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3</w:t>
    </w:r>
    <w:r w:rsidRPr="00372CE4">
      <w:fldChar w:fldCharType="end"/>
    </w:r>
  </w:p>
  <w:p w:rsidR="004302E5" w:rsidRPr="00372CE4" w:rsidRDefault="004302E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13</w:t>
    </w:r>
    <w:r w:rsidRPr="00372CE4">
      <w:fldChar w:fldCharType="end"/>
    </w:r>
  </w:p>
  <w:p w:rsidR="004302E5" w:rsidRPr="00372CE4" w:rsidRDefault="004302E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10</w:instrText>
    </w:r>
    <w:r w:rsidRPr="00372CE4">
      <w:fldChar w:fldCharType="end"/>
    </w:r>
    <w:r w:rsidRPr="00372CE4">
      <w:instrText xml:space="preserve">/2 </w:instrText>
    </w:r>
    <w:r w:rsidRPr="00372CE4">
      <w:fldChar w:fldCharType="separate"/>
    </w:r>
    <w:r w:rsidR="00455CED" w:rsidRPr="00372CE4">
      <w:instrText>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10</w:instrText>
    </w:r>
    <w:r w:rsidRPr="00372CE4">
      <w:fldChar w:fldCharType="end"/>
    </w:r>
    <w:r w:rsidRPr="00372CE4">
      <w:instrText xml:space="preserve">/2) </w:instrText>
    </w:r>
    <w:r w:rsidRPr="00372CE4">
      <w:fldChar w:fldCharType="separate"/>
    </w:r>
    <w:r w:rsidR="00455CED" w:rsidRPr="00372CE4">
      <w:instrText>5</w:instrText>
    </w:r>
    <w:r w:rsidRPr="00372CE4">
      <w:fldChar w:fldCharType="end"/>
    </w:r>
    <w:r w:rsidRPr="00372CE4">
      <w:fldChar w:fldCharType="separate"/>
    </w:r>
    <w:r w:rsidR="00455CED" w:rsidRPr="00372CE4">
      <w:instrText>0</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10</w:instrText>
    </w:r>
    <w:r w:rsidRPr="00372CE4">
      <w:fldChar w:fldCharType="end"/>
    </w:r>
  </w:p>
  <w:p w:rsidR="00455CED" w:rsidRPr="00372CE4" w:rsidRDefault="004302E5">
    <w:pPr>
      <w:pStyle w:val="SidfotV"/>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11</w:instrText>
    </w:r>
    <w:r w:rsidRPr="00372CE4">
      <w:fldChar w:fldCharType="end"/>
    </w:r>
    <w:r w:rsidRPr="00372CE4">
      <w:instrText>"</w:instrText>
    </w:r>
    <w:r w:rsidR="00455CED" w:rsidRPr="00372CE4">
      <w:fldChar w:fldCharType="separate"/>
    </w:r>
    <w:r w:rsidR="00455CED" w:rsidRPr="00372CE4">
      <w:t>10</w:t>
    </w:r>
  </w:p>
  <w:p w:rsidR="004302E5" w:rsidRPr="00372CE4" w:rsidRDefault="004302E5">
    <w:pPr>
      <w:pStyle w:val="SidfotH"/>
      <w:framePr w:w="8732" w:h="284" w:hRule="exact" w:hSpace="0" w:vSpace="0" w:wrap="around" w:xAlign="inside" w:y="13042" w:anchorLock="0"/>
    </w:pPr>
    <w:r w:rsidRPr="00372CE4">
      <w:fldChar w:fldCharType="end"/>
    </w:r>
  </w:p>
  <w:p w:rsidR="004302E5" w:rsidRPr="00372CE4" w:rsidRDefault="004302E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t>12</w:t>
    </w:r>
    <w:r w:rsidRPr="00372CE4">
      <w:fldChar w:fldCharType="end"/>
    </w:r>
  </w:p>
  <w:p w:rsidR="004302E5" w:rsidRPr="00372CE4" w:rsidRDefault="004302E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13</w:t>
    </w:r>
    <w:r w:rsidRPr="00372CE4">
      <w:fldChar w:fldCharType="end"/>
    </w:r>
  </w:p>
  <w:p w:rsidR="004302E5" w:rsidRPr="00372CE4" w:rsidRDefault="004302E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11</w:instrText>
    </w:r>
    <w:r w:rsidRPr="00372CE4">
      <w:fldChar w:fldCharType="end"/>
    </w:r>
    <w:r w:rsidRPr="00372CE4">
      <w:instrText xml:space="preserve">/2 </w:instrText>
    </w:r>
    <w:r w:rsidRPr="00372CE4">
      <w:fldChar w:fldCharType="separate"/>
    </w:r>
    <w:r w:rsidR="00455CED" w:rsidRPr="00372CE4">
      <w:instrText>5,5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11</w:instrText>
    </w:r>
    <w:r w:rsidRPr="00372CE4">
      <w:fldChar w:fldCharType="end"/>
    </w:r>
    <w:r w:rsidRPr="00372CE4">
      <w:instrText xml:space="preserve">/2) </w:instrText>
    </w:r>
    <w:r w:rsidRPr="00372CE4">
      <w:fldChar w:fldCharType="separate"/>
    </w:r>
    <w:r w:rsidR="00455CED" w:rsidRPr="00372CE4">
      <w:instrText>5</w:instrText>
    </w:r>
    <w:r w:rsidRPr="00372CE4">
      <w:fldChar w:fldCharType="end"/>
    </w:r>
    <w:r w:rsidRPr="00372CE4">
      <w:fldChar w:fldCharType="separate"/>
    </w:r>
    <w:r w:rsidR="00455CED" w:rsidRPr="00372CE4">
      <w:instrText>0,5</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14</w:instrText>
    </w:r>
    <w:r w:rsidRPr="00372CE4">
      <w:fldChar w:fldCharType="end"/>
    </w:r>
  </w:p>
  <w:p w:rsidR="004302E5" w:rsidRPr="00372CE4" w:rsidRDefault="004302E5">
    <w:pPr>
      <w:pStyle w:val="SidfotH"/>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11</w:instrText>
    </w:r>
    <w:r w:rsidRPr="00372CE4">
      <w:fldChar w:fldCharType="end"/>
    </w:r>
    <w:r w:rsidRPr="00372CE4">
      <w:instrText>"</w:instrText>
    </w:r>
    <w:r w:rsidR="00455CED" w:rsidRPr="00372CE4">
      <w:fldChar w:fldCharType="separate"/>
    </w:r>
    <w:r w:rsidR="00455CED" w:rsidRPr="00372CE4">
      <w:t>11</w:t>
    </w:r>
    <w:r w:rsidRPr="00372CE4">
      <w:fldChar w:fldCharType="end"/>
    </w:r>
  </w:p>
  <w:p w:rsidR="004302E5" w:rsidRPr="00372CE4" w:rsidRDefault="004302E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t>18</w:t>
    </w:r>
    <w:r w:rsidRPr="00372CE4">
      <w:fldChar w:fldCharType="end"/>
    </w:r>
  </w:p>
  <w:p w:rsidR="004302E5" w:rsidRPr="00372CE4" w:rsidRDefault="004302E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t>17</w:t>
    </w:r>
    <w:r w:rsidRPr="00372CE4">
      <w:fldChar w:fldCharType="end"/>
    </w:r>
  </w:p>
  <w:p w:rsidR="004302E5" w:rsidRPr="00372CE4" w:rsidRDefault="004302E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13</w:instrText>
    </w:r>
    <w:r w:rsidRPr="00372CE4">
      <w:fldChar w:fldCharType="end"/>
    </w:r>
    <w:r w:rsidRPr="00372CE4">
      <w:instrText xml:space="preserve">/2 </w:instrText>
    </w:r>
    <w:r w:rsidRPr="00372CE4">
      <w:fldChar w:fldCharType="separate"/>
    </w:r>
    <w:r w:rsidR="00455CED" w:rsidRPr="00372CE4">
      <w:instrText>6,5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13</w:instrText>
    </w:r>
    <w:r w:rsidRPr="00372CE4">
      <w:fldChar w:fldCharType="end"/>
    </w:r>
    <w:r w:rsidRPr="00372CE4">
      <w:instrText xml:space="preserve">/2) </w:instrText>
    </w:r>
    <w:r w:rsidRPr="00372CE4">
      <w:fldChar w:fldCharType="separate"/>
    </w:r>
    <w:r w:rsidR="00455CED" w:rsidRPr="00372CE4">
      <w:instrText>6</w:instrText>
    </w:r>
    <w:r w:rsidRPr="00372CE4">
      <w:fldChar w:fldCharType="end"/>
    </w:r>
    <w:r w:rsidRPr="00372CE4">
      <w:fldChar w:fldCharType="separate"/>
    </w:r>
    <w:r w:rsidR="00455CED" w:rsidRPr="00372CE4">
      <w:instrText>0,5</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14</w:instrText>
    </w:r>
    <w:r w:rsidRPr="00372CE4">
      <w:fldChar w:fldCharType="end"/>
    </w:r>
  </w:p>
  <w:p w:rsidR="004302E5" w:rsidRPr="00372CE4" w:rsidRDefault="004302E5">
    <w:pPr>
      <w:pStyle w:val="SidfotH"/>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13</w:instrText>
    </w:r>
    <w:r w:rsidRPr="00372CE4">
      <w:fldChar w:fldCharType="end"/>
    </w:r>
    <w:r w:rsidRPr="00372CE4">
      <w:instrText>"</w:instrText>
    </w:r>
    <w:r w:rsidR="00455CED" w:rsidRPr="00372CE4">
      <w:fldChar w:fldCharType="separate"/>
    </w:r>
    <w:r w:rsidR="00455CED" w:rsidRPr="00372CE4">
      <w:t>13</w:t>
    </w:r>
    <w:r w:rsidRPr="00372CE4">
      <w:fldChar w:fldCharType="end"/>
    </w:r>
  </w:p>
  <w:p w:rsidR="004302E5" w:rsidRPr="00372CE4" w:rsidRDefault="004302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372CE4">
      <w:rPr>
        <w:noProof/>
      </w:rPr>
      <w:instrText>1</w:instrText>
    </w:r>
    <w:r w:rsidRPr="00372CE4">
      <w:fldChar w:fldCharType="end"/>
    </w:r>
    <w:r w:rsidRPr="00372CE4">
      <w:instrText xml:space="preserve">/2 </w:instrText>
    </w:r>
    <w:r w:rsidRPr="00372CE4">
      <w:fldChar w:fldCharType="separate"/>
    </w:r>
    <w:r w:rsidR="00372CE4">
      <w:rPr>
        <w:noProof/>
      </w:rPr>
      <w:instrText>0,5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372CE4">
      <w:rPr>
        <w:noProof/>
      </w:rPr>
      <w:instrText>1</w:instrText>
    </w:r>
    <w:r w:rsidRPr="00372CE4">
      <w:fldChar w:fldCharType="end"/>
    </w:r>
    <w:r w:rsidRPr="00372CE4">
      <w:instrText xml:space="preserve">/2) </w:instrText>
    </w:r>
    <w:r w:rsidRPr="00372CE4">
      <w:fldChar w:fldCharType="separate"/>
    </w:r>
    <w:r w:rsidR="00372CE4">
      <w:rPr>
        <w:noProof/>
      </w:rPr>
      <w:instrText>0</w:instrText>
    </w:r>
    <w:r w:rsidRPr="00372CE4">
      <w:fldChar w:fldCharType="end"/>
    </w:r>
    <w:r w:rsidRPr="00372CE4">
      <w:fldChar w:fldCharType="separate"/>
    </w:r>
    <w:r w:rsidR="00372CE4">
      <w:rPr>
        <w:noProof/>
      </w:rPr>
      <w:instrText>0,5</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14</w:instrText>
    </w:r>
    <w:r w:rsidRPr="00372CE4">
      <w:fldChar w:fldCharType="end"/>
    </w:r>
  </w:p>
  <w:p w:rsidR="004302E5" w:rsidRPr="00372CE4" w:rsidRDefault="004302E5">
    <w:pPr>
      <w:pStyle w:val="SidfotH"/>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372CE4">
      <w:rPr>
        <w:noProof/>
      </w:rPr>
      <w:instrText>1</w:instrText>
    </w:r>
    <w:r w:rsidRPr="00372CE4">
      <w:fldChar w:fldCharType="end"/>
    </w:r>
    <w:r w:rsidRPr="00372CE4">
      <w:instrText>"</w:instrText>
    </w:r>
    <w:r w:rsidR="00455CED" w:rsidRPr="00372CE4">
      <w:fldChar w:fldCharType="separate"/>
    </w:r>
    <w:r w:rsidR="00372CE4">
      <w:rPr>
        <w:noProof/>
      </w:rPr>
      <w:t>1</w:t>
    </w:r>
    <w:r w:rsidRPr="00372CE4">
      <w:fldChar w:fldCharType="end"/>
    </w:r>
  </w:p>
  <w:p w:rsidR="004302E5" w:rsidRPr="00372CE4" w:rsidRDefault="004302E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2</w:t>
    </w:r>
    <w:r w:rsidRPr="00372CE4">
      <w:fldChar w:fldCharType="end"/>
    </w:r>
  </w:p>
  <w:p w:rsidR="004302E5" w:rsidRPr="00372CE4" w:rsidRDefault="004302E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3</w:t>
    </w:r>
    <w:r w:rsidRPr="00372CE4">
      <w:fldChar w:fldCharType="end"/>
    </w:r>
  </w:p>
  <w:p w:rsidR="004302E5" w:rsidRPr="00372CE4" w:rsidRDefault="004302E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2</w:instrText>
    </w:r>
    <w:r w:rsidRPr="00372CE4">
      <w:fldChar w:fldCharType="end"/>
    </w:r>
    <w:r w:rsidRPr="00372CE4">
      <w:instrText xml:space="preserve">/2 </w:instrText>
    </w:r>
    <w:r w:rsidRPr="00372CE4">
      <w:fldChar w:fldCharType="separate"/>
    </w:r>
    <w:r w:rsidR="00455CED" w:rsidRPr="00372CE4">
      <w:instrText>1</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2</w:instrText>
    </w:r>
    <w:r w:rsidRPr="00372CE4">
      <w:fldChar w:fldCharType="end"/>
    </w:r>
    <w:r w:rsidRPr="00372CE4">
      <w:instrText xml:space="preserve">/2) </w:instrText>
    </w:r>
    <w:r w:rsidRPr="00372CE4">
      <w:fldChar w:fldCharType="separate"/>
    </w:r>
    <w:r w:rsidR="00455CED" w:rsidRPr="00372CE4">
      <w:instrText>1</w:instrText>
    </w:r>
    <w:r w:rsidRPr="00372CE4">
      <w:fldChar w:fldCharType="end"/>
    </w:r>
    <w:r w:rsidRPr="00372CE4">
      <w:fldChar w:fldCharType="separate"/>
    </w:r>
    <w:r w:rsidR="00455CED" w:rsidRPr="00372CE4">
      <w:instrText>0</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2</w:instrText>
    </w:r>
    <w:r w:rsidRPr="00372CE4">
      <w:fldChar w:fldCharType="end"/>
    </w:r>
  </w:p>
  <w:p w:rsidR="00455CED" w:rsidRPr="00372CE4" w:rsidRDefault="004302E5">
    <w:pPr>
      <w:pStyle w:val="SidfotV"/>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1</w:instrText>
    </w:r>
    <w:r w:rsidRPr="00372CE4">
      <w:fldChar w:fldCharType="end"/>
    </w:r>
    <w:r w:rsidRPr="00372CE4">
      <w:instrText>"</w:instrText>
    </w:r>
    <w:r w:rsidR="00455CED" w:rsidRPr="00372CE4">
      <w:fldChar w:fldCharType="separate"/>
    </w:r>
    <w:r w:rsidR="00455CED" w:rsidRPr="00372CE4">
      <w:t>2</w:t>
    </w:r>
  </w:p>
  <w:p w:rsidR="004302E5" w:rsidRPr="00372CE4" w:rsidRDefault="004302E5">
    <w:pPr>
      <w:pStyle w:val="SidfotH"/>
      <w:framePr w:w="8732" w:h="284" w:hRule="exact" w:hSpace="0" w:vSpace="0" w:wrap="around" w:xAlign="inside" w:y="13042" w:anchorLock="0"/>
    </w:pPr>
    <w:r w:rsidRPr="00372CE4">
      <w:fldChar w:fldCharType="end"/>
    </w:r>
  </w:p>
  <w:p w:rsidR="004302E5" w:rsidRPr="00372CE4" w:rsidRDefault="004302E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2</w:t>
    </w:r>
    <w:r w:rsidRPr="00372CE4">
      <w:fldChar w:fldCharType="end"/>
    </w:r>
  </w:p>
  <w:p w:rsidR="004302E5" w:rsidRPr="00372CE4" w:rsidRDefault="004302E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H"/>
      <w:framePr w:w="8732" w:h="284" w:hRule="exact" w:hSpace="0" w:vSpace="0" w:wrap="around" w:xAlign="inside" w:y="13042" w:anchorLock="0"/>
    </w:pP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t>3</w:t>
    </w:r>
    <w:r w:rsidRPr="00372CE4">
      <w:fldChar w:fldCharType="end"/>
    </w:r>
  </w:p>
  <w:p w:rsidR="004302E5" w:rsidRPr="00372CE4" w:rsidRDefault="004302E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fotV"/>
      <w:framePr w:w="8732" w:h="284" w:hRule="exact" w:hSpace="0" w:vSpace="0" w:wrap="around" w:xAlign="inside" w:y="13042" w:anchorLock="0"/>
    </w:pPr>
    <w:r w:rsidRPr="00372CE4">
      <w:fldChar w:fldCharType="begin" w:fldLock="1"/>
    </w:r>
    <w:r w:rsidRPr="00372CE4">
      <w:instrText xml:space="preserve"> if </w:instrText>
    </w:r>
    <w:r w:rsidRPr="00372CE4">
      <w:fldChar w:fldCharType="begin" w:fldLock="1"/>
    </w:r>
    <w:r w:rsidRPr="00372CE4">
      <w:instrText xml:space="preserve"> = </w:instrText>
    </w:r>
    <w:r w:rsidRPr="00372CE4">
      <w:fldChar w:fldCharType="begin" w:fldLock="1"/>
    </w:r>
    <w:r w:rsidRPr="00372CE4">
      <w:instrText xml:space="preserve"> = </w:instrText>
    </w:r>
    <w:r w:rsidRPr="00372CE4">
      <w:fldChar w:fldCharType="begin" w:fldLock="1"/>
    </w:r>
    <w:r w:rsidRPr="00372CE4">
      <w:instrText xml:space="preserve"> page</w:instrText>
    </w:r>
    <w:r w:rsidRPr="00372CE4">
      <w:fldChar w:fldCharType="separate"/>
    </w:r>
    <w:r w:rsidR="00455CED" w:rsidRPr="00372CE4">
      <w:instrText>3</w:instrText>
    </w:r>
    <w:r w:rsidRPr="00372CE4">
      <w:fldChar w:fldCharType="end"/>
    </w:r>
    <w:r w:rsidRPr="00372CE4">
      <w:instrText xml:space="preserve">/2 </w:instrText>
    </w:r>
    <w:r w:rsidRPr="00372CE4">
      <w:fldChar w:fldCharType="separate"/>
    </w:r>
    <w:r w:rsidR="00455CED" w:rsidRPr="00372CE4">
      <w:instrText>1,5</w:instrText>
    </w:r>
    <w:r w:rsidRPr="00372CE4">
      <w:fldChar w:fldCharType="end"/>
    </w:r>
    <w:r w:rsidRPr="00372CE4">
      <w:instrText xml:space="preserve"> - </w:instrText>
    </w:r>
    <w:r w:rsidRPr="00372CE4">
      <w:fldChar w:fldCharType="begin" w:fldLock="1"/>
    </w:r>
    <w:r w:rsidRPr="00372CE4">
      <w:instrText xml:space="preserve"> = int(</w:instrText>
    </w:r>
    <w:r w:rsidRPr="00372CE4">
      <w:fldChar w:fldCharType="begin" w:fldLock="1"/>
    </w:r>
    <w:r w:rsidRPr="00372CE4">
      <w:instrText xml:space="preserve"> page</w:instrText>
    </w:r>
    <w:r w:rsidRPr="00372CE4">
      <w:fldChar w:fldCharType="separate"/>
    </w:r>
    <w:r w:rsidR="00455CED" w:rsidRPr="00372CE4">
      <w:instrText>3</w:instrText>
    </w:r>
    <w:r w:rsidRPr="00372CE4">
      <w:fldChar w:fldCharType="end"/>
    </w:r>
    <w:r w:rsidRPr="00372CE4">
      <w:instrText xml:space="preserve">/2) </w:instrText>
    </w:r>
    <w:r w:rsidRPr="00372CE4">
      <w:fldChar w:fldCharType="separate"/>
    </w:r>
    <w:r w:rsidR="00455CED" w:rsidRPr="00372CE4">
      <w:instrText>1</w:instrText>
    </w:r>
    <w:r w:rsidRPr="00372CE4">
      <w:fldChar w:fldCharType="end"/>
    </w:r>
    <w:r w:rsidRPr="00372CE4">
      <w:fldChar w:fldCharType="separate"/>
    </w:r>
    <w:r w:rsidR="00455CED" w:rsidRPr="00372CE4">
      <w:instrText>0,5</w:instrText>
    </w:r>
    <w:r w:rsidRPr="00372CE4">
      <w:fldChar w:fldCharType="end"/>
    </w:r>
    <w:r w:rsidRPr="00372CE4">
      <w:instrText xml:space="preserve"> = 0 "</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Pr="00372CE4">
      <w:instrText>2</w:instrText>
    </w:r>
    <w:r w:rsidRPr="00372CE4">
      <w:fldChar w:fldCharType="end"/>
    </w:r>
  </w:p>
  <w:p w:rsidR="004302E5" w:rsidRPr="00372CE4" w:rsidRDefault="004302E5">
    <w:pPr>
      <w:pStyle w:val="SidfotH"/>
      <w:framePr w:w="8732" w:h="284" w:hRule="exact" w:hSpace="0" w:vSpace="0" w:wrap="around" w:xAlign="inside" w:y="13042" w:anchorLock="0"/>
    </w:pPr>
    <w:r w:rsidRPr="00372CE4">
      <w:instrText>""</w:instrText>
    </w:r>
    <w:r w:rsidRPr="00372CE4">
      <w:fldChar w:fldCharType="begin" w:fldLock="1"/>
    </w:r>
    <w:r w:rsidRPr="00372CE4">
      <w:instrText xml:space="preserve"> P</w:instrText>
    </w:r>
    <w:r w:rsidRPr="00372CE4">
      <w:instrText>A</w:instrText>
    </w:r>
    <w:r w:rsidRPr="00372CE4">
      <w:instrText xml:space="preserve">GE </w:instrText>
    </w:r>
    <w:r w:rsidRPr="00372CE4">
      <w:fldChar w:fldCharType="separate"/>
    </w:r>
    <w:r w:rsidR="00455CED" w:rsidRPr="00372CE4">
      <w:instrText>3</w:instrText>
    </w:r>
    <w:r w:rsidRPr="00372CE4">
      <w:fldChar w:fldCharType="end"/>
    </w:r>
    <w:r w:rsidRPr="00372CE4">
      <w:instrText>"</w:instrText>
    </w:r>
    <w:r w:rsidR="00455CED" w:rsidRPr="00372CE4">
      <w:fldChar w:fldCharType="separate"/>
    </w:r>
    <w:r w:rsidR="00455CED" w:rsidRPr="00372CE4">
      <w:t>3</w:t>
    </w:r>
    <w:r w:rsidRPr="00372CE4">
      <w:fldChar w:fldCharType="end"/>
    </w:r>
  </w:p>
  <w:p w:rsidR="004302E5" w:rsidRPr="00372CE4" w:rsidRDefault="00430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574" w:rsidRPr="00372CE4" w:rsidRDefault="00F47574">
      <w:r w:rsidRPr="00372CE4">
        <w:separator/>
      </w:r>
    </w:p>
  </w:footnote>
  <w:footnote w:type="continuationSeparator" w:id="0">
    <w:p w:rsidR="00F47574" w:rsidRPr="00372CE4" w:rsidRDefault="00F47574">
      <w:r w:rsidRPr="00372CE4">
        <w:continuationSeparator/>
      </w:r>
    </w:p>
  </w:footnote>
  <w:footnote w:id="1">
    <w:p w:rsidR="004302E5" w:rsidRPr="00372CE4" w:rsidRDefault="004302E5" w:rsidP="00DA5112">
      <w:pPr>
        <w:pStyle w:val="Fotnotstext"/>
      </w:pPr>
      <w:r w:rsidRPr="00372CE4">
        <w:rPr>
          <w:rStyle w:val="Fotnotsreferens"/>
        </w:rPr>
        <w:footnoteRef/>
      </w:r>
      <w:r w:rsidRPr="00372CE4">
        <w:t xml:space="preserve"> Lagen omtryckt 1994:717.</w:t>
      </w:r>
    </w:p>
  </w:footnote>
  <w:footnote w:id="2">
    <w:p w:rsidR="004302E5" w:rsidRPr="00372CE4" w:rsidRDefault="004302E5" w:rsidP="007F2388">
      <w:pPr>
        <w:pStyle w:val="Fotnotstext"/>
      </w:pPr>
      <w:r w:rsidRPr="00372CE4">
        <w:rPr>
          <w:rStyle w:val="Fotnotsreferens"/>
        </w:rPr>
        <w:t>2</w:t>
      </w:r>
      <w:r w:rsidRPr="00372CE4">
        <w:t xml:space="preserve"> Senaste lydelse 2004:1002.</w:t>
      </w:r>
    </w:p>
    <w:p w:rsidR="004302E5" w:rsidRPr="00372CE4" w:rsidRDefault="004302E5" w:rsidP="007F2388">
      <w:pPr>
        <w:pStyle w:val="Fotnotstext"/>
      </w:pPr>
    </w:p>
  </w:footnote>
  <w:footnote w:id="3">
    <w:p w:rsidR="004302E5" w:rsidRPr="00372CE4" w:rsidRDefault="004302E5" w:rsidP="003631DB">
      <w:pPr>
        <w:pStyle w:val="Fotnotstext"/>
      </w:pPr>
      <w:r w:rsidRPr="00372CE4">
        <w:rPr>
          <w:rStyle w:val="Fotnotsreferens"/>
        </w:rPr>
        <w:t>3</w:t>
      </w:r>
      <w:r w:rsidRPr="00372CE4">
        <w:t xml:space="preserve"> Senaste lydelse 2004:1029 (jfr 2004:1307).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 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BetänkandeNr</w:instrText>
    </w:r>
    <w:r w:rsidRPr="00372CE4">
      <w:rPr>
        <w:rStyle w:val="SidhuvudUtskott"/>
      </w:rPr>
      <w:fldChar w:fldCharType="separate"/>
    </w:r>
    <w:r w:rsidRPr="00372CE4">
      <w:rPr>
        <w:rStyle w:val="SidhuvudUtskott"/>
      </w:rPr>
      <w:t>10</w:t>
    </w:r>
    <w:r w:rsidRPr="00372CE4">
      <w:rPr>
        <w:rStyle w:val="SidhuvudUtskott"/>
      </w:rPr>
      <w:fldChar w:fldCharType="end"/>
    </w:r>
    <w:r w:rsidRPr="00372CE4">
      <w:t xml:space="preserve">     </w:t>
    </w:r>
    <w:r w:rsidRPr="00372CE4">
      <w:rPr>
        <w:rStyle w:val="SidhuvudBilaga"/>
      </w:rPr>
      <w:t xml:space="preserve"> </w:t>
    </w: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Sammanfattning</w:t>
    </w:r>
    <w:r w:rsidRPr="00372CE4">
      <w:rPr>
        <w:rStyle w:val="SidhuvudRubrikReferens"/>
      </w:rPr>
      <w:fldChar w:fldCharType="end"/>
    </w:r>
  </w:p>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Status</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    </w:instrText>
    </w:r>
    <w:r w:rsidRPr="00372CE4">
      <w:rPr>
        <w:rStyle w:val="SidhuvudUtskott"/>
      </w:rPr>
      <w:fldChar w:fldCharType="begin" w:fldLock="1"/>
    </w:r>
    <w:r w:rsidRPr="00372CE4">
      <w:rPr>
        <w:rStyle w:val="SidhuvudUtskott"/>
      </w:rPr>
      <w:instrText xml:space="preserve"> PRINTDATE \@ "yyyy-MM-dd HH.mm"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p>
  <w:p w:rsidR="004302E5" w:rsidRPr="00372CE4" w:rsidRDefault="004302E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t>2004/05:FöU10</w:t>
    </w:r>
    <w:r w:rsidRPr="00372CE4">
      <w:t xml:space="preserve">     </w:t>
    </w:r>
    <w:r w:rsidRPr="00372CE4">
      <w:rPr>
        <w:rStyle w:val="SidhuvudBilaga"/>
      </w:rPr>
      <w:t xml:space="preserve"> </w:t>
    </w:r>
    <w:r w:rsidR="00455CED" w:rsidRPr="00372CE4">
      <w:rPr>
        <w:rStyle w:val="SidhuvudRubrikReferens"/>
      </w:rPr>
      <w:t>Redogörelse för ärendet</w:t>
    </w:r>
  </w:p>
  <w:p w:rsidR="004302E5" w:rsidRPr="00372CE4" w:rsidRDefault="004302E5">
    <w:pPr>
      <w:pStyle w:val="SidhuvudKantJmn"/>
      <w:framePr w:w="8732" w:h="567" w:hRule="exact" w:vSpace="0" w:wrap="around" w:vAnchor="page" w:y="341" w:anchorLock="0"/>
    </w:pPr>
  </w:p>
  <w:p w:rsidR="004302E5" w:rsidRPr="00372CE4" w:rsidRDefault="004302E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55CED">
    <w:pPr>
      <w:pStyle w:val="SidhuvudKantUdda"/>
      <w:framePr w:w="8732" w:h="567" w:hRule="exact" w:vSpace="0" w:wrap="around" w:vAnchor="page" w:y="341" w:anchorLock="0"/>
    </w:pPr>
    <w:r w:rsidRPr="00372CE4">
      <w:rPr>
        <w:rStyle w:val="SidhuvudRubrikReferens"/>
      </w:rPr>
      <w:t>Redogörelse för ärendet</w:t>
    </w:r>
    <w:r w:rsidR="004302E5" w:rsidRPr="00372CE4">
      <w:rPr>
        <w:rStyle w:val="SidhuvudBilaga"/>
      </w:rPr>
      <w:t xml:space="preserve"> </w:t>
    </w:r>
    <w:r w:rsidR="004302E5" w:rsidRPr="00372CE4">
      <w:t xml:space="preserve">     </w:t>
    </w:r>
    <w:r w:rsidR="004302E5"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Jmn"/>
      <w:framePr w:w="8732" w:h="567" w:hRule="exact" w:vSpace="0" w:wrap="around" w:vAnchor="page" w:y="341" w:anchorLock="0"/>
    </w:pPr>
    <w:r w:rsidRPr="00372CE4">
      <w:rPr>
        <w:rStyle w:val="SidhuvudUtskott"/>
      </w:rPr>
      <w:t>2004/05:FöU10</w:t>
    </w:r>
    <w:r w:rsidRPr="00372CE4">
      <w:t xml:space="preserve">    </w:t>
    </w:r>
  </w:p>
  <w:p w:rsidR="00455CED" w:rsidRPr="00372CE4" w:rsidRDefault="00455CED">
    <w:pPr>
      <w:pStyle w:val="SidhuvudKantJmn"/>
      <w:framePr w:w="8732" w:h="567" w:hRule="exact" w:vSpace="0" w:wrap="around" w:vAnchor="page" w:y="341" w:anchorLock="0"/>
    </w:pPr>
  </w:p>
  <w:p w:rsidR="004302E5" w:rsidRPr="00372CE4" w:rsidRDefault="00455CED">
    <w:pPr>
      <w:pStyle w:val="SidhuvudKantUdda"/>
      <w:framePr w:w="8732" w:h="567" w:hRule="exact" w:vSpace="0" w:wrap="around" w:vAnchor="page" w:y="341" w:anchorLock="0"/>
    </w:pPr>
    <w:r w:rsidRPr="00372CE4">
      <w:rPr>
        <w:rStyle w:val="SidhuvudRubrikReferens"/>
        <w:smallCaps w:val="0"/>
      </w:rPr>
      <w:t xml:space="preserve"> </w:t>
    </w:r>
  </w:p>
  <w:p w:rsidR="004302E5" w:rsidRPr="00372CE4" w:rsidRDefault="004302E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t>2004/05:FöU10</w:t>
    </w:r>
    <w:r w:rsidRPr="00372CE4">
      <w:t xml:space="preserve">     </w:t>
    </w:r>
    <w:r w:rsidRPr="00372CE4">
      <w:rPr>
        <w:rStyle w:val="SidhuvudBilaga"/>
      </w:rPr>
      <w:t xml:space="preserve"> </w:t>
    </w:r>
    <w:r w:rsidR="00455CED" w:rsidRPr="00372CE4">
      <w:rPr>
        <w:rStyle w:val="SidhuvudRubrikReferens"/>
      </w:rPr>
      <w:t>Utskottets överväganden</w:t>
    </w:r>
  </w:p>
  <w:p w:rsidR="004302E5" w:rsidRPr="00372CE4" w:rsidRDefault="004302E5">
    <w:pPr>
      <w:pStyle w:val="SidhuvudKantJmn"/>
      <w:framePr w:w="8732" w:h="567" w:hRule="exact" w:vSpace="0" w:wrap="around" w:vAnchor="page" w:y="341" w:anchorLock="0"/>
    </w:pPr>
  </w:p>
  <w:p w:rsidR="004302E5" w:rsidRPr="00372CE4" w:rsidRDefault="004302E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Redogörelse för ärendet</w:t>
    </w:r>
    <w:r w:rsidRPr="00372CE4">
      <w:rPr>
        <w:rStyle w:val="SidhuvudRubrikReferens"/>
      </w:rPr>
      <w:fldChar w:fldCharType="end"/>
    </w:r>
    <w:r w:rsidRPr="00372CE4">
      <w:rPr>
        <w:rStyle w:val="SidhuvudBilaga"/>
      </w:rPr>
      <w:t xml:space="preserve">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Udda"/>
      <w:framePr w:w="8732" w:h="567" w:hRule="exact" w:vSpace="0" w:wrap="around" w:vAnchor="page" w:y="341" w:anchorLock="0"/>
    </w:pPr>
    <w:r w:rsidRPr="00372CE4">
      <w:t xml:space="preserve">  </w:t>
    </w:r>
    <w:r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 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BetänkandeNr</w:instrText>
    </w:r>
    <w:r w:rsidRPr="00372CE4">
      <w:rPr>
        <w:rStyle w:val="SidhuvudUtskott"/>
      </w:rPr>
      <w:fldChar w:fldCharType="separate"/>
    </w:r>
    <w:r w:rsidRPr="00372CE4">
      <w:rPr>
        <w:rStyle w:val="SidhuvudUtskott"/>
      </w:rPr>
      <w:t>10</w:t>
    </w:r>
    <w:r w:rsidRPr="00372CE4">
      <w:rPr>
        <w:rStyle w:val="SidhuvudUtskott"/>
      </w:rPr>
      <w:fldChar w:fldCharType="end"/>
    </w:r>
    <w:r w:rsidRPr="00372CE4">
      <w:t xml:space="preserve">     </w:t>
    </w:r>
    <w:r w:rsidRPr="00372CE4">
      <w:rPr>
        <w:rStyle w:val="SidhuvudBilaga"/>
      </w:rPr>
      <w:t xml:space="preserve"> </w:t>
    </w: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Utskottets överväganden</w:t>
    </w:r>
    <w:r w:rsidRPr="00372CE4">
      <w:rPr>
        <w:rStyle w:val="SidhuvudRubrikReferens"/>
      </w:rPr>
      <w:fldChar w:fldCharType="end"/>
    </w:r>
  </w:p>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Status</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    </w:instrText>
    </w:r>
    <w:r w:rsidRPr="00372CE4">
      <w:rPr>
        <w:rStyle w:val="SidhuvudUtskott"/>
      </w:rPr>
      <w:fldChar w:fldCharType="begin" w:fldLock="1"/>
    </w:r>
    <w:r w:rsidRPr="00372CE4">
      <w:rPr>
        <w:rStyle w:val="SidhuvudUtskott"/>
      </w:rPr>
      <w:instrText xml:space="preserve"> PRINTDATE \@ "yyyy-MM-dd HH.mm"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p>
  <w:p w:rsidR="004302E5" w:rsidRPr="00372CE4" w:rsidRDefault="004302E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Utskottets överväganden</w:t>
    </w:r>
    <w:r w:rsidRPr="00372CE4">
      <w:rPr>
        <w:rStyle w:val="SidhuvudRubrikReferens"/>
      </w:rPr>
      <w:fldChar w:fldCharType="end"/>
    </w:r>
    <w:r w:rsidRPr="00372CE4">
      <w:rPr>
        <w:rStyle w:val="SidhuvudBilaga"/>
      </w:rPr>
      <w:t xml:space="preserve">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Udda"/>
      <w:framePr w:w="8732" w:h="567" w:hRule="exact" w:vSpace="0" w:wrap="around" w:vAnchor="page" w:y="341" w:anchorLock="0"/>
    </w:pPr>
    <w:r w:rsidRPr="00372CE4">
      <w:t xml:space="preserve">  </w:t>
    </w:r>
    <w:r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 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BetänkandeNr</w:instrText>
    </w:r>
    <w:r w:rsidRPr="00372CE4">
      <w:rPr>
        <w:rStyle w:val="SidhuvudUtskott"/>
      </w:rPr>
      <w:fldChar w:fldCharType="separate"/>
    </w:r>
    <w:r w:rsidRPr="00372CE4">
      <w:rPr>
        <w:rStyle w:val="SidhuvudUtskott"/>
      </w:rPr>
      <w:t>10</w:t>
    </w:r>
    <w:r w:rsidRPr="00372CE4">
      <w:rPr>
        <w:rStyle w:val="SidhuvudUtskott"/>
      </w:rPr>
      <w:fldChar w:fldCharType="end"/>
    </w:r>
    <w:r w:rsidRPr="00372CE4">
      <w:t xml:space="preserve">     </w:t>
    </w:r>
    <w:r w:rsidRPr="00372CE4">
      <w:rPr>
        <w:rStyle w:val="SidhuvudBilaga"/>
      </w:rPr>
      <w:t xml:space="preserve"> Bilaga 1   </w:t>
    </w: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Reservationer</w:t>
    </w:r>
    <w:r w:rsidRPr="00372CE4">
      <w:rPr>
        <w:rStyle w:val="SidhuvudRubrikReferens"/>
      </w:rPr>
      <w:fldChar w:fldCharType="end"/>
    </w:r>
  </w:p>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Status</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    </w:instrText>
    </w:r>
    <w:r w:rsidRPr="00372CE4">
      <w:rPr>
        <w:rStyle w:val="SidhuvudUtskott"/>
      </w:rPr>
      <w:fldChar w:fldCharType="begin" w:fldLock="1"/>
    </w:r>
    <w:r w:rsidRPr="00372CE4">
      <w:rPr>
        <w:rStyle w:val="SidhuvudUtskott"/>
      </w:rPr>
      <w:instrText xml:space="preserve"> PRINTDATE \@ "yyyy-MM-dd HH.mm"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p>
  <w:p w:rsidR="004302E5" w:rsidRPr="00372CE4" w:rsidRDefault="004302E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Sammanfattning</w:t>
    </w:r>
    <w:r w:rsidRPr="00372CE4">
      <w:rPr>
        <w:rStyle w:val="SidhuvudRubrikReferens"/>
      </w:rPr>
      <w:fldChar w:fldCharType="end"/>
    </w:r>
    <w:r w:rsidRPr="00372CE4">
      <w:rPr>
        <w:rStyle w:val="SidhuvudBilaga"/>
      </w:rPr>
      <w:t xml:space="preserve">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Reservationer</w:t>
    </w:r>
    <w:r w:rsidRPr="00372CE4">
      <w:rPr>
        <w:rStyle w:val="SidhuvudRubrikReferens"/>
      </w:rPr>
      <w:fldChar w:fldCharType="end"/>
    </w:r>
    <w:r w:rsidRPr="00372CE4">
      <w:rPr>
        <w:rStyle w:val="SidhuvudBilaga"/>
      </w:rPr>
      <w:t xml:space="preserve">   Bilaga 1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w:instrText>
    </w:r>
    <w:r w:rsidRPr="00372CE4">
      <w:rPr>
        <w:rStyle w:val="SidhuvudUtskott"/>
      </w:rPr>
      <w:instrText>C</w:instrText>
    </w:r>
    <w:r w:rsidRPr="00372CE4">
      <w:rPr>
        <w:rStyle w:val="SidhuvudUtskott"/>
      </w:rPr>
      <w:instrText>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Jmn"/>
      <w:framePr w:w="8732" w:h="567" w:hRule="exact" w:vSpace="0" w:wrap="around" w:vAnchor="page" w:y="341" w:anchorLock="0"/>
    </w:pPr>
    <w:r w:rsidRPr="00372CE4">
      <w:rPr>
        <w:rStyle w:val="SidhuvudUtskott"/>
      </w:rPr>
      <w:t>2004/05:FöU10</w:t>
    </w:r>
    <w:r w:rsidRPr="00372CE4">
      <w:t xml:space="preserve">    </w:t>
    </w:r>
  </w:p>
  <w:p w:rsidR="00455CED" w:rsidRPr="00372CE4" w:rsidRDefault="00455CED">
    <w:pPr>
      <w:pStyle w:val="SidhuvudKantJmn"/>
      <w:framePr w:w="8732" w:h="567" w:hRule="exact" w:vSpace="0" w:wrap="around" w:vAnchor="page" w:y="341" w:anchorLock="0"/>
    </w:pPr>
  </w:p>
  <w:p w:rsidR="004302E5" w:rsidRPr="00372CE4" w:rsidRDefault="00455CED">
    <w:pPr>
      <w:pStyle w:val="SidhuvudKantUdda"/>
      <w:framePr w:w="8732" w:h="567" w:hRule="exact" w:vSpace="0" w:wrap="around" w:vAnchor="page" w:y="341" w:anchorLock="0"/>
    </w:pPr>
    <w:r w:rsidRPr="00372CE4">
      <w:rPr>
        <w:rStyle w:val="SidhuvudRubrikReferens"/>
        <w:smallCaps w:val="0"/>
      </w:rPr>
      <w:t xml:space="preserve"> </w:t>
    </w:r>
  </w:p>
  <w:p w:rsidR="004302E5" w:rsidRPr="00372CE4" w:rsidRDefault="004302E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t>2004/05:FöU10</w:t>
    </w:r>
    <w:r w:rsidRPr="00372CE4">
      <w:t xml:space="preserve">     </w:t>
    </w:r>
    <w:r w:rsidRPr="00372CE4">
      <w:rPr>
        <w:rStyle w:val="SidhuvudBilaga"/>
      </w:rPr>
      <w:t xml:space="preserve"> Bilaga 2   </w:t>
    </w:r>
    <w:r w:rsidR="00455CED" w:rsidRPr="00372CE4">
      <w:rPr>
        <w:rStyle w:val="SidhuvudRubrikReferens"/>
      </w:rPr>
      <w:t>Regeringens lagförslag</w:t>
    </w:r>
  </w:p>
  <w:p w:rsidR="004302E5" w:rsidRPr="00372CE4" w:rsidRDefault="004302E5">
    <w:pPr>
      <w:pStyle w:val="SidhuvudKantJmn"/>
      <w:framePr w:w="8732" w:h="567" w:hRule="exact" w:vSpace="0" w:wrap="around" w:vAnchor="page" w:y="341" w:anchorLock="0"/>
    </w:pPr>
  </w:p>
  <w:p w:rsidR="004302E5" w:rsidRPr="00372CE4" w:rsidRDefault="004302E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Förteckning över behandlade förslag</w:t>
    </w:r>
    <w:r w:rsidRPr="00372CE4">
      <w:rPr>
        <w:rStyle w:val="SidhuvudRubrikReferens"/>
      </w:rPr>
      <w:fldChar w:fldCharType="end"/>
    </w:r>
    <w:r w:rsidRPr="00372CE4">
      <w:rPr>
        <w:rStyle w:val="SidhuvudBilaga"/>
      </w:rPr>
      <w:t xml:space="preserve">   Bilaga 2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w:instrText>
    </w:r>
    <w:r w:rsidRPr="00372CE4">
      <w:rPr>
        <w:rStyle w:val="SidhuvudUtskott"/>
      </w:rPr>
      <w:instrText>C</w:instrText>
    </w:r>
    <w:r w:rsidRPr="00372CE4">
      <w:rPr>
        <w:rStyle w:val="SidhuvudUtskott"/>
      </w:rPr>
      <w:instrText>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Udda"/>
      <w:framePr w:w="8732" w:h="567" w:hRule="exact" w:vSpace="0" w:wrap="around" w:vAnchor="page" w:y="341" w:anchorLock="0"/>
    </w:pPr>
    <w:r w:rsidRPr="00372CE4">
      <w:t xml:space="preserve">  </w:t>
    </w:r>
    <w:r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t>2004/05:FöU10</w:t>
    </w:r>
    <w:r w:rsidRPr="00372CE4">
      <w:t xml:space="preserve">     </w:t>
    </w:r>
    <w:r w:rsidRPr="00372CE4">
      <w:rPr>
        <w:rStyle w:val="SidhuvudBilaga"/>
      </w:rPr>
      <w:t xml:space="preserve"> Bilaga 3   </w:t>
    </w:r>
    <w:r w:rsidR="00455CED" w:rsidRPr="00372CE4">
      <w:rPr>
        <w:rStyle w:val="SidhuvudRubrikReferens"/>
      </w:rPr>
      <w:t>Konventionstexter</w:t>
    </w:r>
  </w:p>
  <w:p w:rsidR="004302E5" w:rsidRPr="00372CE4" w:rsidRDefault="004302E5">
    <w:pPr>
      <w:pStyle w:val="SidhuvudKantJmn"/>
      <w:framePr w:w="8732" w:h="567" w:hRule="exact" w:vSpace="0" w:wrap="around" w:vAnchor="page" w:y="341" w:anchorLock="0"/>
    </w:pPr>
  </w:p>
  <w:p w:rsidR="004302E5" w:rsidRPr="00372CE4" w:rsidRDefault="004302E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55CED">
    <w:pPr>
      <w:pStyle w:val="SidhuvudKantUdda"/>
      <w:framePr w:w="8732" w:h="567" w:hRule="exact" w:vSpace="0" w:wrap="around" w:vAnchor="page" w:y="341" w:anchorLock="0"/>
    </w:pPr>
    <w:r w:rsidRPr="00372CE4">
      <w:rPr>
        <w:rStyle w:val="SidhuvudRubrikReferens"/>
      </w:rPr>
      <w:t>Konventionstexter</w:t>
    </w:r>
    <w:r w:rsidR="004302E5" w:rsidRPr="00372CE4">
      <w:rPr>
        <w:rStyle w:val="SidhuvudBilaga"/>
      </w:rPr>
      <w:t xml:space="preserve">   Bilaga 3 </w:t>
    </w:r>
    <w:r w:rsidR="004302E5" w:rsidRPr="00372CE4">
      <w:t xml:space="preserve">     </w:t>
    </w:r>
    <w:r w:rsidR="004302E5"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Udda"/>
      <w:framePr w:w="8732" w:h="567" w:hRule="exact" w:vSpace="0" w:wrap="around" w:vAnchor="page" w:y="341" w:anchorLock="0"/>
    </w:pPr>
    <w:r w:rsidRPr="00372CE4">
      <w:t xml:space="preserve">  </w:t>
    </w:r>
    <w:r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55CED">
    <w:pPr>
      <w:pStyle w:val="SidhuvudKantUdda"/>
      <w:framePr w:w="8732" w:h="567" w:hRule="exact" w:vSpace="0" w:wrap="around" w:vAnchor="page" w:y="341" w:anchorLock="0"/>
    </w:pPr>
    <w:r w:rsidRPr="00372CE4">
      <w:t xml:space="preserve"> </w:t>
    </w:r>
  </w:p>
  <w:p w:rsidR="004302E5" w:rsidRPr="00372CE4" w:rsidRDefault="004302E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 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BetänkandeNr</w:instrText>
    </w:r>
    <w:r w:rsidRPr="00372CE4">
      <w:rPr>
        <w:rStyle w:val="SidhuvudUtskott"/>
      </w:rPr>
      <w:fldChar w:fldCharType="separate"/>
    </w:r>
    <w:r w:rsidRPr="00372CE4">
      <w:rPr>
        <w:rStyle w:val="SidhuvudUtskott"/>
      </w:rPr>
      <w:t>10</w:t>
    </w:r>
    <w:r w:rsidRPr="00372CE4">
      <w:rPr>
        <w:rStyle w:val="SidhuvudUtskott"/>
      </w:rPr>
      <w:fldChar w:fldCharType="end"/>
    </w:r>
    <w:r w:rsidRPr="00372CE4">
      <w:t xml:space="preserve">     </w:t>
    </w:r>
    <w:r w:rsidRPr="00372CE4">
      <w:rPr>
        <w:rStyle w:val="SidhuvudBilaga"/>
      </w:rPr>
      <w:t xml:space="preserve"> </w:t>
    </w: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Sammanfattning</w:t>
    </w:r>
    <w:r w:rsidRPr="00372CE4">
      <w:rPr>
        <w:rStyle w:val="SidhuvudRubrikReferens"/>
      </w:rPr>
      <w:fldChar w:fldCharType="end"/>
    </w:r>
  </w:p>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Status</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    </w:instrText>
    </w:r>
    <w:r w:rsidRPr="00372CE4">
      <w:rPr>
        <w:rStyle w:val="SidhuvudUtskott"/>
      </w:rPr>
      <w:fldChar w:fldCharType="begin" w:fldLock="1"/>
    </w:r>
    <w:r w:rsidRPr="00372CE4">
      <w:rPr>
        <w:rStyle w:val="SidhuvudUtskott"/>
      </w:rPr>
      <w:instrText xml:space="preserve"> PRINTDATE \@ "yyyy-MM-dd HH.mm"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p>
  <w:p w:rsidR="004302E5" w:rsidRPr="00372CE4" w:rsidRDefault="004302E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Sammanfattning</w:t>
    </w:r>
    <w:r w:rsidRPr="00372CE4">
      <w:rPr>
        <w:rStyle w:val="SidhuvudRubrikReferens"/>
      </w:rPr>
      <w:fldChar w:fldCharType="end"/>
    </w:r>
    <w:r w:rsidRPr="00372CE4">
      <w:rPr>
        <w:rStyle w:val="SidhuvudBilaga"/>
      </w:rPr>
      <w:t xml:space="preserve">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Jmn"/>
      <w:framePr w:w="8732" w:h="567" w:hRule="exact" w:vSpace="0" w:wrap="around" w:vAnchor="page" w:y="341" w:anchorLock="0"/>
    </w:pPr>
    <w:r w:rsidRPr="00372CE4">
      <w:rPr>
        <w:rStyle w:val="SidhuvudUtskott"/>
      </w:rPr>
      <w:t>2004/05:FöU10</w:t>
    </w:r>
    <w:r w:rsidRPr="00372CE4">
      <w:t xml:space="preserve">    </w:t>
    </w:r>
  </w:p>
  <w:p w:rsidR="00455CED" w:rsidRPr="00372CE4" w:rsidRDefault="00455CED">
    <w:pPr>
      <w:pStyle w:val="SidhuvudKantJmn"/>
      <w:framePr w:w="8732" w:h="567" w:hRule="exact" w:vSpace="0" w:wrap="around" w:vAnchor="page" w:y="341" w:anchorLock="0"/>
    </w:pPr>
  </w:p>
  <w:p w:rsidR="004302E5" w:rsidRPr="00372CE4" w:rsidRDefault="00455CED">
    <w:pPr>
      <w:pStyle w:val="SidhuvudKantUdda"/>
      <w:framePr w:w="8732" w:h="567" w:hRule="exact" w:vSpace="0" w:wrap="around" w:vAnchor="page" w:y="341" w:anchorLock="0"/>
    </w:pPr>
    <w:r w:rsidRPr="00372CE4">
      <w:rPr>
        <w:rStyle w:val="SidhuvudRubrikReferens"/>
        <w:smallCaps w:val="0"/>
      </w:rPr>
      <w:t xml:space="preserve"> </w:t>
    </w:r>
  </w:p>
  <w:p w:rsidR="004302E5" w:rsidRPr="00372CE4" w:rsidRDefault="004302E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 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BetänkandeNr</w:instrText>
    </w:r>
    <w:r w:rsidRPr="00372CE4">
      <w:rPr>
        <w:rStyle w:val="SidhuvudUtskott"/>
      </w:rPr>
      <w:fldChar w:fldCharType="separate"/>
    </w:r>
    <w:r w:rsidRPr="00372CE4">
      <w:rPr>
        <w:rStyle w:val="SidhuvudUtskott"/>
      </w:rPr>
      <w:t>10</w:t>
    </w:r>
    <w:r w:rsidRPr="00372CE4">
      <w:rPr>
        <w:rStyle w:val="SidhuvudUtskott"/>
      </w:rPr>
      <w:fldChar w:fldCharType="end"/>
    </w:r>
    <w:r w:rsidRPr="00372CE4">
      <w:t xml:space="preserve">     </w:t>
    </w:r>
    <w:r w:rsidRPr="00372CE4">
      <w:rPr>
        <w:rStyle w:val="SidhuvudBilaga"/>
      </w:rPr>
      <w:t xml:space="preserve"> </w:t>
    </w: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Innehållsförteckning</w:t>
    </w:r>
    <w:r w:rsidRPr="00372CE4">
      <w:rPr>
        <w:rStyle w:val="SidhuvudRubrikReferens"/>
      </w:rPr>
      <w:fldChar w:fldCharType="end"/>
    </w:r>
  </w:p>
  <w:p w:rsidR="004302E5" w:rsidRPr="00372CE4" w:rsidRDefault="004302E5">
    <w:pPr>
      <w:pStyle w:val="SidhuvudKantJmn"/>
      <w:framePr w:w="8732" w:h="567" w:hRule="exact" w:vSpace="0" w:wrap="around" w:vAnchor="page" w:y="341" w:anchorLock="0"/>
    </w:pPr>
    <w:r w:rsidRPr="00372CE4">
      <w:rPr>
        <w:rStyle w:val="SidhuvudUtskott"/>
      </w:rPr>
      <w:fldChar w:fldCharType="begin" w:fldLock="1"/>
    </w:r>
    <w:r w:rsidRPr="00372CE4">
      <w:rPr>
        <w:rStyle w:val="SidhuvudUtskott"/>
      </w:rPr>
      <w:instrText xml:space="preserve"> DOCPROPERTY Status</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    </w:instrText>
    </w:r>
    <w:r w:rsidRPr="00372CE4">
      <w:rPr>
        <w:rStyle w:val="SidhuvudUtskott"/>
      </w:rPr>
      <w:fldChar w:fldCharType="begin" w:fldLock="1"/>
    </w:r>
    <w:r w:rsidRPr="00372CE4">
      <w:rPr>
        <w:rStyle w:val="SidhuvudUtskott"/>
      </w:rPr>
      <w:instrText xml:space="preserve"> PRINTDATE \@ "yyyy-MM-dd HH.mm"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p>
  <w:p w:rsidR="004302E5" w:rsidRPr="00372CE4" w:rsidRDefault="004302E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2E5" w:rsidRPr="00372CE4" w:rsidRDefault="004302E5">
    <w:pPr>
      <w:pStyle w:val="SidhuvudKantUdda"/>
      <w:framePr w:w="8732" w:h="567" w:hRule="exact" w:vSpace="0" w:wrap="around" w:vAnchor="page" w:y="341" w:anchorLock="0"/>
    </w:pPr>
    <w:r w:rsidRPr="00372CE4">
      <w:rPr>
        <w:rStyle w:val="SidhuvudRubrikReferens"/>
      </w:rPr>
      <w:fldChar w:fldCharType="begin" w:fldLock="1"/>
    </w:r>
    <w:r w:rsidRPr="00372CE4">
      <w:rPr>
        <w:rStyle w:val="SidhuvudRubrikReferens"/>
      </w:rPr>
      <w:instrText xml:space="preserve"> StyleREF "Rubrik 1" </w:instrText>
    </w:r>
    <w:r w:rsidRPr="00372CE4">
      <w:rPr>
        <w:rStyle w:val="SidhuvudRubrikReferens"/>
      </w:rPr>
      <w:fldChar w:fldCharType="separate"/>
    </w:r>
    <w:r w:rsidRPr="00372CE4">
      <w:rPr>
        <w:rStyle w:val="SidhuvudRubrikReferens"/>
      </w:rPr>
      <w:t>Innehållsförteckning</w:t>
    </w:r>
    <w:r w:rsidRPr="00372CE4">
      <w:rPr>
        <w:rStyle w:val="SidhuvudRubrikReferens"/>
      </w:rPr>
      <w:fldChar w:fldCharType="end"/>
    </w:r>
    <w:r w:rsidRPr="00372CE4">
      <w:rPr>
        <w:rStyle w:val="SidhuvudBilaga"/>
      </w:rPr>
      <w:t xml:space="preserve"> </w:t>
    </w:r>
    <w:r w:rsidRPr="00372CE4">
      <w:t xml:space="preserve">     </w:t>
    </w:r>
    <w:r w:rsidRPr="00372CE4">
      <w:rPr>
        <w:rStyle w:val="SidhuvudUtskott"/>
      </w:rPr>
      <w:fldChar w:fldCharType="begin" w:fldLock="1"/>
    </w:r>
    <w:r w:rsidRPr="00372CE4">
      <w:rPr>
        <w:rStyle w:val="SidhuvudUtskott"/>
      </w:rPr>
      <w:instrText xml:space="preserve"> DOCPROPERTY BetänkandeÅr</w:instrText>
    </w:r>
    <w:r w:rsidRPr="00372CE4">
      <w:rPr>
        <w:rStyle w:val="SidhuvudUtskott"/>
      </w:rPr>
      <w:fldChar w:fldCharType="separate"/>
    </w:r>
    <w:r w:rsidRPr="00372CE4">
      <w:rPr>
        <w:rStyle w:val="SidhuvudUtskott"/>
      </w:rPr>
      <w:t>2004/05</w:t>
    </w:r>
    <w:r w:rsidRPr="00372CE4">
      <w:rPr>
        <w:rStyle w:val="SidhuvudUtskott"/>
      </w:rPr>
      <w:fldChar w:fldCharType="end"/>
    </w:r>
    <w:r w:rsidRPr="00372CE4">
      <w:rPr>
        <w:rStyle w:val="SidhuvudUtskott"/>
      </w:rPr>
      <w:t>:</w:t>
    </w:r>
    <w:r w:rsidRPr="00372CE4">
      <w:rPr>
        <w:rStyle w:val="SidhuvudUtskott"/>
      </w:rPr>
      <w:fldChar w:fldCharType="begin" w:fldLock="1"/>
    </w:r>
    <w:r w:rsidRPr="00372CE4">
      <w:rPr>
        <w:rStyle w:val="SidhuvudUtskott"/>
      </w:rPr>
      <w:instrText xml:space="preserve"> DOCPROPERTY</w:instrText>
    </w:r>
    <w:r w:rsidRPr="00372CE4">
      <w:instrText xml:space="preserve"> </w:instrText>
    </w:r>
    <w:r w:rsidRPr="00372CE4">
      <w:rPr>
        <w:rStyle w:val="SidhuvudUtskott"/>
      </w:rPr>
      <w:instrText>Utskott</w:instrText>
    </w:r>
    <w:r w:rsidRPr="00372CE4">
      <w:rPr>
        <w:rStyle w:val="SidhuvudUtskott"/>
      </w:rPr>
      <w:fldChar w:fldCharType="separate"/>
    </w:r>
    <w:r w:rsidRPr="00372CE4">
      <w:rPr>
        <w:rStyle w:val="SidhuvudUtskott"/>
      </w:rPr>
      <w:t>FöU</w: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DOCPROPERTY Betä</w:instrText>
    </w:r>
    <w:r w:rsidRPr="00372CE4">
      <w:rPr>
        <w:rStyle w:val="SidhuvudUtskott"/>
      </w:rPr>
      <w:instrText>n</w:instrText>
    </w:r>
    <w:r w:rsidRPr="00372CE4">
      <w:rPr>
        <w:rStyle w:val="SidhuvudUtskott"/>
      </w:rPr>
      <w:instrText>kandeNr</w:instrText>
    </w:r>
    <w:r w:rsidRPr="00372CE4">
      <w:rPr>
        <w:rStyle w:val="SidhuvudUtskott"/>
      </w:rPr>
      <w:fldChar w:fldCharType="separate"/>
    </w:r>
    <w:r w:rsidRPr="00372CE4">
      <w:rPr>
        <w:rStyle w:val="SidhuvudUtskott"/>
      </w:rPr>
      <w:t>10</w:t>
    </w:r>
    <w:r w:rsidRPr="00372CE4">
      <w:rPr>
        <w:rStyle w:val="SidhuvudUtskott"/>
      </w:rPr>
      <w:fldChar w:fldCharType="end"/>
    </w:r>
  </w:p>
  <w:p w:rsidR="004302E5" w:rsidRPr="00372CE4" w:rsidRDefault="004302E5">
    <w:pPr>
      <w:pStyle w:val="SidhuvudKantUdda"/>
      <w:framePr w:w="8732" w:h="567" w:hRule="exact" w:vSpace="0" w:wrap="around" w:vAnchor="page" w:y="341" w:anchorLock="0"/>
    </w:pPr>
    <w:r w:rsidRPr="00372CE4">
      <w:rPr>
        <w:rStyle w:val="SidhuvudUtskott"/>
      </w:rPr>
      <w:fldChar w:fldCharType="begin" w:fldLock="1"/>
    </w:r>
    <w:r w:rsidRPr="00372CE4">
      <w:rPr>
        <w:rStyle w:val="SidhuvudUtskott"/>
      </w:rPr>
      <w:instrText xml:space="preserve"> if </w:instrText>
    </w:r>
    <w:r w:rsidRPr="00372CE4">
      <w:rPr>
        <w:rStyle w:val="SidhuvudUtskott"/>
      </w:rPr>
      <w:fldChar w:fldCharType="begin" w:fldLock="1"/>
    </w:r>
    <w:r w:rsidRPr="00372CE4">
      <w:rPr>
        <w:rStyle w:val="SidhuvudUtskott"/>
      </w:rPr>
      <w:instrText xml:space="preserve"> DOCPROPERTY "UtkastDatum"</w:instrText>
    </w:r>
    <w:r w:rsidRPr="00372CE4">
      <w:rPr>
        <w:rStyle w:val="SidhuvudUtskott"/>
      </w:rPr>
      <w:fldChar w:fldCharType="separate"/>
    </w:r>
    <w:r w:rsidRPr="00372CE4">
      <w:rPr>
        <w:rStyle w:val="SidhuvudUtskott"/>
      </w:rPr>
      <w:instrText>Nej</w:instrText>
    </w:r>
    <w:r w:rsidRPr="00372CE4">
      <w:rPr>
        <w:rStyle w:val="SidhuvudUtskott"/>
      </w:rPr>
      <w:fldChar w:fldCharType="end"/>
    </w:r>
    <w:r w:rsidRPr="00372CE4">
      <w:rPr>
        <w:rStyle w:val="SidhuvudUtskott"/>
      </w:rPr>
      <w:instrText xml:space="preserve"> = "Ja" "</w:instrText>
    </w:r>
    <w:r w:rsidRPr="00372CE4">
      <w:rPr>
        <w:rStyle w:val="SidhuvudUtskott"/>
      </w:rPr>
      <w:fldChar w:fldCharType="begin" w:fldLock="1"/>
    </w:r>
    <w:r w:rsidRPr="00372CE4">
      <w:rPr>
        <w:rStyle w:val="SidhuvudUtskott"/>
      </w:rPr>
      <w:instrText xml:space="preserve"> PRINTDATE \@ "yyyy-MM-dd HH.mm    " </w:instrText>
    </w:r>
    <w:r w:rsidRPr="00372CE4">
      <w:rPr>
        <w:rStyle w:val="SidhuvudUtskott"/>
      </w:rPr>
      <w:fldChar w:fldCharType="separate"/>
    </w:r>
    <w:r w:rsidRPr="00372CE4">
      <w:rPr>
        <w:rStyle w:val="SidhuvudUtskott"/>
      </w:rPr>
      <w:instrText>2000-08-11 16.42</w:instrText>
    </w:r>
    <w:r w:rsidRPr="00372CE4">
      <w:rPr>
        <w:rStyle w:val="SidhuvudUtskott"/>
      </w:rPr>
      <w:fldChar w:fldCharType="end"/>
    </w:r>
    <w:r w:rsidRPr="00372CE4">
      <w:rPr>
        <w:rStyle w:val="SidhuvudUtskott"/>
      </w:rPr>
      <w:instrText xml:space="preserve">" </w:instrText>
    </w:r>
    <w:r w:rsidRPr="00372CE4">
      <w:rPr>
        <w:rStyle w:val="SidhuvudUtskott"/>
      </w:rPr>
      <w:fldChar w:fldCharType="end"/>
    </w:r>
    <w:r w:rsidRPr="00372CE4">
      <w:rPr>
        <w:rStyle w:val="SidhuvudUtskott"/>
      </w:rPr>
      <w:fldChar w:fldCharType="begin" w:fldLock="1"/>
    </w:r>
    <w:r w:rsidRPr="00372CE4">
      <w:rPr>
        <w:rStyle w:val="SidhuvudUtskott"/>
      </w:rPr>
      <w:instrText xml:space="preserve"> DOCPR</w:instrText>
    </w:r>
    <w:r w:rsidRPr="00372CE4">
      <w:rPr>
        <w:rStyle w:val="SidhuvudUtskott"/>
      </w:rPr>
      <w:instrText>O</w:instrText>
    </w:r>
    <w:r w:rsidRPr="00372CE4">
      <w:rPr>
        <w:rStyle w:val="SidhuvudUtskott"/>
      </w:rPr>
      <w:instrText>PERTY Status</w:instrText>
    </w:r>
    <w:r w:rsidRPr="00372CE4">
      <w:rPr>
        <w:rStyle w:val="SidhuvudUtskott"/>
      </w:rPr>
      <w:fldChar w:fldCharType="end"/>
    </w:r>
  </w:p>
  <w:p w:rsidR="004302E5" w:rsidRPr="00372CE4" w:rsidRDefault="004302E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CED" w:rsidRPr="00372CE4" w:rsidRDefault="00455CED">
    <w:pPr>
      <w:pStyle w:val="SidhuvudKantUdda"/>
      <w:framePr w:w="8732" w:h="567" w:hRule="exact" w:vSpace="0" w:wrap="around" w:vAnchor="page" w:y="341" w:anchorLock="0"/>
    </w:pPr>
    <w:r w:rsidRPr="00372CE4">
      <w:t xml:space="preserve">  </w:t>
    </w:r>
    <w:r w:rsidRPr="00372CE4">
      <w:rPr>
        <w:rStyle w:val="SidhuvudUtskott"/>
      </w:rPr>
      <w:t>2004/05:FöU10</w:t>
    </w:r>
  </w:p>
  <w:p w:rsidR="004302E5" w:rsidRPr="00372CE4" w:rsidRDefault="004302E5">
    <w:pPr>
      <w:pStyle w:val="SidhuvudKantUdda"/>
      <w:framePr w:w="8732" w:h="567" w:hRule="exact" w:vSpace="0" w:wrap="around" w:vAnchor="page" w:y="341" w:anchorLock="0"/>
    </w:pPr>
  </w:p>
  <w:p w:rsidR="004302E5" w:rsidRPr="00372CE4" w:rsidRDefault="004302E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47978"/>
    <w:multiLevelType w:val="hybridMultilevel"/>
    <w:tmpl w:val="D08041D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46369954">
    <w:abstractNumId w:val="11"/>
  </w:num>
  <w:num w:numId="2" w16cid:durableId="693921428">
    <w:abstractNumId w:val="8"/>
  </w:num>
  <w:num w:numId="3" w16cid:durableId="217865597">
    <w:abstractNumId w:val="3"/>
  </w:num>
  <w:num w:numId="4" w16cid:durableId="1117261513">
    <w:abstractNumId w:val="2"/>
  </w:num>
  <w:num w:numId="5" w16cid:durableId="1818377233">
    <w:abstractNumId w:val="1"/>
  </w:num>
  <w:num w:numId="6" w16cid:durableId="394209339">
    <w:abstractNumId w:val="0"/>
  </w:num>
  <w:num w:numId="7" w16cid:durableId="135800037">
    <w:abstractNumId w:val="9"/>
  </w:num>
  <w:num w:numId="8" w16cid:durableId="702052614">
    <w:abstractNumId w:val="7"/>
  </w:num>
  <w:num w:numId="9" w16cid:durableId="846597336">
    <w:abstractNumId w:val="6"/>
  </w:num>
  <w:num w:numId="10" w16cid:durableId="1511945566">
    <w:abstractNumId w:val="5"/>
  </w:num>
  <w:num w:numId="11" w16cid:durableId="1568028390">
    <w:abstractNumId w:val="4"/>
  </w:num>
  <w:num w:numId="12" w16cid:durableId="1601521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465B6A"/>
    <w:rsid w:val="00030A21"/>
    <w:rsid w:val="0005708A"/>
    <w:rsid w:val="00065183"/>
    <w:rsid w:val="00092DC0"/>
    <w:rsid w:val="00095D45"/>
    <w:rsid w:val="000D1151"/>
    <w:rsid w:val="00101CB0"/>
    <w:rsid w:val="00117BBF"/>
    <w:rsid w:val="00121116"/>
    <w:rsid w:val="001319E2"/>
    <w:rsid w:val="00135209"/>
    <w:rsid w:val="00165FC8"/>
    <w:rsid w:val="001D0B3B"/>
    <w:rsid w:val="001E0538"/>
    <w:rsid w:val="00201A29"/>
    <w:rsid w:val="002035E5"/>
    <w:rsid w:val="00203F8C"/>
    <w:rsid w:val="002352BA"/>
    <w:rsid w:val="00270C7A"/>
    <w:rsid w:val="002915EF"/>
    <w:rsid w:val="002D7F0A"/>
    <w:rsid w:val="0031181E"/>
    <w:rsid w:val="00314C49"/>
    <w:rsid w:val="00335579"/>
    <w:rsid w:val="0034576A"/>
    <w:rsid w:val="00346439"/>
    <w:rsid w:val="00361DBB"/>
    <w:rsid w:val="003631DB"/>
    <w:rsid w:val="00372CE4"/>
    <w:rsid w:val="00385A52"/>
    <w:rsid w:val="003A55BE"/>
    <w:rsid w:val="003C05C4"/>
    <w:rsid w:val="003C093A"/>
    <w:rsid w:val="003F6A4E"/>
    <w:rsid w:val="004112E0"/>
    <w:rsid w:val="00425712"/>
    <w:rsid w:val="004302E5"/>
    <w:rsid w:val="00455CED"/>
    <w:rsid w:val="00465B6A"/>
    <w:rsid w:val="004726FC"/>
    <w:rsid w:val="004B08EB"/>
    <w:rsid w:val="004B5D32"/>
    <w:rsid w:val="005058CA"/>
    <w:rsid w:val="00514752"/>
    <w:rsid w:val="00532209"/>
    <w:rsid w:val="005522C7"/>
    <w:rsid w:val="005570AA"/>
    <w:rsid w:val="00573216"/>
    <w:rsid w:val="00575C2C"/>
    <w:rsid w:val="0059516B"/>
    <w:rsid w:val="006107A0"/>
    <w:rsid w:val="00623EED"/>
    <w:rsid w:val="006264E8"/>
    <w:rsid w:val="00652880"/>
    <w:rsid w:val="006B14C0"/>
    <w:rsid w:val="00713AC2"/>
    <w:rsid w:val="00757688"/>
    <w:rsid w:val="007618F5"/>
    <w:rsid w:val="007671F4"/>
    <w:rsid w:val="007B0B45"/>
    <w:rsid w:val="007D0793"/>
    <w:rsid w:val="007D51B8"/>
    <w:rsid w:val="007E2ADD"/>
    <w:rsid w:val="007E4139"/>
    <w:rsid w:val="007E51E5"/>
    <w:rsid w:val="007F2388"/>
    <w:rsid w:val="007F2F27"/>
    <w:rsid w:val="00855432"/>
    <w:rsid w:val="00857CC9"/>
    <w:rsid w:val="00860BC3"/>
    <w:rsid w:val="008805FE"/>
    <w:rsid w:val="008A1A64"/>
    <w:rsid w:val="008A735A"/>
    <w:rsid w:val="00921520"/>
    <w:rsid w:val="00932D9D"/>
    <w:rsid w:val="00977A3E"/>
    <w:rsid w:val="009A318A"/>
    <w:rsid w:val="009C252B"/>
    <w:rsid w:val="009E5542"/>
    <w:rsid w:val="00A24501"/>
    <w:rsid w:val="00A57092"/>
    <w:rsid w:val="00A80726"/>
    <w:rsid w:val="00A9787B"/>
    <w:rsid w:val="00AC50AA"/>
    <w:rsid w:val="00AD7B7D"/>
    <w:rsid w:val="00B119D7"/>
    <w:rsid w:val="00B33C11"/>
    <w:rsid w:val="00B926B2"/>
    <w:rsid w:val="00BA7EEE"/>
    <w:rsid w:val="00BC7127"/>
    <w:rsid w:val="00BF3970"/>
    <w:rsid w:val="00CA5924"/>
    <w:rsid w:val="00CC7493"/>
    <w:rsid w:val="00D05862"/>
    <w:rsid w:val="00D26D65"/>
    <w:rsid w:val="00D32353"/>
    <w:rsid w:val="00D42AFA"/>
    <w:rsid w:val="00D5287C"/>
    <w:rsid w:val="00D56AC0"/>
    <w:rsid w:val="00D7404E"/>
    <w:rsid w:val="00DA5112"/>
    <w:rsid w:val="00DC4887"/>
    <w:rsid w:val="00E11DD7"/>
    <w:rsid w:val="00E556AE"/>
    <w:rsid w:val="00E612B5"/>
    <w:rsid w:val="00E7427A"/>
    <w:rsid w:val="00F1583D"/>
    <w:rsid w:val="00F47574"/>
    <w:rsid w:val="00F756CB"/>
    <w:rsid w:val="00F86A69"/>
    <w:rsid w:val="00F97E52"/>
    <w:rsid w:val="00FA2F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71BF9A-C315-4F0C-9271-32508B9C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2035E5"/>
    <w:pPr>
      <w:spacing w:before="100" w:beforeAutospacing="1" w:after="100" w:afterAutospacing="1" w:line="240" w:lineRule="auto"/>
      <w:jc w:val="left"/>
    </w:pPr>
    <w:rPr>
      <w:sz w:val="24"/>
      <w:szCs w:val="24"/>
    </w:rPr>
  </w:style>
  <w:style w:type="paragraph" w:styleId="Ballongtext">
    <w:name w:val="Balloon Text"/>
    <w:basedOn w:val="Normal"/>
    <w:semiHidden/>
    <w:rsid w:val="00575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4552</Words>
  <Characters>27680</Characters>
  <Application>Microsoft Office Word</Application>
  <DocSecurity>4</DocSecurity>
  <Lines>728</Lines>
  <Paragraphs>249</Paragraphs>
  <ScaleCrop>false</ScaleCrop>
  <HeadingPairs>
    <vt:vector size="2" baseType="variant">
      <vt:variant>
        <vt:lpstr>Rubrik</vt:lpstr>
      </vt:variant>
      <vt:variant>
        <vt:i4>1</vt:i4>
      </vt:variant>
    </vt:vector>
  </HeadingPairs>
  <TitlesOfParts>
    <vt:vector size="1" baseType="lpstr">
      <vt:lpstr>Försvarsutskottets betänkande</vt:lpstr>
    </vt:vector>
  </TitlesOfParts>
  <Company>Riksdagen</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2005-06-01T07:05:00Z</cp:lastPrinted>
  <dcterms:created xsi:type="dcterms:W3CDTF">2025-12-16T18:20:00Z</dcterms:created>
  <dcterms:modified xsi:type="dcterms:W3CDTF">2025-12-16T18:20:00Z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