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9AF" w:rsidRPr="007B29AF" w:rsidRDefault="007B29AF">
      <w:pPr>
        <w:pStyle w:val="Frslagsrubrik"/>
      </w:pPr>
      <w:r w:rsidRPr="007B29AF">
        <w:t>Förslag till riksdagsbeslut</w:t>
      </w:r>
    </w:p>
    <w:p w:rsidR="007B29AF" w:rsidRPr="007B29AF" w:rsidRDefault="007B29AF">
      <w:pPr>
        <w:pStyle w:val="Hemstlatt"/>
      </w:pPr>
      <w:r w:rsidRPr="007B29AF">
        <w:t>Riksdagen tillkännager för regeringen som sin mening vad som anförs i motionen om tillgänglighet.</w:t>
      </w:r>
    </w:p>
    <w:p w:rsidR="007B29AF" w:rsidRPr="007B29AF" w:rsidRDefault="007B29AF">
      <w:pPr>
        <w:pStyle w:val="Rubrik1"/>
      </w:pPr>
      <w:r w:rsidRPr="007B29AF">
        <w:t>Motivering</w:t>
      </w:r>
    </w:p>
    <w:p w:rsidR="007B29AF" w:rsidRPr="007B29AF" w:rsidRDefault="007B29AF">
      <w:r w:rsidRPr="007B29AF">
        <w:t>År 2006 föreslog den parlamentariska Diskrimineringskommittén att otil</w:t>
      </w:r>
      <w:r w:rsidRPr="007B29AF">
        <w:t>l</w:t>
      </w:r>
      <w:r w:rsidRPr="007B29AF">
        <w:t>gänglighet skulle klassas som diskriminering. Men 2008 när regeringen lade fram en ny diskrimineringslag lyfte den ur formuleringen om otillgänglighet som en form av diskriminering. Detta tycker vi var ett felaktigt beslut som riksdagen kan rätta till.</w:t>
      </w:r>
    </w:p>
    <w:p w:rsidR="007B29AF" w:rsidRPr="007B29AF" w:rsidRDefault="007B29AF">
      <w:pPr>
        <w:pStyle w:val="Normaltindrag"/>
      </w:pPr>
      <w:r w:rsidRPr="007B29AF">
        <w:t>I andra länder finns diskrimineringsskydd som omfattar bristande tillgän</w:t>
      </w:r>
      <w:r w:rsidRPr="007B29AF">
        <w:t>g</w:t>
      </w:r>
      <w:r w:rsidRPr="007B29AF">
        <w:t>lighet.</w:t>
      </w:r>
    </w:p>
    <w:p w:rsidR="007B29AF" w:rsidRPr="007B29AF" w:rsidRDefault="007B29AF">
      <w:pPr>
        <w:pStyle w:val="Normaltindrag"/>
      </w:pPr>
      <w:r w:rsidRPr="007B29AF">
        <w:t>I USA lagfäste man 1990 ADA, Americans with Disabilities Act, som i</w:t>
      </w:r>
      <w:r w:rsidRPr="007B29AF">
        <w:t>n</w:t>
      </w:r>
      <w:r w:rsidRPr="007B29AF">
        <w:t>nebär i korthet att det är förbjudet att diskriminera personer med funktion</w:t>
      </w:r>
      <w:r w:rsidRPr="007B29AF">
        <w:t>s</w:t>
      </w:r>
      <w:r w:rsidRPr="007B29AF">
        <w:t>hinder när det gäller fysiskt tillträde till offentliga eller privata inrättningar.</w:t>
      </w:r>
    </w:p>
    <w:p w:rsidR="007B29AF" w:rsidRPr="007B29AF" w:rsidRDefault="007B29AF">
      <w:pPr>
        <w:pStyle w:val="Normaltindrag"/>
      </w:pPr>
      <w:r w:rsidRPr="007B29AF">
        <w:t>Lagen är en så kallad medborgarrättslag (civil rights law), av samma typ som tidigare lagar som förbjuder diskriminering av svarta och kvinnor, som förbjuder affärsidkare, myndigheter, ”kommuner” att ha otillgängliga lokaler. En individ med funktionshinder får inte diskrimineras när det gäller att ko</w:t>
      </w:r>
      <w:r w:rsidRPr="007B29AF">
        <w:t>m</w:t>
      </w:r>
      <w:r w:rsidRPr="007B29AF">
        <w:t>ma i åtnjutande av varor, tjänster och fördelar vid allmänna platser och tän</w:t>
      </w:r>
      <w:r w:rsidRPr="007B29AF">
        <w:t>k</w:t>
      </w:r>
      <w:r w:rsidRPr="007B29AF">
        <w:t>bara arbetsplatser.</w:t>
      </w:r>
    </w:p>
    <w:p w:rsidR="007B29AF" w:rsidRPr="007B29AF" w:rsidRDefault="007B29AF">
      <w:pPr>
        <w:pStyle w:val="Normaltindrag"/>
      </w:pPr>
      <w:r w:rsidRPr="007B29AF">
        <w:t>Den som bedriver verksamheten måste göra de anpassningar som behövs – om det inte går att visa att detta skulle belasta verksamheten på ett orimligt sätt. Man måste då hitta andra lösningar för att tillhandahålla servicen.</w:t>
      </w:r>
    </w:p>
    <w:p w:rsidR="007B29AF" w:rsidRPr="007B29AF" w:rsidRDefault="007B29AF">
      <w:pPr>
        <w:pStyle w:val="Normaltindrag"/>
      </w:pPr>
      <w:r w:rsidRPr="007B29AF">
        <w:t xml:space="preserve">En rapport utförd av Svenska Handikappinstitutet (1995) konstaterar att USA till följd av ADA är det mest tillgängliga landet i världen och att effekter </w:t>
      </w:r>
      <w:r w:rsidRPr="007B29AF">
        <w:lastRenderedPageBreak/>
        <w:t>kan ses överallt i samhället. Andra länder som har lagar likt USA är Austral</w:t>
      </w:r>
      <w:r w:rsidRPr="007B29AF">
        <w:t>i</w:t>
      </w:r>
      <w:r w:rsidRPr="007B29AF">
        <w:t>en, Storbritannien och Sydafrika.</w:t>
      </w:r>
    </w:p>
    <w:p w:rsidR="007B29AF" w:rsidRPr="007B29AF" w:rsidRDefault="007B29AF">
      <w:pPr>
        <w:pStyle w:val="Normaltindrag"/>
      </w:pPr>
      <w:r w:rsidRPr="007B29AF">
        <w:t>Det är därför dags att Sverige ser över möjligheten att införa en lagstif</w:t>
      </w:r>
      <w:r w:rsidRPr="007B29AF">
        <w:t>t</w:t>
      </w:r>
      <w:r w:rsidRPr="007B29AF">
        <w:t>ning som ökar tillgängligheten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29AF">
        <w:trPr>
          <w:cantSplit/>
        </w:trPr>
        <w:tc>
          <w:tcPr>
            <w:tcW w:w="3046" w:type="dxa"/>
          </w:tcPr>
          <w:p w:rsidR="007B29AF" w:rsidRPr="007B29AF" w:rsidRDefault="007B29AF">
            <w:pPr>
              <w:pStyle w:val="UnderskriftDatum"/>
              <w:spacing w:before="240"/>
            </w:pPr>
            <w:r w:rsidRPr="007B29AF">
              <w:t>Stockholm den 19 oktober 2010</w:t>
            </w:r>
          </w:p>
        </w:tc>
        <w:tc>
          <w:tcPr>
            <w:tcW w:w="3047" w:type="dxa"/>
          </w:tcPr>
          <w:p w:rsidR="007B29AF" w:rsidRPr="007B29AF" w:rsidRDefault="007B29AF">
            <w:pPr>
              <w:pStyle w:val="Underskrifter"/>
              <w:spacing w:before="240"/>
            </w:pPr>
          </w:p>
        </w:tc>
      </w:tr>
      <w:tr w:rsidR="00000000" w:rsidRPr="007B29AF">
        <w:trPr>
          <w:cantSplit/>
        </w:trPr>
        <w:tc>
          <w:tcPr>
            <w:tcW w:w="3046" w:type="dxa"/>
          </w:tcPr>
          <w:p w:rsidR="007B29AF" w:rsidRPr="007B29AF" w:rsidRDefault="007B29AF">
            <w:pPr>
              <w:pStyle w:val="Underskrifter"/>
            </w:pPr>
            <w:r w:rsidRPr="007B29AF">
              <w:t>Hans Hoff (S)</w:t>
            </w:r>
          </w:p>
        </w:tc>
        <w:tc>
          <w:tcPr>
            <w:tcW w:w="3046" w:type="dxa"/>
          </w:tcPr>
          <w:p w:rsidR="007B29AF" w:rsidRPr="007B29AF" w:rsidRDefault="007B29AF">
            <w:pPr>
              <w:pStyle w:val="Underskrifter"/>
            </w:pPr>
          </w:p>
        </w:tc>
      </w:tr>
      <w:tr w:rsidR="00000000" w:rsidRPr="007B29AF">
        <w:trPr>
          <w:cantSplit/>
        </w:trPr>
        <w:tc>
          <w:tcPr>
            <w:tcW w:w="3046" w:type="dxa"/>
          </w:tcPr>
          <w:p w:rsidR="007B29AF" w:rsidRPr="007B29AF" w:rsidRDefault="007B29AF">
            <w:pPr>
              <w:pStyle w:val="Underskrifter"/>
            </w:pPr>
            <w:r w:rsidRPr="007B29AF">
              <w:t>Adnan Dibrani (S)</w:t>
            </w:r>
          </w:p>
        </w:tc>
        <w:tc>
          <w:tcPr>
            <w:tcW w:w="3046" w:type="dxa"/>
          </w:tcPr>
          <w:p w:rsidR="007B29AF" w:rsidRPr="007B29AF" w:rsidRDefault="007B29AF">
            <w:pPr>
              <w:pStyle w:val="Underskrifter"/>
            </w:pPr>
            <w:r w:rsidRPr="007B29AF">
              <w:t>Jennie Nilsson (S)</w:t>
            </w:r>
          </w:p>
        </w:tc>
      </w:tr>
    </w:tbl>
    <w:p w:rsidR="007B29AF" w:rsidRPr="007B29AF" w:rsidRDefault="007B29AF">
      <w:pPr>
        <w:pStyle w:val="Normaltindrag"/>
      </w:pPr>
    </w:p>
    <w:sectPr w:rsidR="00000000" w:rsidRPr="007B29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9AF" w:rsidRPr="007B29AF" w:rsidRDefault="007B29AF">
      <w:r w:rsidRPr="007B29AF">
        <w:separator/>
      </w:r>
    </w:p>
  </w:endnote>
  <w:endnote w:type="continuationSeparator" w:id="0">
    <w:p w:rsidR="007B29AF" w:rsidRPr="007B29AF" w:rsidRDefault="007B29AF">
      <w:r w:rsidRPr="007B2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9AF" w:rsidRPr="007B29AF" w:rsidRDefault="007B29AF">
    <w:pPr>
      <w:pStyle w:val="Sidfot"/>
    </w:pPr>
    <w:r w:rsidRPr="007B29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616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9AF" w:rsidRDefault="007B29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29AF" w:rsidRDefault="007B29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9AF" w:rsidRPr="007B29AF" w:rsidRDefault="007B29AF">
    <w:pPr>
      <w:pStyle w:val="Sidfot"/>
    </w:pPr>
    <w:r w:rsidRPr="007B29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135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9AF" w:rsidRDefault="007B29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29AF" w:rsidRDefault="007B29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9AF" w:rsidRPr="007B29AF" w:rsidRDefault="007B29AF">
    <w:pPr>
      <w:pStyle w:val="Sidfot"/>
    </w:pPr>
    <w:r w:rsidRPr="007B29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2871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9AF" w:rsidRDefault="007B29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29AF" w:rsidRDefault="007B29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9AF" w:rsidRPr="007B29AF" w:rsidRDefault="007B29AF">
      <w:r w:rsidRPr="007B29AF">
        <w:separator/>
      </w:r>
    </w:p>
  </w:footnote>
  <w:footnote w:type="continuationSeparator" w:id="0">
    <w:p w:rsidR="007B29AF" w:rsidRPr="007B29AF" w:rsidRDefault="007B29AF">
      <w:r w:rsidRPr="007B29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9AF" w:rsidRPr="007B29AF" w:rsidRDefault="007B29AF">
    <w:pPr>
      <w:pStyle w:val="Sidhuvud"/>
    </w:pPr>
    <w:r w:rsidRPr="007B29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2381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9AF" w:rsidRDefault="007B29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29AF" w:rsidRDefault="007B29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9AF" w:rsidRPr="007B29AF" w:rsidRDefault="007B29AF">
    <w:pPr>
      <w:pStyle w:val="Sidhuvud"/>
    </w:pPr>
    <w:r w:rsidRPr="007B29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92455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9AF" w:rsidRDefault="007B29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29AF" w:rsidRDefault="007B29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9AF" w:rsidRPr="007B29AF" w:rsidRDefault="007B29AF">
    <w:pPr>
      <w:pStyle w:val="FSHNormal"/>
      <w:tabs>
        <w:tab w:val="right" w:pos="5840"/>
      </w:tabs>
    </w:pPr>
    <w:r w:rsidRPr="007B29AF">
      <w:br/>
    </w:r>
    <w:r w:rsidRPr="007B29AF">
      <w:fldChar w:fldCharType="begin" w:fldLock="1"/>
    </w:r>
    <w:r w:rsidRPr="007B29AF">
      <w:instrText xml:space="preserve"> DOCPROPERTY</w:instrText>
    </w:r>
    <w:r w:rsidRPr="007B29AF">
      <w:rPr>
        <w:sz w:val="18"/>
      </w:rPr>
      <w:instrText xml:space="preserve"> "YearUser" *\charformat </w:instrText>
    </w:r>
    <w:r w:rsidRPr="007B29AF">
      <w:fldChar w:fldCharType="separate"/>
    </w:r>
    <w:r w:rsidRPr="007B29AF">
      <w:t>2010/11</w:t>
    </w:r>
    <w:r w:rsidRPr="007B29AF">
      <w:fldChar w:fldCharType="end"/>
    </w:r>
    <w:r w:rsidRPr="007B29AF">
      <w:t xml:space="preserve"> </w:t>
    </w:r>
    <w:r w:rsidRPr="007B29AF">
      <w:tab/>
      <w:t xml:space="preserve">mnr: </w:t>
    </w:r>
    <w:r w:rsidRPr="007B29AF">
      <w:fldChar w:fldCharType="begin" w:fldLock="1"/>
    </w:r>
    <w:r w:rsidRPr="007B29AF">
      <w:instrText xml:space="preserve"> DOCPROPERTY</w:instrText>
    </w:r>
    <w:r w:rsidRPr="007B29AF">
      <w:rPr>
        <w:sz w:val="18"/>
      </w:rPr>
      <w:instrText xml:space="preserve"> "Motionsnummer" *\charformat </w:instrText>
    </w:r>
    <w:r w:rsidRPr="007B29AF">
      <w:fldChar w:fldCharType="separate"/>
    </w:r>
    <w:r w:rsidRPr="007B29AF">
      <w:t>A316</w:t>
    </w:r>
    <w:r w:rsidRPr="007B29AF">
      <w:fldChar w:fldCharType="end"/>
    </w:r>
    <w:r w:rsidRPr="007B29AF">
      <w:br/>
    </w:r>
    <w:r w:rsidRPr="007B29AF">
      <w:fldChar w:fldCharType="begin" w:fldLock="1"/>
    </w:r>
    <w:r w:rsidRPr="007B29AF">
      <w:instrText xml:space="preserve"> DOCPROPERTY</w:instrText>
    </w:r>
    <w:r w:rsidRPr="007B29AF">
      <w:rPr>
        <w:sz w:val="18"/>
      </w:rPr>
      <w:instrText xml:space="preserve"> "Samling" *\charformat </w:instrText>
    </w:r>
    <w:r w:rsidRPr="007B29AF">
      <w:fldChar w:fldCharType="end"/>
    </w:r>
    <w:r w:rsidRPr="007B29AF">
      <w:tab/>
      <w:t xml:space="preserve">pnr: </w:t>
    </w:r>
    <w:r w:rsidRPr="007B29AF">
      <w:fldChar w:fldCharType="begin" w:fldLock="1"/>
    </w:r>
    <w:r w:rsidRPr="007B29AF">
      <w:instrText xml:space="preserve"> DOCPROPERTY</w:instrText>
    </w:r>
    <w:r w:rsidRPr="007B29AF">
      <w:rPr>
        <w:sz w:val="18"/>
      </w:rPr>
      <w:instrText xml:space="preserve"> "Partinummer" *\charformat </w:instrText>
    </w:r>
    <w:r w:rsidRPr="007B29AF">
      <w:fldChar w:fldCharType="separate"/>
    </w:r>
    <w:r w:rsidRPr="007B29AF">
      <w:t>S34033</w:t>
    </w:r>
    <w:r w:rsidRPr="007B29AF">
      <w:fldChar w:fldCharType="end"/>
    </w:r>
  </w:p>
  <w:p w:rsidR="007B29AF" w:rsidRPr="007B29AF" w:rsidRDefault="007B29AF">
    <w:pPr>
      <w:pStyle w:val="FSHRub1"/>
    </w:pPr>
    <w:r w:rsidRPr="007B29AF">
      <w:t>Motion till riksdagen</w:t>
    </w:r>
    <w:r w:rsidRPr="007B29AF">
      <w:br/>
    </w:r>
    <w:r w:rsidRPr="007B29AF">
      <w:fldChar w:fldCharType="begin" w:fldLock="1"/>
    </w:r>
    <w:r w:rsidRPr="007B29AF">
      <w:instrText xml:space="preserve"> DOCPROPERTY "YearUser" *\charformat </w:instrText>
    </w:r>
    <w:r w:rsidRPr="007B29AF">
      <w:fldChar w:fldCharType="separate"/>
    </w:r>
    <w:r w:rsidRPr="007B29AF">
      <w:t>2010/11</w:t>
    </w:r>
    <w:r w:rsidRPr="007B29AF">
      <w:fldChar w:fldCharType="end"/>
    </w:r>
    <w:r w:rsidRPr="007B29AF">
      <w:t>:</w:t>
    </w:r>
    <w:r w:rsidRPr="007B29AF">
      <w:fldChar w:fldCharType="begin" w:fldLock="1"/>
    </w:r>
    <w:r w:rsidRPr="007B29AF">
      <w:instrText xml:space="preserve"> DOCPROPERTY "Motionsnummer" *\charformat </w:instrText>
    </w:r>
    <w:r w:rsidRPr="007B29AF">
      <w:fldChar w:fldCharType="separate"/>
    </w:r>
    <w:r w:rsidRPr="007B29AF">
      <w:t>A316</w:t>
    </w:r>
    <w:r w:rsidRPr="007B29AF">
      <w:fldChar w:fldCharType="end"/>
    </w:r>
  </w:p>
  <w:p w:rsidR="007B29AF" w:rsidRPr="007B29AF" w:rsidRDefault="007B29AF">
    <w:pPr>
      <w:pStyle w:val="FSHNormalS5"/>
    </w:pPr>
    <w:r w:rsidRPr="007B29AF">
      <w:fldChar w:fldCharType="begin" w:fldLock="1"/>
    </w:r>
    <w:r w:rsidRPr="007B29AF">
      <w:instrText xml:space="preserve"> DOCPROPERTY "MotionarText" *\charformat </w:instrText>
    </w:r>
    <w:r w:rsidRPr="007B29AF">
      <w:fldChar w:fldCharType="separate"/>
    </w:r>
    <w:r w:rsidRPr="007B29AF">
      <w:t>av Hans Hoff m.fl. (S)</w:t>
    </w:r>
    <w:r w:rsidRPr="007B29AF">
      <w:fldChar w:fldCharType="end"/>
    </w:r>
    <w:r w:rsidRPr="007B29AF">
      <w:br/>
    </w:r>
    <w:r w:rsidRPr="007B29AF">
      <w:fldChar w:fldCharType="begin" w:fldLock="1"/>
    </w:r>
    <w:r w:rsidRPr="007B29AF">
      <w:instrText xml:space="preserve"> DOCPROPERTY "SvarFrasKort" *\charformat </w:instrText>
    </w:r>
    <w:r w:rsidRPr="007B29AF">
      <w:fldChar w:fldCharType="end"/>
    </w:r>
  </w:p>
  <w:p w:rsidR="007B29AF" w:rsidRPr="007B29AF" w:rsidRDefault="007B29AF">
    <w:pPr>
      <w:pStyle w:val="FSHTitel"/>
    </w:pPr>
    <w:r w:rsidRPr="007B29AF">
      <w:fldChar w:fldCharType="begin" w:fldLock="1"/>
    </w:r>
    <w:r w:rsidRPr="007B29AF">
      <w:instrText xml:space="preserve"> DOCPROPERTY</w:instrText>
    </w:r>
    <w:r w:rsidRPr="007B29AF">
      <w:rPr>
        <w:sz w:val="18"/>
      </w:rPr>
      <w:instrText xml:space="preserve"> "RubrikSvar" *\charformat </w:instrText>
    </w:r>
    <w:r w:rsidRPr="007B29AF">
      <w:fldChar w:fldCharType="separate"/>
    </w:r>
    <w:r w:rsidRPr="007B29AF">
      <w:t>Tillgänglighet för personer med funktionshinder</w:t>
    </w:r>
    <w:r w:rsidRPr="007B29AF">
      <w:fldChar w:fldCharType="end"/>
    </w:r>
  </w:p>
  <w:p w:rsidR="007B29AF" w:rsidRPr="007B29AF" w:rsidRDefault="007B29AF">
    <w:pPr>
      <w:pStyle w:val="Normal00"/>
    </w:pPr>
  </w:p>
  <w:p w:rsidR="007B29AF" w:rsidRPr="007B29AF" w:rsidRDefault="007B29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4892170">
    <w:abstractNumId w:val="3"/>
  </w:num>
  <w:num w:numId="2" w16cid:durableId="991758474">
    <w:abstractNumId w:val="2"/>
  </w:num>
  <w:num w:numId="3" w16cid:durableId="1055274093">
    <w:abstractNumId w:val="1"/>
  </w:num>
  <w:num w:numId="4" w16cid:durableId="1752582368">
    <w:abstractNumId w:val="0"/>
  </w:num>
  <w:num w:numId="5" w16cid:durableId="1909995237">
    <w:abstractNumId w:val="7"/>
  </w:num>
  <w:num w:numId="6" w16cid:durableId="551963213">
    <w:abstractNumId w:val="6"/>
  </w:num>
  <w:num w:numId="7" w16cid:durableId="776754335">
    <w:abstractNumId w:val="5"/>
  </w:num>
  <w:num w:numId="8" w16cid:durableId="433862357">
    <w:abstractNumId w:val="4"/>
  </w:num>
  <w:num w:numId="9" w16cid:durableId="1026296223">
    <w:abstractNumId w:val="8"/>
  </w:num>
  <w:num w:numId="10" w16cid:durableId="1260217696">
    <w:abstractNumId w:val="9"/>
  </w:num>
  <w:num w:numId="11" w16cid:durableId="1440878004">
    <w:abstractNumId w:val="10"/>
  </w:num>
  <w:num w:numId="12" w16cid:durableId="1905530157">
    <w:abstractNumId w:val="13"/>
  </w:num>
  <w:num w:numId="13" w16cid:durableId="118113129">
    <w:abstractNumId w:val="15"/>
  </w:num>
  <w:num w:numId="14" w16cid:durableId="1711031662">
    <w:abstractNumId w:val="16"/>
  </w:num>
  <w:num w:numId="15" w16cid:durableId="1170487700">
    <w:abstractNumId w:val="11"/>
  </w:num>
  <w:num w:numId="16" w16cid:durableId="363868785">
    <w:abstractNumId w:val="18"/>
  </w:num>
  <w:num w:numId="17" w16cid:durableId="1385838120">
    <w:abstractNumId w:val="17"/>
  </w:num>
  <w:num w:numId="18" w16cid:durableId="1440685903">
    <w:abstractNumId w:val="14"/>
  </w:num>
  <w:num w:numId="19" w16cid:durableId="1505705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35F001-2393-4929-824A-0F0A02C38EC8},{051A49D3-53CD-4642-8F4B-35937085BCA3},{21FF6B0B-AD21-4CAB-A2C8-4585D0AACA1E}"/>
  </w:docVars>
  <w:rsids>
    <w:rsidRoot w:val="00AC098A"/>
    <w:rsid w:val="007B29AF"/>
    <w:rsid w:val="00AC09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269F614-8B03-4CBF-93F7-523D543E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1592</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s34033</vt:lpstr>
    </vt:vector>
  </TitlesOfParts>
  <Company>Riksdagen</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s34033</dc:title>
  <dc:subject>s34033</dc:subject>
  <dc:creator>Riksdagen</dc:creator>
  <cp:keywords>Riksdagen</cp:keywords>
  <dc:description>Versal/gemen i partibeteckning. Gemen i tryck för 0910, versal för 1011 och nyare</dc:description>
  <cp:lastModifiedBy>Lars Brink</cp:lastModifiedBy>
  <cp:revision>2</cp:revision>
  <cp:lastPrinted>2010-12-05T06:57:00Z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Tillgänglighet för personer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för personer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Hoff m.fl. (S)</vt:lpwstr>
  </property>
  <property fmtid="{D5CDD505-2E9C-101B-9397-08002B2CF9AE}" pid="26" name="MotionarLista">
    <vt:lpwstr>Hoff, Hans (S)\Dibrani, Adnan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Adnan Dibrani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20102011000000000115000340330069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20102011000000000115000340330069</vt:lpwstr>
  </property>
  <property fmtid="{D5CDD505-2E9C-101B-9397-08002B2CF9AE}" pid="50" name="nummer">
    <vt:lpwstr>316</vt:lpwstr>
  </property>
  <property fmtid="{D5CDD505-2E9C-101B-9397-08002B2CF9AE}" pid="51" name="utskottsbeteckning">
    <vt:lpwstr>A</vt:lpwstr>
  </property>
  <property fmtid="{D5CDD505-2E9C-101B-9397-08002B2CF9AE}" pid="52" name="GlobalUID">
    <vt:lpwstr>{2180319D-34E0-43AF-8063-3E99D47CCCB0}</vt:lpwstr>
  </property>
  <property fmtid="{D5CDD505-2E9C-101B-9397-08002B2CF9AE}" pid="53" name="Överföringar">
    <vt:i4>0</vt:i4>
  </property>
  <property fmtid="{D5CDD505-2E9C-101B-9397-08002B2CF9AE}" pid="54" name="Checksum">
    <vt:lpwstr>*1003505150415*</vt:lpwstr>
  </property>
  <property fmtid="{D5CDD505-2E9C-101B-9397-08002B2CF9AE}" pid="55" name="skuggnummer">
    <vt:lpwstr>1780</vt:lpwstr>
  </property>
  <property fmtid="{D5CDD505-2E9C-101B-9397-08002B2CF9AE}" pid="56" name="urixVersion">
    <vt:lpwstr>4.3.2.0</vt:lpwstr>
  </property>
  <property fmtid="{D5CDD505-2E9C-101B-9397-08002B2CF9AE}" pid="57" name="urixOrigin">
    <vt:lpwstr>101205 07:57:05.169</vt:lpwstr>
  </property>
  <property fmtid="{D5CDD505-2E9C-101B-9397-08002B2CF9AE}" pid="58" name="urixGuid">
    <vt:lpwstr>{20D3401C-1737-4F80-80D5-C0613F150894}</vt:lpwstr>
  </property>
</Properties>
</file>