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A991BF3"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415647">
              <w:rPr>
                <w:b/>
                <w:lang w:eastAsia="en-US"/>
              </w:rPr>
              <w:t>28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3E6D85A"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415647">
              <w:rPr>
                <w:lang w:eastAsia="en-US"/>
              </w:rPr>
              <w:t>02-27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86EC4F8" w:rsidR="00626DFC" w:rsidRPr="005F6757" w:rsidRDefault="000A3E79" w:rsidP="00B427F9">
            <w:pPr>
              <w:spacing w:line="252" w:lineRule="auto"/>
              <w:rPr>
                <w:color w:val="000000" w:themeColor="text1"/>
                <w:lang w:eastAsia="en-US"/>
              </w:rPr>
            </w:pPr>
            <w:r>
              <w:rPr>
                <w:color w:val="000000" w:themeColor="text1"/>
                <w:lang w:eastAsia="en-US"/>
              </w:rPr>
              <w:t>0</w:t>
            </w:r>
            <w:r w:rsidR="00415647">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297F15">
              <w:rPr>
                <w:color w:val="000000" w:themeColor="text1"/>
                <w:lang w:eastAsia="en-US"/>
              </w:rPr>
              <w:t>10.30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18495CFE" w:rsidR="00221CE3" w:rsidRDefault="00415647">
            <w:pPr>
              <w:spacing w:line="256" w:lineRule="auto"/>
              <w:rPr>
                <w:rFonts w:eastAsiaTheme="minorHAnsi"/>
                <w:color w:val="000000"/>
                <w:lang w:eastAsia="en-US"/>
              </w:rPr>
            </w:pPr>
            <w:r>
              <w:rPr>
                <w:b/>
              </w:rPr>
              <w:t>Rättsliga och inrikes frågor</w:t>
            </w:r>
            <w:r>
              <w:rPr>
                <w:b/>
              </w:rPr>
              <w:br/>
            </w:r>
            <w:r>
              <w:rPr>
                <w:bCs/>
              </w:rPr>
              <w:t>Migrationsminister Johan Forssell</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Justitie</w:t>
            </w:r>
            <w:r w:rsidR="003B4C1F" w:rsidRPr="003B4C1F">
              <w:rPr>
                <w:rFonts w:eastAsiaTheme="minorHAnsi"/>
                <w:lang w:eastAsia="en-US"/>
              </w:rPr>
              <w:t>departementet</w:t>
            </w:r>
            <w:r w:rsidR="00297F15">
              <w:rPr>
                <w:rFonts w:eastAsiaTheme="minorHAnsi"/>
                <w:lang w:eastAsia="en-US"/>
              </w:rPr>
              <w:t>, Socialdepartementet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sidRPr="00415647">
              <w:rPr>
                <w:rFonts w:eastAsiaTheme="minorHAnsi"/>
                <w:color w:val="000000"/>
                <w:lang w:eastAsia="en-US"/>
              </w:rPr>
              <w:t xml:space="preserve">5–6 </w:t>
            </w:r>
            <w:r>
              <w:rPr>
                <w:rFonts w:eastAsiaTheme="minorHAnsi"/>
                <w:color w:val="000000"/>
                <w:lang w:eastAsia="en-US"/>
              </w:rPr>
              <w:t>mars 2026.</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3E744D0" w14:textId="451F27C8"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415647">
              <w:rPr>
                <w:rFonts w:eastAsiaTheme="minorHAnsi"/>
                <w:b/>
                <w:bCs/>
                <w:color w:val="000000"/>
                <w:lang w:eastAsia="en-US"/>
              </w:rPr>
              <w:t xml:space="preserve"> </w:t>
            </w:r>
            <w:r w:rsidR="00415647" w:rsidRPr="00415647">
              <w:rPr>
                <w:rFonts w:eastAsiaTheme="minorHAnsi"/>
                <w:b/>
                <w:bCs/>
                <w:color w:val="000000"/>
                <w:lang w:eastAsia="en-US"/>
              </w:rPr>
              <w:t>8–9 december 2025</w:t>
            </w:r>
          </w:p>
          <w:p w14:paraId="7E5282B5" w14:textId="16B42DBC" w:rsidR="00AD5233" w:rsidRDefault="00AD523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informellt ministermöte den</w:t>
            </w:r>
            <w:r w:rsidR="00415647">
              <w:rPr>
                <w:rFonts w:eastAsiaTheme="minorHAnsi"/>
                <w:b/>
                <w:bCs/>
                <w:color w:val="000000"/>
                <w:lang w:eastAsia="en-US"/>
              </w:rPr>
              <w:t xml:space="preserve"> </w:t>
            </w:r>
            <w:r w:rsidR="00415647" w:rsidRPr="00415647">
              <w:rPr>
                <w:rFonts w:eastAsiaTheme="minorHAnsi"/>
                <w:b/>
                <w:bCs/>
                <w:color w:val="000000"/>
                <w:lang w:eastAsia="en-US"/>
              </w:rPr>
              <w:t>22–23 januari 2026</w:t>
            </w:r>
          </w:p>
          <w:p w14:paraId="3C89CF2D" w14:textId="3910C43A" w:rsidR="00415647" w:rsidRPr="00415647" w:rsidRDefault="003B4C1F" w:rsidP="00415647">
            <w:pPr>
              <w:spacing w:line="256" w:lineRule="auto"/>
              <w:rPr>
                <w:b/>
                <w:lang w:eastAsia="en-US"/>
              </w:rPr>
            </w:pPr>
            <w:r w:rsidRPr="003B4C1F">
              <w:rPr>
                <w:b/>
                <w:snapToGrid w:val="0"/>
                <w:color w:val="000000" w:themeColor="text1"/>
                <w:lang w:eastAsia="en-US"/>
              </w:rPr>
              <w:br/>
              <w:t xml:space="preserve">- </w:t>
            </w:r>
            <w:r w:rsidR="00415647" w:rsidRPr="00415647">
              <w:rPr>
                <w:b/>
                <w:lang w:eastAsia="en-US"/>
              </w:rPr>
              <w:t>Det övergripande läget i Schengenområdet</w:t>
            </w:r>
          </w:p>
          <w:p w14:paraId="0DDDB922" w14:textId="35EB942D" w:rsidR="00415647" w:rsidRDefault="00415647" w:rsidP="00415647">
            <w:pPr>
              <w:pStyle w:val="Liststycke"/>
              <w:numPr>
                <w:ilvl w:val="0"/>
                <w:numId w:val="36"/>
              </w:numPr>
              <w:spacing w:line="256" w:lineRule="auto"/>
              <w:rPr>
                <w:b/>
                <w:lang w:eastAsia="en-US"/>
              </w:rPr>
            </w:pPr>
            <w:r w:rsidRPr="00415647">
              <w:rPr>
                <w:b/>
                <w:lang w:eastAsia="en-US"/>
              </w:rPr>
              <w:t>Schengenbarometern</w:t>
            </w:r>
          </w:p>
          <w:p w14:paraId="2B093D71" w14:textId="77777777" w:rsidR="00D57339" w:rsidRDefault="00D57339" w:rsidP="00D57339">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790FB28" w14:textId="77777777" w:rsidR="00D57339" w:rsidRPr="00D57339" w:rsidRDefault="00D57339" w:rsidP="00D57339">
            <w:pPr>
              <w:spacing w:line="256" w:lineRule="auto"/>
              <w:rPr>
                <w:b/>
                <w:lang w:eastAsia="en-US"/>
              </w:rPr>
            </w:pPr>
          </w:p>
          <w:p w14:paraId="75C4BFBD" w14:textId="6267512F" w:rsidR="003B4C1F" w:rsidRPr="00415647" w:rsidRDefault="00415647" w:rsidP="00415647">
            <w:pPr>
              <w:pStyle w:val="Liststycke"/>
              <w:numPr>
                <w:ilvl w:val="0"/>
                <w:numId w:val="36"/>
              </w:numPr>
              <w:spacing w:line="256" w:lineRule="auto"/>
              <w:rPr>
                <w:b/>
                <w:lang w:eastAsia="en-US"/>
              </w:rPr>
            </w:pPr>
            <w:r w:rsidRPr="00415647">
              <w:rPr>
                <w:b/>
                <w:lang w:eastAsia="en-US"/>
              </w:rPr>
              <w:t>Genomförandet av prioriteringarna för Schengenrådets cykel: incitament för frivilligt återvändande</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9F53F54" w14:textId="0180EA54" w:rsidR="006830D7" w:rsidRPr="003B4C1F" w:rsidRDefault="00193E41" w:rsidP="006830D7">
            <w:pPr>
              <w:spacing w:line="256" w:lineRule="auto"/>
              <w:rPr>
                <w:rFonts w:eastAsiaTheme="minorHAnsi"/>
                <w:color w:val="000000" w:themeColor="text1"/>
                <w:lang w:eastAsia="en-US"/>
              </w:rPr>
            </w:pPr>
            <w:r>
              <w:rPr>
                <w:rFonts w:eastAsiaTheme="minorHAnsi"/>
                <w:color w:val="000000" w:themeColor="text1"/>
                <w:lang w:eastAsia="en-US"/>
              </w:rPr>
              <w:t>V-, C- och MP</w:t>
            </w:r>
            <w:r w:rsidR="006830D7">
              <w:rPr>
                <w:rFonts w:eastAsiaTheme="minorHAnsi"/>
                <w:color w:val="000000" w:themeColor="text1"/>
                <w:lang w:eastAsia="en-US"/>
              </w:rPr>
              <w:t>-ledamöterna anmälde avvikande ståndpunkt.</w:t>
            </w:r>
          </w:p>
          <w:p w14:paraId="59874BB9" w14:textId="77777777" w:rsidR="006830D7" w:rsidRDefault="006830D7">
            <w:pPr>
              <w:spacing w:line="256" w:lineRule="auto"/>
              <w:rPr>
                <w:rFonts w:eastAsiaTheme="minorHAnsi"/>
                <w:color w:val="000000" w:themeColor="text1"/>
                <w:lang w:eastAsia="en-US"/>
              </w:rPr>
            </w:pPr>
          </w:p>
          <w:p w14:paraId="33E46A14" w14:textId="72ED5529"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 xml:space="preserve">Genomförandet av </w:t>
            </w:r>
            <w:proofErr w:type="spellStart"/>
            <w:r w:rsidRPr="00415647">
              <w:rPr>
                <w:b/>
                <w:lang w:eastAsia="en-US"/>
              </w:rPr>
              <w:t>interoperabilitet</w:t>
            </w:r>
            <w:proofErr w:type="spellEnd"/>
            <w:r w:rsidRPr="00415647">
              <w:rPr>
                <w:b/>
                <w:lang w:eastAsia="en-US"/>
              </w:rPr>
              <w:t>: reviderad färdplan för tiden efter 2026</w:t>
            </w:r>
          </w:p>
          <w:p w14:paraId="5CC6502A"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55EE0D7" w14:textId="77777777" w:rsidR="00415647" w:rsidRDefault="00415647">
            <w:pPr>
              <w:spacing w:line="256" w:lineRule="auto"/>
              <w:rPr>
                <w:rFonts w:eastAsiaTheme="minorHAnsi"/>
                <w:color w:val="000000" w:themeColor="text1"/>
                <w:lang w:eastAsia="en-US"/>
              </w:rPr>
            </w:pPr>
          </w:p>
          <w:p w14:paraId="377B19BB" w14:textId="504DAE3D" w:rsidR="00415647" w:rsidRPr="00415647" w:rsidRDefault="00415647" w:rsidP="00415647">
            <w:pPr>
              <w:spacing w:line="256" w:lineRule="auto"/>
              <w:rPr>
                <w:b/>
                <w:lang w:eastAsia="en-US"/>
              </w:rPr>
            </w:pPr>
            <w:r w:rsidRPr="003B4C1F">
              <w:rPr>
                <w:b/>
                <w:snapToGrid w:val="0"/>
                <w:color w:val="000000" w:themeColor="text1"/>
                <w:lang w:eastAsia="en-US"/>
              </w:rPr>
              <w:t xml:space="preserve">- </w:t>
            </w:r>
            <w:r w:rsidRPr="00415647">
              <w:rPr>
                <w:b/>
                <w:lang w:eastAsia="en-US"/>
              </w:rPr>
              <w:t>Övriga frågor</w:t>
            </w:r>
          </w:p>
          <w:p w14:paraId="7D07C206" w14:textId="3BFC701C" w:rsidR="00415647" w:rsidRPr="00415647" w:rsidRDefault="00415647" w:rsidP="00415647">
            <w:pPr>
              <w:pStyle w:val="Liststycke"/>
              <w:numPr>
                <w:ilvl w:val="0"/>
                <w:numId w:val="39"/>
              </w:numPr>
              <w:spacing w:line="256" w:lineRule="auto"/>
              <w:rPr>
                <w:b/>
                <w:lang w:eastAsia="en-US"/>
              </w:rPr>
            </w:pPr>
            <w:r w:rsidRPr="00415647">
              <w:rPr>
                <w:b/>
                <w:lang w:eastAsia="en-US"/>
              </w:rPr>
              <w:t>Aktuella lagstiftningsförslag</w:t>
            </w:r>
          </w:p>
          <w:p w14:paraId="5E11B8DE" w14:textId="77777777" w:rsidR="00415647" w:rsidRDefault="00415647">
            <w:pPr>
              <w:spacing w:line="256" w:lineRule="auto"/>
              <w:rPr>
                <w:rFonts w:eastAsiaTheme="minorHAnsi"/>
                <w:color w:val="000000" w:themeColor="text1"/>
                <w:lang w:eastAsia="en-US"/>
              </w:rPr>
            </w:pPr>
          </w:p>
          <w:p w14:paraId="5FA06EEE" w14:textId="65AA55EB"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Migrationens yttre dimension</w:t>
            </w:r>
          </w:p>
          <w:p w14:paraId="4AA7492D"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AF1180" w14:textId="29748F66" w:rsidR="00415647" w:rsidRDefault="001A2DB8" w:rsidP="00415647">
            <w:pPr>
              <w:spacing w:line="256" w:lineRule="auto"/>
              <w:rPr>
                <w:rFonts w:eastAsiaTheme="minorHAnsi"/>
                <w:color w:val="000000" w:themeColor="text1"/>
                <w:lang w:eastAsia="en-US"/>
              </w:rPr>
            </w:pPr>
            <w:r>
              <w:rPr>
                <w:rFonts w:eastAsiaTheme="minorHAnsi"/>
                <w:color w:val="000000" w:themeColor="text1"/>
                <w:lang w:eastAsia="en-US"/>
              </w:rPr>
              <w:t>V</w:t>
            </w:r>
            <w:r w:rsidR="00415647">
              <w:rPr>
                <w:rFonts w:eastAsiaTheme="minorHAnsi"/>
                <w:color w:val="000000" w:themeColor="text1"/>
                <w:lang w:eastAsia="en-US"/>
              </w:rPr>
              <w:t>-</w:t>
            </w:r>
            <w:r>
              <w:rPr>
                <w:rFonts w:eastAsiaTheme="minorHAnsi"/>
                <w:color w:val="000000" w:themeColor="text1"/>
                <w:lang w:eastAsia="en-US"/>
              </w:rPr>
              <w:t>, C-</w:t>
            </w:r>
            <w:r w:rsidR="00415647">
              <w:rPr>
                <w:rFonts w:eastAsiaTheme="minorHAnsi"/>
                <w:color w:val="000000" w:themeColor="text1"/>
                <w:lang w:eastAsia="en-US"/>
              </w:rPr>
              <w:t xml:space="preserve"> och </w:t>
            </w:r>
            <w:r>
              <w:rPr>
                <w:rFonts w:eastAsiaTheme="minorHAnsi"/>
                <w:color w:val="000000" w:themeColor="text1"/>
                <w:lang w:eastAsia="en-US"/>
              </w:rPr>
              <w:t>MP</w:t>
            </w:r>
            <w:r w:rsidR="00415647">
              <w:rPr>
                <w:rFonts w:eastAsiaTheme="minorHAnsi"/>
                <w:color w:val="000000" w:themeColor="text1"/>
                <w:lang w:eastAsia="en-US"/>
              </w:rPr>
              <w:t>-ledamöterna anmälde avvikande ståndpunkt.</w:t>
            </w:r>
          </w:p>
          <w:p w14:paraId="4E7156F9" w14:textId="3AA48DB1" w:rsidR="001A2DB8" w:rsidRPr="003B4C1F" w:rsidRDefault="001A2DB8" w:rsidP="001A2DB8">
            <w:pPr>
              <w:spacing w:line="256" w:lineRule="auto"/>
              <w:rPr>
                <w:rFonts w:eastAsiaTheme="minorHAnsi"/>
                <w:color w:val="000000" w:themeColor="text1"/>
                <w:lang w:eastAsia="en-US"/>
              </w:rPr>
            </w:pPr>
            <w:r>
              <w:rPr>
                <w:rFonts w:eastAsiaTheme="minorHAnsi"/>
                <w:color w:val="000000" w:themeColor="text1"/>
                <w:lang w:eastAsia="en-US"/>
              </w:rPr>
              <w:t>V-ledamoten anmälde avvikande ståndpunkt.</w:t>
            </w:r>
          </w:p>
          <w:p w14:paraId="3C388704" w14:textId="77777777" w:rsidR="00415647" w:rsidRDefault="00415647">
            <w:pPr>
              <w:spacing w:line="256" w:lineRule="auto"/>
              <w:rPr>
                <w:rFonts w:eastAsiaTheme="minorHAnsi"/>
                <w:color w:val="000000" w:themeColor="text1"/>
                <w:lang w:eastAsia="en-US"/>
              </w:rPr>
            </w:pPr>
          </w:p>
          <w:p w14:paraId="3A756DFB" w14:textId="1E8CDC2C"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Genomförandet av migrations- och asylpakten</w:t>
            </w:r>
          </w:p>
          <w:p w14:paraId="657EDEED"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lastRenderedPageBreak/>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F3B1A0A" w14:textId="69293770" w:rsidR="00415647" w:rsidRPr="003B4C1F" w:rsidRDefault="00C04A86" w:rsidP="00415647">
            <w:pPr>
              <w:spacing w:line="256" w:lineRule="auto"/>
              <w:rPr>
                <w:rFonts w:eastAsiaTheme="minorHAnsi"/>
                <w:color w:val="000000" w:themeColor="text1"/>
                <w:lang w:eastAsia="en-US"/>
              </w:rPr>
            </w:pPr>
            <w:r>
              <w:rPr>
                <w:rFonts w:eastAsiaTheme="minorHAnsi"/>
                <w:color w:val="000000" w:themeColor="text1"/>
                <w:lang w:eastAsia="en-US"/>
              </w:rPr>
              <w:t>V</w:t>
            </w:r>
            <w:r w:rsidR="00415647">
              <w:rPr>
                <w:rFonts w:eastAsiaTheme="minorHAnsi"/>
                <w:color w:val="000000" w:themeColor="text1"/>
                <w:lang w:eastAsia="en-US"/>
              </w:rPr>
              <w:t xml:space="preserve">- och </w:t>
            </w:r>
            <w:r>
              <w:rPr>
                <w:rFonts w:eastAsiaTheme="minorHAnsi"/>
                <w:color w:val="000000" w:themeColor="text1"/>
                <w:lang w:eastAsia="en-US"/>
              </w:rPr>
              <w:t>MP</w:t>
            </w:r>
            <w:r w:rsidR="00415647">
              <w:rPr>
                <w:rFonts w:eastAsiaTheme="minorHAnsi"/>
                <w:color w:val="000000" w:themeColor="text1"/>
                <w:lang w:eastAsia="en-US"/>
              </w:rPr>
              <w:t>-ledamöterna anmälde avvikande ståndpunkt</w:t>
            </w:r>
            <w:r>
              <w:rPr>
                <w:rFonts w:eastAsiaTheme="minorHAnsi"/>
                <w:color w:val="000000" w:themeColor="text1"/>
                <w:lang w:eastAsia="en-US"/>
              </w:rPr>
              <w:t>.</w:t>
            </w:r>
          </w:p>
          <w:p w14:paraId="29C6609F" w14:textId="77777777" w:rsidR="00415647" w:rsidRDefault="00415647">
            <w:pPr>
              <w:spacing w:line="256" w:lineRule="auto"/>
              <w:rPr>
                <w:rFonts w:eastAsiaTheme="minorHAnsi"/>
                <w:color w:val="000000" w:themeColor="text1"/>
                <w:lang w:eastAsia="en-US"/>
              </w:rPr>
            </w:pPr>
          </w:p>
          <w:p w14:paraId="49283B1A" w14:textId="10D49EF4"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Slutsatser om EU:s strategiska ram för narkotika</w:t>
            </w:r>
          </w:p>
          <w:p w14:paraId="2770437E"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046DA0E" w14:textId="77777777" w:rsidR="00415647" w:rsidRDefault="00415647">
            <w:pPr>
              <w:spacing w:line="256" w:lineRule="auto"/>
              <w:rPr>
                <w:rFonts w:eastAsiaTheme="minorHAnsi"/>
                <w:color w:val="000000" w:themeColor="text1"/>
                <w:lang w:eastAsia="en-US"/>
              </w:rPr>
            </w:pPr>
          </w:p>
          <w:p w14:paraId="49E1410E" w14:textId="1EFBE1CC"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Europols framtid</w:t>
            </w:r>
          </w:p>
          <w:p w14:paraId="75D363B9"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F78CCD" w14:textId="22940F35" w:rsidR="00415647" w:rsidRDefault="00443D95">
            <w:pPr>
              <w:spacing w:line="256" w:lineRule="auto"/>
              <w:rPr>
                <w:rFonts w:eastAsiaTheme="minorHAnsi"/>
                <w:color w:val="000000" w:themeColor="text1"/>
                <w:lang w:eastAsia="en-US"/>
              </w:rPr>
            </w:pPr>
            <w:r>
              <w:rPr>
                <w:rFonts w:eastAsiaTheme="minorHAnsi"/>
                <w:color w:val="000000" w:themeColor="text1"/>
                <w:lang w:eastAsia="en-US"/>
              </w:rPr>
              <w:t>S</w:t>
            </w:r>
            <w:r w:rsidR="00415647">
              <w:rPr>
                <w:rFonts w:eastAsiaTheme="minorHAnsi"/>
                <w:color w:val="000000" w:themeColor="text1"/>
                <w:lang w:eastAsia="en-US"/>
              </w:rPr>
              <w:t>-ledamöterna anmälde avvikande ståndpunkt</w:t>
            </w:r>
            <w:r>
              <w:rPr>
                <w:rFonts w:eastAsiaTheme="minorHAnsi"/>
                <w:color w:val="000000" w:themeColor="text1"/>
                <w:lang w:eastAsia="en-US"/>
              </w:rPr>
              <w:t>.</w:t>
            </w:r>
          </w:p>
          <w:p w14:paraId="72954A3D" w14:textId="77777777" w:rsidR="00443D95" w:rsidRDefault="00443D95">
            <w:pPr>
              <w:spacing w:line="256" w:lineRule="auto"/>
              <w:rPr>
                <w:rFonts w:eastAsiaTheme="minorHAnsi"/>
                <w:color w:val="000000" w:themeColor="text1"/>
                <w:lang w:eastAsia="en-US"/>
              </w:rPr>
            </w:pPr>
          </w:p>
          <w:p w14:paraId="371270EB" w14:textId="62C57ED7"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Den nuvarande geopolitiska miljöns inverkan på EU:s inre säkerhet: situationen i Syrien</w:t>
            </w:r>
          </w:p>
          <w:p w14:paraId="5022E2FF" w14:textId="2CF37D53" w:rsidR="00415647" w:rsidRPr="003B4C1F"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92BF994" w14:textId="77777777" w:rsidR="00415647" w:rsidRDefault="00415647">
            <w:pPr>
              <w:spacing w:line="256" w:lineRule="auto"/>
              <w:rPr>
                <w:rFonts w:eastAsiaTheme="minorHAnsi"/>
                <w:color w:val="000000" w:themeColor="text1"/>
                <w:lang w:eastAsia="en-US"/>
              </w:rPr>
            </w:pPr>
          </w:p>
          <w:p w14:paraId="7C96CAC6" w14:textId="2BED1439" w:rsidR="00415647" w:rsidRPr="00415647" w:rsidRDefault="00415647" w:rsidP="00415647">
            <w:pPr>
              <w:spacing w:line="256" w:lineRule="auto"/>
              <w:rPr>
                <w:b/>
                <w:lang w:eastAsia="en-US"/>
              </w:rPr>
            </w:pPr>
            <w:r w:rsidRPr="003B4C1F">
              <w:rPr>
                <w:b/>
                <w:snapToGrid w:val="0"/>
                <w:color w:val="000000" w:themeColor="text1"/>
                <w:lang w:eastAsia="en-US"/>
              </w:rPr>
              <w:t xml:space="preserve">- </w:t>
            </w:r>
            <w:r w:rsidRPr="00415647">
              <w:rPr>
                <w:b/>
                <w:lang w:eastAsia="en-US"/>
              </w:rPr>
              <w:t>Övriga frågor</w:t>
            </w:r>
          </w:p>
          <w:p w14:paraId="51C10B49" w14:textId="4BEAC0B3" w:rsidR="00415647" w:rsidRPr="00415647" w:rsidRDefault="00415647" w:rsidP="00415647">
            <w:pPr>
              <w:pStyle w:val="Liststycke"/>
              <w:numPr>
                <w:ilvl w:val="0"/>
                <w:numId w:val="40"/>
              </w:numPr>
              <w:spacing w:line="256" w:lineRule="auto"/>
              <w:rPr>
                <w:b/>
                <w:snapToGrid w:val="0"/>
                <w:color w:val="000000" w:themeColor="text1"/>
                <w:lang w:eastAsia="en-US"/>
              </w:rPr>
            </w:pPr>
            <w:r w:rsidRPr="00415647">
              <w:rPr>
                <w:b/>
                <w:lang w:eastAsia="en-US"/>
              </w:rPr>
              <w:t>EU-agendan för att förebygga och bekämpa terrorism och våldsbejakande extremism</w:t>
            </w:r>
          </w:p>
          <w:p w14:paraId="5B045F18" w14:textId="47FB13F3" w:rsidR="00415647" w:rsidRDefault="00443D95">
            <w:pPr>
              <w:spacing w:line="256" w:lineRule="auto"/>
            </w:pPr>
            <w:r>
              <w:t xml:space="preserve">Information från kommissionen om ukrainska flyktingar i EU. </w:t>
            </w:r>
          </w:p>
          <w:p w14:paraId="2EFDFB30" w14:textId="77777777" w:rsidR="00443D95" w:rsidRDefault="00443D95">
            <w:pPr>
              <w:spacing w:line="256" w:lineRule="auto"/>
              <w:rPr>
                <w:rFonts w:eastAsiaTheme="minorHAnsi"/>
                <w:color w:val="000000" w:themeColor="text1"/>
                <w:lang w:eastAsia="en-US"/>
              </w:rPr>
            </w:pPr>
          </w:p>
          <w:p w14:paraId="67483034" w14:textId="0E8ED8A2"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Förordningen om skydd för vuxna</w:t>
            </w:r>
          </w:p>
          <w:p w14:paraId="576E2E34"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69A48326" w14:textId="77777777" w:rsidR="00415647" w:rsidRDefault="00415647">
            <w:pPr>
              <w:spacing w:line="256" w:lineRule="auto"/>
              <w:rPr>
                <w:rFonts w:eastAsiaTheme="minorHAnsi"/>
                <w:color w:val="000000" w:themeColor="text1"/>
                <w:lang w:eastAsia="en-US"/>
              </w:rPr>
            </w:pPr>
          </w:p>
          <w:p w14:paraId="3FFD0815" w14:textId="67BADDAD" w:rsidR="00415647" w:rsidRPr="00415647" w:rsidRDefault="00415647" w:rsidP="00415647">
            <w:pPr>
              <w:spacing w:line="256" w:lineRule="auto"/>
              <w:rPr>
                <w:b/>
                <w:lang w:eastAsia="en-US"/>
              </w:rPr>
            </w:pPr>
            <w:r w:rsidRPr="003B4C1F">
              <w:rPr>
                <w:b/>
                <w:snapToGrid w:val="0"/>
                <w:color w:val="000000" w:themeColor="text1"/>
                <w:lang w:eastAsia="en-US"/>
              </w:rPr>
              <w:t xml:space="preserve">- </w:t>
            </w:r>
            <w:r w:rsidRPr="00415647">
              <w:rPr>
                <w:b/>
                <w:lang w:eastAsia="en-US"/>
              </w:rPr>
              <w:t>Övriga frågor</w:t>
            </w:r>
          </w:p>
          <w:p w14:paraId="5F695650" w14:textId="3C252386" w:rsidR="00415647" w:rsidRPr="00415647" w:rsidRDefault="00415647" w:rsidP="00415647">
            <w:pPr>
              <w:pStyle w:val="Liststycke"/>
              <w:numPr>
                <w:ilvl w:val="0"/>
                <w:numId w:val="41"/>
              </w:numPr>
              <w:spacing w:line="256" w:lineRule="auto"/>
              <w:rPr>
                <w:b/>
                <w:snapToGrid w:val="0"/>
                <w:color w:val="000000" w:themeColor="text1"/>
                <w:lang w:eastAsia="en-US"/>
              </w:rPr>
            </w:pPr>
            <w:r w:rsidRPr="00415647">
              <w:rPr>
                <w:b/>
                <w:lang w:eastAsia="en-US"/>
              </w:rPr>
              <w:t>Aktuella lagstiftningsförslag</w:t>
            </w:r>
          </w:p>
          <w:p w14:paraId="160881D4" w14:textId="77777777" w:rsidR="00415647" w:rsidRDefault="00415647">
            <w:pPr>
              <w:spacing w:line="256" w:lineRule="auto"/>
              <w:rPr>
                <w:rFonts w:eastAsiaTheme="minorHAnsi"/>
                <w:color w:val="000000" w:themeColor="text1"/>
                <w:lang w:eastAsia="en-US"/>
              </w:rPr>
            </w:pPr>
          </w:p>
          <w:p w14:paraId="1D3378AE" w14:textId="0C4D8A8D"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Rysslands anfallskrig mot Ukraina: kampen mot strafflöshet</w:t>
            </w:r>
          </w:p>
          <w:p w14:paraId="42B4627F" w14:textId="36649A42" w:rsidR="00415647" w:rsidRDefault="00415647">
            <w:pPr>
              <w:spacing w:line="256" w:lineRule="auto"/>
              <w:rPr>
                <w:rFonts w:eastAsiaTheme="minorHAnsi"/>
                <w:color w:val="000000" w:themeColor="text1"/>
                <w:lang w:eastAsia="en-US"/>
              </w:rPr>
            </w:pPr>
          </w:p>
          <w:p w14:paraId="53E91CCF" w14:textId="43C16B9C"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t xml:space="preserve">- </w:t>
            </w:r>
            <w:r w:rsidRPr="00415647">
              <w:rPr>
                <w:b/>
                <w:lang w:eastAsia="en-US"/>
              </w:rPr>
              <w:t>Advokaternas oberoende i Europa: EU:s roll och Europarådets konvention</w:t>
            </w:r>
          </w:p>
          <w:p w14:paraId="5D8BF31A"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169D3A5" w14:textId="77777777" w:rsidR="00415647" w:rsidRDefault="00415647">
            <w:pPr>
              <w:spacing w:line="256" w:lineRule="auto"/>
              <w:rPr>
                <w:rFonts w:eastAsiaTheme="minorHAnsi"/>
                <w:color w:val="000000" w:themeColor="text1"/>
                <w:lang w:eastAsia="en-US"/>
              </w:rPr>
            </w:pPr>
          </w:p>
          <w:p w14:paraId="332ACCAD" w14:textId="2B372FC2" w:rsidR="004574BA" w:rsidRPr="004574BA" w:rsidRDefault="00415647" w:rsidP="004574BA">
            <w:pPr>
              <w:spacing w:line="256" w:lineRule="auto"/>
              <w:rPr>
                <w:b/>
                <w:lang w:eastAsia="en-US"/>
              </w:rPr>
            </w:pPr>
            <w:r w:rsidRPr="003B4C1F">
              <w:rPr>
                <w:b/>
                <w:snapToGrid w:val="0"/>
                <w:color w:val="000000" w:themeColor="text1"/>
                <w:lang w:eastAsia="en-US"/>
              </w:rPr>
              <w:t xml:space="preserve">- </w:t>
            </w:r>
            <w:r w:rsidR="004574BA" w:rsidRPr="004574BA">
              <w:rPr>
                <w:b/>
                <w:lang w:eastAsia="en-US"/>
              </w:rPr>
              <w:t>Övriga frågor</w:t>
            </w:r>
          </w:p>
          <w:p w14:paraId="66F800E8" w14:textId="77777777" w:rsidR="004574BA" w:rsidRDefault="004574BA" w:rsidP="004574BA">
            <w:pPr>
              <w:pStyle w:val="Liststycke"/>
              <w:numPr>
                <w:ilvl w:val="0"/>
                <w:numId w:val="42"/>
              </w:numPr>
              <w:spacing w:line="256" w:lineRule="auto"/>
              <w:rPr>
                <w:b/>
                <w:lang w:eastAsia="en-US"/>
              </w:rPr>
            </w:pPr>
            <w:r w:rsidRPr="004574BA">
              <w:rPr>
                <w:b/>
                <w:lang w:eastAsia="en-US"/>
              </w:rPr>
              <w:t>Initiativ om dagen för rättsväsendets oberoende</w:t>
            </w:r>
          </w:p>
          <w:p w14:paraId="6CF8BF73" w14:textId="32865858" w:rsidR="00415647" w:rsidRPr="004574BA" w:rsidRDefault="004574BA" w:rsidP="004574BA">
            <w:pPr>
              <w:pStyle w:val="Liststycke"/>
              <w:numPr>
                <w:ilvl w:val="0"/>
                <w:numId w:val="42"/>
              </w:numPr>
              <w:spacing w:line="256" w:lineRule="auto"/>
              <w:rPr>
                <w:b/>
                <w:lang w:eastAsia="en-US"/>
              </w:rPr>
            </w:pPr>
            <w:r w:rsidRPr="004574BA">
              <w:rPr>
                <w:b/>
                <w:lang w:eastAsia="en-US"/>
              </w:rPr>
              <w:t>Översyn av Eurojustförordningen</w:t>
            </w:r>
          </w:p>
          <w:p w14:paraId="3E8B5D3E" w14:textId="77777777" w:rsidR="003B4C1F" w:rsidRPr="003B4C1F" w:rsidRDefault="003B4C1F" w:rsidP="00443D95">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1CDD0B92" w14:textId="62F8134B" w:rsidR="00415647" w:rsidRDefault="00415647" w:rsidP="00415647">
            <w:pPr>
              <w:spacing w:line="256" w:lineRule="auto"/>
              <w:rPr>
                <w:rFonts w:eastAsiaTheme="minorHAnsi"/>
                <w:color w:val="000000"/>
                <w:lang w:eastAsia="en-US"/>
              </w:rPr>
            </w:pPr>
            <w:r w:rsidRPr="007732BB">
              <w:rPr>
                <w:b/>
              </w:rPr>
              <w:t>Rättsliga och inrikes frågor</w:t>
            </w:r>
            <w:r w:rsidRPr="007732BB">
              <w:rPr>
                <w:b/>
              </w:rPr>
              <w:br/>
            </w:r>
            <w:r>
              <w:rPr>
                <w:bCs/>
              </w:rPr>
              <w:t>Jämställdhetsminister Nina Larsson</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ån Arbetsmarknads</w:t>
            </w:r>
            <w:r w:rsidRPr="003B4C1F">
              <w:rPr>
                <w:rFonts w:eastAsiaTheme="minorHAnsi"/>
                <w:lang w:eastAsia="en-US"/>
              </w:rPr>
              <w:t>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w:t>
            </w:r>
            <w:r w:rsidRPr="00415647">
              <w:rPr>
                <w:rFonts w:eastAsiaTheme="minorHAnsi"/>
                <w:color w:val="000000"/>
                <w:lang w:eastAsia="en-US"/>
              </w:rPr>
              <w:t xml:space="preserve">5–6 </w:t>
            </w:r>
            <w:r>
              <w:rPr>
                <w:rFonts w:eastAsiaTheme="minorHAnsi"/>
                <w:color w:val="000000"/>
                <w:lang w:eastAsia="en-US"/>
              </w:rPr>
              <w:t>mars 2026.</w:t>
            </w:r>
          </w:p>
          <w:p w14:paraId="6711AC17" w14:textId="77777777" w:rsidR="00415647" w:rsidRPr="00AD5233" w:rsidRDefault="00415647" w:rsidP="00415647">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49266AB1" w14:textId="4D8096FE" w:rsidR="00415647" w:rsidRPr="003B4C1F" w:rsidRDefault="00415647" w:rsidP="00415647">
            <w:pPr>
              <w:spacing w:line="256" w:lineRule="auto"/>
              <w:rPr>
                <w:b/>
                <w:snapToGrid w:val="0"/>
                <w:color w:val="000000" w:themeColor="text1"/>
                <w:lang w:eastAsia="en-US"/>
              </w:rPr>
            </w:pPr>
            <w:r w:rsidRPr="003B4C1F">
              <w:rPr>
                <w:b/>
                <w:snapToGrid w:val="0"/>
                <w:color w:val="000000" w:themeColor="text1"/>
                <w:lang w:eastAsia="en-US"/>
              </w:rPr>
              <w:br/>
              <w:t xml:space="preserve">- </w:t>
            </w:r>
            <w:r w:rsidR="004574BA" w:rsidRPr="004574BA">
              <w:rPr>
                <w:b/>
                <w:lang w:eastAsia="en-US"/>
              </w:rPr>
              <w:t>Slutsatser om tillämpningen av EU-stadgan om de grundläggande rättigheterna 2026</w:t>
            </w:r>
          </w:p>
          <w:p w14:paraId="61D7F16C" w14:textId="77777777" w:rsidR="00415647" w:rsidRDefault="00415647" w:rsidP="00415647">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452F60E" w14:textId="77777777" w:rsidR="00221CE3" w:rsidRDefault="00221CE3" w:rsidP="00297F15">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5C3C095D"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415647">
              <w:rPr>
                <w:b/>
                <w:snapToGrid w:val="0"/>
                <w:color w:val="000000" w:themeColor="text1"/>
                <w:lang w:val="en-GB" w:eastAsia="en-US"/>
              </w:rPr>
              <w:t>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E7D0EB9" w:rsidR="00856018" w:rsidRDefault="00415647" w:rsidP="00856018">
            <w:pPr>
              <w:rPr>
                <w:rFonts w:eastAsiaTheme="minorHAnsi"/>
                <w:color w:val="000000"/>
                <w:lang w:eastAsia="en-US"/>
              </w:rPr>
            </w:pPr>
            <w:r>
              <w:rPr>
                <w:rFonts w:eastAsiaTheme="minorHAnsi"/>
                <w:color w:val="000000"/>
                <w:lang w:eastAsia="en-US"/>
              </w:rPr>
              <w:t>Uppteckningar</w:t>
            </w:r>
            <w:r w:rsidR="00856018">
              <w:rPr>
                <w:rFonts w:eastAsiaTheme="minorHAnsi"/>
                <w:color w:val="000000"/>
                <w:lang w:eastAsia="en-US"/>
              </w:rPr>
              <w:t xml:space="preserve"> från </w:t>
            </w:r>
            <w:r>
              <w:rPr>
                <w:rFonts w:eastAsiaTheme="minorHAnsi"/>
                <w:color w:val="000000"/>
                <w:lang w:eastAsia="en-US"/>
              </w:rPr>
              <w:t xml:space="preserve">sammanträdet den 13 februari </w:t>
            </w:r>
            <w:r w:rsidR="00856018">
              <w:rPr>
                <w:rFonts w:eastAsiaTheme="minorHAnsi"/>
                <w:color w:val="000000"/>
                <w:lang w:eastAsia="en-US"/>
              </w:rPr>
              <w:t xml:space="preserve">samt </w:t>
            </w:r>
            <w:r>
              <w:rPr>
                <w:rFonts w:eastAsiaTheme="minorHAnsi"/>
                <w:color w:val="000000"/>
                <w:lang w:eastAsia="en-US"/>
              </w:rPr>
              <w:t xml:space="preserve">protokoll </w:t>
            </w:r>
            <w:r w:rsidR="00856018">
              <w:rPr>
                <w:rFonts w:eastAsiaTheme="minorHAnsi"/>
                <w:color w:val="000000"/>
                <w:lang w:eastAsia="en-US"/>
              </w:rPr>
              <w:t>från den</w:t>
            </w:r>
            <w:r>
              <w:rPr>
                <w:rFonts w:eastAsiaTheme="minorHAnsi"/>
                <w:color w:val="000000"/>
                <w:lang w:eastAsia="en-US"/>
              </w:rPr>
              <w:t xml:space="preserve"> </w:t>
            </w:r>
            <w:r>
              <w:rPr>
                <w:rFonts w:eastAsiaTheme="minorHAnsi"/>
                <w:color w:val="000000"/>
                <w:lang w:eastAsia="en-US"/>
              </w:rPr>
              <w:lastRenderedPageBreak/>
              <w:t>20 februari</w:t>
            </w:r>
            <w:r w:rsidR="005448C2">
              <w:rPr>
                <w:rFonts w:eastAsiaTheme="minorHAnsi"/>
                <w:color w:val="000000"/>
                <w:lang w:eastAsia="en-US"/>
              </w:rPr>
              <w:t xml:space="preserve"> 202</w:t>
            </w:r>
            <w:r w:rsidR="00C63949">
              <w:rPr>
                <w:rFonts w:eastAsiaTheme="minorHAnsi"/>
                <w:color w:val="000000"/>
                <w:lang w:eastAsia="en-US"/>
              </w:rPr>
              <w:t>6</w:t>
            </w:r>
            <w:r w:rsidR="00856018">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51BB75B6"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415647">
              <w:rPr>
                <w:rFonts w:eastAsiaTheme="minorHAnsi"/>
                <w:color w:val="000000"/>
                <w:lang w:eastAsia="en-US"/>
              </w:rPr>
              <w:t>20 februari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546AA424" w14:textId="7C25F2AB" w:rsidR="00AD5233" w:rsidRDefault="00AD5233" w:rsidP="006661E4">
      <w:pPr>
        <w:widowControl/>
        <w:spacing w:after="160" w:line="259"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6EB22EBE"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415647">
        <w:rPr>
          <w:b/>
          <w:snapToGrid w:val="0"/>
          <w:lang w:eastAsia="en-US"/>
        </w:rPr>
        <w:t>6 mars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672D5805"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415647">
              <w:rPr>
                <w:b/>
                <w:color w:val="000000"/>
                <w:lang w:val="en-GB" w:eastAsia="en-US"/>
              </w:rPr>
              <w:t>28</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0C218E53"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7849F6">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E5DBCEC" w:rsidR="00351D87" w:rsidRPr="00AD5233" w:rsidRDefault="007849F6"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6D25A178" w:rsidR="00351D87" w:rsidRPr="00AD5233" w:rsidRDefault="007849F6"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57B05C9F" w:rsidR="00351D87" w:rsidRPr="00AD5233" w:rsidRDefault="007849F6"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Ludvig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Jytte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23DE2C7C"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1D5D5A08"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2153953D"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1E90FEB5"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3B882C69"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721C9CFF"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4EBFCF35"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2F7D05BD"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6A51E332"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6285F690" w:rsidR="00345890" w:rsidRPr="00AD5233"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Ingemar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4850E6C0" w:rsidR="00345890" w:rsidRPr="00AD5233" w:rsidRDefault="007849F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301D2120"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w:t>
            </w:r>
            <w:proofErr w:type="gramStart"/>
            <w:r>
              <w:rPr>
                <w:color w:val="000000"/>
                <w:sz w:val="18"/>
                <w:szCs w:val="18"/>
                <w:lang w:val="en-GB" w:eastAsia="en-US"/>
              </w:rPr>
              <w:t xml:space="preserve">Ekegren </w:t>
            </w:r>
            <w:r w:rsidRPr="00C1609B">
              <w:rPr>
                <w:color w:val="000000"/>
                <w:sz w:val="18"/>
                <w:szCs w:val="18"/>
                <w:lang w:val="en-GB" w:eastAsia="en-US"/>
              </w:rPr>
              <w:t xml:space="preserve"> (</w:t>
            </w:r>
            <w:proofErr w:type="gramEnd"/>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62B137ED" w:rsidR="00345890" w:rsidRPr="00AD5233" w:rsidRDefault="007849F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43BB79AE" w:rsidR="00345890" w:rsidRPr="00AD5233" w:rsidRDefault="007849F6"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Håkan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77777777" w:rsidR="00345890" w:rsidRPr="00AF78AD" w:rsidRDefault="00345890" w:rsidP="00345890">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0A37E859" w:rsidR="00345890" w:rsidRPr="009E414C" w:rsidRDefault="007849F6"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26002BFE"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1A24D746"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415647">
        <w:rPr>
          <w:b/>
          <w:color w:val="000000"/>
          <w:lang w:eastAsia="en-US"/>
        </w:rPr>
        <w:t>28</w:t>
      </w:r>
    </w:p>
    <w:p w14:paraId="5AE371BA" w14:textId="77777777" w:rsidR="006661E4" w:rsidRDefault="006661E4" w:rsidP="006661E4">
      <w:pPr>
        <w:rPr>
          <w:b/>
          <w:bCs/>
        </w:rPr>
      </w:pPr>
    </w:p>
    <w:p w14:paraId="028889E7" w14:textId="1DA1705F" w:rsidR="006661E4" w:rsidRDefault="006661E4" w:rsidP="006661E4">
      <w:pPr>
        <w:tabs>
          <w:tab w:val="left" w:pos="2097"/>
        </w:tabs>
        <w:rPr>
          <w:b/>
          <w:bCs/>
        </w:rPr>
      </w:pPr>
      <w:r>
        <w:rPr>
          <w:b/>
          <w:bCs/>
        </w:rPr>
        <w:t>Skriftligt samråd med EU-nämnden avseende listor med</w:t>
      </w:r>
      <w:r w:rsidRPr="0037060A">
        <w:rPr>
          <w:b/>
          <w:bCs/>
        </w:rPr>
        <w:t xml:space="preserve"> troliga A-punkter v.</w:t>
      </w:r>
      <w:r>
        <w:rPr>
          <w:b/>
          <w:bCs/>
        </w:rPr>
        <w:t xml:space="preserve"> 9</w:t>
      </w:r>
      <w:r w:rsidRPr="0037060A">
        <w:rPr>
          <w:b/>
          <w:bCs/>
        </w:rPr>
        <w:t xml:space="preserve"> </w:t>
      </w:r>
    </w:p>
    <w:p w14:paraId="1CE46F24" w14:textId="5FB77BD9" w:rsidR="006661E4" w:rsidRPr="006661E4" w:rsidRDefault="006661E4" w:rsidP="006661E4">
      <w:pPr>
        <w:tabs>
          <w:tab w:val="left" w:pos="2097"/>
        </w:tabs>
      </w:pPr>
      <w:r>
        <w:t>Samrådet avslutades den 26 februari 2026. Det fanns stöd för regeringens ståndpunkter. Inga avvikande ståndpunkter har anmälts.</w:t>
      </w:r>
    </w:p>
    <w:p w14:paraId="24AB2850" w14:textId="77777777" w:rsidR="006661E4" w:rsidRDefault="006661E4" w:rsidP="006661E4">
      <w:pPr>
        <w:rPr>
          <w:b/>
          <w:bCs/>
        </w:rPr>
      </w:pPr>
    </w:p>
    <w:p w14:paraId="0F33D58E" w14:textId="2342F5FB" w:rsidR="006661E4" w:rsidRDefault="006661E4" w:rsidP="006661E4">
      <w:pPr>
        <w:rPr>
          <w:b/>
          <w:bCs/>
        </w:rPr>
      </w:pP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utrikesområdet</w:t>
      </w:r>
    </w:p>
    <w:p w14:paraId="52945252" w14:textId="1D6978C6" w:rsidR="006661E4" w:rsidRDefault="006661E4" w:rsidP="006661E4">
      <w:pPr>
        <w:widowControl/>
      </w:pPr>
      <w:r w:rsidRPr="00906289">
        <w:t>Samrådet avslutades den</w:t>
      </w:r>
      <w:r>
        <w:t xml:space="preserve"> 25 februari 2026. </w:t>
      </w:r>
      <w:r w:rsidRPr="00906289">
        <w:t>Det fanns stöd för regeringens ståndpunkt</w:t>
      </w:r>
      <w:r>
        <w:t>er</w:t>
      </w:r>
      <w:r w:rsidRPr="00906289">
        <w:t>.</w:t>
      </w:r>
      <w:r>
        <w:t xml:space="preserve"> Inga avvikande ståndpunkter har anmälts. </w:t>
      </w:r>
    </w:p>
    <w:p w14:paraId="1F26F44D" w14:textId="77777777" w:rsidR="006661E4" w:rsidRDefault="006661E4" w:rsidP="006661E4">
      <w:pPr>
        <w:rPr>
          <w:rFonts w:ascii="Aptos" w:hAnsi="Aptos"/>
        </w:rPr>
      </w:pPr>
    </w:p>
    <w:p w14:paraId="6B36BDCA" w14:textId="77777777" w:rsidR="006661E4" w:rsidRPr="006661E4" w:rsidRDefault="006661E4" w:rsidP="006661E4">
      <w:pPr>
        <w:pStyle w:val="Liststycke"/>
        <w:widowControl/>
        <w:numPr>
          <w:ilvl w:val="0"/>
          <w:numId w:val="35"/>
        </w:numPr>
        <w:contextualSpacing w:val="0"/>
        <w:rPr>
          <w:sz w:val="22"/>
          <w:szCs w:val="22"/>
        </w:rPr>
      </w:pPr>
      <w:r w:rsidRPr="006661E4">
        <w:rPr>
          <w:sz w:val="22"/>
          <w:szCs w:val="22"/>
        </w:rPr>
        <w:t>Antagande av rådsbeslut om restriktiva åtgärder i syfte att bekämpa terrorism</w:t>
      </w:r>
    </w:p>
    <w:p w14:paraId="68D089CA" w14:textId="6BD59A8B" w:rsidR="006661E4" w:rsidRPr="006661E4" w:rsidRDefault="006661E4" w:rsidP="006661E4">
      <w:pPr>
        <w:pStyle w:val="Liststycke"/>
        <w:widowControl/>
        <w:numPr>
          <w:ilvl w:val="0"/>
          <w:numId w:val="35"/>
        </w:numPr>
        <w:contextualSpacing w:val="0"/>
        <w:rPr>
          <w:sz w:val="22"/>
          <w:szCs w:val="22"/>
        </w:rPr>
      </w:pPr>
      <w:r w:rsidRPr="006661E4">
        <w:rPr>
          <w:sz w:val="22"/>
          <w:szCs w:val="22"/>
        </w:rPr>
        <w:t>Förslag, framlagt för rådet av unionens höga representant för utrikes frågor och säkerhetspolitik, till rådets beslut om ändring av beslut 2014/119/</w:t>
      </w:r>
      <w:proofErr w:type="spellStart"/>
      <w:r w:rsidRPr="006661E4">
        <w:rPr>
          <w:sz w:val="22"/>
          <w:szCs w:val="22"/>
        </w:rPr>
        <w:t>Gusp</w:t>
      </w:r>
      <w:proofErr w:type="spellEnd"/>
      <w:r w:rsidRPr="006661E4">
        <w:rPr>
          <w:sz w:val="22"/>
          <w:szCs w:val="22"/>
        </w:rPr>
        <w:t xml:space="preserve"> om restriktiva åtgärder mot vissa personer, enheter och organ med hänsyn till situationen i Ukraina.</w:t>
      </w:r>
    </w:p>
    <w:p w14:paraId="430D84F5" w14:textId="77777777" w:rsidR="007849F6" w:rsidRDefault="007849F6" w:rsidP="007849F6">
      <w:pPr>
        <w:rPr>
          <w:b/>
        </w:rPr>
      </w:pPr>
    </w:p>
    <w:p w14:paraId="17556115" w14:textId="065232E0" w:rsidR="006661E4" w:rsidRDefault="006661E4" w:rsidP="006661E4">
      <w:pPr>
        <w:rPr>
          <w:b/>
          <w:bCs/>
        </w:rPr>
      </w:pP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utrikesområdet</w:t>
      </w:r>
    </w:p>
    <w:p w14:paraId="08046990" w14:textId="1145FA3E" w:rsidR="006661E4" w:rsidRDefault="006661E4" w:rsidP="006661E4">
      <w:pPr>
        <w:widowControl/>
      </w:pPr>
      <w:r w:rsidRPr="00906289">
        <w:t>Samrådet avslutades den</w:t>
      </w:r>
      <w:r>
        <w:t xml:space="preserve"> 24 februari 2026. </w:t>
      </w:r>
      <w:r w:rsidRPr="00906289">
        <w:t>Det fanns stöd för regeringens ståndpunkt</w:t>
      </w:r>
      <w:r>
        <w:t>er</w:t>
      </w:r>
      <w:r w:rsidRPr="00906289">
        <w:t>.</w:t>
      </w:r>
      <w:r>
        <w:t xml:space="preserve"> Inga avvikande ståndpunkter har anmälts. </w:t>
      </w:r>
    </w:p>
    <w:p w14:paraId="3122B745" w14:textId="77777777" w:rsidR="006661E4" w:rsidRDefault="006661E4" w:rsidP="006661E4">
      <w:pPr>
        <w:rPr>
          <w:rFonts w:ascii="Aptos" w:hAnsi="Aptos"/>
        </w:rPr>
      </w:pPr>
    </w:p>
    <w:p w14:paraId="1BDDB07B" w14:textId="77777777" w:rsidR="006661E4" w:rsidRPr="006661E4" w:rsidRDefault="006661E4" w:rsidP="00F33E1D">
      <w:pPr>
        <w:pStyle w:val="Liststycke"/>
        <w:widowControl/>
        <w:numPr>
          <w:ilvl w:val="0"/>
          <w:numId w:val="45"/>
        </w:numPr>
        <w:contextualSpacing w:val="0"/>
        <w:rPr>
          <w:rFonts w:ascii="Aptos" w:hAnsi="Aptos"/>
          <w:sz w:val="22"/>
          <w:szCs w:val="22"/>
        </w:rPr>
      </w:pPr>
      <w:r w:rsidRPr="006661E4">
        <w:rPr>
          <w:sz w:val="22"/>
          <w:szCs w:val="22"/>
        </w:rPr>
        <w:t xml:space="preserve">Antagande av rådsbeslut om ändring av rådets beslut om restriktiva åtgärder med hänsyn till Rysslands åtgärder som destabiliserar situationen i Ukraina  </w:t>
      </w:r>
    </w:p>
    <w:p w14:paraId="22C80D11" w14:textId="77777777" w:rsidR="006661E4" w:rsidRPr="006661E4" w:rsidRDefault="006661E4" w:rsidP="00F33E1D">
      <w:pPr>
        <w:pStyle w:val="Liststycke"/>
        <w:widowControl/>
        <w:numPr>
          <w:ilvl w:val="0"/>
          <w:numId w:val="45"/>
        </w:numPr>
        <w:contextualSpacing w:val="0"/>
        <w:rPr>
          <w:sz w:val="22"/>
          <w:szCs w:val="22"/>
        </w:rPr>
      </w:pPr>
      <w:r w:rsidRPr="006661E4">
        <w:rPr>
          <w:sz w:val="22"/>
          <w:szCs w:val="22"/>
        </w:rPr>
        <w:t>Antagande av rådsbeslut om ändring av rådets beslut om restriktiva åtgärder mot åtgärder som undergräver eller hotar Ukrainas territoriella integritet, suveränitet och oberoende</w:t>
      </w:r>
    </w:p>
    <w:p w14:paraId="0B49F42D" w14:textId="46CDA4D2" w:rsidR="006661E4" w:rsidRPr="006661E4" w:rsidRDefault="006661E4" w:rsidP="00F33E1D">
      <w:pPr>
        <w:pStyle w:val="Liststycke"/>
        <w:widowControl/>
        <w:numPr>
          <w:ilvl w:val="0"/>
          <w:numId w:val="45"/>
        </w:numPr>
        <w:contextualSpacing w:val="0"/>
        <w:rPr>
          <w:sz w:val="22"/>
          <w:szCs w:val="22"/>
        </w:rPr>
      </w:pPr>
      <w:r w:rsidRPr="006661E4">
        <w:rPr>
          <w:sz w:val="22"/>
          <w:szCs w:val="22"/>
        </w:rPr>
        <w:t>Antagande av rådsbeslut och genomförandeförordning om restriktiva åtgärder med anledning av situationen i Belarus och Belarus inblandning i Rysslands aggression mot Ukraina.</w:t>
      </w:r>
    </w:p>
    <w:p w14:paraId="7E46E464" w14:textId="77777777" w:rsidR="006661E4" w:rsidRDefault="006661E4" w:rsidP="007849F6">
      <w:pPr>
        <w:rPr>
          <w:b/>
        </w:rPr>
      </w:pPr>
    </w:p>
    <w:p w14:paraId="78B28DAE" w14:textId="50B6BF51" w:rsidR="007849F6" w:rsidRDefault="007849F6" w:rsidP="007849F6">
      <w:pPr>
        <w:tabs>
          <w:tab w:val="left" w:pos="2097"/>
        </w:tabs>
        <w:rPr>
          <w:b/>
          <w:bCs/>
        </w:rPr>
      </w:pPr>
      <w:r>
        <w:rPr>
          <w:b/>
          <w:bCs/>
        </w:rPr>
        <w:t>Skriftligt samråd med EU-nämnden avseende listor med</w:t>
      </w:r>
      <w:r w:rsidRPr="0037060A">
        <w:rPr>
          <w:b/>
          <w:bCs/>
        </w:rPr>
        <w:t xml:space="preserve"> troliga A-punkter v.</w:t>
      </w:r>
      <w:r>
        <w:rPr>
          <w:b/>
          <w:bCs/>
        </w:rPr>
        <w:t xml:space="preserve"> 8</w:t>
      </w:r>
      <w:r w:rsidRPr="0037060A">
        <w:rPr>
          <w:b/>
          <w:bCs/>
        </w:rPr>
        <w:t xml:space="preserve"> </w:t>
      </w:r>
    </w:p>
    <w:p w14:paraId="74F254E1" w14:textId="3FF3C27F" w:rsidR="007849F6" w:rsidRDefault="007849F6" w:rsidP="007849F6">
      <w:pPr>
        <w:tabs>
          <w:tab w:val="left" w:pos="2097"/>
        </w:tabs>
      </w:pPr>
      <w:r>
        <w:t>Samrådet avslutades den 20 februari 2026. Det fanns stöd för regeringens ståndpunkter.</w:t>
      </w:r>
    </w:p>
    <w:p w14:paraId="4CA78BD2" w14:textId="77777777" w:rsidR="007849F6" w:rsidRDefault="007849F6" w:rsidP="007849F6"/>
    <w:p w14:paraId="52ABD074" w14:textId="7D39C9F3" w:rsidR="007849F6" w:rsidRDefault="007849F6" w:rsidP="007849F6">
      <w:pPr>
        <w:rPr>
          <w:sz w:val="22"/>
          <w:szCs w:val="22"/>
          <w:u w:val="single"/>
        </w:rPr>
      </w:pPr>
      <w:r w:rsidRPr="0093093E">
        <w:rPr>
          <w:sz w:val="22"/>
          <w:szCs w:val="22"/>
          <w:u w:val="single"/>
        </w:rPr>
        <w:t xml:space="preserve">Följande avvikande ståndpunkt har anmälts av </w:t>
      </w:r>
      <w:r w:rsidR="006661E4">
        <w:rPr>
          <w:sz w:val="22"/>
          <w:szCs w:val="22"/>
          <w:u w:val="single"/>
        </w:rPr>
        <w:t>Socialdemokraterna</w:t>
      </w:r>
      <w:r w:rsidRPr="0093093E">
        <w:rPr>
          <w:sz w:val="22"/>
          <w:szCs w:val="22"/>
          <w:u w:val="single"/>
        </w:rPr>
        <w:t xml:space="preserve">: </w:t>
      </w:r>
    </w:p>
    <w:p w14:paraId="2916E136" w14:textId="77777777" w:rsidR="006661E4" w:rsidRPr="006661E4" w:rsidRDefault="006661E4" w:rsidP="006661E4">
      <w:pPr>
        <w:rPr>
          <w:bCs/>
          <w:sz w:val="22"/>
          <w:szCs w:val="22"/>
        </w:rPr>
      </w:pPr>
      <w:r w:rsidRPr="006661E4">
        <w:rPr>
          <w:bCs/>
          <w:sz w:val="22"/>
          <w:szCs w:val="22"/>
        </w:rPr>
        <w:t xml:space="preserve">”Gällande punkt 22 under </w:t>
      </w:r>
      <w:proofErr w:type="spellStart"/>
      <w:r w:rsidRPr="006661E4">
        <w:rPr>
          <w:bCs/>
          <w:sz w:val="22"/>
          <w:szCs w:val="22"/>
        </w:rPr>
        <w:t>Coreper</w:t>
      </w:r>
      <w:proofErr w:type="spellEnd"/>
      <w:r w:rsidRPr="006661E4">
        <w:rPr>
          <w:bCs/>
          <w:sz w:val="22"/>
          <w:szCs w:val="22"/>
        </w:rPr>
        <w:t xml:space="preserve"> II vill Socialdemokraterna lämna följande avvikande ståndpunkt:</w:t>
      </w:r>
    </w:p>
    <w:p w14:paraId="6DCAAAA2" w14:textId="77777777" w:rsidR="006661E4" w:rsidRPr="006661E4" w:rsidRDefault="006661E4" w:rsidP="006661E4">
      <w:pPr>
        <w:rPr>
          <w:bCs/>
          <w:sz w:val="22"/>
          <w:szCs w:val="22"/>
        </w:rPr>
      </w:pPr>
    </w:p>
    <w:p w14:paraId="4844DBF2" w14:textId="1300F6C6" w:rsidR="004A4C77" w:rsidRDefault="006661E4" w:rsidP="006661E4">
      <w:pPr>
        <w:rPr>
          <w:bCs/>
          <w:sz w:val="22"/>
          <w:szCs w:val="22"/>
        </w:rPr>
      </w:pPr>
      <w:r w:rsidRPr="006661E4">
        <w:rPr>
          <w:bCs/>
          <w:sz w:val="22"/>
          <w:szCs w:val="22"/>
        </w:rPr>
        <w:t>Vi välkomnar regelförenklingar som minskar onödiga administrativa bördor och gör det lättare för företag att göra rätt. Detta får dock inte innebära sänkta ambitioner i klimatomställningen, arbetet mot korruption eller skyddet för arbetstagares rättigheter, miljö, konsumenter och grundläggande rättigheter i den digitala sfären. Regeringen bör säkerställa gedigna konsekvensanalyser och värna stabila och långsiktiga spelregler som stärker svensk konkurrenskraft och svenska jobb. Mot denna bakgrund vill vi anmäla en avvikande ståndpunkt.”</w:t>
      </w:r>
    </w:p>
    <w:p w14:paraId="1C209EA4" w14:textId="77777777" w:rsidR="006661E4" w:rsidRDefault="006661E4" w:rsidP="006661E4">
      <w:pPr>
        <w:rPr>
          <w:bCs/>
          <w:sz w:val="22"/>
          <w:szCs w:val="22"/>
        </w:rPr>
      </w:pPr>
    </w:p>
    <w:p w14:paraId="30854AED" w14:textId="0E266C5F" w:rsidR="006661E4" w:rsidRPr="0093093E" w:rsidRDefault="006661E4" w:rsidP="006661E4">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2D980F4C" w14:textId="77777777" w:rsidR="006661E4" w:rsidRPr="006661E4" w:rsidRDefault="006661E4" w:rsidP="006661E4">
      <w:pPr>
        <w:rPr>
          <w:bCs/>
          <w:sz w:val="22"/>
          <w:szCs w:val="22"/>
          <w:lang w:val="en-US"/>
        </w:rPr>
      </w:pPr>
      <w:proofErr w:type="spellStart"/>
      <w:r w:rsidRPr="006661E4">
        <w:rPr>
          <w:bCs/>
          <w:sz w:val="22"/>
          <w:szCs w:val="22"/>
          <w:lang w:val="en-US"/>
        </w:rPr>
        <w:t>Avvikande</w:t>
      </w:r>
      <w:proofErr w:type="spellEnd"/>
      <w:r w:rsidRPr="006661E4">
        <w:rPr>
          <w:bCs/>
          <w:sz w:val="22"/>
          <w:szCs w:val="22"/>
          <w:lang w:val="en-US"/>
        </w:rPr>
        <w:t xml:space="preserve"> </w:t>
      </w:r>
      <w:proofErr w:type="spellStart"/>
      <w:r w:rsidRPr="006661E4">
        <w:rPr>
          <w:bCs/>
          <w:sz w:val="22"/>
          <w:szCs w:val="22"/>
          <w:lang w:val="en-US"/>
        </w:rPr>
        <w:t>ståndpunkter</w:t>
      </w:r>
      <w:proofErr w:type="spellEnd"/>
      <w:r w:rsidRPr="006661E4">
        <w:rPr>
          <w:bCs/>
          <w:sz w:val="22"/>
          <w:szCs w:val="22"/>
          <w:lang w:val="en-US"/>
        </w:rPr>
        <w:t xml:space="preserve"> </w:t>
      </w:r>
      <w:proofErr w:type="spellStart"/>
      <w:r w:rsidRPr="006661E4">
        <w:rPr>
          <w:bCs/>
          <w:sz w:val="22"/>
          <w:szCs w:val="22"/>
          <w:lang w:val="en-US"/>
        </w:rPr>
        <w:t>Coreper</w:t>
      </w:r>
      <w:proofErr w:type="spellEnd"/>
      <w:r w:rsidRPr="006661E4">
        <w:rPr>
          <w:bCs/>
          <w:sz w:val="22"/>
          <w:szCs w:val="22"/>
          <w:lang w:val="en-US"/>
        </w:rPr>
        <w:t xml:space="preserve"> II</w:t>
      </w:r>
    </w:p>
    <w:p w14:paraId="3D8FB2EC" w14:textId="77777777" w:rsidR="006661E4" w:rsidRPr="006661E4" w:rsidRDefault="006661E4" w:rsidP="006661E4">
      <w:pPr>
        <w:rPr>
          <w:bCs/>
          <w:sz w:val="22"/>
          <w:szCs w:val="22"/>
          <w:lang w:val="en-US"/>
        </w:rPr>
      </w:pPr>
      <w:r w:rsidRPr="006661E4">
        <w:rPr>
          <w:bCs/>
          <w:sz w:val="22"/>
          <w:szCs w:val="22"/>
          <w:lang w:val="en-US"/>
        </w:rPr>
        <w:t xml:space="preserve">“6. Regulation amending Regulation (EU) 2024/1348 as regards the application of the ‘safe third </w:t>
      </w:r>
      <w:proofErr w:type="gramStart"/>
      <w:r w:rsidRPr="006661E4">
        <w:rPr>
          <w:bCs/>
          <w:sz w:val="22"/>
          <w:szCs w:val="22"/>
          <w:lang w:val="en-US"/>
        </w:rPr>
        <w:t>country’</w:t>
      </w:r>
      <w:proofErr w:type="gramEnd"/>
      <w:r w:rsidRPr="006661E4">
        <w:rPr>
          <w:bCs/>
          <w:sz w:val="22"/>
          <w:szCs w:val="22"/>
          <w:lang w:val="en-US"/>
        </w:rPr>
        <w:t xml:space="preserve"> concept</w:t>
      </w:r>
    </w:p>
    <w:p w14:paraId="4CCFD92E" w14:textId="77777777" w:rsidR="006661E4" w:rsidRPr="006661E4" w:rsidRDefault="006661E4" w:rsidP="006661E4">
      <w:pPr>
        <w:rPr>
          <w:bCs/>
          <w:sz w:val="22"/>
          <w:szCs w:val="22"/>
          <w:lang w:val="en-US"/>
        </w:rPr>
      </w:pPr>
    </w:p>
    <w:p w14:paraId="5CCBA48F" w14:textId="77777777" w:rsidR="006661E4" w:rsidRPr="006661E4" w:rsidRDefault="006661E4" w:rsidP="006661E4">
      <w:pPr>
        <w:rPr>
          <w:bCs/>
          <w:sz w:val="22"/>
          <w:szCs w:val="22"/>
        </w:rPr>
      </w:pPr>
      <w:r w:rsidRPr="006661E4">
        <w:rPr>
          <w:bCs/>
          <w:sz w:val="22"/>
          <w:szCs w:val="22"/>
        </w:rPr>
        <w:t xml:space="preserve">Regeringen borde rösta nej till att transitländer räknas som säkra länder dit asylsökande kan hänvisas. </w:t>
      </w:r>
    </w:p>
    <w:p w14:paraId="0B74DC8B" w14:textId="77777777" w:rsidR="006661E4" w:rsidRPr="006661E4" w:rsidRDefault="006661E4" w:rsidP="006661E4">
      <w:pPr>
        <w:rPr>
          <w:bCs/>
          <w:sz w:val="22"/>
          <w:szCs w:val="22"/>
        </w:rPr>
      </w:pPr>
    </w:p>
    <w:p w14:paraId="1D3D64C4" w14:textId="77777777" w:rsidR="006661E4" w:rsidRPr="006661E4" w:rsidRDefault="006661E4" w:rsidP="006661E4">
      <w:pPr>
        <w:rPr>
          <w:bCs/>
          <w:sz w:val="22"/>
          <w:szCs w:val="22"/>
          <w:lang w:val="en-US"/>
        </w:rPr>
      </w:pPr>
      <w:r w:rsidRPr="006661E4">
        <w:rPr>
          <w:bCs/>
          <w:sz w:val="22"/>
          <w:szCs w:val="22"/>
          <w:lang w:val="en-US"/>
        </w:rPr>
        <w:t>7. Regulation establishing a list of safe countries of origin at Union level</w:t>
      </w:r>
    </w:p>
    <w:p w14:paraId="574F6362" w14:textId="77777777" w:rsidR="006661E4" w:rsidRPr="006661E4" w:rsidRDefault="006661E4" w:rsidP="006661E4">
      <w:pPr>
        <w:rPr>
          <w:bCs/>
          <w:sz w:val="22"/>
          <w:szCs w:val="22"/>
          <w:lang w:val="en-US"/>
        </w:rPr>
      </w:pPr>
    </w:p>
    <w:p w14:paraId="1BA47893" w14:textId="77777777" w:rsidR="006661E4" w:rsidRPr="006661E4" w:rsidRDefault="006661E4" w:rsidP="006661E4">
      <w:pPr>
        <w:rPr>
          <w:bCs/>
          <w:sz w:val="22"/>
          <w:szCs w:val="22"/>
        </w:rPr>
      </w:pPr>
      <w:r w:rsidRPr="006661E4">
        <w:rPr>
          <w:bCs/>
          <w:sz w:val="22"/>
          <w:szCs w:val="22"/>
        </w:rPr>
        <w:t xml:space="preserve">Regeringen borde rösta nej till att utöka antalet länder som betraktas som säkra då det inte är tydligt att de är säkra. Länder som är ansökarländer borde inte heller automatiskt räknas som säkra. Det gäller </w:t>
      </w:r>
      <w:proofErr w:type="gramStart"/>
      <w:r w:rsidRPr="006661E4">
        <w:rPr>
          <w:bCs/>
          <w:sz w:val="22"/>
          <w:szCs w:val="22"/>
        </w:rPr>
        <w:t>bl.a.</w:t>
      </w:r>
      <w:proofErr w:type="gramEnd"/>
      <w:r w:rsidRPr="006661E4">
        <w:rPr>
          <w:bCs/>
          <w:sz w:val="22"/>
          <w:szCs w:val="22"/>
        </w:rPr>
        <w:t xml:space="preserve"> Turkiet som inte är säkert för </w:t>
      </w:r>
      <w:proofErr w:type="gramStart"/>
      <w:r w:rsidRPr="006661E4">
        <w:rPr>
          <w:bCs/>
          <w:sz w:val="22"/>
          <w:szCs w:val="22"/>
        </w:rPr>
        <w:t>t.ex.</w:t>
      </w:r>
      <w:proofErr w:type="gramEnd"/>
      <w:r w:rsidRPr="006661E4">
        <w:rPr>
          <w:bCs/>
          <w:sz w:val="22"/>
          <w:szCs w:val="22"/>
        </w:rPr>
        <w:t xml:space="preserve"> kurder som engagerat sig politiskt för kurders rättigheter.”</w:t>
      </w:r>
    </w:p>
    <w:p w14:paraId="104B36E3" w14:textId="77777777" w:rsidR="006661E4" w:rsidRDefault="006661E4" w:rsidP="006661E4">
      <w:pPr>
        <w:rPr>
          <w:bCs/>
          <w:sz w:val="22"/>
          <w:szCs w:val="22"/>
        </w:rPr>
      </w:pP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E3A"/>
    <w:multiLevelType w:val="hybridMultilevel"/>
    <w:tmpl w:val="1B8C1016"/>
    <w:lvl w:ilvl="0" w:tplc="041D0017">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519B7"/>
    <w:multiLevelType w:val="hybridMultilevel"/>
    <w:tmpl w:val="651EA5EA"/>
    <w:lvl w:ilvl="0" w:tplc="9AAC2A44">
      <w:start w:val="1"/>
      <w:numFmt w:val="decimal"/>
      <w:lvlText w:val="%1."/>
      <w:lvlJc w:val="left"/>
      <w:pPr>
        <w:ind w:left="720" w:hanging="360"/>
      </w:pPr>
      <w:rPr>
        <w:rFonts w:ascii="Times New Roman" w:hAnsi="Times New Roman" w:cs="Times New Roman" w:hint="default"/>
        <w:sz w:val="22"/>
        <w:szCs w:val="2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BA06DF4"/>
    <w:multiLevelType w:val="hybridMultilevel"/>
    <w:tmpl w:val="D83E5294"/>
    <w:lvl w:ilvl="0" w:tplc="21D42AA2">
      <w:numFmt w:val="bullet"/>
      <w:lvlText w:val="-"/>
      <w:lvlJc w:val="left"/>
      <w:pPr>
        <w:ind w:left="720" w:hanging="360"/>
      </w:pPr>
      <w:rPr>
        <w:rFonts w:ascii="Arial" w:eastAsia="Aptos"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0950380"/>
    <w:multiLevelType w:val="hybridMultilevel"/>
    <w:tmpl w:val="D93A0A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324183A"/>
    <w:multiLevelType w:val="hybridMultilevel"/>
    <w:tmpl w:val="B7328C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B46669"/>
    <w:multiLevelType w:val="hybridMultilevel"/>
    <w:tmpl w:val="1C4AA3C4"/>
    <w:lvl w:ilvl="0" w:tplc="E47AD4F8">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2"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7"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4B152EB"/>
    <w:multiLevelType w:val="hybridMultilevel"/>
    <w:tmpl w:val="271236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890044"/>
    <w:multiLevelType w:val="hybridMultilevel"/>
    <w:tmpl w:val="C5283E6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7090699"/>
    <w:multiLevelType w:val="hybridMultilevel"/>
    <w:tmpl w:val="0360FD80"/>
    <w:lvl w:ilvl="0" w:tplc="26027570">
      <w:start w:val="1"/>
      <w:numFmt w:val="decimal"/>
      <w:lvlText w:val="%1."/>
      <w:lvlJc w:val="left"/>
      <w:pPr>
        <w:ind w:left="720" w:hanging="360"/>
      </w:pPr>
      <w:rPr>
        <w:rFonts w:ascii="Times New Roman" w:hAnsi="Times New Roman"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69C0CA7"/>
    <w:multiLevelType w:val="hybridMultilevel"/>
    <w:tmpl w:val="316C73CA"/>
    <w:lvl w:ilvl="0" w:tplc="041D0017">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32"/>
  </w:num>
  <w:num w:numId="2" w16cid:durableId="1414400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21"/>
  </w:num>
  <w:num w:numId="5" w16cid:durableId="2260355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41"/>
  </w:num>
  <w:num w:numId="11" w16cid:durableId="1543513239">
    <w:abstractNumId w:val="4"/>
  </w:num>
  <w:num w:numId="12" w16cid:durableId="12332017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7"/>
  </w:num>
  <w:num w:numId="27" w16cid:durableId="421609592">
    <w:abstractNumId w:val="1"/>
  </w:num>
  <w:num w:numId="28" w16cid:durableId="1987279558">
    <w:abstractNumId w:val="10"/>
  </w:num>
  <w:num w:numId="29" w16cid:durableId="276252883">
    <w:abstractNumId w:val="39"/>
  </w:num>
  <w:num w:numId="30" w16cid:durableId="1951349196">
    <w:abstractNumId w:val="6"/>
  </w:num>
  <w:num w:numId="31" w16cid:durableId="406267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23"/>
  </w:num>
  <w:num w:numId="34" w16cid:durableId="2104184779">
    <w:abstractNumId w:val="16"/>
  </w:num>
  <w:num w:numId="35" w16cid:durableId="120410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031255">
    <w:abstractNumId w:val="15"/>
  </w:num>
  <w:num w:numId="37" w16cid:durableId="624503149">
    <w:abstractNumId w:val="2"/>
  </w:num>
  <w:num w:numId="38" w16cid:durableId="1390111975">
    <w:abstractNumId w:val="13"/>
  </w:num>
  <w:num w:numId="39" w16cid:durableId="1997954814">
    <w:abstractNumId w:val="30"/>
  </w:num>
  <w:num w:numId="40" w16cid:durableId="1584335954">
    <w:abstractNumId w:val="40"/>
  </w:num>
  <w:num w:numId="41" w16cid:durableId="678699489">
    <w:abstractNumId w:val="0"/>
  </w:num>
  <w:num w:numId="42" w16cid:durableId="434979554">
    <w:abstractNumId w:val="29"/>
  </w:num>
  <w:num w:numId="43" w16cid:durableId="3642586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884939">
    <w:abstractNumId w:val="8"/>
  </w:num>
  <w:num w:numId="45" w16cid:durableId="11191019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3E41"/>
    <w:rsid w:val="001948C1"/>
    <w:rsid w:val="001948F3"/>
    <w:rsid w:val="00194BB7"/>
    <w:rsid w:val="00196727"/>
    <w:rsid w:val="00196BE5"/>
    <w:rsid w:val="001974B7"/>
    <w:rsid w:val="001A00AE"/>
    <w:rsid w:val="001A0687"/>
    <w:rsid w:val="001A0807"/>
    <w:rsid w:val="001A08FB"/>
    <w:rsid w:val="001A0FD0"/>
    <w:rsid w:val="001A11D1"/>
    <w:rsid w:val="001A19C3"/>
    <w:rsid w:val="001A2DB8"/>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97F15"/>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647"/>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3D95"/>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574B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61E4"/>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502"/>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3D"/>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49F6"/>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05FB"/>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A86"/>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339"/>
    <w:rsid w:val="00D57BB1"/>
    <w:rsid w:val="00D57EB9"/>
    <w:rsid w:val="00D57FFD"/>
    <w:rsid w:val="00D602AE"/>
    <w:rsid w:val="00D6077A"/>
    <w:rsid w:val="00D6283A"/>
    <w:rsid w:val="00D628FF"/>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676E"/>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E1D"/>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121</TotalTime>
  <Pages>7</Pages>
  <Words>1415</Words>
  <Characters>8534</Characters>
  <Application>Microsoft Office Word</Application>
  <DocSecurity>0</DocSecurity>
  <Lines>1422</Lines>
  <Paragraphs>292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19</cp:revision>
  <cp:lastPrinted>2026-03-06T08:35:00Z</cp:lastPrinted>
  <dcterms:created xsi:type="dcterms:W3CDTF">2025-10-23T11:14:00Z</dcterms:created>
  <dcterms:modified xsi:type="dcterms:W3CDTF">2026-03-06T08:35:00Z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