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7E793D" w:rsidTr="005803F6">
        <w:tc>
          <w:tcPr>
            <w:tcW w:w="2268" w:type="dxa"/>
          </w:tcPr>
          <w:p w:rsidR="007E793D" w:rsidRDefault="007E793D" w:rsidP="007242A3">
            <w:pPr>
              <w:framePr w:w="5035" w:h="1644" w:wrap="notBeside" w:vAnchor="page" w:hAnchor="page" w:x="6573" w:y="721"/>
              <w:rPr>
                <w:rFonts w:ascii="TradeGothic" w:hAnsi="TradeGothic"/>
                <w:i/>
                <w:sz w:val="18"/>
              </w:rPr>
            </w:pPr>
          </w:p>
        </w:tc>
        <w:tc>
          <w:tcPr>
            <w:tcW w:w="2999" w:type="dxa"/>
            <w:gridSpan w:val="2"/>
          </w:tcPr>
          <w:p w:rsidR="007E793D" w:rsidRDefault="007E793D" w:rsidP="007242A3">
            <w:pPr>
              <w:framePr w:w="5035" w:h="1644" w:wrap="notBeside" w:vAnchor="page" w:hAnchor="page" w:x="6573" w:y="721"/>
              <w:rPr>
                <w:rFonts w:ascii="TradeGothic" w:hAnsi="TradeGothic"/>
                <w:i/>
                <w:sz w:val="18"/>
              </w:rPr>
            </w:pPr>
          </w:p>
        </w:tc>
      </w:tr>
      <w:tr w:rsidR="007E793D" w:rsidTr="005803F6">
        <w:tc>
          <w:tcPr>
            <w:tcW w:w="5267" w:type="dxa"/>
            <w:gridSpan w:val="3"/>
          </w:tcPr>
          <w:p w:rsidR="007E793D" w:rsidRDefault="007E793D" w:rsidP="007242A3">
            <w:pPr>
              <w:framePr w:w="5035" w:h="1644" w:wrap="notBeside" w:vAnchor="page" w:hAnchor="page" w:x="6573" w:y="721"/>
              <w:rPr>
                <w:rFonts w:ascii="TradeGothic" w:hAnsi="TradeGothic"/>
                <w:b/>
              </w:rPr>
            </w:pPr>
            <w:r>
              <w:rPr>
                <w:rFonts w:ascii="TradeGothic" w:hAnsi="TradeGothic"/>
                <w:b/>
                <w:sz w:val="22"/>
              </w:rPr>
              <w:t>Rådspromemoria</w:t>
            </w:r>
          </w:p>
        </w:tc>
      </w:tr>
      <w:tr w:rsidR="007E793D" w:rsidTr="005803F6">
        <w:tc>
          <w:tcPr>
            <w:tcW w:w="3402" w:type="dxa"/>
            <w:gridSpan w:val="2"/>
          </w:tcPr>
          <w:p w:rsidR="007E793D" w:rsidRDefault="007E793D" w:rsidP="007242A3">
            <w:pPr>
              <w:framePr w:w="5035" w:h="1644" w:wrap="notBeside" w:vAnchor="page" w:hAnchor="page" w:x="6573" w:y="721"/>
            </w:pPr>
            <w:r>
              <w:t>Bilaga 4</w:t>
            </w:r>
          </w:p>
        </w:tc>
        <w:tc>
          <w:tcPr>
            <w:tcW w:w="1865" w:type="dxa"/>
          </w:tcPr>
          <w:p w:rsidR="007E793D" w:rsidRDefault="007E793D" w:rsidP="007242A3">
            <w:pPr>
              <w:framePr w:w="5035" w:h="1644" w:wrap="notBeside" w:vAnchor="page" w:hAnchor="page" w:x="6573" w:y="721"/>
            </w:pPr>
          </w:p>
        </w:tc>
      </w:tr>
      <w:tr w:rsidR="007E793D" w:rsidTr="005803F6">
        <w:tc>
          <w:tcPr>
            <w:tcW w:w="2268" w:type="dxa"/>
          </w:tcPr>
          <w:p w:rsidR="007E793D" w:rsidRDefault="007E793D" w:rsidP="007242A3">
            <w:pPr>
              <w:framePr w:w="5035" w:h="1644" w:wrap="notBeside" w:vAnchor="page" w:hAnchor="page" w:x="6573" w:y="721"/>
            </w:pPr>
            <w:r>
              <w:t>2011-09-29</w:t>
            </w:r>
          </w:p>
        </w:tc>
        <w:tc>
          <w:tcPr>
            <w:tcW w:w="2999" w:type="dxa"/>
            <w:gridSpan w:val="2"/>
          </w:tcPr>
          <w:p w:rsidR="007E793D" w:rsidRDefault="007E793D" w:rsidP="007242A3">
            <w:pPr>
              <w:framePr w:w="5035" w:h="1644" w:wrap="notBeside" w:vAnchor="page" w:hAnchor="page" w:x="6573" w:y="721"/>
            </w:pPr>
          </w:p>
        </w:tc>
      </w:tr>
      <w:tr w:rsidR="007E793D" w:rsidTr="005803F6">
        <w:tc>
          <w:tcPr>
            <w:tcW w:w="2268" w:type="dxa"/>
          </w:tcPr>
          <w:p w:rsidR="007E793D" w:rsidRDefault="007E793D" w:rsidP="007242A3">
            <w:pPr>
              <w:framePr w:w="5035" w:h="1644" w:wrap="notBeside" w:vAnchor="page" w:hAnchor="page" w:x="6573" w:y="721"/>
            </w:pPr>
          </w:p>
        </w:tc>
        <w:tc>
          <w:tcPr>
            <w:tcW w:w="2999" w:type="dxa"/>
            <w:gridSpan w:val="2"/>
          </w:tcPr>
          <w:p w:rsidR="007E793D" w:rsidRDefault="007E793D" w:rsidP="007242A3">
            <w:pPr>
              <w:framePr w:w="5035" w:h="1644" w:wrap="notBeside" w:vAnchor="page" w:hAnchor="page" w:x="6573" w:y="721"/>
            </w:pPr>
          </w:p>
        </w:tc>
      </w:tr>
    </w:tbl>
    <w:tbl>
      <w:tblPr>
        <w:tblW w:w="0" w:type="auto"/>
        <w:tblLayout w:type="fixed"/>
        <w:tblLook w:val="0000"/>
      </w:tblPr>
      <w:tblGrid>
        <w:gridCol w:w="4911"/>
      </w:tblGrid>
      <w:tr w:rsidR="007E793D">
        <w:trPr>
          <w:trHeight w:val="284"/>
        </w:trPr>
        <w:tc>
          <w:tcPr>
            <w:tcW w:w="4911" w:type="dxa"/>
          </w:tcPr>
          <w:p w:rsidR="007E793D" w:rsidRDefault="007E793D">
            <w:pPr>
              <w:pStyle w:val="Avsndare"/>
              <w:framePr w:h="2483" w:wrap="notBeside" w:x="1504"/>
              <w:rPr>
                <w:b/>
                <w:i w:val="0"/>
                <w:sz w:val="22"/>
              </w:rPr>
            </w:pPr>
            <w:r>
              <w:rPr>
                <w:b/>
                <w:i w:val="0"/>
                <w:sz w:val="22"/>
              </w:rPr>
              <w:t>Miljödepartementet</w:t>
            </w:r>
          </w:p>
        </w:tc>
      </w:tr>
      <w:tr w:rsidR="007E793D">
        <w:trPr>
          <w:trHeight w:val="284"/>
        </w:trPr>
        <w:tc>
          <w:tcPr>
            <w:tcW w:w="4911" w:type="dxa"/>
          </w:tcPr>
          <w:p w:rsidR="007E793D" w:rsidRDefault="007E793D">
            <w:pPr>
              <w:pStyle w:val="Avsndare"/>
              <w:framePr w:h="2483" w:wrap="notBeside" w:x="1504"/>
              <w:rPr>
                <w:bCs/>
                <w:iCs/>
              </w:rPr>
            </w:pPr>
          </w:p>
        </w:tc>
      </w:tr>
      <w:tr w:rsidR="007E793D">
        <w:trPr>
          <w:trHeight w:val="284"/>
        </w:trPr>
        <w:tc>
          <w:tcPr>
            <w:tcW w:w="4911" w:type="dxa"/>
          </w:tcPr>
          <w:p w:rsidR="007E793D" w:rsidRDefault="007E793D">
            <w:pPr>
              <w:pStyle w:val="Avsndare"/>
              <w:framePr w:h="2483" w:wrap="notBeside" w:x="1504"/>
              <w:rPr>
                <w:bCs/>
                <w:iCs/>
              </w:rPr>
            </w:pPr>
            <w:r>
              <w:rPr>
                <w:bCs/>
                <w:iCs/>
              </w:rPr>
              <w:t>Internationella enheten</w:t>
            </w:r>
          </w:p>
        </w:tc>
      </w:tr>
      <w:tr w:rsidR="007E793D">
        <w:trPr>
          <w:trHeight w:val="284"/>
        </w:trPr>
        <w:tc>
          <w:tcPr>
            <w:tcW w:w="4911" w:type="dxa"/>
          </w:tcPr>
          <w:p w:rsidR="007E793D" w:rsidRDefault="007E793D">
            <w:pPr>
              <w:pStyle w:val="Avsndare"/>
              <w:framePr w:h="2483" w:wrap="notBeside" w:x="1504"/>
              <w:rPr>
                <w:bCs/>
                <w:iCs/>
              </w:rPr>
            </w:pPr>
          </w:p>
        </w:tc>
      </w:tr>
      <w:tr w:rsidR="007E793D">
        <w:trPr>
          <w:trHeight w:val="284"/>
        </w:trPr>
        <w:tc>
          <w:tcPr>
            <w:tcW w:w="4911" w:type="dxa"/>
          </w:tcPr>
          <w:p w:rsidR="007E793D" w:rsidRDefault="007E793D">
            <w:pPr>
              <w:pStyle w:val="Avsndare"/>
              <w:framePr w:h="2483" w:wrap="notBeside" w:x="1504"/>
              <w:rPr>
                <w:bCs/>
                <w:iCs/>
              </w:rPr>
            </w:pPr>
          </w:p>
        </w:tc>
      </w:tr>
      <w:tr w:rsidR="007E793D">
        <w:trPr>
          <w:trHeight w:val="284"/>
        </w:trPr>
        <w:tc>
          <w:tcPr>
            <w:tcW w:w="4911" w:type="dxa"/>
          </w:tcPr>
          <w:p w:rsidR="007E793D" w:rsidRDefault="007E793D">
            <w:pPr>
              <w:pStyle w:val="Avsndare"/>
              <w:framePr w:h="2483" w:wrap="notBeside" w:x="1504"/>
              <w:rPr>
                <w:bCs/>
                <w:iCs/>
              </w:rPr>
            </w:pPr>
          </w:p>
        </w:tc>
      </w:tr>
      <w:tr w:rsidR="007E793D">
        <w:trPr>
          <w:trHeight w:val="284"/>
        </w:trPr>
        <w:tc>
          <w:tcPr>
            <w:tcW w:w="4911" w:type="dxa"/>
          </w:tcPr>
          <w:p w:rsidR="007E793D" w:rsidRDefault="007E793D">
            <w:pPr>
              <w:pStyle w:val="Avsndare"/>
              <w:framePr w:h="2483" w:wrap="notBeside" w:x="1504"/>
              <w:rPr>
                <w:bCs/>
                <w:iCs/>
              </w:rPr>
            </w:pPr>
          </w:p>
        </w:tc>
      </w:tr>
      <w:tr w:rsidR="007E793D">
        <w:trPr>
          <w:trHeight w:val="284"/>
        </w:trPr>
        <w:tc>
          <w:tcPr>
            <w:tcW w:w="4911" w:type="dxa"/>
          </w:tcPr>
          <w:p w:rsidR="007E793D" w:rsidRDefault="007E793D">
            <w:pPr>
              <w:pStyle w:val="Avsndare"/>
              <w:framePr w:h="2483" w:wrap="notBeside" w:x="1504"/>
              <w:rPr>
                <w:bCs/>
                <w:iCs/>
              </w:rPr>
            </w:pPr>
          </w:p>
        </w:tc>
      </w:tr>
      <w:tr w:rsidR="007E793D">
        <w:trPr>
          <w:trHeight w:val="284"/>
        </w:trPr>
        <w:tc>
          <w:tcPr>
            <w:tcW w:w="4911" w:type="dxa"/>
          </w:tcPr>
          <w:p w:rsidR="007E793D" w:rsidRDefault="007E793D">
            <w:pPr>
              <w:pStyle w:val="Avsndare"/>
              <w:framePr w:h="2483" w:wrap="notBeside" w:x="1504"/>
              <w:rPr>
                <w:bCs/>
                <w:iCs/>
              </w:rPr>
            </w:pPr>
          </w:p>
        </w:tc>
      </w:tr>
    </w:tbl>
    <w:p w:rsidR="007E793D" w:rsidRPr="005803F6" w:rsidRDefault="007E793D">
      <w:pPr>
        <w:framePr w:w="4400" w:h="2523" w:wrap="notBeside" w:vAnchor="page" w:hAnchor="page" w:x="6453" w:y="2445"/>
        <w:ind w:left="142"/>
        <w:rPr>
          <w:b/>
        </w:rPr>
      </w:pPr>
    </w:p>
    <w:p w:rsidR="007E793D" w:rsidRDefault="007E793D">
      <w:pPr>
        <w:pStyle w:val="RKrubrik"/>
        <w:pBdr>
          <w:bottom w:val="single" w:sz="6" w:space="1" w:color="auto"/>
        </w:pBdr>
      </w:pPr>
      <w:bookmarkStart w:id="0" w:name="bRubrik"/>
      <w:bookmarkEnd w:id="0"/>
      <w:r>
        <w:t>Rådets möte (Miljö) den 10 Oktober</w:t>
      </w:r>
    </w:p>
    <w:p w:rsidR="007E793D" w:rsidRDefault="007E793D">
      <w:pPr>
        <w:pStyle w:val="RKnormal"/>
      </w:pPr>
    </w:p>
    <w:p w:rsidR="007E793D" w:rsidRDefault="007E793D">
      <w:pPr>
        <w:pStyle w:val="RKnormal"/>
      </w:pPr>
      <w:r>
        <w:t>Dagordningspunkt 7</w:t>
      </w:r>
    </w:p>
    <w:p w:rsidR="007E793D" w:rsidRDefault="007E793D">
      <w:pPr>
        <w:pStyle w:val="RKnormal"/>
      </w:pPr>
    </w:p>
    <w:p w:rsidR="007E793D" w:rsidRDefault="007E793D">
      <w:pPr>
        <w:pStyle w:val="RKnormal"/>
      </w:pPr>
      <w:r>
        <w:t>Rubrik:</w:t>
      </w:r>
      <w:r w:rsidRPr="00051F7D">
        <w:t xml:space="preserve"> </w:t>
      </w:r>
      <w:r>
        <w:t>10:e partsmötet till Baselkonventionen om kontroll av gränsöverskridande transporter av farligt avfall och dess bortskaffande Cartagena Colombia 17-21 oktober</w:t>
      </w:r>
    </w:p>
    <w:p w:rsidR="007E793D" w:rsidRDefault="007E793D">
      <w:pPr>
        <w:pStyle w:val="RKnormal"/>
      </w:pPr>
    </w:p>
    <w:p w:rsidR="007E793D" w:rsidRPr="002D3060" w:rsidRDefault="007E793D" w:rsidP="002D3060">
      <w:pPr>
        <w:pStyle w:val="RKnormal"/>
        <w:rPr>
          <w:lang w:val="en-US"/>
        </w:rPr>
      </w:pPr>
      <w:r w:rsidRPr="002D3060">
        <w:rPr>
          <w:lang w:val="en-US"/>
        </w:rPr>
        <w:t xml:space="preserve">Dokument: - </w:t>
      </w:r>
      <w:r>
        <w:rPr>
          <w:lang w:val="en-US"/>
        </w:rPr>
        <w:t>Rådsbeslut</w:t>
      </w:r>
      <w:r w:rsidRPr="002D3060">
        <w:rPr>
          <w:lang w:val="en-US"/>
        </w:rPr>
        <w:t xml:space="preserve"> </w:t>
      </w:r>
    </w:p>
    <w:p w:rsidR="007E793D" w:rsidRDefault="007E793D" w:rsidP="002D3060">
      <w:pPr>
        <w:pStyle w:val="RKnormal"/>
        <w:tabs>
          <w:tab w:val="clear" w:pos="2835"/>
          <w:tab w:val="left" w:pos="1418"/>
        </w:tabs>
        <w:ind w:left="1418"/>
        <w:rPr>
          <w:lang w:val="en-US"/>
        </w:rPr>
      </w:pPr>
      <w:r w:rsidRPr="00E65F7E">
        <w:rPr>
          <w:lang w:val="en-US"/>
        </w:rPr>
        <w:tab/>
      </w:r>
      <w:r w:rsidRPr="002D3060">
        <w:rPr>
          <w:lang w:val="en-US"/>
        </w:rPr>
        <w:t>12757/11 ENV 609 COMER 145</w:t>
      </w:r>
      <w:r w:rsidRPr="002D3060">
        <w:rPr>
          <w:lang w:val="en-US"/>
        </w:rPr>
        <w:br/>
        <w:t>14371/11 ENV 683 COMER 180</w:t>
      </w:r>
      <w:r w:rsidRPr="002D3060">
        <w:rPr>
          <w:lang w:val="en-US"/>
        </w:rPr>
        <w:br/>
        <w:t>14223/11 ENV 676 COMER 179</w:t>
      </w:r>
      <w:r>
        <w:rPr>
          <w:lang w:val="en-US"/>
        </w:rPr>
        <w:t xml:space="preserve"> </w:t>
      </w:r>
    </w:p>
    <w:p w:rsidR="007E793D" w:rsidRPr="002D3060" w:rsidRDefault="007E793D" w:rsidP="002D3060">
      <w:pPr>
        <w:pStyle w:val="RKnormal"/>
        <w:tabs>
          <w:tab w:val="clear" w:pos="2835"/>
          <w:tab w:val="left" w:pos="1418"/>
        </w:tabs>
        <w:ind w:left="1418"/>
        <w:rPr>
          <w:lang w:val="en-US"/>
        </w:rPr>
      </w:pPr>
    </w:p>
    <w:p w:rsidR="007E793D" w:rsidRPr="002D3060" w:rsidRDefault="007E793D" w:rsidP="002D3060">
      <w:pPr>
        <w:pStyle w:val="RKnormal"/>
        <w:tabs>
          <w:tab w:val="clear" w:pos="2835"/>
          <w:tab w:val="left" w:pos="1418"/>
        </w:tabs>
        <w:rPr>
          <w:lang w:val="en-US"/>
        </w:rPr>
      </w:pPr>
      <w:r>
        <w:rPr>
          <w:lang w:val="en-US"/>
        </w:rPr>
        <w:tab/>
      </w:r>
      <w:r w:rsidRPr="002D3060">
        <w:rPr>
          <w:lang w:val="en-US"/>
        </w:rPr>
        <w:t xml:space="preserve">- </w:t>
      </w:r>
      <w:r>
        <w:rPr>
          <w:lang w:val="en-US"/>
        </w:rPr>
        <w:t>Utkast till rådsslutsatser</w:t>
      </w:r>
    </w:p>
    <w:p w:rsidR="007E793D" w:rsidRPr="002D3060" w:rsidRDefault="007E793D" w:rsidP="002D3060">
      <w:pPr>
        <w:pStyle w:val="RKnormal"/>
        <w:tabs>
          <w:tab w:val="clear" w:pos="2835"/>
          <w:tab w:val="left" w:pos="1418"/>
        </w:tabs>
        <w:rPr>
          <w:lang w:val="en-US"/>
        </w:rPr>
      </w:pPr>
      <w:r>
        <w:rPr>
          <w:lang w:val="en-US"/>
        </w:rPr>
        <w:tab/>
      </w:r>
      <w:r w:rsidRPr="002D3060">
        <w:rPr>
          <w:lang w:val="en-US"/>
        </w:rPr>
        <w:t>14373/11 ENV 684 MAR 114</w:t>
      </w:r>
    </w:p>
    <w:p w:rsidR="007E793D" w:rsidRPr="002D3060" w:rsidRDefault="007E793D">
      <w:pPr>
        <w:pStyle w:val="RKnormal"/>
        <w:rPr>
          <w:lang w:val="en-US"/>
        </w:rPr>
      </w:pPr>
    </w:p>
    <w:p w:rsidR="007E793D" w:rsidRDefault="007E793D">
      <w:pPr>
        <w:pStyle w:val="RKnormal"/>
      </w:pPr>
      <w:r>
        <w:t>Tidigare dokument:  -</w:t>
      </w:r>
    </w:p>
    <w:p w:rsidR="007E793D" w:rsidRDefault="007E793D">
      <w:pPr>
        <w:pStyle w:val="RKnormal"/>
      </w:pPr>
    </w:p>
    <w:p w:rsidR="007E793D" w:rsidRDefault="007E793D">
      <w:pPr>
        <w:pStyle w:val="RKnormal"/>
      </w:pPr>
      <w:r>
        <w:t>Tidigare behandlad vid samråd med EU-nämnden: Nej</w:t>
      </w:r>
    </w:p>
    <w:p w:rsidR="007E793D" w:rsidRDefault="007E793D">
      <w:pPr>
        <w:pStyle w:val="RKrubrik"/>
      </w:pPr>
      <w:r>
        <w:t>Bakgrund</w:t>
      </w:r>
    </w:p>
    <w:p w:rsidR="007E793D" w:rsidRDefault="007E793D" w:rsidP="00233B40">
      <w:pPr>
        <w:tabs>
          <w:tab w:val="left" w:pos="2835"/>
        </w:tabs>
        <w:overflowPunct/>
        <w:spacing w:line="240" w:lineRule="auto"/>
        <w:textAlignment w:val="auto"/>
        <w:rPr>
          <w:rFonts w:cs="OrigGarmnd BT"/>
          <w:color w:val="000000"/>
          <w:szCs w:val="24"/>
          <w:lang w:eastAsia="sv-SE"/>
        </w:rPr>
      </w:pPr>
      <w:r w:rsidRPr="00A531DB">
        <w:rPr>
          <w:rFonts w:cs="OrigGarmnd BT"/>
          <w:color w:val="000000"/>
          <w:szCs w:val="24"/>
          <w:lang w:eastAsia="sv-SE"/>
        </w:rPr>
        <w:t xml:space="preserve">Baselkonventionen kommer </w:t>
      </w:r>
      <w:r>
        <w:rPr>
          <w:rFonts w:cs="OrigGarmnd BT"/>
          <w:color w:val="000000"/>
          <w:szCs w:val="24"/>
          <w:lang w:eastAsia="sv-SE"/>
        </w:rPr>
        <w:t xml:space="preserve">att </w:t>
      </w:r>
      <w:r w:rsidRPr="00A531DB">
        <w:rPr>
          <w:rFonts w:cs="OrigGarmnd BT"/>
          <w:color w:val="000000"/>
          <w:szCs w:val="24"/>
          <w:lang w:eastAsia="sv-SE"/>
        </w:rPr>
        <w:t>hålla nästa partsmöte 17-21 oktober i Cartagena Colombia</w:t>
      </w:r>
      <w:r>
        <w:rPr>
          <w:rFonts w:cs="OrigGarmnd BT"/>
          <w:color w:val="000000"/>
          <w:szCs w:val="24"/>
          <w:lang w:eastAsia="sv-SE"/>
        </w:rPr>
        <w:t xml:space="preserve"> (COP10)</w:t>
      </w:r>
      <w:r w:rsidRPr="00A531DB">
        <w:rPr>
          <w:rFonts w:cs="OrigGarmnd BT"/>
          <w:color w:val="000000"/>
          <w:szCs w:val="24"/>
          <w:lang w:eastAsia="sv-SE"/>
        </w:rPr>
        <w:t xml:space="preserve">. Under året har den viktigaste frågan varit det så kallade </w:t>
      </w:r>
      <w:r w:rsidRPr="00A531DB">
        <w:rPr>
          <w:rFonts w:cs="OrigGarmnd BT"/>
          <w:i/>
          <w:color w:val="000000"/>
          <w:szCs w:val="24"/>
          <w:lang w:eastAsia="sv-SE"/>
        </w:rPr>
        <w:t>Country Led Initiative (CLI)</w:t>
      </w:r>
      <w:r w:rsidRPr="00A531DB">
        <w:rPr>
          <w:rFonts w:cs="OrigGarmnd BT"/>
          <w:color w:val="000000"/>
          <w:szCs w:val="24"/>
          <w:lang w:eastAsia="sv-SE"/>
        </w:rPr>
        <w:t xml:space="preserve"> som syftar till att med ytterligare åtgärder </w:t>
      </w:r>
      <w:r>
        <w:rPr>
          <w:rFonts w:cs="OrigGarmnd BT"/>
          <w:color w:val="000000"/>
          <w:szCs w:val="24"/>
          <w:lang w:eastAsia="sv-SE"/>
        </w:rPr>
        <w:t xml:space="preserve">hindra att utsatta länder får ta emot farligt avfall som de inte kan hantera samt att försöka enas om en tolkning av artikel 17:5 i Baselkonventionen (artikel 17:5) så att det kan fastställas när </w:t>
      </w:r>
      <w:r w:rsidRPr="00A531DB">
        <w:rPr>
          <w:rFonts w:cs="OrigGarmnd BT"/>
          <w:color w:val="000000"/>
          <w:szCs w:val="24"/>
          <w:lang w:eastAsia="sv-SE"/>
        </w:rPr>
        <w:t>det ännu inte ratificerade Basel Ban Amendment (det s.k. Baselförbudet där export av farligt avfall från OECD länder till utvecklingsländer förbjuds)</w:t>
      </w:r>
      <w:r>
        <w:rPr>
          <w:rFonts w:cs="OrigGarmnd BT"/>
          <w:color w:val="000000"/>
          <w:szCs w:val="24"/>
          <w:lang w:eastAsia="sv-SE"/>
        </w:rPr>
        <w:t xml:space="preserve"> ska träda ikraft</w:t>
      </w:r>
      <w:r w:rsidRPr="00A531DB">
        <w:rPr>
          <w:rFonts w:cs="OrigGarmnd BT"/>
          <w:color w:val="000000"/>
          <w:szCs w:val="24"/>
          <w:lang w:eastAsia="sv-SE"/>
        </w:rPr>
        <w:t>.</w:t>
      </w:r>
      <w:r>
        <w:rPr>
          <w:rFonts w:cs="OrigGarmnd BT"/>
          <w:color w:val="000000"/>
          <w:szCs w:val="24"/>
          <w:lang w:eastAsia="sv-SE"/>
        </w:rPr>
        <w:t xml:space="preserve"> Artikel 17:5 anger under vilka förutsättningar tillägg till Baselkonventionen träder i kraft men dess ordalydelse är oklar och Parterna till konventionen har olika uppfattningar om hur många ratifikationer som krävs för att ett tillägg till konventionen ska träda ikraft. Eftersom parterna inte kunnat enas om en tolkning av denna artikel är det för närvarande oklart hur många ratifikationer som krävs för att tillägget om Baselförbudet ska träda ikraft.  </w:t>
      </w:r>
    </w:p>
    <w:p w:rsidR="007E793D" w:rsidRDefault="007E793D">
      <w:pPr>
        <w:pStyle w:val="RKnormal"/>
      </w:pPr>
    </w:p>
    <w:p w:rsidR="007E793D" w:rsidRDefault="007E793D" w:rsidP="004A6CA3">
      <w:pPr>
        <w:tabs>
          <w:tab w:val="left" w:pos="2835"/>
        </w:tabs>
        <w:overflowPunct/>
        <w:spacing w:line="240" w:lineRule="auto"/>
        <w:textAlignment w:val="auto"/>
        <w:rPr>
          <w:rFonts w:cs="OrigGarmnd BT"/>
          <w:color w:val="000000"/>
          <w:szCs w:val="24"/>
          <w:lang w:eastAsia="sv-SE"/>
        </w:rPr>
      </w:pPr>
      <w:r>
        <w:t>Inför varje partsmötet antar rådet rådslutsatser. Rådslutsatserna anger EU:s övergripande position på de relevanta frågor som kommer att behandlas på partsmötet.</w:t>
      </w:r>
      <w:r w:rsidRPr="004A6CA3">
        <w:rPr>
          <w:rFonts w:cs="OrigGarmnd BT"/>
          <w:color w:val="000000"/>
          <w:szCs w:val="24"/>
          <w:lang w:eastAsia="sv-SE"/>
        </w:rPr>
        <w:t xml:space="preserve"> </w:t>
      </w:r>
      <w:r>
        <w:rPr>
          <w:rFonts w:cs="OrigGarmnd BT"/>
          <w:color w:val="000000"/>
          <w:szCs w:val="24"/>
          <w:lang w:eastAsia="sv-SE"/>
        </w:rPr>
        <w:t>Rådslutsatserna innehåller EU:s position om att man välkomnar ett antagande av det strategiska ramverket med konventionens mål och genomförande under perioden 2012-2021. EU understryker att man bör fatta beslut om det s.k. CLI initiativet om ytterligare åtgärder för att hindra att utsatta länder får ta emot farligt avfall. EU vill även se att jämförelsen mellan Baselkonventionen och HongKong konventionen avslutas vad gäller fartyg som skrotas.</w:t>
      </w:r>
    </w:p>
    <w:p w:rsidR="007E793D" w:rsidRDefault="007E793D" w:rsidP="00F27505">
      <w:pPr>
        <w:pStyle w:val="RKnormal"/>
      </w:pPr>
    </w:p>
    <w:p w:rsidR="007E793D" w:rsidRDefault="007E793D">
      <w:pPr>
        <w:pStyle w:val="RKnormal"/>
      </w:pPr>
      <w:r>
        <w:t>Rådet ska även anta en gemensam ståndpunkt, ett rådsbeslut, för hur EU anser att artikel 17:5 ska tolkas. Artikel 17:5 anger på under vilka förutsättningar tillägg till konventionen kan träda ikraft.</w:t>
      </w:r>
    </w:p>
    <w:p w:rsidR="007E793D" w:rsidRDefault="007E793D">
      <w:pPr>
        <w:pStyle w:val="RKnormal"/>
      </w:pPr>
    </w:p>
    <w:p w:rsidR="007E793D" w:rsidRDefault="007E793D">
      <w:pPr>
        <w:pStyle w:val="RKrubrik"/>
      </w:pPr>
      <w:r>
        <w:t>Rättslig grund och beslutsförfarande</w:t>
      </w:r>
    </w:p>
    <w:p w:rsidR="007E793D" w:rsidRDefault="007E793D" w:rsidP="002F63A4">
      <w:r>
        <w:t>R</w:t>
      </w:r>
      <w:r>
        <w:rPr>
          <w:rFonts w:ascii="Constantia" w:hAnsi="Constantia"/>
        </w:rPr>
        <w:t>ä</w:t>
      </w:r>
      <w:r>
        <w:t>ttlig grund f</w:t>
      </w:r>
      <w:r>
        <w:rPr>
          <w:rFonts w:ascii="Constantia" w:hAnsi="Constantia"/>
        </w:rPr>
        <w:t>ö</w:t>
      </w:r>
      <w:r>
        <w:t xml:space="preserve">r rådsbeslutet </w:t>
      </w:r>
      <w:r>
        <w:rPr>
          <w:rFonts w:ascii="Constantia" w:hAnsi="Constantia"/>
        </w:rPr>
        <w:t>ä</w:t>
      </w:r>
      <w:r>
        <w:t xml:space="preserve">r </w:t>
      </w:r>
      <w:r w:rsidRPr="00D4503B">
        <w:t xml:space="preserve">artikel </w:t>
      </w:r>
      <w:r>
        <w:t>192.1 j</w:t>
      </w:r>
      <w:r>
        <w:rPr>
          <w:rFonts w:ascii="Constantia" w:hAnsi="Constantia"/>
        </w:rPr>
        <w:t>ä</w:t>
      </w:r>
      <w:r>
        <w:t>mte artikel 218.9</w:t>
      </w:r>
      <w:r w:rsidRPr="00D4503B">
        <w:t xml:space="preserve"> EUF-fördraget</w:t>
      </w:r>
      <w:r>
        <w:t xml:space="preserve"> och beslutet </w:t>
      </w:r>
      <w:r w:rsidRPr="00D4503B">
        <w:t>fattas av rådet med kvalificerad majoritet</w:t>
      </w:r>
      <w:r>
        <w:t>.</w:t>
      </w:r>
      <w:r w:rsidRPr="00D4503B">
        <w:t xml:space="preserve"> </w:t>
      </w:r>
    </w:p>
    <w:p w:rsidR="007E793D" w:rsidRDefault="007E793D" w:rsidP="002F63A4"/>
    <w:p w:rsidR="007E793D" w:rsidRPr="00D4503B" w:rsidRDefault="007E793D" w:rsidP="002F63A4">
      <w:r>
        <w:t>Rådsslutsatserna antas av rådet med konsensus.</w:t>
      </w:r>
    </w:p>
    <w:p w:rsidR="007E793D" w:rsidRPr="002F63A4" w:rsidRDefault="007E793D" w:rsidP="002F63A4">
      <w:pPr>
        <w:pStyle w:val="RKnormal"/>
      </w:pPr>
    </w:p>
    <w:p w:rsidR="007E793D" w:rsidRDefault="007E793D">
      <w:pPr>
        <w:pStyle w:val="RKrubrik"/>
        <w:rPr>
          <w:i/>
          <w:iCs/>
        </w:rPr>
      </w:pPr>
      <w:r>
        <w:rPr>
          <w:i/>
          <w:iCs/>
        </w:rPr>
        <w:t>Svensk ståndpunkt</w:t>
      </w:r>
    </w:p>
    <w:p w:rsidR="007E793D" w:rsidRDefault="007E793D" w:rsidP="009924FF">
      <w:pPr>
        <w:pStyle w:val="RKnormal"/>
      </w:pPr>
      <w:r>
        <w:t>Regeringen stödjer rådslutsatserna inför Baselkonventionens 10:e partsmöte och anser att de omfattar de relevanta frågor som kommer att behandlas på partsmötet.</w:t>
      </w:r>
    </w:p>
    <w:p w:rsidR="007E793D" w:rsidRDefault="007E793D" w:rsidP="009924FF">
      <w:pPr>
        <w:pStyle w:val="RKnormal"/>
      </w:pPr>
    </w:p>
    <w:p w:rsidR="007E793D" w:rsidRDefault="007E793D" w:rsidP="009924FF">
      <w:pPr>
        <w:pStyle w:val="RKnormal"/>
      </w:pPr>
      <w:r>
        <w:t>Regeringen menar att det är av stor vikt att det fattas ett beslut om hur artikel 17.5 ska tolkas eftersom det annars förblir oklart när Baselförbudet kan träda i kraft. Sverige stöder EU:s linje att tillägg till konventionen ska träda ikraft då ¾ av de parter som var parter då beslutet antogs har ratificerat ett tillägg, s.k. ”fixed time approach”.</w:t>
      </w:r>
    </w:p>
    <w:p w:rsidR="007E793D" w:rsidRDefault="007E793D" w:rsidP="009924FF">
      <w:pPr>
        <w:pStyle w:val="RKnormal"/>
      </w:pPr>
    </w:p>
    <w:p w:rsidR="007E793D" w:rsidRDefault="007E793D" w:rsidP="009924FF">
      <w:pPr>
        <w:pStyle w:val="RKnormal"/>
      </w:pPr>
      <w:r>
        <w:t>Regeringen stöder att ett rådsbeslut om en gemensam ståndpunkt tas fram om tolkningen av artikel 17:5 Baselkonventionen. Regeringen anser det  är av stor vikt att Parterna vid COP10 fattar ett beslut om tolkningen av artikel 17:5 som har s.k. tolkningsvärde enligt Wienkonventionen och därmed kan anses ha rättslig verkan. Att beslutet har tolkningsvärde enligt Wienkonventionen innebär att det får en större rättslig innebörd och att hänsyn ska tas till beslutet när parterna till en konvention ska tillämpa dess regler.</w:t>
      </w:r>
    </w:p>
    <w:p w:rsidR="007E793D" w:rsidRDefault="007E793D">
      <w:pPr>
        <w:pStyle w:val="RKrubrik"/>
      </w:pPr>
      <w:r>
        <w:t>Europaparlamentets inställning</w:t>
      </w:r>
    </w:p>
    <w:p w:rsidR="007E793D" w:rsidRDefault="007E793D">
      <w:pPr>
        <w:pStyle w:val="RKnormal"/>
      </w:pPr>
      <w:r>
        <w:t>Europaparlamentet har ingen formell roll vid antagandet av rådslutsatser och har inte uttryckt någon inställning.</w:t>
      </w:r>
    </w:p>
    <w:p w:rsidR="007E793D" w:rsidRDefault="007E793D">
      <w:pPr>
        <w:pStyle w:val="RKrubrik"/>
        <w:rPr>
          <w:i/>
          <w:iCs/>
        </w:rPr>
      </w:pPr>
      <w:r>
        <w:rPr>
          <w:i/>
          <w:iCs/>
        </w:rPr>
        <w:t>Förslaget</w:t>
      </w:r>
    </w:p>
    <w:p w:rsidR="007E793D" w:rsidRDefault="007E793D" w:rsidP="002F63A4">
      <w:pPr>
        <w:pStyle w:val="RKnormal"/>
      </w:pPr>
    </w:p>
    <w:p w:rsidR="007E793D" w:rsidRDefault="007E793D" w:rsidP="002F63A4">
      <w:pPr>
        <w:pStyle w:val="RKnormal"/>
      </w:pPr>
      <w:r>
        <w:t>Kommissionen har föreslagit att rådet ska fatta ett beslut om en gemensam ståndpunkt om att kommissionen, på unionens v</w:t>
      </w:r>
      <w:r>
        <w:rPr>
          <w:rFonts w:ascii="Constantia" w:hAnsi="Constantia"/>
        </w:rPr>
        <w:t>ä</w:t>
      </w:r>
      <w:r>
        <w:t xml:space="preserve">gnar, ska stödja ett beslut om en  tolkning av artikel 17:5 som innebär att ¾ av de parter som var parter när beslutet om tillägget  fattades ska ha ratificerat beslutet för att det ska träda i kraft. </w:t>
      </w:r>
    </w:p>
    <w:p w:rsidR="007E793D" w:rsidRDefault="007E793D" w:rsidP="002F63A4">
      <w:pPr>
        <w:pStyle w:val="RKnormal"/>
      </w:pPr>
    </w:p>
    <w:p w:rsidR="007E793D" w:rsidRDefault="007E793D">
      <w:pPr>
        <w:pStyle w:val="RKnormal"/>
      </w:pPr>
      <w:r>
        <w:t>Rådet ska även besluta om rådslutsatser inför det 10:e partsmötet inom Baselkonventionen. Rådslutsatserna täcker de aktuella frågor som kommer att behandlas under COP10. Enligt rådslutsatserna ska EU  verka för att ett beslut fattas om hur artikel 17:5 ska tolkas som har rättslig verkan och välkomnar andra kompletterande åtgärder för att hindra att farligt avfall hamnar i utsatta länder. Vidare ska EU enligt rådslutsatserna stödja ett antagande av det strategiska ramverket som behandlar konventionens mål och genomförande för den kommande 10-års perioden och välkomna att den pågående jämförelsen av  huruvida Hongkongkonventionen om fartygsskrotning har en likvärdig miljöskyddsnivå som Baselkonventionen avslutas. Om så är fallet bör  Hong Kong konventionen på sikt gälla istället för Baselkonventionen vad det gäller fartyg som ska skrotas.</w:t>
      </w:r>
    </w:p>
    <w:p w:rsidR="007E793D" w:rsidRDefault="007E793D">
      <w:pPr>
        <w:pStyle w:val="RKrubrik"/>
        <w:rPr>
          <w:i/>
          <w:iCs/>
        </w:rPr>
      </w:pPr>
      <w:r>
        <w:rPr>
          <w:i/>
          <w:iCs/>
        </w:rPr>
        <w:t>Gällande svenska regler och förslagets effekter på dessa</w:t>
      </w:r>
    </w:p>
    <w:p w:rsidR="007E793D" w:rsidRDefault="007E793D">
      <w:pPr>
        <w:pStyle w:val="RKnormal"/>
      </w:pPr>
      <w:r>
        <w:t xml:space="preserve">Baselkonventionen är implementerad i EU-lagstiftningen genom förordning (EG) nr 1013/2006 av den 14 juni 2006 om transport av avfall. EU har genomfört det s.k. Baselförbudet och förbjuder export av farligt avfall utanför EU. </w:t>
      </w:r>
    </w:p>
    <w:p w:rsidR="007E793D" w:rsidRDefault="007E793D">
      <w:pPr>
        <w:pStyle w:val="RKrubrik"/>
      </w:pPr>
      <w:r>
        <w:t>Ekonomiska konsekvenser</w:t>
      </w:r>
    </w:p>
    <w:p w:rsidR="007E793D" w:rsidRDefault="007E793D" w:rsidP="00615323">
      <w:pPr>
        <w:pStyle w:val="RKnormal"/>
      </w:pPr>
      <w:r>
        <w:t>EU har redan genomfört exportförbudet i sin lagstiftning och ett ikraftträdande av detta bedöms inte få ytterligare ekonomiska konsekvenser. SE betalar en årlig avgift till Baselkonventionen utifrån en nivå som beslutas på partsmötet. Rådslutsatserna som sådana ger inga ekonomiska konsekvenser.</w:t>
      </w:r>
    </w:p>
    <w:sectPr w:rsidR="007E793D" w:rsidSect="001B00A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93D" w:rsidRDefault="007E793D">
      <w:r>
        <w:separator/>
      </w:r>
    </w:p>
  </w:endnote>
  <w:endnote w:type="continuationSeparator" w:id="0">
    <w:p w:rsidR="007E793D" w:rsidRDefault="007E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93D" w:rsidRDefault="007E793D">
      <w:r>
        <w:separator/>
      </w:r>
    </w:p>
  </w:footnote>
  <w:footnote w:type="continuationSeparator" w:id="0">
    <w:p w:rsidR="007E793D" w:rsidRDefault="007E79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93D" w:rsidRDefault="007E79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7E793D">
      <w:trPr>
        <w:cantSplit/>
      </w:trPr>
      <w:tc>
        <w:tcPr>
          <w:tcW w:w="3119" w:type="dxa"/>
        </w:tcPr>
        <w:p w:rsidR="007E793D" w:rsidRDefault="007E793D">
          <w:pPr>
            <w:pStyle w:val="Header"/>
            <w:spacing w:line="200" w:lineRule="atLeast"/>
            <w:ind w:right="357"/>
            <w:rPr>
              <w:rFonts w:ascii="TradeGothic" w:hAnsi="TradeGothic"/>
              <w:b/>
              <w:bCs/>
              <w:sz w:val="16"/>
            </w:rPr>
          </w:pPr>
        </w:p>
      </w:tc>
      <w:tc>
        <w:tcPr>
          <w:tcW w:w="4111" w:type="dxa"/>
          <w:tcMar>
            <w:left w:w="567" w:type="dxa"/>
          </w:tcMar>
        </w:tcPr>
        <w:p w:rsidR="007E793D" w:rsidRDefault="007E793D">
          <w:pPr>
            <w:pStyle w:val="Header"/>
            <w:ind w:right="360"/>
          </w:pPr>
        </w:p>
      </w:tc>
      <w:tc>
        <w:tcPr>
          <w:tcW w:w="1525" w:type="dxa"/>
        </w:tcPr>
        <w:p w:rsidR="007E793D" w:rsidRDefault="007E793D">
          <w:pPr>
            <w:pStyle w:val="Header"/>
            <w:ind w:right="360"/>
          </w:pPr>
        </w:p>
      </w:tc>
    </w:tr>
  </w:tbl>
  <w:p w:rsidR="007E793D" w:rsidRDefault="007E793D">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93D" w:rsidRDefault="007E79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7E793D">
      <w:trPr>
        <w:cantSplit/>
      </w:trPr>
      <w:tc>
        <w:tcPr>
          <w:tcW w:w="3119" w:type="dxa"/>
        </w:tcPr>
        <w:p w:rsidR="007E793D" w:rsidRDefault="007E793D">
          <w:pPr>
            <w:pStyle w:val="Header"/>
            <w:spacing w:line="200" w:lineRule="atLeast"/>
            <w:ind w:right="357"/>
            <w:rPr>
              <w:rFonts w:ascii="TradeGothic" w:hAnsi="TradeGothic"/>
              <w:b/>
              <w:bCs/>
              <w:sz w:val="16"/>
            </w:rPr>
          </w:pPr>
        </w:p>
      </w:tc>
      <w:tc>
        <w:tcPr>
          <w:tcW w:w="4111" w:type="dxa"/>
          <w:tcMar>
            <w:left w:w="567" w:type="dxa"/>
          </w:tcMar>
        </w:tcPr>
        <w:p w:rsidR="007E793D" w:rsidRDefault="007E793D">
          <w:pPr>
            <w:pStyle w:val="Header"/>
            <w:ind w:right="360"/>
          </w:pPr>
        </w:p>
      </w:tc>
      <w:tc>
        <w:tcPr>
          <w:tcW w:w="1525" w:type="dxa"/>
        </w:tcPr>
        <w:p w:rsidR="007E793D" w:rsidRDefault="007E793D">
          <w:pPr>
            <w:pStyle w:val="Header"/>
            <w:ind w:right="360"/>
          </w:pPr>
        </w:p>
      </w:tc>
    </w:tr>
  </w:tbl>
  <w:p w:rsidR="007E793D" w:rsidRDefault="007E793D">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93D" w:rsidRDefault="007E793D">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7E793D" w:rsidRDefault="007E793D">
    <w:pPr>
      <w:pStyle w:val="RKrubrik"/>
      <w:keepNext w:val="0"/>
      <w:tabs>
        <w:tab w:val="clear" w:pos="1134"/>
        <w:tab w:val="clear" w:pos="2835"/>
      </w:tabs>
      <w:spacing w:before="0" w:after="0" w:line="320" w:lineRule="atLeast"/>
      <w:rPr>
        <w:bCs/>
      </w:rPr>
    </w:pPr>
  </w:p>
  <w:p w:rsidR="007E793D" w:rsidRDefault="007E793D">
    <w:pPr>
      <w:rPr>
        <w:rFonts w:ascii="TradeGothic" w:hAnsi="TradeGothic"/>
        <w:b/>
        <w:bCs/>
        <w:spacing w:val="12"/>
        <w:sz w:val="22"/>
      </w:rPr>
    </w:pPr>
  </w:p>
  <w:p w:rsidR="007E793D" w:rsidRDefault="007E793D">
    <w:pPr>
      <w:pStyle w:val="RKrubrik"/>
      <w:keepNext w:val="0"/>
      <w:tabs>
        <w:tab w:val="clear" w:pos="1134"/>
        <w:tab w:val="clear" w:pos="2835"/>
      </w:tabs>
      <w:spacing w:before="0" w:after="0" w:line="320" w:lineRule="atLeast"/>
      <w:rPr>
        <w:bCs/>
      </w:rPr>
    </w:pPr>
  </w:p>
  <w:p w:rsidR="007E793D" w:rsidRDefault="007E793D">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5803F6"/>
    <w:rsid w:val="0000149C"/>
    <w:rsid w:val="00013988"/>
    <w:rsid w:val="0002728F"/>
    <w:rsid w:val="00051F7D"/>
    <w:rsid w:val="000611D2"/>
    <w:rsid w:val="00083A19"/>
    <w:rsid w:val="000A7B17"/>
    <w:rsid w:val="000B0EB1"/>
    <w:rsid w:val="000C1BBC"/>
    <w:rsid w:val="0011160A"/>
    <w:rsid w:val="0012198E"/>
    <w:rsid w:val="00146B9C"/>
    <w:rsid w:val="00150384"/>
    <w:rsid w:val="001805B7"/>
    <w:rsid w:val="00181F25"/>
    <w:rsid w:val="00191C95"/>
    <w:rsid w:val="001B00A4"/>
    <w:rsid w:val="00200B99"/>
    <w:rsid w:val="00233B40"/>
    <w:rsid w:val="002350FC"/>
    <w:rsid w:val="00236D54"/>
    <w:rsid w:val="0026035D"/>
    <w:rsid w:val="002809B3"/>
    <w:rsid w:val="002A08D7"/>
    <w:rsid w:val="002A5C90"/>
    <w:rsid w:val="002D3060"/>
    <w:rsid w:val="002D5C2B"/>
    <w:rsid w:val="002F63A4"/>
    <w:rsid w:val="00337084"/>
    <w:rsid w:val="003924FC"/>
    <w:rsid w:val="003C04B7"/>
    <w:rsid w:val="0043733D"/>
    <w:rsid w:val="00442D9F"/>
    <w:rsid w:val="00470FC2"/>
    <w:rsid w:val="00483EDE"/>
    <w:rsid w:val="004A328D"/>
    <w:rsid w:val="004A6CA3"/>
    <w:rsid w:val="005803F6"/>
    <w:rsid w:val="00581DFA"/>
    <w:rsid w:val="005B04F6"/>
    <w:rsid w:val="005B0D45"/>
    <w:rsid w:val="00615323"/>
    <w:rsid w:val="00667719"/>
    <w:rsid w:val="006B58E2"/>
    <w:rsid w:val="006D34A6"/>
    <w:rsid w:val="006E4E11"/>
    <w:rsid w:val="007166A0"/>
    <w:rsid w:val="00716CC1"/>
    <w:rsid w:val="007242A3"/>
    <w:rsid w:val="007703EB"/>
    <w:rsid w:val="00785CFA"/>
    <w:rsid w:val="00787683"/>
    <w:rsid w:val="00795DD6"/>
    <w:rsid w:val="007C5EDA"/>
    <w:rsid w:val="007E793D"/>
    <w:rsid w:val="00810916"/>
    <w:rsid w:val="00835BB1"/>
    <w:rsid w:val="00914E88"/>
    <w:rsid w:val="00923F62"/>
    <w:rsid w:val="009321C3"/>
    <w:rsid w:val="009800AF"/>
    <w:rsid w:val="009924FF"/>
    <w:rsid w:val="009B2880"/>
    <w:rsid w:val="009B583F"/>
    <w:rsid w:val="009D6823"/>
    <w:rsid w:val="009E0659"/>
    <w:rsid w:val="009E1B26"/>
    <w:rsid w:val="00A11FE8"/>
    <w:rsid w:val="00A121F6"/>
    <w:rsid w:val="00A357C3"/>
    <w:rsid w:val="00A531DB"/>
    <w:rsid w:val="00A937C0"/>
    <w:rsid w:val="00AA15A5"/>
    <w:rsid w:val="00AC1AB2"/>
    <w:rsid w:val="00AE6B10"/>
    <w:rsid w:val="00AF6376"/>
    <w:rsid w:val="00B37E3B"/>
    <w:rsid w:val="00B768A4"/>
    <w:rsid w:val="00BB1C63"/>
    <w:rsid w:val="00BE43C7"/>
    <w:rsid w:val="00C22064"/>
    <w:rsid w:val="00CA2BFE"/>
    <w:rsid w:val="00D4503B"/>
    <w:rsid w:val="00D502D6"/>
    <w:rsid w:val="00D50D3E"/>
    <w:rsid w:val="00D51DF8"/>
    <w:rsid w:val="00D70B76"/>
    <w:rsid w:val="00D86B64"/>
    <w:rsid w:val="00DC1EE0"/>
    <w:rsid w:val="00DE258D"/>
    <w:rsid w:val="00DE58FF"/>
    <w:rsid w:val="00E361D2"/>
    <w:rsid w:val="00E65F7E"/>
    <w:rsid w:val="00EB6493"/>
    <w:rsid w:val="00EC25F9"/>
    <w:rsid w:val="00EF56FA"/>
    <w:rsid w:val="00F137DD"/>
    <w:rsid w:val="00F17DC6"/>
    <w:rsid w:val="00F27505"/>
    <w:rsid w:val="00F518DC"/>
    <w:rsid w:val="00F7337C"/>
    <w:rsid w:val="00F96FC2"/>
    <w:rsid w:val="00FF79F5"/>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0A4"/>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B00A4"/>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B00A4"/>
    <w:pPr>
      <w:spacing w:before="360"/>
      <w:outlineLvl w:val="1"/>
    </w:pPr>
  </w:style>
  <w:style w:type="paragraph" w:styleId="Heading3">
    <w:name w:val="heading 3"/>
    <w:basedOn w:val="Heading2"/>
    <w:next w:val="RKnormal"/>
    <w:link w:val="Heading3Char"/>
    <w:uiPriority w:val="99"/>
    <w:qFormat/>
    <w:rsid w:val="001B00A4"/>
    <w:pPr>
      <w:spacing w:after="120" w:line="240" w:lineRule="atLeast"/>
      <w:outlineLvl w:val="2"/>
    </w:pPr>
    <w:rPr>
      <w:b w:val="0"/>
    </w:rPr>
  </w:style>
  <w:style w:type="paragraph" w:styleId="Heading4">
    <w:name w:val="heading 4"/>
    <w:basedOn w:val="Heading3"/>
    <w:next w:val="RKnormal"/>
    <w:link w:val="Heading4Char"/>
    <w:uiPriority w:val="99"/>
    <w:qFormat/>
    <w:rsid w:val="001B00A4"/>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1BBC"/>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0C1BBC"/>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0C1BBC"/>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C1BBC"/>
    <w:rPr>
      <w:rFonts w:ascii="Calibri" w:hAnsi="Calibri" w:cs="Times New Roman"/>
      <w:b/>
      <w:bCs/>
      <w:sz w:val="28"/>
      <w:szCs w:val="28"/>
      <w:lang w:eastAsia="en-US"/>
    </w:rPr>
  </w:style>
  <w:style w:type="paragraph" w:styleId="BalloonText">
    <w:name w:val="Balloon Text"/>
    <w:basedOn w:val="Normal"/>
    <w:link w:val="BalloonTextChar"/>
    <w:uiPriority w:val="99"/>
    <w:rsid w:val="002F63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F63A4"/>
    <w:rPr>
      <w:rFonts w:ascii="Tahoma" w:hAnsi="Tahoma" w:cs="Tahoma"/>
      <w:sz w:val="16"/>
      <w:szCs w:val="16"/>
      <w:lang w:eastAsia="en-US"/>
    </w:rPr>
  </w:style>
  <w:style w:type="paragraph" w:customStyle="1" w:styleId="Avsndare">
    <w:name w:val="Avsändare"/>
    <w:basedOn w:val="Normal"/>
    <w:uiPriority w:val="99"/>
    <w:rsid w:val="001B00A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B00A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sid w:val="000C1BBC"/>
    <w:rPr>
      <w:rFonts w:ascii="OrigGarmnd BT" w:hAnsi="OrigGarmnd BT" w:cs="Times New Roman"/>
      <w:sz w:val="20"/>
      <w:szCs w:val="20"/>
      <w:lang w:eastAsia="en-US"/>
    </w:rPr>
  </w:style>
  <w:style w:type="paragraph" w:styleId="Header">
    <w:name w:val="header"/>
    <w:basedOn w:val="Normal"/>
    <w:link w:val="HeaderChar"/>
    <w:uiPriority w:val="99"/>
    <w:rsid w:val="001B00A4"/>
    <w:pPr>
      <w:tabs>
        <w:tab w:val="center" w:pos="4153"/>
        <w:tab w:val="right" w:pos="8306"/>
      </w:tabs>
    </w:pPr>
  </w:style>
  <w:style w:type="character" w:customStyle="1" w:styleId="HeaderChar">
    <w:name w:val="Header Char"/>
    <w:basedOn w:val="DefaultParagraphFont"/>
    <w:link w:val="Header"/>
    <w:uiPriority w:val="99"/>
    <w:semiHidden/>
    <w:locked/>
    <w:rsid w:val="000C1BBC"/>
    <w:rPr>
      <w:rFonts w:ascii="OrigGarmnd BT" w:hAnsi="OrigGarmnd BT" w:cs="Times New Roman"/>
      <w:sz w:val="20"/>
      <w:szCs w:val="20"/>
      <w:lang w:eastAsia="en-US"/>
    </w:rPr>
  </w:style>
  <w:style w:type="paragraph" w:customStyle="1" w:styleId="RKnormal">
    <w:name w:val="RKnormal"/>
    <w:basedOn w:val="Normal"/>
    <w:link w:val="RKnormalChar"/>
    <w:uiPriority w:val="99"/>
    <w:rsid w:val="001B00A4"/>
    <w:pPr>
      <w:tabs>
        <w:tab w:val="left" w:pos="2835"/>
      </w:tabs>
      <w:spacing w:line="240" w:lineRule="atLeast"/>
    </w:pPr>
  </w:style>
  <w:style w:type="paragraph" w:customStyle="1" w:styleId="RKrubrik">
    <w:name w:val="RKrubrik"/>
    <w:basedOn w:val="RKnormal"/>
    <w:next w:val="RKnormal"/>
    <w:uiPriority w:val="99"/>
    <w:rsid w:val="001B00A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B00A4"/>
    <w:rPr>
      <w:rFonts w:cs="Times New Roman"/>
    </w:rPr>
  </w:style>
  <w:style w:type="character" w:customStyle="1" w:styleId="RKnormalChar">
    <w:name w:val="RKnormal Char"/>
    <w:basedOn w:val="DefaultParagraphFont"/>
    <w:link w:val="RKnormal"/>
    <w:uiPriority w:val="99"/>
    <w:locked/>
    <w:rsid w:val="00051F7D"/>
    <w:rPr>
      <w:rFonts w:ascii="OrigGarmnd BT" w:hAnsi="OrigGarmnd BT" w:cs="Times New Roman"/>
      <w:sz w:val="24"/>
      <w:lang w:eastAsia="en-US"/>
    </w:rPr>
  </w:style>
</w:styles>
</file>

<file path=word/webSettings.xml><?xml version="1.0" encoding="utf-8"?>
<w:webSettings xmlns:r="http://schemas.openxmlformats.org/officeDocument/2006/relationships" xmlns:w="http://schemas.openxmlformats.org/wordprocessingml/2006/main">
  <w:divs>
    <w:div w:id="120997068">
      <w:marLeft w:val="0"/>
      <w:marRight w:val="0"/>
      <w:marTop w:val="0"/>
      <w:marBottom w:val="0"/>
      <w:divBdr>
        <w:top w:val="none" w:sz="0" w:space="0" w:color="auto"/>
        <w:left w:val="none" w:sz="0" w:space="0" w:color="auto"/>
        <w:bottom w:val="none" w:sz="0" w:space="0" w:color="auto"/>
        <w:right w:val="none" w:sz="0" w:space="0" w:color="auto"/>
      </w:divBdr>
      <w:divsChild>
        <w:div w:id="120997064">
          <w:marLeft w:val="0"/>
          <w:marRight w:val="0"/>
          <w:marTop w:val="0"/>
          <w:marBottom w:val="0"/>
          <w:divBdr>
            <w:top w:val="none" w:sz="0" w:space="0" w:color="auto"/>
            <w:left w:val="none" w:sz="0" w:space="0" w:color="auto"/>
            <w:bottom w:val="none" w:sz="0" w:space="0" w:color="auto"/>
            <w:right w:val="none" w:sz="0" w:space="0" w:color="auto"/>
          </w:divBdr>
          <w:divsChild>
            <w:div w:id="120997066">
              <w:marLeft w:val="0"/>
              <w:marRight w:val="0"/>
              <w:marTop w:val="0"/>
              <w:marBottom w:val="0"/>
              <w:divBdr>
                <w:top w:val="none" w:sz="0" w:space="0" w:color="auto"/>
                <w:left w:val="none" w:sz="0" w:space="0" w:color="auto"/>
                <w:bottom w:val="none" w:sz="0" w:space="0" w:color="auto"/>
                <w:right w:val="none" w:sz="0" w:space="0" w:color="auto"/>
              </w:divBdr>
              <w:divsChild>
                <w:div w:id="120997072">
                  <w:marLeft w:val="0"/>
                  <w:marRight w:val="0"/>
                  <w:marTop w:val="0"/>
                  <w:marBottom w:val="0"/>
                  <w:divBdr>
                    <w:top w:val="none" w:sz="0" w:space="0" w:color="auto"/>
                    <w:left w:val="none" w:sz="0" w:space="0" w:color="auto"/>
                    <w:bottom w:val="none" w:sz="0" w:space="0" w:color="auto"/>
                    <w:right w:val="none" w:sz="0" w:space="0" w:color="auto"/>
                  </w:divBdr>
                  <w:divsChild>
                    <w:div w:id="120997060">
                      <w:marLeft w:val="0"/>
                      <w:marRight w:val="0"/>
                      <w:marTop w:val="0"/>
                      <w:marBottom w:val="0"/>
                      <w:divBdr>
                        <w:top w:val="none" w:sz="0" w:space="0" w:color="auto"/>
                        <w:left w:val="none" w:sz="0" w:space="0" w:color="auto"/>
                        <w:bottom w:val="none" w:sz="0" w:space="0" w:color="auto"/>
                        <w:right w:val="none" w:sz="0" w:space="0" w:color="auto"/>
                      </w:divBdr>
                      <w:divsChild>
                        <w:div w:id="120997063">
                          <w:marLeft w:val="0"/>
                          <w:marRight w:val="0"/>
                          <w:marTop w:val="0"/>
                          <w:marBottom w:val="0"/>
                          <w:divBdr>
                            <w:top w:val="none" w:sz="0" w:space="0" w:color="auto"/>
                            <w:left w:val="none" w:sz="0" w:space="0" w:color="auto"/>
                            <w:bottom w:val="none" w:sz="0" w:space="0" w:color="auto"/>
                            <w:right w:val="none" w:sz="0" w:space="0" w:color="auto"/>
                          </w:divBdr>
                          <w:divsChild>
                            <w:div w:id="120997100">
                              <w:marLeft w:val="0"/>
                              <w:marRight w:val="0"/>
                              <w:marTop w:val="0"/>
                              <w:marBottom w:val="0"/>
                              <w:divBdr>
                                <w:top w:val="none" w:sz="0" w:space="0" w:color="auto"/>
                                <w:left w:val="none" w:sz="0" w:space="0" w:color="auto"/>
                                <w:bottom w:val="none" w:sz="0" w:space="0" w:color="auto"/>
                                <w:right w:val="none" w:sz="0" w:space="0" w:color="auto"/>
                              </w:divBdr>
                              <w:divsChild>
                                <w:div w:id="120997074">
                                  <w:marLeft w:val="0"/>
                                  <w:marRight w:val="0"/>
                                  <w:marTop w:val="0"/>
                                  <w:marBottom w:val="0"/>
                                  <w:divBdr>
                                    <w:top w:val="none" w:sz="0" w:space="0" w:color="auto"/>
                                    <w:left w:val="none" w:sz="0" w:space="0" w:color="auto"/>
                                    <w:bottom w:val="none" w:sz="0" w:space="0" w:color="auto"/>
                                    <w:right w:val="none" w:sz="0" w:space="0" w:color="auto"/>
                                  </w:divBdr>
                                  <w:divsChild>
                                    <w:div w:id="120997095">
                                      <w:marLeft w:val="0"/>
                                      <w:marRight w:val="0"/>
                                      <w:marTop w:val="0"/>
                                      <w:marBottom w:val="0"/>
                                      <w:divBdr>
                                        <w:top w:val="none" w:sz="0" w:space="0" w:color="auto"/>
                                        <w:left w:val="none" w:sz="0" w:space="0" w:color="auto"/>
                                        <w:bottom w:val="none" w:sz="0" w:space="0" w:color="auto"/>
                                        <w:right w:val="none" w:sz="0" w:space="0" w:color="auto"/>
                                      </w:divBdr>
                                      <w:divsChild>
                                        <w:div w:id="120997070">
                                          <w:marLeft w:val="0"/>
                                          <w:marRight w:val="0"/>
                                          <w:marTop w:val="0"/>
                                          <w:marBottom w:val="0"/>
                                          <w:divBdr>
                                            <w:top w:val="none" w:sz="0" w:space="0" w:color="auto"/>
                                            <w:left w:val="none" w:sz="0" w:space="0" w:color="auto"/>
                                            <w:bottom w:val="none" w:sz="0" w:space="0" w:color="auto"/>
                                            <w:right w:val="none" w:sz="0" w:space="0" w:color="auto"/>
                                          </w:divBdr>
                                          <w:divsChild>
                                            <w:div w:id="120997097">
                                              <w:marLeft w:val="0"/>
                                              <w:marRight w:val="0"/>
                                              <w:marTop w:val="0"/>
                                              <w:marBottom w:val="0"/>
                                              <w:divBdr>
                                                <w:top w:val="none" w:sz="0" w:space="0" w:color="auto"/>
                                                <w:left w:val="none" w:sz="0" w:space="0" w:color="auto"/>
                                                <w:bottom w:val="none" w:sz="0" w:space="0" w:color="auto"/>
                                                <w:right w:val="none" w:sz="0" w:space="0" w:color="auto"/>
                                              </w:divBdr>
                                              <w:divsChild>
                                                <w:div w:id="120997075">
                                                  <w:marLeft w:val="0"/>
                                                  <w:marRight w:val="0"/>
                                                  <w:marTop w:val="0"/>
                                                  <w:marBottom w:val="0"/>
                                                  <w:divBdr>
                                                    <w:top w:val="none" w:sz="0" w:space="0" w:color="auto"/>
                                                    <w:left w:val="none" w:sz="0" w:space="0" w:color="auto"/>
                                                    <w:bottom w:val="none" w:sz="0" w:space="0" w:color="auto"/>
                                                    <w:right w:val="none" w:sz="0" w:space="0" w:color="auto"/>
                                                  </w:divBdr>
                                                  <w:divsChild>
                                                    <w:div w:id="120997084">
                                                      <w:marLeft w:val="0"/>
                                                      <w:marRight w:val="0"/>
                                                      <w:marTop w:val="0"/>
                                                      <w:marBottom w:val="0"/>
                                                      <w:divBdr>
                                                        <w:top w:val="none" w:sz="0" w:space="0" w:color="auto"/>
                                                        <w:left w:val="none" w:sz="0" w:space="0" w:color="auto"/>
                                                        <w:bottom w:val="none" w:sz="0" w:space="0" w:color="auto"/>
                                                        <w:right w:val="none" w:sz="0" w:space="0" w:color="auto"/>
                                                      </w:divBdr>
                                                      <w:divsChild>
                                                        <w:div w:id="120997085">
                                                          <w:marLeft w:val="0"/>
                                                          <w:marRight w:val="0"/>
                                                          <w:marTop w:val="0"/>
                                                          <w:marBottom w:val="0"/>
                                                          <w:divBdr>
                                                            <w:top w:val="none" w:sz="0" w:space="0" w:color="auto"/>
                                                            <w:left w:val="none" w:sz="0" w:space="0" w:color="auto"/>
                                                            <w:bottom w:val="none" w:sz="0" w:space="0" w:color="auto"/>
                                                            <w:right w:val="none" w:sz="0" w:space="0" w:color="auto"/>
                                                          </w:divBdr>
                                                          <w:divsChild>
                                                            <w:div w:id="120997088">
                                                              <w:marLeft w:val="0"/>
                                                              <w:marRight w:val="0"/>
                                                              <w:marTop w:val="0"/>
                                                              <w:marBottom w:val="0"/>
                                                              <w:divBdr>
                                                                <w:top w:val="none" w:sz="0" w:space="0" w:color="auto"/>
                                                                <w:left w:val="none" w:sz="0" w:space="0" w:color="auto"/>
                                                                <w:bottom w:val="none" w:sz="0" w:space="0" w:color="auto"/>
                                                                <w:right w:val="none" w:sz="0" w:space="0" w:color="auto"/>
                                                              </w:divBdr>
                                                              <w:divsChild>
                                                                <w:div w:id="120997071">
                                                                  <w:marLeft w:val="0"/>
                                                                  <w:marRight w:val="0"/>
                                                                  <w:marTop w:val="0"/>
                                                                  <w:marBottom w:val="0"/>
                                                                  <w:divBdr>
                                                                    <w:top w:val="none" w:sz="0" w:space="0" w:color="auto"/>
                                                                    <w:left w:val="none" w:sz="0" w:space="0" w:color="auto"/>
                                                                    <w:bottom w:val="none" w:sz="0" w:space="0" w:color="auto"/>
                                                                    <w:right w:val="none" w:sz="0" w:space="0" w:color="auto"/>
                                                                  </w:divBdr>
                                                                  <w:divsChild>
                                                                    <w:div w:id="120997096">
                                                                      <w:marLeft w:val="0"/>
                                                                      <w:marRight w:val="0"/>
                                                                      <w:marTop w:val="0"/>
                                                                      <w:marBottom w:val="0"/>
                                                                      <w:divBdr>
                                                                        <w:top w:val="none" w:sz="0" w:space="0" w:color="auto"/>
                                                                        <w:left w:val="none" w:sz="0" w:space="0" w:color="auto"/>
                                                                        <w:bottom w:val="none" w:sz="0" w:space="0" w:color="auto"/>
                                                                        <w:right w:val="none" w:sz="0" w:space="0" w:color="auto"/>
                                                                      </w:divBdr>
                                                                      <w:divsChild>
                                                                        <w:div w:id="120997083">
                                                                          <w:marLeft w:val="0"/>
                                                                          <w:marRight w:val="0"/>
                                                                          <w:marTop w:val="0"/>
                                                                          <w:marBottom w:val="0"/>
                                                                          <w:divBdr>
                                                                            <w:top w:val="none" w:sz="0" w:space="0" w:color="auto"/>
                                                                            <w:left w:val="none" w:sz="0" w:space="0" w:color="auto"/>
                                                                            <w:bottom w:val="none" w:sz="0" w:space="0" w:color="auto"/>
                                                                            <w:right w:val="none" w:sz="0" w:space="0" w:color="auto"/>
                                                                          </w:divBdr>
                                                                          <w:divsChild>
                                                                            <w:div w:id="120997089">
                                                                              <w:marLeft w:val="0"/>
                                                                              <w:marRight w:val="0"/>
                                                                              <w:marTop w:val="0"/>
                                                                              <w:marBottom w:val="0"/>
                                                                              <w:divBdr>
                                                                                <w:top w:val="none" w:sz="0" w:space="0" w:color="auto"/>
                                                                                <w:left w:val="none" w:sz="0" w:space="0" w:color="auto"/>
                                                                                <w:bottom w:val="none" w:sz="0" w:space="0" w:color="auto"/>
                                                                                <w:right w:val="none" w:sz="0" w:space="0" w:color="auto"/>
                                                                              </w:divBdr>
                                                                              <w:divsChild>
                                                                                <w:div w:id="120997065">
                                                                                  <w:marLeft w:val="0"/>
                                                                                  <w:marRight w:val="0"/>
                                                                                  <w:marTop w:val="0"/>
                                                                                  <w:marBottom w:val="0"/>
                                                                                  <w:divBdr>
                                                                                    <w:top w:val="none" w:sz="0" w:space="0" w:color="auto"/>
                                                                                    <w:left w:val="none" w:sz="0" w:space="0" w:color="auto"/>
                                                                                    <w:bottom w:val="none" w:sz="0" w:space="0" w:color="auto"/>
                                                                                    <w:right w:val="none" w:sz="0" w:space="0" w:color="auto"/>
                                                                                  </w:divBdr>
                                                                                  <w:divsChild>
                                                                                    <w:div w:id="120997098">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97086">
      <w:marLeft w:val="0"/>
      <w:marRight w:val="0"/>
      <w:marTop w:val="0"/>
      <w:marBottom w:val="0"/>
      <w:divBdr>
        <w:top w:val="none" w:sz="0" w:space="0" w:color="auto"/>
        <w:left w:val="none" w:sz="0" w:space="0" w:color="auto"/>
        <w:bottom w:val="none" w:sz="0" w:space="0" w:color="auto"/>
        <w:right w:val="none" w:sz="0" w:space="0" w:color="auto"/>
      </w:divBdr>
      <w:divsChild>
        <w:div w:id="120997061">
          <w:marLeft w:val="0"/>
          <w:marRight w:val="0"/>
          <w:marTop w:val="0"/>
          <w:marBottom w:val="0"/>
          <w:divBdr>
            <w:top w:val="none" w:sz="0" w:space="0" w:color="auto"/>
            <w:left w:val="none" w:sz="0" w:space="0" w:color="auto"/>
            <w:bottom w:val="none" w:sz="0" w:space="0" w:color="auto"/>
            <w:right w:val="none" w:sz="0" w:space="0" w:color="auto"/>
          </w:divBdr>
          <w:divsChild>
            <w:div w:id="120997090">
              <w:marLeft w:val="0"/>
              <w:marRight w:val="0"/>
              <w:marTop w:val="0"/>
              <w:marBottom w:val="0"/>
              <w:divBdr>
                <w:top w:val="none" w:sz="0" w:space="0" w:color="auto"/>
                <w:left w:val="none" w:sz="0" w:space="0" w:color="auto"/>
                <w:bottom w:val="none" w:sz="0" w:space="0" w:color="auto"/>
                <w:right w:val="none" w:sz="0" w:space="0" w:color="auto"/>
              </w:divBdr>
              <w:divsChild>
                <w:div w:id="120997091">
                  <w:marLeft w:val="0"/>
                  <w:marRight w:val="0"/>
                  <w:marTop w:val="0"/>
                  <w:marBottom w:val="0"/>
                  <w:divBdr>
                    <w:top w:val="none" w:sz="0" w:space="0" w:color="auto"/>
                    <w:left w:val="none" w:sz="0" w:space="0" w:color="auto"/>
                    <w:bottom w:val="none" w:sz="0" w:space="0" w:color="auto"/>
                    <w:right w:val="none" w:sz="0" w:space="0" w:color="auto"/>
                  </w:divBdr>
                  <w:divsChild>
                    <w:div w:id="120997099">
                      <w:marLeft w:val="0"/>
                      <w:marRight w:val="0"/>
                      <w:marTop w:val="0"/>
                      <w:marBottom w:val="0"/>
                      <w:divBdr>
                        <w:top w:val="none" w:sz="0" w:space="0" w:color="auto"/>
                        <w:left w:val="none" w:sz="0" w:space="0" w:color="auto"/>
                        <w:bottom w:val="none" w:sz="0" w:space="0" w:color="auto"/>
                        <w:right w:val="none" w:sz="0" w:space="0" w:color="auto"/>
                      </w:divBdr>
                      <w:divsChild>
                        <w:div w:id="120997094">
                          <w:marLeft w:val="0"/>
                          <w:marRight w:val="0"/>
                          <w:marTop w:val="0"/>
                          <w:marBottom w:val="0"/>
                          <w:divBdr>
                            <w:top w:val="none" w:sz="0" w:space="0" w:color="auto"/>
                            <w:left w:val="none" w:sz="0" w:space="0" w:color="auto"/>
                            <w:bottom w:val="none" w:sz="0" w:space="0" w:color="auto"/>
                            <w:right w:val="none" w:sz="0" w:space="0" w:color="auto"/>
                          </w:divBdr>
                          <w:divsChild>
                            <w:div w:id="120997077">
                              <w:marLeft w:val="0"/>
                              <w:marRight w:val="0"/>
                              <w:marTop w:val="0"/>
                              <w:marBottom w:val="0"/>
                              <w:divBdr>
                                <w:top w:val="none" w:sz="0" w:space="0" w:color="auto"/>
                                <w:left w:val="none" w:sz="0" w:space="0" w:color="auto"/>
                                <w:bottom w:val="none" w:sz="0" w:space="0" w:color="auto"/>
                                <w:right w:val="none" w:sz="0" w:space="0" w:color="auto"/>
                              </w:divBdr>
                              <w:divsChild>
                                <w:div w:id="120997101">
                                  <w:marLeft w:val="0"/>
                                  <w:marRight w:val="0"/>
                                  <w:marTop w:val="0"/>
                                  <w:marBottom w:val="0"/>
                                  <w:divBdr>
                                    <w:top w:val="none" w:sz="0" w:space="0" w:color="auto"/>
                                    <w:left w:val="none" w:sz="0" w:space="0" w:color="auto"/>
                                    <w:bottom w:val="none" w:sz="0" w:space="0" w:color="auto"/>
                                    <w:right w:val="none" w:sz="0" w:space="0" w:color="auto"/>
                                  </w:divBdr>
                                  <w:divsChild>
                                    <w:div w:id="120997082">
                                      <w:marLeft w:val="0"/>
                                      <w:marRight w:val="0"/>
                                      <w:marTop w:val="0"/>
                                      <w:marBottom w:val="0"/>
                                      <w:divBdr>
                                        <w:top w:val="none" w:sz="0" w:space="0" w:color="auto"/>
                                        <w:left w:val="none" w:sz="0" w:space="0" w:color="auto"/>
                                        <w:bottom w:val="none" w:sz="0" w:space="0" w:color="auto"/>
                                        <w:right w:val="none" w:sz="0" w:space="0" w:color="auto"/>
                                      </w:divBdr>
                                      <w:divsChild>
                                        <w:div w:id="120997079">
                                          <w:marLeft w:val="0"/>
                                          <w:marRight w:val="0"/>
                                          <w:marTop w:val="0"/>
                                          <w:marBottom w:val="0"/>
                                          <w:divBdr>
                                            <w:top w:val="none" w:sz="0" w:space="0" w:color="auto"/>
                                            <w:left w:val="none" w:sz="0" w:space="0" w:color="auto"/>
                                            <w:bottom w:val="none" w:sz="0" w:space="0" w:color="auto"/>
                                            <w:right w:val="none" w:sz="0" w:space="0" w:color="auto"/>
                                          </w:divBdr>
                                          <w:divsChild>
                                            <w:div w:id="120997092">
                                              <w:marLeft w:val="0"/>
                                              <w:marRight w:val="0"/>
                                              <w:marTop w:val="0"/>
                                              <w:marBottom w:val="0"/>
                                              <w:divBdr>
                                                <w:top w:val="none" w:sz="0" w:space="0" w:color="auto"/>
                                                <w:left w:val="none" w:sz="0" w:space="0" w:color="auto"/>
                                                <w:bottom w:val="none" w:sz="0" w:space="0" w:color="auto"/>
                                                <w:right w:val="none" w:sz="0" w:space="0" w:color="auto"/>
                                              </w:divBdr>
                                              <w:divsChild>
                                                <w:div w:id="120997073">
                                                  <w:marLeft w:val="0"/>
                                                  <w:marRight w:val="0"/>
                                                  <w:marTop w:val="0"/>
                                                  <w:marBottom w:val="0"/>
                                                  <w:divBdr>
                                                    <w:top w:val="none" w:sz="0" w:space="0" w:color="auto"/>
                                                    <w:left w:val="none" w:sz="0" w:space="0" w:color="auto"/>
                                                    <w:bottom w:val="none" w:sz="0" w:space="0" w:color="auto"/>
                                                    <w:right w:val="none" w:sz="0" w:space="0" w:color="auto"/>
                                                  </w:divBdr>
                                                  <w:divsChild>
                                                    <w:div w:id="120997093">
                                                      <w:marLeft w:val="0"/>
                                                      <w:marRight w:val="0"/>
                                                      <w:marTop w:val="0"/>
                                                      <w:marBottom w:val="0"/>
                                                      <w:divBdr>
                                                        <w:top w:val="none" w:sz="0" w:space="0" w:color="auto"/>
                                                        <w:left w:val="none" w:sz="0" w:space="0" w:color="auto"/>
                                                        <w:bottom w:val="none" w:sz="0" w:space="0" w:color="auto"/>
                                                        <w:right w:val="none" w:sz="0" w:space="0" w:color="auto"/>
                                                      </w:divBdr>
                                                      <w:divsChild>
                                                        <w:div w:id="120997062">
                                                          <w:marLeft w:val="0"/>
                                                          <w:marRight w:val="0"/>
                                                          <w:marTop w:val="0"/>
                                                          <w:marBottom w:val="0"/>
                                                          <w:divBdr>
                                                            <w:top w:val="none" w:sz="0" w:space="0" w:color="auto"/>
                                                            <w:left w:val="none" w:sz="0" w:space="0" w:color="auto"/>
                                                            <w:bottom w:val="none" w:sz="0" w:space="0" w:color="auto"/>
                                                            <w:right w:val="none" w:sz="0" w:space="0" w:color="auto"/>
                                                          </w:divBdr>
                                                          <w:divsChild>
                                                            <w:div w:id="120997087">
                                                              <w:marLeft w:val="0"/>
                                                              <w:marRight w:val="0"/>
                                                              <w:marTop w:val="0"/>
                                                              <w:marBottom w:val="0"/>
                                                              <w:divBdr>
                                                                <w:top w:val="none" w:sz="0" w:space="0" w:color="auto"/>
                                                                <w:left w:val="none" w:sz="0" w:space="0" w:color="auto"/>
                                                                <w:bottom w:val="none" w:sz="0" w:space="0" w:color="auto"/>
                                                                <w:right w:val="none" w:sz="0" w:space="0" w:color="auto"/>
                                                              </w:divBdr>
                                                              <w:divsChild>
                                                                <w:div w:id="120997081">
                                                                  <w:marLeft w:val="0"/>
                                                                  <w:marRight w:val="0"/>
                                                                  <w:marTop w:val="0"/>
                                                                  <w:marBottom w:val="0"/>
                                                                  <w:divBdr>
                                                                    <w:top w:val="none" w:sz="0" w:space="0" w:color="auto"/>
                                                                    <w:left w:val="none" w:sz="0" w:space="0" w:color="auto"/>
                                                                    <w:bottom w:val="none" w:sz="0" w:space="0" w:color="auto"/>
                                                                    <w:right w:val="none" w:sz="0" w:space="0" w:color="auto"/>
                                                                  </w:divBdr>
                                                                  <w:divsChild>
                                                                    <w:div w:id="120997078">
                                                                      <w:marLeft w:val="0"/>
                                                                      <w:marRight w:val="0"/>
                                                                      <w:marTop w:val="0"/>
                                                                      <w:marBottom w:val="0"/>
                                                                      <w:divBdr>
                                                                        <w:top w:val="none" w:sz="0" w:space="0" w:color="auto"/>
                                                                        <w:left w:val="none" w:sz="0" w:space="0" w:color="auto"/>
                                                                        <w:bottom w:val="none" w:sz="0" w:space="0" w:color="auto"/>
                                                                        <w:right w:val="none" w:sz="0" w:space="0" w:color="auto"/>
                                                                      </w:divBdr>
                                                                      <w:divsChild>
                                                                        <w:div w:id="120997069">
                                                                          <w:marLeft w:val="0"/>
                                                                          <w:marRight w:val="0"/>
                                                                          <w:marTop w:val="0"/>
                                                                          <w:marBottom w:val="0"/>
                                                                          <w:divBdr>
                                                                            <w:top w:val="none" w:sz="0" w:space="0" w:color="auto"/>
                                                                            <w:left w:val="none" w:sz="0" w:space="0" w:color="auto"/>
                                                                            <w:bottom w:val="none" w:sz="0" w:space="0" w:color="auto"/>
                                                                            <w:right w:val="none" w:sz="0" w:space="0" w:color="auto"/>
                                                                          </w:divBdr>
                                                                          <w:divsChild>
                                                                            <w:div w:id="120997067">
                                                                              <w:marLeft w:val="0"/>
                                                                              <w:marRight w:val="0"/>
                                                                              <w:marTop w:val="0"/>
                                                                              <w:marBottom w:val="0"/>
                                                                              <w:divBdr>
                                                                                <w:top w:val="none" w:sz="0" w:space="0" w:color="auto"/>
                                                                                <w:left w:val="none" w:sz="0" w:space="0" w:color="auto"/>
                                                                                <w:bottom w:val="none" w:sz="0" w:space="0" w:color="auto"/>
                                                                                <w:right w:val="none" w:sz="0" w:space="0" w:color="auto"/>
                                                                              </w:divBdr>
                                                                              <w:divsChild>
                                                                                <w:div w:id="120997076">
                                                                                  <w:marLeft w:val="0"/>
                                                                                  <w:marRight w:val="0"/>
                                                                                  <w:marTop w:val="0"/>
                                                                                  <w:marBottom w:val="0"/>
                                                                                  <w:divBdr>
                                                                                    <w:top w:val="none" w:sz="0" w:space="0" w:color="auto"/>
                                                                                    <w:left w:val="none" w:sz="0" w:space="0" w:color="auto"/>
                                                                                    <w:bottom w:val="none" w:sz="0" w:space="0" w:color="auto"/>
                                                                                    <w:right w:val="none" w:sz="0" w:space="0" w:color="auto"/>
                                                                                  </w:divBdr>
                                                                                  <w:divsChild>
                                                                                    <w:div w:id="120997080">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880</Words>
  <Characters>4771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Josefine Holmquist</dc:creator>
  <cp:keywords/>
  <dc:description/>
  <cp:lastModifiedBy>aa0305ab</cp:lastModifiedBy>
  <cp:revision>2</cp:revision>
  <cp:lastPrinted>2011-10-03T13:11:00Z</cp:lastPrinted>
  <dcterms:created xsi:type="dcterms:W3CDTF">2011-10-03T13:11:00Z</dcterms:created>
  <dcterms:modified xsi:type="dcterms:W3CDTF">2011-10-03T13:11:00Z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ContentTypeId">
    <vt:lpwstr>0x010100D4E2D80DC721422ABBDF033BB3857F49030011586BF8E4251840B34AB4B791C195F7</vt:lpwstr>
  </property>
  <property fmtid="{D5CDD505-2E9C-101B-9397-08002B2CF9AE}" pid="12" name="RKOrdnaClass">
    <vt:lpwstr/>
  </property>
  <property fmtid="{D5CDD505-2E9C-101B-9397-08002B2CF9AE}" pid="13" name="RKOrdnaCheckInComment">
    <vt:lpwstr/>
  </property>
</Properties>
</file>