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089DA31" w14:textId="77777777">
        <w:tc>
          <w:tcPr>
            <w:tcW w:w="2268" w:type="dxa"/>
          </w:tcPr>
          <w:p w14:paraId="7A31AE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bKoncept"/>
            <w:bookmarkEnd w:id="0"/>
          </w:p>
        </w:tc>
        <w:tc>
          <w:tcPr>
            <w:tcW w:w="2999" w:type="dxa"/>
            <w:gridSpan w:val="2"/>
          </w:tcPr>
          <w:p w14:paraId="5EFD25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69333E8" w14:textId="77777777">
        <w:tc>
          <w:tcPr>
            <w:tcW w:w="2268" w:type="dxa"/>
          </w:tcPr>
          <w:p w14:paraId="338465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1" w:name="bPM"/>
            <w:bookmarkEnd w:id="1"/>
          </w:p>
        </w:tc>
        <w:tc>
          <w:tcPr>
            <w:tcW w:w="2999" w:type="dxa"/>
            <w:gridSpan w:val="2"/>
          </w:tcPr>
          <w:p w14:paraId="793739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bookmarkStart w:id="2" w:name="bNr"/>
            <w:bookmarkEnd w:id="2"/>
          </w:p>
        </w:tc>
      </w:tr>
      <w:tr w:rsidR="006E4E11" w14:paraId="378D2C7F" w14:textId="77777777">
        <w:tc>
          <w:tcPr>
            <w:tcW w:w="3402" w:type="dxa"/>
            <w:gridSpan w:val="2"/>
          </w:tcPr>
          <w:p w14:paraId="683B22DF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3" w:name="bRegSam"/>
            <w:bookmarkEnd w:id="3"/>
          </w:p>
        </w:tc>
        <w:tc>
          <w:tcPr>
            <w:tcW w:w="1865" w:type="dxa"/>
          </w:tcPr>
          <w:p w14:paraId="3FB5AB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9763F82" w14:textId="77777777">
        <w:tc>
          <w:tcPr>
            <w:tcW w:w="2268" w:type="dxa"/>
          </w:tcPr>
          <w:p w14:paraId="3DF0C720" w14:textId="77777777" w:rsidR="006E4E11" w:rsidRDefault="006E4E11" w:rsidP="007242A3">
            <w:pPr>
              <w:framePr w:w="5035" w:h="1644" w:wrap="notBeside" w:vAnchor="page" w:hAnchor="page" w:x="6573" w:y="721"/>
            </w:pPr>
            <w:bookmarkStart w:id="4" w:name="bDatum"/>
            <w:bookmarkEnd w:id="4"/>
          </w:p>
        </w:tc>
        <w:tc>
          <w:tcPr>
            <w:tcW w:w="2999" w:type="dxa"/>
            <w:gridSpan w:val="2"/>
          </w:tcPr>
          <w:p w14:paraId="5913D8EF" w14:textId="6BA0BABA" w:rsidR="006E4E11" w:rsidRPr="00ED583F" w:rsidRDefault="00A00FC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bookmarkStart w:id="5" w:name="bDiaNr"/>
            <w:bookmarkEnd w:id="5"/>
            <w:r>
              <w:rPr>
                <w:sz w:val="20"/>
              </w:rPr>
              <w:t xml:space="preserve">Dnr </w:t>
            </w:r>
            <w:r w:rsidR="00F162F2" w:rsidRPr="00F162F2">
              <w:rPr>
                <w:sz w:val="20"/>
              </w:rPr>
              <w:t>M2016/02555/Ke</w:t>
            </w:r>
          </w:p>
        </w:tc>
      </w:tr>
      <w:tr w:rsidR="006E4E11" w14:paraId="307356FD" w14:textId="77777777">
        <w:tc>
          <w:tcPr>
            <w:tcW w:w="2268" w:type="dxa"/>
          </w:tcPr>
          <w:p w14:paraId="786F53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E886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C85835E" w14:textId="77777777">
        <w:trPr>
          <w:trHeight w:val="284"/>
        </w:trPr>
        <w:tc>
          <w:tcPr>
            <w:tcW w:w="4911" w:type="dxa"/>
          </w:tcPr>
          <w:p w14:paraId="53DCE68D" w14:textId="77777777" w:rsidR="006E4E11" w:rsidRDefault="00A00FC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bookmarkStart w:id="6" w:name="RKdep"/>
            <w:bookmarkStart w:id="7" w:name="RKenh"/>
            <w:bookmarkStart w:id="8" w:name="b1"/>
            <w:bookmarkEnd w:id="6"/>
            <w:bookmarkEnd w:id="7"/>
            <w:bookmarkEnd w:id="8"/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6E68ABE" w14:textId="77777777">
        <w:trPr>
          <w:trHeight w:val="284"/>
        </w:trPr>
        <w:tc>
          <w:tcPr>
            <w:tcW w:w="4911" w:type="dxa"/>
          </w:tcPr>
          <w:p w14:paraId="090D8651" w14:textId="77777777" w:rsidR="006E4E11" w:rsidRDefault="00A00FCA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9" w:name="b2"/>
            <w:bookmarkEnd w:id="9"/>
            <w:r>
              <w:rPr>
                <w:bCs/>
                <w:iCs/>
              </w:rPr>
              <w:t>Miljöministern</w:t>
            </w:r>
          </w:p>
        </w:tc>
      </w:tr>
      <w:tr w:rsidR="006E4E11" w14:paraId="15BEB4B8" w14:textId="77777777">
        <w:trPr>
          <w:trHeight w:val="284"/>
        </w:trPr>
        <w:tc>
          <w:tcPr>
            <w:tcW w:w="4911" w:type="dxa"/>
          </w:tcPr>
          <w:p w14:paraId="356599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0" w:name="b3"/>
            <w:bookmarkEnd w:id="10"/>
          </w:p>
        </w:tc>
      </w:tr>
      <w:tr w:rsidR="006E4E11" w14:paraId="1F615F12" w14:textId="77777777">
        <w:trPr>
          <w:trHeight w:val="284"/>
        </w:trPr>
        <w:tc>
          <w:tcPr>
            <w:tcW w:w="4911" w:type="dxa"/>
          </w:tcPr>
          <w:p w14:paraId="5027BBED" w14:textId="53773A8E" w:rsidR="006E4E11" w:rsidRDefault="006E4E11" w:rsidP="000947B2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1" w:name="b4"/>
            <w:bookmarkEnd w:id="11"/>
          </w:p>
        </w:tc>
      </w:tr>
      <w:tr w:rsidR="006E4E11" w14:paraId="24A73EDB" w14:textId="77777777">
        <w:trPr>
          <w:trHeight w:val="284"/>
        </w:trPr>
        <w:tc>
          <w:tcPr>
            <w:tcW w:w="4911" w:type="dxa"/>
          </w:tcPr>
          <w:p w14:paraId="758905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2" w:name="b5"/>
            <w:bookmarkEnd w:id="12"/>
          </w:p>
        </w:tc>
      </w:tr>
      <w:tr w:rsidR="006E4E11" w14:paraId="3EC725CE" w14:textId="77777777">
        <w:trPr>
          <w:trHeight w:val="284"/>
        </w:trPr>
        <w:tc>
          <w:tcPr>
            <w:tcW w:w="4911" w:type="dxa"/>
          </w:tcPr>
          <w:p w14:paraId="3F230D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3" w:name="b6"/>
            <w:bookmarkEnd w:id="13"/>
          </w:p>
        </w:tc>
      </w:tr>
      <w:tr w:rsidR="006E4E11" w14:paraId="60708143" w14:textId="77777777">
        <w:trPr>
          <w:trHeight w:val="284"/>
        </w:trPr>
        <w:tc>
          <w:tcPr>
            <w:tcW w:w="4911" w:type="dxa"/>
          </w:tcPr>
          <w:p w14:paraId="790218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4" w:name="b7"/>
            <w:bookmarkEnd w:id="14"/>
          </w:p>
        </w:tc>
      </w:tr>
      <w:tr w:rsidR="006E4E11" w14:paraId="62CE2557" w14:textId="77777777">
        <w:trPr>
          <w:trHeight w:val="284"/>
        </w:trPr>
        <w:tc>
          <w:tcPr>
            <w:tcW w:w="4911" w:type="dxa"/>
          </w:tcPr>
          <w:p w14:paraId="571BDB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5" w:name="b8"/>
            <w:bookmarkEnd w:id="15"/>
          </w:p>
        </w:tc>
      </w:tr>
      <w:tr w:rsidR="006E4E11" w14:paraId="2FAD79AF" w14:textId="77777777">
        <w:trPr>
          <w:trHeight w:val="284"/>
        </w:trPr>
        <w:tc>
          <w:tcPr>
            <w:tcW w:w="4911" w:type="dxa"/>
          </w:tcPr>
          <w:p w14:paraId="197B71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16" w:name="b9"/>
            <w:bookmarkEnd w:id="16"/>
          </w:p>
        </w:tc>
      </w:tr>
    </w:tbl>
    <w:p w14:paraId="2D22069E" w14:textId="77777777" w:rsidR="006E4E11" w:rsidRDefault="00A00FCA">
      <w:pPr>
        <w:framePr w:w="4400" w:h="2523" w:wrap="notBeside" w:vAnchor="page" w:hAnchor="page" w:x="6453" w:y="2445"/>
        <w:ind w:left="142"/>
      </w:pPr>
      <w:bookmarkStart w:id="17" w:name="bMottag"/>
      <w:bookmarkEnd w:id="17"/>
      <w:r>
        <w:t>Till riksdagen</w:t>
      </w:r>
    </w:p>
    <w:p w14:paraId="0D649F49" w14:textId="77777777" w:rsidR="006E4E11" w:rsidRDefault="00A00FCA" w:rsidP="00A00FCA">
      <w:pPr>
        <w:pStyle w:val="RKrubrik"/>
        <w:pBdr>
          <w:bottom w:val="single" w:sz="4" w:space="1" w:color="auto"/>
        </w:pBdr>
        <w:spacing w:before="0" w:after="0"/>
      </w:pPr>
      <w:bookmarkStart w:id="18" w:name="bRubrik"/>
      <w:bookmarkEnd w:id="18"/>
      <w:r>
        <w:t>Svar på fråga 2016/17:260 av Lars Tysklind (L) Hållbar miljö och framtidens plaster</w:t>
      </w:r>
    </w:p>
    <w:p w14:paraId="683F7CB9" w14:textId="77777777" w:rsidR="006E4E11" w:rsidRDefault="006E4E11">
      <w:pPr>
        <w:pStyle w:val="RKnormal"/>
      </w:pPr>
      <w:bookmarkStart w:id="19" w:name="bBilaga"/>
      <w:bookmarkEnd w:id="19"/>
    </w:p>
    <w:p w14:paraId="66A0B0CD" w14:textId="77777777" w:rsidR="006E4E11" w:rsidRDefault="00A00FCA">
      <w:pPr>
        <w:pStyle w:val="RKnormal"/>
      </w:pPr>
      <w:bookmarkStart w:id="20" w:name="BrevSÖver"/>
      <w:bookmarkStart w:id="21" w:name="bSkrivStart"/>
      <w:bookmarkEnd w:id="20"/>
      <w:bookmarkEnd w:id="21"/>
      <w:r>
        <w:t xml:space="preserve">Lars Tysklind har frågat mig </w:t>
      </w:r>
      <w:r w:rsidRPr="00A00FCA">
        <w:t>vilka åtgärder jag och regeringen avser att vidta för att främja utvecklingen och användningen av framtidens plaster, som den komposterbara bioplasten.</w:t>
      </w:r>
    </w:p>
    <w:p w14:paraId="3DABA262" w14:textId="77777777" w:rsidR="00A00FCA" w:rsidRDefault="00A00FCA">
      <w:pPr>
        <w:pStyle w:val="RKnormal"/>
      </w:pPr>
    </w:p>
    <w:p w14:paraId="53DA22A3" w14:textId="537558B4" w:rsidR="000947B2" w:rsidRDefault="000947B2" w:rsidP="000947B2">
      <w:pPr>
        <w:pStyle w:val="RKnormal"/>
      </w:pPr>
      <w:r>
        <w:t xml:space="preserve">Förutom möjligheter med olika material så finns också stora problem för miljön när plasten hamnar i naturen eller i den marina miljön. </w:t>
      </w:r>
      <w:r w:rsidRPr="00D454F4">
        <w:t>Våra hav fylls med plastskräp. Om vi inte gör något riskerar det att finnas mer plast än fisk i haven år 2050. All nedskräpning är förbjuden i dag. Trots det slängs mängder med skräp på gator och torg, och även i naturen. Vi behöver därför agera av flera olika skäl. Förutom att s</w:t>
      </w:r>
      <w:r w:rsidRPr="00D454F4">
        <w:rPr>
          <w:bCs/>
        </w:rPr>
        <w:t>kräpet förstör miljön och hälsan så</w:t>
      </w:r>
      <w:r w:rsidRPr="00D454F4">
        <w:t xml:space="preserve"> bryts plast från exempelvis plastbärkassar ned i små mikropartiklar, partiklar som lätt binder gifter. Partiklarna äts upp av djur och fiskar och så småningom hamnar både plasten och gifter på våra tallrikar. </w:t>
      </w:r>
      <w:r>
        <w:t xml:space="preserve">Det finns därför anledning att </w:t>
      </w:r>
      <w:r w:rsidRPr="00D454F4">
        <w:t>se över annan teknik och möjlig</w:t>
      </w:r>
      <w:r>
        <w:softHyphen/>
      </w:r>
      <w:r w:rsidRPr="00D454F4">
        <w:t>heter för framtidens material, ex</w:t>
      </w:r>
      <w:r>
        <w:t xml:space="preserve">empelvis avseende nedbrytbarhet, för </w:t>
      </w:r>
      <w:r w:rsidRPr="00D454F4">
        <w:t>att främja en cirkulär och biobaserad ekonomi.</w:t>
      </w:r>
    </w:p>
    <w:p w14:paraId="1E2EBD4A" w14:textId="47A0FC6A" w:rsidR="000947B2" w:rsidRDefault="000947B2">
      <w:pPr>
        <w:pStyle w:val="RKnormal"/>
      </w:pPr>
    </w:p>
    <w:p w14:paraId="166695B7" w14:textId="739642AD" w:rsidR="000947B2" w:rsidRDefault="000947B2" w:rsidP="000947B2">
      <w:pPr>
        <w:pStyle w:val="RKnormal"/>
      </w:pPr>
      <w:r w:rsidRPr="00A00FCA">
        <w:t>Den 21 januari 2016 fastställde regeringen Smart industri – en nyindust</w:t>
      </w:r>
      <w:r w:rsidR="0096453E">
        <w:softHyphen/>
      </w:r>
      <w:r w:rsidRPr="00A00FCA">
        <w:t>rialiseringsstrategi för Sverige. Strategin ska bidra till att stärka före</w:t>
      </w:r>
      <w:r>
        <w:softHyphen/>
      </w:r>
      <w:r w:rsidRPr="00A00FCA">
        <w:t>ta</w:t>
      </w:r>
      <w:r w:rsidR="0096453E">
        <w:softHyphen/>
      </w:r>
      <w:r w:rsidRPr="00A00FCA">
        <w:t xml:space="preserve">gens omställningsförmåga och konkurrenskraft. Samtidigt </w:t>
      </w:r>
      <w:r>
        <w:t>ska den möta de</w:t>
      </w:r>
      <w:r w:rsidRPr="00A00FCA">
        <w:t xml:space="preserve"> allt högre krav på en långsiktigt hållbar produktion o</w:t>
      </w:r>
      <w:r>
        <w:t>ch effektivt resurs</w:t>
      </w:r>
      <w:r w:rsidR="0096453E">
        <w:softHyphen/>
      </w:r>
      <w:r>
        <w:t xml:space="preserve">utnyttjande som ställs. </w:t>
      </w:r>
      <w:r w:rsidRPr="00A00FCA">
        <w:t>Ökad resurseffektivitet, miljöhänsyn och en mer hållbar produktion ska bidra till industrins värdeskapande, jobb</w:t>
      </w:r>
      <w:r>
        <w:softHyphen/>
      </w:r>
      <w:r w:rsidRPr="00A00FCA">
        <w:t>skapande och konkurrenskraft i hela landet.</w:t>
      </w:r>
      <w:r>
        <w:t xml:space="preserve"> Handlingsplanen till strate</w:t>
      </w:r>
      <w:r w:rsidR="0096453E">
        <w:softHyphen/>
      </w:r>
      <w:r>
        <w:t xml:space="preserve">gin </w:t>
      </w:r>
      <w:r w:rsidRPr="00BB7E63">
        <w:t>uppmärksamma</w:t>
      </w:r>
      <w:r>
        <w:t>r bl.a. behov att u</w:t>
      </w:r>
      <w:r w:rsidRPr="00BB7E63">
        <w:t>tveckla nya eller förbättra existeran</w:t>
      </w:r>
      <w:r w:rsidR="0096453E">
        <w:softHyphen/>
      </w:r>
      <w:r w:rsidRPr="00BB7E63">
        <w:t>de tekniker, varor och tjänster med avseende på kraftigt minskade ut</w:t>
      </w:r>
      <w:r w:rsidR="0096453E">
        <w:softHyphen/>
      </w:r>
      <w:r w:rsidRPr="00BB7E63">
        <w:t>släpp, utfasning av särskilt farliga ämnen, högre energi- och resurs</w:t>
      </w:r>
      <w:r w:rsidR="0096453E">
        <w:softHyphen/>
      </w:r>
      <w:r w:rsidRPr="00BB7E63">
        <w:t>effek</w:t>
      </w:r>
      <w:r w:rsidR="0096453E">
        <w:softHyphen/>
      </w:r>
      <w:r w:rsidRPr="00BB7E63">
        <w:t>ti</w:t>
      </w:r>
      <w:r w:rsidR="0096453E">
        <w:softHyphen/>
      </w:r>
      <w:r w:rsidRPr="00BB7E63">
        <w:t>vi</w:t>
      </w:r>
      <w:r w:rsidR="0096453E">
        <w:softHyphen/>
      </w:r>
      <w:r w:rsidRPr="00BB7E63">
        <w:t>tet, högre återanvändnings- och återvinningsbarhet, samt högre miljö</w:t>
      </w:r>
      <w:r w:rsidR="0096453E">
        <w:softHyphen/>
      </w:r>
      <w:r w:rsidRPr="00BB7E63">
        <w:t xml:space="preserve">prestanda. </w:t>
      </w:r>
      <w:r>
        <w:t>Regeringen har också lanserat ett antal samver</w:t>
      </w:r>
      <w:r>
        <w:softHyphen/>
        <w:t>kans</w:t>
      </w:r>
      <w:r>
        <w:softHyphen/>
        <w:t>program, där ett handlar om uppkopplad industri och nya material. Till dessa stra</w:t>
      </w:r>
      <w:r w:rsidR="0096453E">
        <w:softHyphen/>
      </w:r>
      <w:bookmarkStart w:id="22" w:name="_GoBack"/>
      <w:bookmarkEnd w:id="22"/>
      <w:r>
        <w:t xml:space="preserve">tegier och samverkansprogram har särskilda medel kopplats till Vinnova för deras utlysningar till projekt. </w:t>
      </w:r>
    </w:p>
    <w:p w14:paraId="788A3F88" w14:textId="77777777" w:rsidR="000947B2" w:rsidRDefault="000947B2" w:rsidP="000947B2">
      <w:pPr>
        <w:pStyle w:val="RKnormal"/>
      </w:pPr>
    </w:p>
    <w:p w14:paraId="6AB42B21" w14:textId="5D5A29D4" w:rsidR="000947B2" w:rsidRDefault="000947B2" w:rsidP="000947B2">
      <w:pPr>
        <w:pStyle w:val="RKnormal"/>
      </w:pPr>
      <w:r>
        <w:lastRenderedPageBreak/>
        <w:t>Regeringen har också tagit andra initiativ avseende plast och mikro</w:t>
      </w:r>
      <w:r>
        <w:softHyphen/>
        <w:t xml:space="preserve">plaster. Naturvårdsverket har ett särskilt uppdrag till juni 2017 om mikroplaster. Kemikalieinspektionen har haft i uppdrag att föreslå </w:t>
      </w:r>
      <w:r w:rsidRPr="003E1C30">
        <w:t>ett förbud mot kosmetiska produkter som innehåller mikrokorn av plast</w:t>
      </w:r>
      <w:r>
        <w:t xml:space="preserve"> som regeringen bereder för närvarande. Samtidigt bereder regeringen frågan om hur förbrukningen av plastbärkassar kan minska.</w:t>
      </w:r>
    </w:p>
    <w:p w14:paraId="6EDDA21C" w14:textId="77777777" w:rsidR="000947B2" w:rsidRDefault="000947B2">
      <w:pPr>
        <w:pStyle w:val="RKnormal"/>
      </w:pPr>
    </w:p>
    <w:p w14:paraId="44749EEA" w14:textId="77777777" w:rsidR="00A00FCA" w:rsidRDefault="00A00FCA">
      <w:pPr>
        <w:pStyle w:val="RKnormal"/>
      </w:pPr>
      <w:r>
        <w:t>Stockholm den 9 november 2016</w:t>
      </w:r>
    </w:p>
    <w:p w14:paraId="4901545F" w14:textId="77777777" w:rsidR="00A00FCA" w:rsidRDefault="00A00FCA">
      <w:pPr>
        <w:pStyle w:val="RKnormal"/>
      </w:pPr>
    </w:p>
    <w:p w14:paraId="530E976D" w14:textId="77777777" w:rsidR="00A00FCA" w:rsidRDefault="00A00FCA">
      <w:pPr>
        <w:pStyle w:val="RKnormal"/>
      </w:pPr>
    </w:p>
    <w:p w14:paraId="71D42568" w14:textId="77777777" w:rsidR="00A00FCA" w:rsidRDefault="00A00FCA">
      <w:pPr>
        <w:pStyle w:val="RKnormal"/>
      </w:pPr>
      <w:r>
        <w:t>Karolina Skog</w:t>
      </w:r>
    </w:p>
    <w:p w14:paraId="72AC0DCD" w14:textId="77777777" w:rsidR="00A00FCA" w:rsidRDefault="00A00FCA">
      <w:pPr>
        <w:pStyle w:val="RKnormal"/>
      </w:pPr>
    </w:p>
    <w:sectPr w:rsidR="00A00FC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D94FD" w14:textId="77777777" w:rsidR="00A00FCA" w:rsidRDefault="00A00FCA">
      <w:r>
        <w:separator/>
      </w:r>
    </w:p>
  </w:endnote>
  <w:endnote w:type="continuationSeparator" w:id="0">
    <w:p w14:paraId="292D3EFD" w14:textId="77777777" w:rsidR="00A00FCA" w:rsidRDefault="00A0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A5773" w14:textId="77777777" w:rsidR="00A00FCA" w:rsidRDefault="00A00FCA">
      <w:r>
        <w:separator/>
      </w:r>
    </w:p>
  </w:footnote>
  <w:footnote w:type="continuationSeparator" w:id="0">
    <w:p w14:paraId="36D5A0D8" w14:textId="77777777" w:rsidR="00A00FCA" w:rsidRDefault="00A00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8B9E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6453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7B0DC8" w14:textId="77777777">
      <w:trPr>
        <w:cantSplit/>
      </w:trPr>
      <w:tc>
        <w:tcPr>
          <w:tcW w:w="3119" w:type="dxa"/>
        </w:tcPr>
        <w:p w14:paraId="0110E58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0433E2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B302B1" w14:textId="77777777" w:rsidR="00E80146" w:rsidRDefault="00E80146">
          <w:pPr>
            <w:pStyle w:val="Sidhuvud"/>
            <w:ind w:right="360"/>
          </w:pPr>
        </w:p>
      </w:tc>
    </w:tr>
  </w:tbl>
  <w:p w14:paraId="1FCC77F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5161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F24BE3" w14:textId="77777777">
      <w:trPr>
        <w:cantSplit/>
      </w:trPr>
      <w:tc>
        <w:tcPr>
          <w:tcW w:w="3119" w:type="dxa"/>
        </w:tcPr>
        <w:p w14:paraId="14AC904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2739C3" w14:textId="77777777" w:rsidR="00E80146" w:rsidRDefault="00E80146">
          <w:pPr>
            <w:pStyle w:val="Sidhuvud"/>
            <w:ind w:right="360"/>
          </w:pPr>
          <w:bookmarkStart w:id="23" w:name="hDoktyp"/>
          <w:bookmarkEnd w:id="23"/>
        </w:p>
      </w:tc>
      <w:tc>
        <w:tcPr>
          <w:tcW w:w="1525" w:type="dxa"/>
        </w:tcPr>
        <w:p w14:paraId="6ADFC0BF" w14:textId="77777777" w:rsidR="00E80146" w:rsidRDefault="00E80146">
          <w:pPr>
            <w:pStyle w:val="Sidhuvud"/>
            <w:ind w:right="360"/>
          </w:pPr>
        </w:p>
      </w:tc>
    </w:tr>
  </w:tbl>
  <w:p w14:paraId="7E55F78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5AC38" w14:textId="77777777" w:rsidR="00A00FCA" w:rsidRDefault="00BB7E6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B06429" wp14:editId="66FF1EB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CCD7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849B6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  <w:bookmarkStart w:id="24" w:name="EjLoggaRegKansl"/>
    <w:bookmarkEnd w:id="24"/>
  </w:p>
  <w:p w14:paraId="404AA55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  <w:bookmarkStart w:id="25" w:name="EjLoggaDep"/>
    <w:bookmarkEnd w:id="25"/>
  </w:p>
  <w:p w14:paraId="0AB6F705" w14:textId="77777777" w:rsidR="00E80146" w:rsidRDefault="00E80146">
    <w:pPr>
      <w:rPr>
        <w:rFonts w:ascii="TradeGothic" w:hAnsi="TradeGothic"/>
        <w:i/>
        <w:iCs/>
        <w:sz w:val="18"/>
      </w:rPr>
    </w:pPr>
    <w:bookmarkStart w:id="26" w:name="EjLoggaTitel"/>
    <w:bookmarkEnd w:id="2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CA"/>
    <w:rsid w:val="00005A7A"/>
    <w:rsid w:val="00023F79"/>
    <w:rsid w:val="00083004"/>
    <w:rsid w:val="000921D2"/>
    <w:rsid w:val="000947B2"/>
    <w:rsid w:val="000E1B45"/>
    <w:rsid w:val="00150384"/>
    <w:rsid w:val="00160901"/>
    <w:rsid w:val="001805B7"/>
    <w:rsid w:val="001E6C5B"/>
    <w:rsid w:val="00367B1C"/>
    <w:rsid w:val="003E1C30"/>
    <w:rsid w:val="0048336A"/>
    <w:rsid w:val="004A328D"/>
    <w:rsid w:val="00552C09"/>
    <w:rsid w:val="0058762B"/>
    <w:rsid w:val="006E4E11"/>
    <w:rsid w:val="007242A3"/>
    <w:rsid w:val="007A6855"/>
    <w:rsid w:val="0092027A"/>
    <w:rsid w:val="00955E31"/>
    <w:rsid w:val="0096453E"/>
    <w:rsid w:val="00992E72"/>
    <w:rsid w:val="00A00FCA"/>
    <w:rsid w:val="00A26899"/>
    <w:rsid w:val="00AF26D1"/>
    <w:rsid w:val="00BB7E63"/>
    <w:rsid w:val="00D133D7"/>
    <w:rsid w:val="00D454F4"/>
    <w:rsid w:val="00E80146"/>
    <w:rsid w:val="00E904D0"/>
    <w:rsid w:val="00EC25F9"/>
    <w:rsid w:val="00ED583F"/>
    <w:rsid w:val="00F1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25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E1B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1B4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E1B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1B4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32985639-76e0-409b-9716-ad80accc500e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Diarienummer xmlns="989b0582-1044-4b23-819b-be44737b5277" xsi:nil="true"/>
    <RKOrdnaCheckInComment xmlns="aeab93c3-bfb5-4859-93a9-2eebea4085ac" xsi:nil="true"/>
    <RKOrdnaClass xmlns="aeab93c3-bfb5-4859-93a9-2eebea4085ac" xsi:nil="true"/>
    <TaxCatchAll xmlns="989b0582-1044-4b23-819b-be44737b5277"/>
    <c9cd366cc722410295b9eacffbd73909 xmlns="989b0582-1044-4b23-819b-be44737b5277">
      <Terms xmlns="http://schemas.microsoft.com/office/infopath/2007/PartnerControls"/>
    </c9cd366cc722410295b9eacffbd73909>
    <_dlc_DocId xmlns="989b0582-1044-4b23-819b-be44737b5277">DWKV6YK6XQT2-17-1058</_dlc_DocId>
    <_dlc_DocIdUrl xmlns="989b0582-1044-4b23-819b-be44737b5277">
      <Url>http://rkdhs-m/EcRcAss/_layouts/DocIdRedir.aspx?ID=DWKV6YK6XQT2-17-1058</Url>
      <Description>DWKV6YK6XQT2-17-1058</Description>
    </_dlc_DocIdUrl>
    <Sekretess_x0020_m.m. xmlns="989b0582-1044-4b23-819b-be44737b5277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C7D3FC-0880-42CF-8D6D-0E0BB659EEC2}"/>
</file>

<file path=customXml/itemProps2.xml><?xml version="1.0" encoding="utf-8"?>
<ds:datastoreItem xmlns:ds="http://schemas.openxmlformats.org/officeDocument/2006/customXml" ds:itemID="{394522E5-7771-411F-8019-3EA5117F9AD6}"/>
</file>

<file path=customXml/itemProps3.xml><?xml version="1.0" encoding="utf-8"?>
<ds:datastoreItem xmlns:ds="http://schemas.openxmlformats.org/officeDocument/2006/customXml" ds:itemID="{23A0FA62-6339-4E06-8E99-EEE2DE7E73A8}"/>
</file>

<file path=customXml/itemProps4.xml><?xml version="1.0" encoding="utf-8"?>
<ds:datastoreItem xmlns:ds="http://schemas.openxmlformats.org/officeDocument/2006/customXml" ds:itemID="{CE2C9884-7054-447A-A062-18CB1ACFA84A}"/>
</file>

<file path=customXml/itemProps5.xml><?xml version="1.0" encoding="utf-8"?>
<ds:datastoreItem xmlns:ds="http://schemas.openxmlformats.org/officeDocument/2006/customXml" ds:itemID="{394522E5-7771-411F-8019-3EA5117F9AD6}"/>
</file>

<file path=customXml/itemProps6.xml><?xml version="1.0" encoding="utf-8"?>
<ds:datastoreItem xmlns:ds="http://schemas.openxmlformats.org/officeDocument/2006/customXml" ds:itemID="{FE410DA1-A43A-469F-93AE-4D5EF42628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</vt:lpstr>
    </vt:vector>
  </TitlesOfParts>
  <Company>Regeringskansliet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2000-01-21</dc:title>
  <dc:creator>Charlotta Broman</dc:creator>
  <cp:lastModifiedBy>Berit Götesson</cp:lastModifiedBy>
  <cp:revision>3</cp:revision>
  <cp:lastPrinted>2016-11-07T09:42:00Z</cp:lastPrinted>
  <dcterms:created xsi:type="dcterms:W3CDTF">2016-11-09T09:22:00Z</dcterms:created>
  <dcterms:modified xsi:type="dcterms:W3CDTF">2016-11-09T09:26:00Z</dcterms:modified>
  <cp:category>Mall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2d6f3bfe-f3cd-423a-819c-652d7a7b1b37</vt:lpwstr>
  </property>
</Properties>
</file>