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02E13">
        <w:tblPrEx>
          <w:tblCellMar>
            <w:top w:w="0" w:type="dxa"/>
            <w:bottom w:w="0" w:type="dxa"/>
          </w:tblCellMar>
        </w:tblPrEx>
        <w:trPr>
          <w:cantSplit/>
          <w:trHeight w:hRule="exact" w:val="1260"/>
        </w:trPr>
        <w:tc>
          <w:tcPr>
            <w:tcW w:w="6024" w:type="dxa"/>
            <w:gridSpan w:val="2"/>
            <w:vMerge w:val="restart"/>
          </w:tcPr>
          <w:p w:rsidR="00920795" w:rsidRPr="00202E13" w:rsidRDefault="00920795">
            <w:pPr>
              <w:pStyle w:val="HuvudRubrik"/>
            </w:pPr>
            <w:bookmarkStart w:id="0" w:name="BetänkandeRubrik"/>
            <w:bookmarkEnd w:id="0"/>
            <w:r w:rsidRPr="00202E13">
              <w:t>Justitieutskottets betänkande</w:t>
            </w:r>
            <w:r w:rsidR="00202E13" w:rsidRPr="00202E1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19510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20795" w:rsidRPr="00202E13" w:rsidRDefault="00920795">
                                  <w:pPr>
                                    <w:pStyle w:val="Logo"/>
                                  </w:pPr>
                                  <w:r w:rsidRPr="00202E1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55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20795" w:rsidRPr="00202E13" w:rsidRDefault="00920795">
                            <w:pPr>
                              <w:pStyle w:val="Logo"/>
                            </w:pPr>
                            <w:r w:rsidRPr="00202E13">
                              <w:object w:dxaOrig="840" w:dyaOrig="1545">
                                <v:shape id="_x0000_i1025" type="#_x0000_t75" style="width:90.45pt;height:77.15pt" fillcolor="window">
                                  <v:imagedata r:id="rId6" o:title="" cropright="-75835f"/>
                                </v:shape>
                                <o:OLEObject Type="Embed" ProgID="Word.Picture.8" ShapeID="_x0000_i1025" DrawAspect="Content" ObjectID="_1827342558" r:id="rId8"/>
                              </w:object>
                            </w:r>
                          </w:p>
                        </w:txbxContent>
                      </v:textbox>
                      <w10:wrap anchorx="page" anchory="page"/>
                    </v:shape>
                  </w:pict>
                </mc:Fallback>
              </mc:AlternateContent>
            </w:r>
          </w:p>
          <w:p w:rsidR="00920795" w:rsidRPr="00202E13" w:rsidRDefault="00920795">
            <w:pPr>
              <w:pStyle w:val="HuvudRubrikRad2"/>
            </w:pPr>
            <w:bookmarkStart w:id="17" w:name="BetänkandeNr"/>
            <w:bookmarkEnd w:id="17"/>
            <w:r w:rsidRPr="00202E13">
              <w:t>1999/2000:JuU10</w:t>
            </w:r>
          </w:p>
          <w:p w:rsidR="00920795" w:rsidRPr="00202E13" w:rsidRDefault="00920795">
            <w:pPr>
              <w:pStyle w:val="BetnkandeRubrik"/>
            </w:pPr>
            <w:bookmarkStart w:id="18" w:name="Huvudrubrik"/>
            <w:bookmarkEnd w:id="18"/>
            <w:r w:rsidRPr="00202E13">
              <w:t>Effektivisering av förfarandet i allmän domstol</w:t>
            </w:r>
          </w:p>
        </w:tc>
        <w:tc>
          <w:tcPr>
            <w:tcW w:w="1559" w:type="dxa"/>
            <w:tcBorders>
              <w:bottom w:val="nil"/>
            </w:tcBorders>
          </w:tcPr>
          <w:p w:rsidR="00920795" w:rsidRPr="00202E13" w:rsidRDefault="00920795">
            <w:pPr>
              <w:spacing w:before="0" w:line="230" w:lineRule="auto"/>
              <w:rPr>
                <w:sz w:val="24"/>
              </w:rPr>
            </w:pPr>
          </w:p>
        </w:tc>
      </w:tr>
      <w:tr w:rsidR="00000000" w:rsidRPr="00202E13">
        <w:tblPrEx>
          <w:tblCellMar>
            <w:top w:w="0" w:type="dxa"/>
            <w:bottom w:w="0" w:type="dxa"/>
          </w:tblCellMar>
        </w:tblPrEx>
        <w:trPr>
          <w:cantSplit/>
          <w:trHeight w:hRule="exact" w:val="240"/>
        </w:trPr>
        <w:tc>
          <w:tcPr>
            <w:tcW w:w="6024" w:type="dxa"/>
            <w:gridSpan w:val="2"/>
            <w:vMerge/>
            <w:tcBorders>
              <w:top w:val="nil"/>
              <w:bottom w:val="nil"/>
            </w:tcBorders>
          </w:tcPr>
          <w:p w:rsidR="00920795" w:rsidRPr="00202E13" w:rsidRDefault="00920795">
            <w:pPr>
              <w:spacing w:before="40" w:after="900" w:line="280" w:lineRule="exact"/>
              <w:jc w:val="left"/>
              <w:rPr>
                <w:sz w:val="28"/>
              </w:rPr>
            </w:pPr>
          </w:p>
        </w:tc>
        <w:tc>
          <w:tcPr>
            <w:tcW w:w="1559" w:type="dxa"/>
          </w:tcPr>
          <w:p w:rsidR="00920795" w:rsidRPr="00202E13" w:rsidRDefault="00920795">
            <w:pPr>
              <w:pStyle w:val="rtal"/>
            </w:pPr>
            <w:r w:rsidRPr="00202E13">
              <w:t>1999/2000</w:t>
            </w:r>
          </w:p>
        </w:tc>
      </w:tr>
      <w:tr w:rsidR="00000000" w:rsidRPr="00202E13">
        <w:tblPrEx>
          <w:tblCellMar>
            <w:top w:w="0" w:type="dxa"/>
            <w:bottom w:w="0" w:type="dxa"/>
          </w:tblCellMar>
        </w:tblPrEx>
        <w:trPr>
          <w:cantSplit/>
          <w:trHeight w:val="560"/>
        </w:trPr>
        <w:tc>
          <w:tcPr>
            <w:tcW w:w="6024" w:type="dxa"/>
            <w:gridSpan w:val="2"/>
            <w:vMerge/>
            <w:tcBorders>
              <w:top w:val="nil"/>
              <w:bottom w:val="single" w:sz="6" w:space="0" w:color="auto"/>
            </w:tcBorders>
          </w:tcPr>
          <w:p w:rsidR="00920795" w:rsidRPr="00202E13" w:rsidRDefault="00920795">
            <w:pPr>
              <w:spacing w:before="40" w:after="900" w:line="280" w:lineRule="exact"/>
              <w:jc w:val="left"/>
              <w:rPr>
                <w:sz w:val="28"/>
              </w:rPr>
            </w:pPr>
          </w:p>
        </w:tc>
        <w:tc>
          <w:tcPr>
            <w:tcW w:w="1559" w:type="dxa"/>
            <w:tcBorders>
              <w:bottom w:val="single" w:sz="6" w:space="0" w:color="auto"/>
            </w:tcBorders>
          </w:tcPr>
          <w:p w:rsidR="00920795" w:rsidRPr="00202E13" w:rsidRDefault="00920795">
            <w:pPr>
              <w:pStyle w:val="rtal"/>
            </w:pPr>
            <w:r w:rsidRPr="00202E13">
              <w:t>JuU10</w:t>
            </w:r>
          </w:p>
        </w:tc>
      </w:tr>
      <w:tr w:rsidR="00000000" w:rsidRPr="00202E13">
        <w:tblPrEx>
          <w:tblCellMar>
            <w:top w:w="0" w:type="dxa"/>
            <w:bottom w:w="0" w:type="dxa"/>
          </w:tblCellMar>
        </w:tblPrEx>
        <w:trPr>
          <w:cantSplit/>
          <w:trHeight w:hRule="exact" w:val="660"/>
        </w:trPr>
        <w:tc>
          <w:tcPr>
            <w:tcW w:w="3012" w:type="dxa"/>
          </w:tcPr>
          <w:p w:rsidR="00920795" w:rsidRPr="00202E13" w:rsidRDefault="00920795">
            <w:pPr>
              <w:pStyle w:val="StatusSida1"/>
            </w:pPr>
          </w:p>
        </w:tc>
        <w:tc>
          <w:tcPr>
            <w:tcW w:w="3012" w:type="dxa"/>
          </w:tcPr>
          <w:p w:rsidR="00920795" w:rsidRPr="00202E13" w:rsidRDefault="00920795">
            <w:pPr>
              <w:pStyle w:val="UtskriftsdatumSida1"/>
              <w:rPr>
                <w:b/>
                <w:sz w:val="28"/>
              </w:rPr>
            </w:pPr>
          </w:p>
        </w:tc>
        <w:tc>
          <w:tcPr>
            <w:tcW w:w="1559" w:type="dxa"/>
          </w:tcPr>
          <w:p w:rsidR="00920795" w:rsidRPr="00202E13" w:rsidRDefault="00920795"/>
        </w:tc>
      </w:tr>
    </w:tbl>
    <w:p w:rsidR="00920795" w:rsidRPr="00202E13" w:rsidRDefault="00920795">
      <w:pPr>
        <w:pStyle w:val="Rubrik1"/>
        <w:spacing w:before="0"/>
      </w:pPr>
      <w:bookmarkStart w:id="19" w:name="_Toc476448235"/>
      <w:r w:rsidRPr="00202E13">
        <w:t>Sammanfattning</w:t>
      </w:r>
      <w:bookmarkEnd w:id="19"/>
    </w:p>
    <w:p w:rsidR="00920795" w:rsidRPr="00202E13" w:rsidRDefault="00920795">
      <w:bookmarkStart w:id="20" w:name="Textstart"/>
      <w:bookmarkEnd w:id="20"/>
      <w:r w:rsidRPr="00202E13">
        <w:t>I detta ärende behandlar utskottet förslag från regeringen som syftar till att effektivisera förfarandet i allmän domstol. Förslagen, som i första hand rör tingsrätterna, är avsedda att förenkla och effektivisera förfarandet inte bara för domstolarna utan även för parterna. Bland förslagen märks nya regler om uppehåll i huvudförhandling, att ansvaret för s.k. avräkning från fängels</w:t>
      </w:r>
      <w:r w:rsidRPr="00202E13">
        <w:t>e</w:t>
      </w:r>
      <w:r w:rsidRPr="00202E13">
        <w:t>straff av den tid någon suttit anhållen eller häktad flyttas från domstolarna till kriminalvården samt förenklingar av rättegången i mål om äktenskapsskil</w:t>
      </w:r>
      <w:r w:rsidRPr="00202E13">
        <w:t>l</w:t>
      </w:r>
      <w:r w:rsidRPr="00202E13">
        <w:t>nad och vårdnad om barn.</w:t>
      </w:r>
    </w:p>
    <w:p w:rsidR="00920795" w:rsidRPr="00202E13" w:rsidRDefault="00920795">
      <w:pPr>
        <w:pStyle w:val="Normaltindrag"/>
      </w:pPr>
      <w:r w:rsidRPr="00202E13">
        <w:t>Utskottet tillstyrker regeringens förslag men föreslår en ytterligare öve</w:t>
      </w:r>
      <w:r w:rsidRPr="00202E13">
        <w:t>r</w:t>
      </w:r>
      <w:r w:rsidRPr="00202E13">
        <w:t>gångsbestämmelse som innebär att äldre bestämmelser om återvinning alltid skall gälla när en tredskodom har meddelats före de nya lagreglernas ikraf</w:t>
      </w:r>
      <w:r w:rsidRPr="00202E13">
        <w:t>t</w:t>
      </w:r>
      <w:r w:rsidRPr="00202E13">
        <w:t>trädande.</w:t>
      </w:r>
    </w:p>
    <w:p w:rsidR="00920795" w:rsidRPr="00202E13" w:rsidRDefault="00920795">
      <w:pPr>
        <w:pStyle w:val="Normaltindrag"/>
      </w:pPr>
      <w:r w:rsidRPr="00202E13">
        <w:t>Till betänkandet har fogats en reservation.</w:t>
      </w:r>
    </w:p>
    <w:p w:rsidR="00920795" w:rsidRPr="00202E13" w:rsidRDefault="00920795">
      <w:pPr>
        <w:pStyle w:val="Rubrik1"/>
      </w:pPr>
      <w:bookmarkStart w:id="21" w:name="_Toc476448236"/>
      <w:r w:rsidRPr="00202E13">
        <w:t>Propositionen</w:t>
      </w:r>
      <w:bookmarkEnd w:id="21"/>
    </w:p>
    <w:p w:rsidR="00920795" w:rsidRPr="00202E13" w:rsidRDefault="00920795">
      <w:r w:rsidRPr="00202E13">
        <w:t>I proposition 1999/2000:26 har regeringen (Justitiedepartementet) föreslagit att riksdagen antar regeringens förslag till</w:t>
      </w:r>
    </w:p>
    <w:p w:rsidR="00920795" w:rsidRPr="00202E13" w:rsidRDefault="00920795">
      <w:pPr>
        <w:pStyle w:val="Normaltindrag"/>
      </w:pPr>
      <w:r w:rsidRPr="00202E13">
        <w:t xml:space="preserve">1. lag om ändring i rättegångsbalken, </w:t>
      </w:r>
    </w:p>
    <w:p w:rsidR="00920795" w:rsidRPr="00202E13" w:rsidRDefault="00920795">
      <w:pPr>
        <w:pStyle w:val="Normaltindrag"/>
      </w:pPr>
      <w:r w:rsidRPr="00202E13">
        <w:t xml:space="preserve">2. lag om ändring i äktenskapsbalken, </w:t>
      </w:r>
    </w:p>
    <w:p w:rsidR="00920795" w:rsidRPr="00202E13" w:rsidRDefault="00920795">
      <w:pPr>
        <w:pStyle w:val="Normaltindrag"/>
      </w:pPr>
      <w:r w:rsidRPr="00202E13">
        <w:t xml:space="preserve">3. lag om ändring i föräldrabalken, </w:t>
      </w:r>
    </w:p>
    <w:p w:rsidR="00920795" w:rsidRPr="00202E13" w:rsidRDefault="00920795">
      <w:pPr>
        <w:pStyle w:val="Normaltindrag"/>
      </w:pPr>
      <w:r w:rsidRPr="00202E13">
        <w:t xml:space="preserve">4. lag om ändring i brottsbalken, </w:t>
      </w:r>
    </w:p>
    <w:p w:rsidR="00920795" w:rsidRPr="00202E13" w:rsidRDefault="00920795">
      <w:pPr>
        <w:pStyle w:val="Normaltindrag"/>
      </w:pPr>
      <w:r w:rsidRPr="00202E13">
        <w:t xml:space="preserve">5. lag om ändring i lagen (1974:202) om beräkning av strafftid m.m., </w:t>
      </w:r>
    </w:p>
    <w:p w:rsidR="00920795" w:rsidRPr="00202E13" w:rsidRDefault="00920795">
      <w:pPr>
        <w:pStyle w:val="Normaltindrag"/>
      </w:pPr>
      <w:r w:rsidRPr="00202E13">
        <w:t xml:space="preserve">6. lag om ändring i lagen (1974:371) om rättegången i arbetstvister, </w:t>
      </w:r>
    </w:p>
    <w:p w:rsidR="00920795" w:rsidRPr="00202E13" w:rsidRDefault="00920795">
      <w:pPr>
        <w:pStyle w:val="Normaltindrag"/>
      </w:pPr>
      <w:r w:rsidRPr="00202E13">
        <w:t xml:space="preserve">7. lag om ändring i sekretesslagen (1980:100), </w:t>
      </w:r>
    </w:p>
    <w:p w:rsidR="00920795" w:rsidRPr="00202E13" w:rsidRDefault="00920795">
      <w:pPr>
        <w:pStyle w:val="Normaltindrag"/>
      </w:pPr>
      <w:r w:rsidRPr="00202E13">
        <w:t>8. lag om ändring i lagen (1986:1009) om förfarandet i vissa fall vid fö</w:t>
      </w:r>
      <w:r w:rsidRPr="00202E13">
        <w:t>r</w:t>
      </w:r>
      <w:r w:rsidRPr="00202E13">
        <w:t xml:space="preserve">verkande m.m., </w:t>
      </w:r>
    </w:p>
    <w:p w:rsidR="00920795" w:rsidRPr="00202E13" w:rsidRDefault="00920795">
      <w:pPr>
        <w:pStyle w:val="Normaltindrag"/>
      </w:pPr>
      <w:r w:rsidRPr="00202E13">
        <w:t>9. lag om ändring i lagen (1991:1559) med föreskrifter på tryckfrihetsfö</w:t>
      </w:r>
      <w:r w:rsidRPr="00202E13">
        <w:t>r</w:t>
      </w:r>
      <w:r w:rsidRPr="00202E13">
        <w:t xml:space="preserve">ordningens och yttrandefrihetsgrundlagens områden, </w:t>
      </w:r>
    </w:p>
    <w:p w:rsidR="00920795" w:rsidRPr="00202E13" w:rsidRDefault="00920795">
      <w:pPr>
        <w:pStyle w:val="Normaltindrag"/>
      </w:pPr>
      <w:r w:rsidRPr="00202E13">
        <w:t>10. lag om ändring i lagen (1998:603) om verkställighet av sluten un</w:t>
      </w:r>
      <w:r w:rsidRPr="00202E13">
        <w:t>g</w:t>
      </w:r>
      <w:r w:rsidRPr="00202E13">
        <w:t xml:space="preserve">domsvård, </w:t>
      </w:r>
    </w:p>
    <w:p w:rsidR="00920795" w:rsidRPr="00202E13" w:rsidRDefault="00920795">
      <w:pPr>
        <w:pStyle w:val="Normaltindrag"/>
      </w:pPr>
      <w:r w:rsidRPr="00202E13">
        <w:t xml:space="preserve">11. lag om ändring i lagen (1999:116) om skiljeförfarande. </w:t>
      </w:r>
    </w:p>
    <w:p w:rsidR="00920795" w:rsidRPr="00202E13" w:rsidRDefault="00920795">
      <w:pPr>
        <w:pStyle w:val="Rubrik1"/>
      </w:pPr>
      <w:bookmarkStart w:id="22" w:name="_Toc476448237"/>
      <w:r w:rsidRPr="00202E13">
        <w:lastRenderedPageBreak/>
        <w:t>Motionen</w:t>
      </w:r>
      <w:bookmarkEnd w:id="22"/>
    </w:p>
    <w:p w:rsidR="00920795" w:rsidRPr="00202E13" w:rsidRDefault="00920795">
      <w:r w:rsidRPr="00202E13">
        <w:t>1999/2000:Ju5 av Gun Hellsvik m.fl. (m) vari yrkas att riksdagen begär att regeringen tillsätter en utredning av domstolsförfarandet i enlighet med vad som anförts i motionen.</w:t>
      </w:r>
    </w:p>
    <w:p w:rsidR="00920795" w:rsidRPr="00202E13" w:rsidRDefault="00920795">
      <w:pPr>
        <w:pStyle w:val="Rubrik1"/>
      </w:pPr>
      <w:bookmarkStart w:id="23" w:name="_Toc476448238"/>
      <w:r w:rsidRPr="00202E13">
        <w:t>Utskottet</w:t>
      </w:r>
      <w:bookmarkEnd w:id="23"/>
    </w:p>
    <w:p w:rsidR="00920795" w:rsidRPr="00202E13" w:rsidRDefault="00920795">
      <w:pPr>
        <w:pStyle w:val="Rubrik2"/>
        <w:spacing w:before="123"/>
      </w:pPr>
      <w:bookmarkStart w:id="24" w:name="_Toc476448239"/>
      <w:r w:rsidRPr="00202E13">
        <w:t>Ärendet och dess beredning</w:t>
      </w:r>
      <w:bookmarkEnd w:id="24"/>
    </w:p>
    <w:p w:rsidR="00920795" w:rsidRPr="00202E13" w:rsidRDefault="00920795">
      <w:r w:rsidRPr="00202E13">
        <w:t>I detta ärende behandlar utskottet ett regeringsförslag om förändringar i olika avseenden av förfarandet i de allmänna domstolarna samt en motion som väckts med anledning av propositionen.</w:t>
      </w:r>
    </w:p>
    <w:p w:rsidR="00920795" w:rsidRPr="00202E13" w:rsidRDefault="00920795">
      <w:pPr>
        <w:pStyle w:val="Normaltindrag"/>
      </w:pPr>
      <w:r w:rsidRPr="00202E13">
        <w:t>Till grund för regeringens förslag ligger i första hand de förslag som lä</w:t>
      </w:r>
      <w:r w:rsidRPr="00202E13">
        <w:t>m</w:t>
      </w:r>
      <w:r w:rsidRPr="00202E13">
        <w:t>nats i promemorian Domstolsförfarandet – förslag till förbättringar (Ds 1997:7) med undantag för de förslag i promemorian som avser användning av videokonferens i rättegång. När det gäller frågan om preklusion i visst fall under förberedelsen grundas regeringsförslaget på förslag som lagts fram av Skiljedomsutredningen i dess slutbetänkande Näringslivets tvistlösning (SOU 1995:65). I fråga om regeringsförslaget om ändringar i fråga om re</w:t>
      </w:r>
      <w:r w:rsidRPr="00202E13">
        <w:t>g</w:t>
      </w:r>
      <w:r w:rsidRPr="00202E13">
        <w:t>lerna om reseförbud har regeringen utgått från en promemoria av Rikså</w:t>
      </w:r>
      <w:r w:rsidRPr="00202E13">
        <w:t>kl</w:t>
      </w:r>
      <w:r w:rsidRPr="00202E13">
        <w:t>a</w:t>
      </w:r>
      <w:r w:rsidRPr="00202E13">
        <w:t>garen (dnr Ju95-2996). Såväl Skiljedomsutredningens betänkande som de nu nämnda promemoriorna har remissbehandlats. Härutöver lämnas i propos</w:t>
      </w:r>
      <w:r w:rsidRPr="00202E13">
        <w:t>i</w:t>
      </w:r>
      <w:r w:rsidRPr="00202E13">
        <w:t>tionen vissa redaktionella förslag som föranleds av avvecklingen av de al</w:t>
      </w:r>
      <w:r w:rsidRPr="00202E13">
        <w:t>l</w:t>
      </w:r>
      <w:r w:rsidRPr="00202E13">
        <w:t>männa advokatbyråerna.</w:t>
      </w:r>
    </w:p>
    <w:p w:rsidR="00920795" w:rsidRPr="00202E13" w:rsidRDefault="00920795">
      <w:pPr>
        <w:pStyle w:val="Normaltindrag"/>
      </w:pPr>
      <w:r w:rsidRPr="00202E13">
        <w:t>Lagrådet har i sitt yttrande föreslagit vissa ändringar i den dit remitterade lagtexten, och regeringen har i huvudsak följt Lagrådets förslag.</w:t>
      </w:r>
    </w:p>
    <w:p w:rsidR="00920795" w:rsidRPr="00202E13" w:rsidRDefault="00920795">
      <w:pPr>
        <w:pStyle w:val="Rubrik2"/>
      </w:pPr>
      <w:bookmarkStart w:id="25" w:name="_Toc476448240"/>
      <w:r w:rsidRPr="00202E13">
        <w:t>Propositionens huvudsakliga innehåll</w:t>
      </w:r>
      <w:bookmarkEnd w:id="25"/>
    </w:p>
    <w:p w:rsidR="00920795" w:rsidRPr="00202E13" w:rsidRDefault="00920795">
      <w:r w:rsidRPr="00202E13">
        <w:t>I propositionen föreslår regeringen en rad åtgärder för att effektivisera och förenkla domstolsförfarandet för parterna och för de allmänna domstolarna. Förslagen rör framför allt handläggningen i tingsrätterna. Överrätternas handläggning påverkas också. Förslagen syftar till att renodla domstolarnas och domarnas verksamhet och att ge domstolarna ökat utrymme att själva bestämma bl.a. hur olika uppgifter skall dokumenteras. Vidare avser försl</w:t>
      </w:r>
      <w:r w:rsidRPr="00202E13">
        <w:t>a</w:t>
      </w:r>
      <w:r w:rsidRPr="00202E13">
        <w:t>gen att för parter och domstolar få till stånd förenklade och förbättrade handläggningsregler samt en snabbare och effektivare handläggning.</w:t>
      </w:r>
    </w:p>
    <w:p w:rsidR="00920795" w:rsidRPr="00202E13" w:rsidRDefault="00920795">
      <w:pPr>
        <w:pStyle w:val="Normaltindrag"/>
      </w:pPr>
      <w:r w:rsidRPr="00202E13">
        <w:t>När det gäller renodling innebär förslagen följande.</w:t>
      </w:r>
    </w:p>
    <w:p w:rsidR="00920795" w:rsidRPr="00202E13" w:rsidRDefault="00920795">
      <w:pPr>
        <w:pStyle w:val="Normaltindrag"/>
      </w:pPr>
      <w:r w:rsidRPr="00202E13">
        <w:rPr>
          <w:spacing w:val="-2"/>
        </w:rPr>
        <w:t>– Ansvaret för obligatorisk avräkning av tid för frihetsberövande flyttas från domstol till kriminalvården i fråga om fängelsepåföljden och till Statens inst</w:t>
      </w:r>
      <w:r w:rsidRPr="00202E13">
        <w:rPr>
          <w:spacing w:val="-2"/>
        </w:rPr>
        <w:t>i</w:t>
      </w:r>
      <w:r w:rsidRPr="00202E13">
        <w:rPr>
          <w:spacing w:val="-2"/>
        </w:rPr>
        <w:t>tutionsstyrelse i fråga om påföljden sluten ungdomsvård. Domstolen skall på domen anteckna och till den lokala kriminal</w:t>
      </w:r>
      <w:r w:rsidRPr="00202E13">
        <w:rPr>
          <w:spacing w:val="-2"/>
        </w:rPr>
        <w:softHyphen/>
        <w:t>vårds</w:t>
      </w:r>
      <w:r w:rsidRPr="00202E13">
        <w:rPr>
          <w:spacing w:val="-2"/>
        </w:rPr>
        <w:softHyphen/>
        <w:t>myndig</w:t>
      </w:r>
      <w:r w:rsidRPr="00202E13">
        <w:rPr>
          <w:spacing w:val="-2"/>
        </w:rPr>
        <w:softHyphen/>
        <w:t xml:space="preserve">heten respektive Statens institutionsstyrelse rapportera under vilka tider den dömde har varit anhållen, häktad eller frihetsberövad på något annat sätt som kan föranleda avräkning. </w:t>
      </w:r>
      <w:r w:rsidRPr="00202E13">
        <w:t>Domstolens ansvar ankommer i tingsrätten på ordföranden, i hovrätten på målets referent och i Högsta domstolen på rotelinnehavaren. En åklagare som utfärdar ett strafföreläggande skall anteckna de</w:t>
      </w:r>
      <w:r w:rsidRPr="00202E13">
        <w:t xml:space="preserve"> frihetsberöva</w:t>
      </w:r>
      <w:r w:rsidRPr="00202E13">
        <w:t>n</w:t>
      </w:r>
      <w:r w:rsidRPr="00202E13">
        <w:t>den som har före</w:t>
      </w:r>
      <w:r w:rsidRPr="00202E13">
        <w:softHyphen/>
        <w:t xml:space="preserve">kommit och som kan komma att föranleda avräkning. </w:t>
      </w:r>
    </w:p>
    <w:p w:rsidR="00920795" w:rsidRPr="00202E13" w:rsidRDefault="00920795">
      <w:pPr>
        <w:pStyle w:val="Normaltindrag"/>
      </w:pPr>
      <w:r w:rsidRPr="00202E13">
        <w:t>– Åklagare ges rätt att häva beslut om reseförbud innan åtal har väckts på samma sätt som gäller för beslut om hävande av häktning.</w:t>
      </w:r>
    </w:p>
    <w:p w:rsidR="00920795" w:rsidRPr="00202E13" w:rsidRDefault="00920795">
      <w:pPr>
        <w:pStyle w:val="Normaltindrag"/>
      </w:pPr>
      <w:r w:rsidRPr="00202E13">
        <w:rPr>
          <w:spacing w:val="-2"/>
        </w:rPr>
        <w:t>– Beslut om ersättning av allmänna medel till förhörspersoner och tolkar skall kunna fattas utanför rättssalen av en domstolssekreterare eller tingsnot</w:t>
      </w:r>
      <w:r w:rsidRPr="00202E13">
        <w:rPr>
          <w:spacing w:val="-2"/>
        </w:rPr>
        <w:t>a</w:t>
      </w:r>
      <w:r w:rsidRPr="00202E13">
        <w:rPr>
          <w:spacing w:val="-2"/>
        </w:rPr>
        <w:t>rie.</w:t>
      </w:r>
    </w:p>
    <w:p w:rsidR="00920795" w:rsidRPr="00202E13" w:rsidRDefault="00920795">
      <w:pPr>
        <w:pStyle w:val="Normaltindrag"/>
      </w:pPr>
      <w:r w:rsidRPr="00202E13">
        <w:t>För att åstadkomma en ökad flexibilitet föreslås följande.</w:t>
      </w:r>
    </w:p>
    <w:p w:rsidR="00920795" w:rsidRPr="00202E13" w:rsidRDefault="00920795">
      <w:pPr>
        <w:pStyle w:val="Normaltindrag"/>
      </w:pPr>
      <w:r w:rsidRPr="00202E13">
        <w:t>– Reglerna om avbrott och uppskov i huvudförhandling sammanförs till ett institut samtidigt som bestämmelserna utformas så att det ges bättre möjli</w:t>
      </w:r>
      <w:r w:rsidRPr="00202E13">
        <w:t>g</w:t>
      </w:r>
      <w:r w:rsidRPr="00202E13">
        <w:t>heter att anpassa rättegången till förhållandena i det enskilda målet. Möjli</w:t>
      </w:r>
      <w:r w:rsidRPr="00202E13">
        <w:t>g</w:t>
      </w:r>
      <w:r w:rsidRPr="00202E13">
        <w:t>heterna att låta en huvudförhandling fortsätta efter uppehåll ökas. Förbudet mot att i tvistemål låta en huvudförhandling fortsätta efter uppehåll när denna hålls i förenklad form upphävs.</w:t>
      </w:r>
    </w:p>
    <w:p w:rsidR="00920795" w:rsidRPr="00202E13" w:rsidRDefault="00920795">
      <w:pPr>
        <w:pStyle w:val="Normaltindrag"/>
      </w:pPr>
      <w:r w:rsidRPr="00202E13">
        <w:t>– Bestämmelsen i 1 kap. 9 § rättegångsbalken om att fler mål inte utan synnerliga skäl får sättas ut till huvudförhandling samma dag än som kan beräknas bli slutförda under sex timmar upphävs.</w:t>
      </w:r>
    </w:p>
    <w:p w:rsidR="00920795" w:rsidRPr="00202E13" w:rsidRDefault="00920795">
      <w:pPr>
        <w:pStyle w:val="Normaltindrag"/>
      </w:pPr>
      <w:r w:rsidRPr="00202E13">
        <w:t>– Reglerna om protokollföring i mål och ärenden i domstol förenklas g</w:t>
      </w:r>
      <w:r w:rsidRPr="00202E13">
        <w:t>e</w:t>
      </w:r>
      <w:r w:rsidRPr="00202E13">
        <w:t>nom att domstolarna får möjlighet att låta bli att föra protokoll när något protokoll inte behövs. Vissa bestämmelser flyttas från rättegångs</w:t>
      </w:r>
      <w:r w:rsidRPr="00202E13">
        <w:softHyphen/>
        <w:t>balken till ärendeförordningen.</w:t>
      </w:r>
    </w:p>
    <w:p w:rsidR="00920795" w:rsidRPr="00202E13" w:rsidRDefault="00920795">
      <w:pPr>
        <w:pStyle w:val="Normaltindrag"/>
      </w:pPr>
      <w:r w:rsidRPr="00202E13">
        <w:t>– Tingsrätten ges möjlighet att avgöra mål som bara rör förverkande av egendom utan att hålla huvudförhandling.</w:t>
      </w:r>
    </w:p>
    <w:p w:rsidR="00920795" w:rsidRPr="00202E13" w:rsidRDefault="00920795">
      <w:pPr>
        <w:pStyle w:val="Normaltindrag"/>
      </w:pPr>
      <w:r w:rsidRPr="00202E13">
        <w:t>En rad förslag innebär en snabbare och effektivare handläggning:</w:t>
      </w:r>
    </w:p>
    <w:p w:rsidR="00920795" w:rsidRPr="00202E13" w:rsidRDefault="00920795">
      <w:pPr>
        <w:pStyle w:val="Normaltindrag"/>
      </w:pPr>
      <w:r w:rsidRPr="00202E13">
        <w:t>– Tingsrätten skall i dispositiva tvistemål kunna meddela parterna att fö</w:t>
      </w:r>
      <w:r w:rsidRPr="00202E13">
        <w:t>r</w:t>
      </w:r>
      <w:r w:rsidRPr="00202E13">
        <w:t>beredelsen skall anses vara avslutad vid en viss senare tidpunkt. Efter denna tidpunkt skall en part få åberopa en ny omständighet eller ett nytt bevis e</w:t>
      </w:r>
      <w:r w:rsidRPr="00202E13">
        <w:t>n</w:t>
      </w:r>
      <w:r w:rsidRPr="00202E13">
        <w:t>dast om parten gör sannolikt att han eller hon har haft en giltig ursäkt att inte göra det tidigare eller om ett tillåtande av åberopandet inte innebär att målets prövning fördröjs i någon väsentlig mån.</w:t>
      </w:r>
    </w:p>
    <w:p w:rsidR="00920795" w:rsidRPr="00202E13" w:rsidRDefault="00920795">
      <w:pPr>
        <w:pStyle w:val="Normaltindrag"/>
      </w:pPr>
      <w:r w:rsidRPr="00202E13">
        <w:t>– I tvistemål och i mål om enskilt åtal bör tingsrätten vidare i ett tidigt sk</w:t>
      </w:r>
      <w:r w:rsidRPr="00202E13">
        <w:t>e</w:t>
      </w:r>
      <w:r w:rsidRPr="00202E13">
        <w:t>de av målet upprätta en tidsplan för målets handläggning, om det inte av särskilda skäl är obe</w:t>
      </w:r>
      <w:r w:rsidRPr="00202E13">
        <w:softHyphen/>
        <w:t>hövligt. Tidpunkten för huvudförhandling skall bestä</w:t>
      </w:r>
      <w:r w:rsidRPr="00202E13">
        <w:t>m</w:t>
      </w:r>
      <w:r w:rsidRPr="00202E13">
        <w:t>mas så snart som möjligt.</w:t>
      </w:r>
    </w:p>
    <w:p w:rsidR="00920795" w:rsidRPr="00202E13" w:rsidRDefault="00920795">
      <w:pPr>
        <w:pStyle w:val="Normaltindrag"/>
      </w:pPr>
      <w:r w:rsidRPr="00202E13">
        <w:t>– De s.k. jourdomstolarnas behörighet enligt 19 kap. 12 § rättegångs</w:t>
      </w:r>
      <w:r w:rsidRPr="00202E13">
        <w:softHyphen/>
        <w:t>balken utvidgas till att omfatta all befattning med förundersökning och användande av tvångsmedel och alltså inte bara frågan om häktning.</w:t>
      </w:r>
    </w:p>
    <w:p w:rsidR="00920795" w:rsidRPr="00202E13" w:rsidRDefault="00920795">
      <w:pPr>
        <w:pStyle w:val="Normaltindrag"/>
      </w:pPr>
      <w:r w:rsidRPr="00202E13">
        <w:t>För att i övrigt förenkla och förbättra handläggningsreglerna föreslås fö</w:t>
      </w:r>
      <w:r w:rsidRPr="00202E13">
        <w:t>l</w:t>
      </w:r>
      <w:r w:rsidRPr="00202E13">
        <w:t>jande åtgärder.</w:t>
      </w:r>
    </w:p>
    <w:p w:rsidR="00920795" w:rsidRPr="00202E13" w:rsidRDefault="00920795">
      <w:pPr>
        <w:pStyle w:val="Normaltindrag"/>
      </w:pPr>
      <w:r w:rsidRPr="00202E13">
        <w:t>– Tingsrätten ges möjlighet att i dispositiva tvistemål förelägga käranden att senast viss dag uppge om han vidhåller sin talan, om det under målets handläggning har visat sig att käranden inte medverkar i processen. Om käranden inte svarar, får tingsrätten meddela tredskodom mot käranden.</w:t>
      </w:r>
    </w:p>
    <w:p w:rsidR="00920795" w:rsidRPr="00202E13" w:rsidRDefault="00920795">
      <w:pPr>
        <w:pStyle w:val="Normaltindrag"/>
      </w:pPr>
      <w:r w:rsidRPr="00202E13">
        <w:t>– Tiden för att ansöka om återvinning av en tredskodom skall räknas från datum för domen och inte som nu från dagen då parten delgavs domen. I föreläggandet skall anges när en tredskodom kan komma att meddelas.</w:t>
      </w:r>
    </w:p>
    <w:p w:rsidR="00920795" w:rsidRPr="00202E13" w:rsidRDefault="00920795">
      <w:pPr>
        <w:pStyle w:val="Normaltindrag"/>
      </w:pPr>
      <w:r w:rsidRPr="00202E13">
        <w:t>– En part i ett småmål som har förorsakat motparten kostnader genom fö</w:t>
      </w:r>
      <w:r w:rsidRPr="00202E13">
        <w:t>r</w:t>
      </w:r>
      <w:r w:rsidRPr="00202E13">
        <w:t>sumlig processföring skall ersätta dessa kostnader utan begränsning.</w:t>
      </w:r>
    </w:p>
    <w:p w:rsidR="00920795" w:rsidRPr="00202E13" w:rsidRDefault="00920795">
      <w:pPr>
        <w:pStyle w:val="Normaltindrag"/>
      </w:pPr>
      <w:r w:rsidRPr="00202E13">
        <w:t>– Ersättningen i småmål för en rättegångsskrift eller en inställelse höjs från 300 kr till kostnaden för en halvtimmes rådgivning enligt rätts</w:t>
      </w:r>
      <w:r w:rsidRPr="00202E13">
        <w:softHyphen/>
        <w:t>hjälpslagen (f.n. ca 500 kr).</w:t>
      </w:r>
    </w:p>
    <w:p w:rsidR="00920795" w:rsidRPr="00202E13" w:rsidRDefault="00920795">
      <w:pPr>
        <w:pStyle w:val="Normaltindrag"/>
      </w:pPr>
      <w:r w:rsidRPr="00202E13">
        <w:t>– Kravet på att ett rättegångsombud ger in sin fullmakt vid en s.k. missn</w:t>
      </w:r>
      <w:r w:rsidRPr="00202E13">
        <w:t>ö</w:t>
      </w:r>
      <w:r w:rsidRPr="00202E13">
        <w:t>jesanmälan tas bort. Vidare slopas kravet på att originalfullmakt skall visas upp i högre rätt.</w:t>
      </w:r>
    </w:p>
    <w:p w:rsidR="00920795" w:rsidRPr="00202E13" w:rsidRDefault="00920795">
      <w:pPr>
        <w:pStyle w:val="Normaltindrag"/>
      </w:pPr>
      <w:r w:rsidRPr="00202E13">
        <w:t>– Reglerna i äktenskapsbalken och föräldrabalken om förfarandet i mål om äktenskapsskillnad och vårdnad m.m. förenklas. Förändringarna får bl.a. till följd att möjligheterna till enbart skriftlig handläggning utvidgas.</w:t>
      </w:r>
    </w:p>
    <w:p w:rsidR="00920795" w:rsidRPr="00202E13" w:rsidRDefault="00920795">
      <w:pPr>
        <w:pStyle w:val="Normaltindrag"/>
      </w:pPr>
      <w:r w:rsidRPr="00202E13">
        <w:t xml:space="preserve">– Domstolens möjligheter att meddela provisoriska beslut enligt 15 kap. </w:t>
      </w:r>
      <w:r w:rsidRPr="00202E13">
        <w:br/>
        <w:t>3 § rättegångsbalken för att säkerställa sökandens rätt skall kunna tillämpas även i de fall sökanden har ett fordringsanspråk eller ett anspråk på bättre rätt till viss egendom.</w:t>
      </w:r>
    </w:p>
    <w:p w:rsidR="00920795" w:rsidRPr="00202E13" w:rsidRDefault="00920795">
      <w:pPr>
        <w:pStyle w:val="Normaltindrag"/>
      </w:pPr>
      <w:r w:rsidRPr="00202E13">
        <w:t>I propositionen föreslås dessutom några tekniska lagändringar till följd av att de allmänna advokatbyråerna har avvecklats.</w:t>
      </w:r>
    </w:p>
    <w:p w:rsidR="00920795" w:rsidRPr="00202E13" w:rsidRDefault="00920795">
      <w:pPr>
        <w:pStyle w:val="Normaltindrag"/>
      </w:pPr>
      <w:r w:rsidRPr="00202E13">
        <w:t xml:space="preserve"> Lagändringarna föreslås träda i kraft den 1 juli 2000. De ändringar som rör avräkning av tid för frihetsberövande föreslås dock träda i kraft den 1 okt</w:t>
      </w:r>
      <w:r w:rsidRPr="00202E13">
        <w:t>o</w:t>
      </w:r>
      <w:r w:rsidRPr="00202E13">
        <w:t>ber 2000.</w:t>
      </w:r>
    </w:p>
    <w:p w:rsidR="00920795" w:rsidRPr="00202E13" w:rsidRDefault="00920795">
      <w:pPr>
        <w:pStyle w:val="Rubrik2"/>
      </w:pPr>
      <w:bookmarkStart w:id="26" w:name="_Toc476448241"/>
      <w:r w:rsidRPr="00202E13">
        <w:t>Överväganden</w:t>
      </w:r>
      <w:bookmarkEnd w:id="26"/>
    </w:p>
    <w:p w:rsidR="00920795" w:rsidRPr="00202E13" w:rsidRDefault="00920795">
      <w:r w:rsidRPr="00202E13">
        <w:t>Rättegångsbalken, som reglerar rättegången i allmän domstol, trädde i kraft den 1 januari 1948. Under de drygt femtio år som balken varit i kraft har den flera gånger varit föremål för förändringar. De hittills mest betydande fö</w:t>
      </w:r>
      <w:r w:rsidRPr="00202E13">
        <w:t>r</w:t>
      </w:r>
      <w:r w:rsidRPr="00202E13">
        <w:t>ändringarna rörande rättegången i tingsrätt genomfördes genom lagstiftning år 1987 (prop. 1986/87:89, bet. JuU 1986/87:31; rskr. 1986/87:278).</w:t>
      </w:r>
    </w:p>
    <w:p w:rsidR="00920795" w:rsidRPr="00202E13" w:rsidRDefault="00920795">
      <w:pPr>
        <w:pStyle w:val="Normaltindrag"/>
      </w:pPr>
      <w:r w:rsidRPr="00202E13">
        <w:t>I den nu framlagda propositionen föreslås ytterligare reformer av framför allt förfarandet i tingsrätt. Åtskilliga av förslagen härrör ursprungligen från enskilda domstolar eller domare och har sin grund i deras iakttagelser av de problem som vissa av de nu gällande reglerna kan medföra. En bärande tanke bakom de senaste årens arbete med att modernisera domstolsförf</w:t>
      </w:r>
      <w:r w:rsidRPr="00202E13">
        <w:t>arandet är att renodla domarrollen och att göra förfarandet enklare. Denna tankegång präglar också förslagen i propositionen. Exempel härpå utgör förslagen att ansvaret för avräkning vid frihetsberövande skall överflyttas på kriminalvå</w:t>
      </w:r>
      <w:r w:rsidRPr="00202E13">
        <w:t>r</w:t>
      </w:r>
      <w:r w:rsidRPr="00202E13">
        <w:t>den och att beslut om ersättning av allmänna medel skall kunna fattas utanför rättssalen. Propositionen syftar också till att ge domstolarna större möjligh</w:t>
      </w:r>
      <w:r w:rsidRPr="00202E13">
        <w:t>e</w:t>
      </w:r>
      <w:r w:rsidRPr="00202E13">
        <w:t xml:space="preserve">ter att själva organisera sitt arbete; förslaget att införa en ny reglering om uppehåll i huvudförhandling hör till dem </w:t>
      </w:r>
      <w:r w:rsidRPr="00202E13">
        <w:t>som skall tillgodose detta syfte. Andra förslag skall säkerställa en snabb och effektiv handläggning – här märks t.ex. förslaget om utvidgade möjligheter till preklusion av nya o</w:t>
      </w:r>
      <w:r w:rsidRPr="00202E13">
        <w:t>m</w:t>
      </w:r>
      <w:r w:rsidRPr="00202E13">
        <w:t xml:space="preserve">ständigheter och bevis samt utvidgningen av jourdomstols behörighet till att avse alla beslut som kan ankomma på rätten under förundersökningen. </w:t>
      </w:r>
    </w:p>
    <w:p w:rsidR="00920795" w:rsidRPr="00202E13" w:rsidRDefault="00920795">
      <w:pPr>
        <w:pStyle w:val="Normaltindrag"/>
      </w:pPr>
      <w:r w:rsidRPr="00202E13">
        <w:t>Enligt utskottets mening synes propositionens förslag – om än ibland präglade av en hög grad av detaljreglering – ägnade att  tillgodose en snabb</w:t>
      </w:r>
      <w:r w:rsidRPr="00202E13">
        <w:t>a</w:t>
      </w:r>
      <w:r w:rsidRPr="00202E13">
        <w:t>re och effektivare  rättegång i de allmänna domstolarna utan att för den skull inkräkta på rättssäkerhetens krav. I den mån förslagen främjar en renodlad domarroll är de i hög grad välkomna.</w:t>
      </w:r>
    </w:p>
    <w:p w:rsidR="00920795" w:rsidRPr="00202E13" w:rsidRDefault="00920795">
      <w:pPr>
        <w:pStyle w:val="Normaltindrag"/>
      </w:pPr>
      <w:r w:rsidRPr="00202E13">
        <w:t>Med det anförda tillstyrker utskottet propositionen och de i denna framla</w:t>
      </w:r>
      <w:r w:rsidRPr="00202E13">
        <w:t>g</w:t>
      </w:r>
      <w:r w:rsidRPr="00202E13">
        <w:t>da lagförslagen.</w:t>
      </w:r>
    </w:p>
    <w:p w:rsidR="00920795" w:rsidRPr="00202E13" w:rsidRDefault="00920795">
      <w:pPr>
        <w:pStyle w:val="Normaltindrag"/>
      </w:pPr>
      <w:r w:rsidRPr="00202E13">
        <w:t>I motion Ju5 (m) begärs en utredning av domstolsförfarandet. En sådan u</w:t>
      </w:r>
      <w:r w:rsidRPr="00202E13">
        <w:t>t</w:t>
      </w:r>
      <w:r w:rsidRPr="00202E13">
        <w:t>redning bör enligt motionärerna överväga en ny processordning som skulle omfatta både allmänna domstolar och förvaltningsdomstolar. Särskilt bör enligt motionärerna en samlad genomlysning av principerna om muntlighet, omedelbarhet och koncentration göras. Andra frågor som bör övervägas är vissa domstolsliknande nämnders ställning i förhållande till EG-rätten liksom frågor om skydd för vittnen och målsägande.</w:t>
      </w:r>
    </w:p>
    <w:p w:rsidR="00920795" w:rsidRPr="00202E13" w:rsidRDefault="00920795">
      <w:pPr>
        <w:pStyle w:val="Normaltindrag"/>
      </w:pPr>
      <w:r w:rsidRPr="00202E13">
        <w:t>Utskottet vill för sin del anföra följande. När rättegångsbalken infördes byggde den på principerna</w:t>
      </w:r>
      <w:r w:rsidRPr="00202E13">
        <w:t xml:space="preserve"> om muntlighet, omedelbarhet och koncentration. Med muntlighet förstods att processmaterialet skulle framläggas muntligen för rätten vid huvudförhandlingen och med omedelbarhet att målets avgöra</w:t>
      </w:r>
      <w:r w:rsidRPr="00202E13">
        <w:t>n</w:t>
      </w:r>
      <w:r w:rsidRPr="00202E13">
        <w:t>de skulle grundas direkt på det muntligen framlagda materialet. Koncentr</w:t>
      </w:r>
      <w:r w:rsidRPr="00202E13">
        <w:t>a</w:t>
      </w:r>
      <w:r w:rsidRPr="00202E13">
        <w:t>tion, slutligen, innebar att förhandlingen skulle slutföras vid ett rättegångstil</w:t>
      </w:r>
      <w:r w:rsidRPr="00202E13">
        <w:t>l</w:t>
      </w:r>
      <w:r w:rsidRPr="00202E13">
        <w:t>fälle eller flera sådana som låg nära varandra i tiden. De nämnda principerna är alltjämt styrande för rättegången i allmän domstol men har under årens lopp modif</w:t>
      </w:r>
      <w:r w:rsidRPr="00202E13">
        <w:t xml:space="preserve">ierats. </w:t>
      </w:r>
    </w:p>
    <w:p w:rsidR="00920795" w:rsidRPr="00202E13" w:rsidRDefault="00920795">
      <w:pPr>
        <w:pStyle w:val="Normaltindrag"/>
      </w:pPr>
      <w:r w:rsidRPr="00202E13">
        <w:t xml:space="preserve">Regeringen tillkallade den 1 juli 1999 en särskild utredare med uppgift att utreda processen i allmän domstol (dir. 1999:62). Den särskilde utredaren skall undersöka hur rättegången i tvistemål och brottmål med bibehållen rättssäkerhet kan förbättras. Utredaren skall särskilt uppmärksamma frågor om muntlighet, omedelbarhet och koncentration i förfarandet samt frågor om bevisning.  </w:t>
      </w:r>
    </w:p>
    <w:p w:rsidR="00920795" w:rsidRPr="00202E13" w:rsidRDefault="00920795">
      <w:pPr>
        <w:pStyle w:val="Normaltindrag"/>
      </w:pPr>
      <w:r w:rsidRPr="00202E13">
        <w:t>Enligt direktiven skall utredaren undersöka hur muntlighet och skriftlighet bör vägas mot varandra i de allmänna domstolarnas behandling av brottmål och tvistemål för att processen med bibehållna rättssäkerhetskrav skall vara så effektiv som möjligt. Utredaren skall särskilt uppmärksamma frågor om huruvida muntligheten i avgörandeskedet bör begränsas på ett eller annat sätt och avgörandet i målet alltså kunna grundas på annat än vad som förekommit vid en huvudförhandling. Utredaren skall vidare bl.a. se öv</w:t>
      </w:r>
      <w:r w:rsidRPr="00202E13">
        <w:t xml:space="preserve">er användningen av telefon och videokonferens i rättegång. </w:t>
      </w:r>
    </w:p>
    <w:p w:rsidR="00920795" w:rsidRPr="00202E13" w:rsidRDefault="00920795">
      <w:pPr>
        <w:pStyle w:val="Normaltindrag"/>
      </w:pPr>
      <w:r w:rsidRPr="00202E13">
        <w:t>Utredningen skall redovisa sitt uppdrag före utgången av år 2001.</w:t>
      </w:r>
    </w:p>
    <w:p w:rsidR="00920795" w:rsidRPr="00202E13" w:rsidRDefault="00920795">
      <w:pPr>
        <w:pStyle w:val="Normaltindrag"/>
      </w:pPr>
      <w:r w:rsidRPr="00202E13">
        <w:t>Brottsofferutredningen har i sitt betänkande Brottsoffer – Vad har gjorts? Vad bör göras? (SOU 1998:40) föreslagit åtgärder till skydd för målsägande och vittnen. En proposition i dessa frågor förbereds i Justitiedepartementet. I samband med behandlingen vid förra riksmötet av förslaget till lag om fö</w:t>
      </w:r>
      <w:r w:rsidRPr="00202E13">
        <w:t>r</w:t>
      </w:r>
      <w:r w:rsidRPr="00202E13">
        <w:t>söksverksamhet med videokonferens i rättegång uttalade utskottet att a</w:t>
      </w:r>
      <w:r w:rsidRPr="00202E13">
        <w:t>n</w:t>
      </w:r>
      <w:r w:rsidRPr="00202E13">
        <w:t>vändningen av videokonferens kan bidra till att målsägande och vittnen inte av fruktan eller rädsla för egen säkerhet avhåller sig från att lämna sina b</w:t>
      </w:r>
      <w:r w:rsidRPr="00202E13">
        <w:t>e</w:t>
      </w:r>
      <w:r w:rsidRPr="00202E13">
        <w:t>rättelser (bet. 1998/99:JuU23 s. 9).</w:t>
      </w:r>
    </w:p>
    <w:p w:rsidR="00920795" w:rsidRPr="00202E13" w:rsidRDefault="00920795">
      <w:pPr>
        <w:pStyle w:val="Normaltindrag"/>
      </w:pPr>
      <w:r w:rsidRPr="00202E13">
        <w:t>Enligt vad utskottet inhämtat är frågan om vissa domstolsliknande näm</w:t>
      </w:r>
      <w:r w:rsidRPr="00202E13">
        <w:t>n</w:t>
      </w:r>
      <w:r w:rsidRPr="00202E13">
        <w:t>ders ställning i EG-rättsligt hänseende uppmärksammad i Justitiedepart</w:t>
      </w:r>
      <w:r w:rsidRPr="00202E13">
        <w:t>e</w:t>
      </w:r>
      <w:r w:rsidRPr="00202E13">
        <w:t>mentet.</w:t>
      </w:r>
    </w:p>
    <w:p w:rsidR="00920795" w:rsidRPr="00202E13" w:rsidRDefault="00920795">
      <w:pPr>
        <w:pStyle w:val="Normaltindrag"/>
      </w:pPr>
      <w:r w:rsidRPr="00202E13">
        <w:t>Utskottet anser att önskemålen i motion Ju5 väsentligen är tillgodosedda genom det här redovisade utrednings- och beredningsarbetet. Motionen avstyrks.</w:t>
      </w:r>
    </w:p>
    <w:p w:rsidR="00920795" w:rsidRPr="00202E13" w:rsidRDefault="00920795">
      <w:pPr>
        <w:pStyle w:val="Rubrik3"/>
      </w:pPr>
      <w:bookmarkStart w:id="27" w:name="_Toc476448242"/>
      <w:r w:rsidRPr="00202E13">
        <w:t>Övrigt</w:t>
      </w:r>
      <w:bookmarkEnd w:id="27"/>
    </w:p>
    <w:p w:rsidR="00920795" w:rsidRPr="00202E13" w:rsidRDefault="00920795">
      <w:pPr>
        <w:pStyle w:val="Rubrik7"/>
        <w:spacing w:before="123"/>
      </w:pPr>
      <w:r w:rsidRPr="00202E13">
        <w:t>Övergångsbestämmelserna till lagen om ändring i rättegångsbalken</w:t>
      </w:r>
    </w:p>
    <w:p w:rsidR="00920795" w:rsidRPr="00202E13" w:rsidRDefault="00920795">
      <w:r w:rsidRPr="00202E13">
        <w:t>Regeringens förslag till ny lydelse av 44 kap. 9 § rättegångsbalken innebär att tiden för att söka återvinning mot en tredskodom skall räknas från den dag domen meddelades och inte som enligt gällande lag från den dag då domen delgavs parten. Utskottet har uppmärksammats på behovet av en övergång</w:t>
      </w:r>
      <w:r w:rsidRPr="00202E13">
        <w:t>s</w:t>
      </w:r>
      <w:r w:rsidRPr="00202E13">
        <w:t>bestämmelse som klargör att äldre bestämmelser om återvinning alltid skall tillämpas när en tredskodom har meddelats före den nya lagens ikraftträda</w:t>
      </w:r>
      <w:r w:rsidRPr="00202E13">
        <w:t>n</w:t>
      </w:r>
      <w:r w:rsidRPr="00202E13">
        <w:t>de. Utskottet föreslår en sådan övergångsbestämmelse i bilaga 2.</w:t>
      </w:r>
    </w:p>
    <w:p w:rsidR="00920795" w:rsidRPr="00202E13" w:rsidRDefault="00920795">
      <w:pPr>
        <w:pStyle w:val="Rubrik7"/>
      </w:pPr>
      <w:r w:rsidRPr="00202E13">
        <w:t>Ändring i sekretesslagen</w:t>
      </w:r>
    </w:p>
    <w:p w:rsidR="00920795" w:rsidRPr="00202E13" w:rsidRDefault="00920795">
      <w:r w:rsidRPr="00202E13">
        <w:t>I propositionen föreslås en ändring i 16 kap. 1 § sekretesslagen (1980:100) med ikraftträdande den 1 juli 2000. I proposition 1999/2000:32 Lönebildning för full sysselsättning föreslås en ändring i samma lagrum med ikraftträdande den 1 juni 2000. Den i förevarande ärende föreslagna ändringen bör samor</w:t>
      </w:r>
      <w:r w:rsidRPr="00202E13">
        <w:t>d</w:t>
      </w:r>
      <w:r w:rsidRPr="00202E13">
        <w:t xml:space="preserve">nas med förslaget i sistnämnda proposition. Utskottets förslag framgår av bilaga 2.  </w:t>
      </w:r>
    </w:p>
    <w:p w:rsidR="00920795" w:rsidRPr="00202E13" w:rsidRDefault="00920795">
      <w:pPr>
        <w:pStyle w:val="Rubrik2"/>
      </w:pPr>
      <w:bookmarkStart w:id="28" w:name="_Toc476448243"/>
      <w:r w:rsidRPr="00202E13">
        <w:t>Hemställan</w:t>
      </w:r>
      <w:bookmarkEnd w:id="28"/>
    </w:p>
    <w:p w:rsidR="00920795" w:rsidRPr="00202E13" w:rsidRDefault="00920795">
      <w:r w:rsidRPr="00202E13">
        <w:t>Utskottet hemställer</w:t>
      </w:r>
    </w:p>
    <w:p w:rsidR="00920795" w:rsidRPr="00202E13" w:rsidRDefault="00920795">
      <w:pPr>
        <w:pStyle w:val="hembetr"/>
      </w:pPr>
      <w:r w:rsidRPr="00202E13">
        <w:t xml:space="preserve">1. beträffande </w:t>
      </w:r>
      <w:r w:rsidRPr="00202E13">
        <w:rPr>
          <w:i/>
        </w:rPr>
        <w:t>propositionen</w:t>
      </w:r>
    </w:p>
    <w:p w:rsidR="00920795" w:rsidRPr="00202E13" w:rsidRDefault="00920795">
      <w:pPr>
        <w:pStyle w:val="hemtext"/>
      </w:pPr>
      <w:r w:rsidRPr="00202E13">
        <w:t>att riksdagen antar regeringens förslag till</w:t>
      </w:r>
    </w:p>
    <w:p w:rsidR="00920795" w:rsidRPr="00202E13" w:rsidRDefault="00920795">
      <w:pPr>
        <w:pStyle w:val="hemtext"/>
      </w:pPr>
      <w:r w:rsidRPr="00202E13">
        <w:t>a) lag om ändring i rättegångsbalken, dock att i ikraftträdande- och övergångsbestämmelserna skall införas en ny punkt, 4, med den lyde</w:t>
      </w:r>
      <w:r w:rsidRPr="00202E13">
        <w:t>l</w:t>
      </w:r>
      <w:r w:rsidRPr="00202E13">
        <w:t>se u</w:t>
      </w:r>
      <w:r w:rsidRPr="00202E13">
        <w:t>t</w:t>
      </w:r>
      <w:r w:rsidRPr="00202E13">
        <w:t>skottet föreslår i bilaga 2,</w:t>
      </w:r>
    </w:p>
    <w:p w:rsidR="00920795" w:rsidRPr="00202E13" w:rsidRDefault="00920795">
      <w:pPr>
        <w:pStyle w:val="hemtext"/>
      </w:pPr>
      <w:r w:rsidRPr="00202E13">
        <w:t>b) lag om ändring i äktenskapsbalken,</w:t>
      </w:r>
    </w:p>
    <w:p w:rsidR="00920795" w:rsidRPr="00202E13" w:rsidRDefault="00920795">
      <w:pPr>
        <w:pStyle w:val="hemtext"/>
      </w:pPr>
      <w:r w:rsidRPr="00202E13">
        <w:t>c) lag om ändring i föräldrabalken,</w:t>
      </w:r>
    </w:p>
    <w:p w:rsidR="00920795" w:rsidRPr="00202E13" w:rsidRDefault="00920795">
      <w:pPr>
        <w:pStyle w:val="hemtext"/>
      </w:pPr>
      <w:r w:rsidRPr="00202E13">
        <w:t>d) lag om ändring i brottsbalken,</w:t>
      </w:r>
    </w:p>
    <w:p w:rsidR="00920795" w:rsidRPr="00202E13" w:rsidRDefault="00920795">
      <w:pPr>
        <w:pStyle w:val="hemtext"/>
      </w:pPr>
      <w:r w:rsidRPr="00202E13">
        <w:t>e) lag om ändring i lagen (1974:202) om beräkning av strafftid m.m.,</w:t>
      </w:r>
    </w:p>
    <w:p w:rsidR="00920795" w:rsidRPr="00202E13" w:rsidRDefault="00920795">
      <w:pPr>
        <w:pStyle w:val="hemtext"/>
      </w:pPr>
      <w:r w:rsidRPr="00202E13">
        <w:t>f) lag om ändring i lagen (1974:371) om rättegången i arbetstvister,</w:t>
      </w:r>
    </w:p>
    <w:p w:rsidR="00920795" w:rsidRPr="00202E13" w:rsidRDefault="00920795">
      <w:pPr>
        <w:pStyle w:val="hemtext"/>
      </w:pPr>
      <w:r w:rsidRPr="00202E13">
        <w:t>g) lag om ändring i sekretesslagen (1980:100), dock att 16 kap. 1 § ges den lydelse utskottet föreslår i bilaga 2,</w:t>
      </w:r>
    </w:p>
    <w:p w:rsidR="00920795" w:rsidRPr="00202E13" w:rsidRDefault="00920795">
      <w:pPr>
        <w:pStyle w:val="hemtext"/>
      </w:pPr>
      <w:r w:rsidRPr="00202E13">
        <w:t>h) lag om ändring i lagen (1986:1009) om förfarandet i vissa fall vid förve</w:t>
      </w:r>
      <w:r w:rsidRPr="00202E13">
        <w:t>r</w:t>
      </w:r>
      <w:r w:rsidRPr="00202E13">
        <w:t>kande m.m.,</w:t>
      </w:r>
    </w:p>
    <w:p w:rsidR="00920795" w:rsidRPr="00202E13" w:rsidRDefault="00920795">
      <w:pPr>
        <w:pStyle w:val="hemtext"/>
      </w:pPr>
      <w:r w:rsidRPr="00202E13">
        <w:t>i) lag om ändring i lagen (1991:1559) med föreskrifter på tryckfrihet</w:t>
      </w:r>
      <w:r w:rsidRPr="00202E13">
        <w:t>s</w:t>
      </w:r>
      <w:r w:rsidRPr="00202E13">
        <w:t>föror</w:t>
      </w:r>
      <w:r w:rsidRPr="00202E13">
        <w:t>d</w:t>
      </w:r>
      <w:r w:rsidRPr="00202E13">
        <w:t>ningens och yttrandefrihetsgrundlagens områden,</w:t>
      </w:r>
    </w:p>
    <w:p w:rsidR="00920795" w:rsidRPr="00202E13" w:rsidRDefault="00920795">
      <w:pPr>
        <w:pStyle w:val="hemtext"/>
      </w:pPr>
      <w:r w:rsidRPr="00202E13">
        <w:t>j) lag om ändring i lagen (1998:603) om verkställighet av sluten un</w:t>
      </w:r>
      <w:r w:rsidRPr="00202E13">
        <w:t>g</w:t>
      </w:r>
      <w:r w:rsidRPr="00202E13">
        <w:t>dom</w:t>
      </w:r>
      <w:r w:rsidRPr="00202E13">
        <w:t>s</w:t>
      </w:r>
      <w:r w:rsidRPr="00202E13">
        <w:t>vård,</w:t>
      </w:r>
    </w:p>
    <w:p w:rsidR="00920795" w:rsidRPr="00202E13" w:rsidRDefault="00920795">
      <w:pPr>
        <w:pStyle w:val="hemtext"/>
      </w:pPr>
      <w:r w:rsidRPr="00202E13">
        <w:t>k) lag om ändring i lagen (1999:116) om skiljeförfarande,</w:t>
      </w:r>
    </w:p>
    <w:p w:rsidR="00920795" w:rsidRPr="00202E13" w:rsidRDefault="00920795">
      <w:pPr>
        <w:pStyle w:val="hembetr"/>
      </w:pPr>
      <w:bookmarkStart w:id="29" w:name="RESPARTI001"/>
      <w:bookmarkEnd w:id="29"/>
      <w:r w:rsidRPr="00202E13">
        <w:t xml:space="preserve">2. beträffande </w:t>
      </w:r>
      <w:r w:rsidRPr="00202E13">
        <w:rPr>
          <w:i/>
        </w:rPr>
        <w:t>rättegångsutredning</w:t>
      </w:r>
    </w:p>
    <w:p w:rsidR="00920795" w:rsidRPr="00202E13" w:rsidRDefault="00920795">
      <w:pPr>
        <w:pStyle w:val="hemtext"/>
      </w:pPr>
      <w:r w:rsidRPr="00202E13">
        <w:t>att riksdagen avslår motion 1999/2000:Ju5.</w:t>
      </w:r>
    </w:p>
    <w:p w:rsidR="00920795" w:rsidRPr="00202E13" w:rsidRDefault="00920795">
      <w:pPr>
        <w:pStyle w:val="Reseftermom"/>
      </w:pPr>
      <w:r w:rsidRPr="00202E13">
        <w:t>res. (m)</w:t>
      </w:r>
      <w:bookmarkStart w:id="30" w:name="RESPARTI002"/>
      <w:bookmarkEnd w:id="30"/>
    </w:p>
    <w:p w:rsidR="00920795" w:rsidRPr="00202E13" w:rsidRDefault="00920795">
      <w:pPr>
        <w:pStyle w:val="hemtext"/>
      </w:pPr>
      <w:bookmarkStart w:id="31" w:name="Nästa_Hpunkt"/>
      <w:bookmarkEnd w:id="31"/>
    </w:p>
    <w:p w:rsidR="00920795" w:rsidRPr="00202E13" w:rsidRDefault="00920795">
      <w:pPr>
        <w:pStyle w:val="hemtext"/>
      </w:pPr>
    </w:p>
    <w:p w:rsidR="00920795" w:rsidRPr="00202E13" w:rsidRDefault="00920795">
      <w:pPr>
        <w:pStyle w:val="Normaltindrag"/>
      </w:pPr>
    </w:p>
    <w:p w:rsidR="00920795" w:rsidRPr="00202E13" w:rsidRDefault="00920795">
      <w:pPr>
        <w:pStyle w:val="Normaltindrag"/>
      </w:pPr>
    </w:p>
    <w:p w:rsidR="00920795" w:rsidRPr="00202E13" w:rsidRDefault="00920795">
      <w:pPr>
        <w:pStyle w:val="Stockholm"/>
      </w:pPr>
      <w:r w:rsidRPr="00202E13">
        <w:t>Stockholm den 7 mars 2000</w:t>
      </w:r>
    </w:p>
    <w:p w:rsidR="00920795" w:rsidRPr="00202E13" w:rsidRDefault="00920795">
      <w:pPr>
        <w:pStyle w:val="Vgnar"/>
      </w:pPr>
      <w:r w:rsidRPr="00202E13">
        <w:t>På justitieutskottets vägnar</w:t>
      </w:r>
    </w:p>
    <w:p w:rsidR="00920795" w:rsidRPr="00202E13" w:rsidRDefault="00920795">
      <w:pPr>
        <w:pStyle w:val="Ordfnamn"/>
      </w:pPr>
      <w:bookmarkStart w:id="32" w:name="Ordförande"/>
      <w:bookmarkEnd w:id="32"/>
      <w:r w:rsidRPr="00202E13">
        <w:t xml:space="preserve">Ingvar Johnsson </w:t>
      </w:r>
    </w:p>
    <w:p w:rsidR="00920795" w:rsidRPr="00202E13" w:rsidRDefault="00920795">
      <w:pPr>
        <w:pStyle w:val="Deltagare"/>
      </w:pPr>
      <w:bookmarkStart w:id="33" w:name="Deltagare"/>
      <w:bookmarkEnd w:id="33"/>
      <w:r w:rsidRPr="00202E13">
        <w:t>I beslutet har deltagit: Ingvar Johnsson (s), Märta Johansson (s), Margareta Sandgren (s), Alice Åström (v), Ingemar Vänerlöv (kd), Anders G Högmark (m), Maud Ekendahl (m), Helena Frisk (s), Jeppe Johnsson (m), Kia Andr</w:t>
      </w:r>
      <w:r w:rsidRPr="00202E13">
        <w:t>e</w:t>
      </w:r>
      <w:r w:rsidRPr="00202E13">
        <w:t>asson (mp), Gunnel Wallin (c), Siw Persson (fp), Göran Norlander (s), Anita Sidén (m), Yilmaz Kerimo (s), Sven-Erik Sjöstrand (v) och Kjell Eldensjö (kd).</w:t>
      </w:r>
    </w:p>
    <w:p w:rsidR="00920795" w:rsidRPr="00202E13" w:rsidRDefault="00920795">
      <w:pPr>
        <w:pStyle w:val="Rubrik1"/>
      </w:pPr>
      <w:bookmarkStart w:id="34" w:name="_Toc476448244"/>
      <w:r w:rsidRPr="00202E13">
        <w:t>Reservation</w:t>
      </w:r>
      <w:bookmarkEnd w:id="34"/>
    </w:p>
    <w:p w:rsidR="00920795" w:rsidRPr="00202E13" w:rsidRDefault="00920795">
      <w:pPr>
        <w:pStyle w:val="Rubrik2"/>
        <w:spacing w:before="123"/>
      </w:pPr>
      <w:bookmarkStart w:id="35" w:name="_Toc476448245"/>
      <w:r w:rsidRPr="00202E13">
        <w:t>Rättegångsutredning (mom. 2)</w:t>
      </w:r>
      <w:bookmarkEnd w:id="35"/>
    </w:p>
    <w:p w:rsidR="00920795" w:rsidRPr="00202E13" w:rsidRDefault="00920795">
      <w:r w:rsidRPr="00202E13">
        <w:t>Anders G Högmark (m), Maud Ekendahl (m), Jeppe Johnsson (m) och Anita Sidén (m) anför:</w:t>
      </w:r>
    </w:p>
    <w:p w:rsidR="00920795" w:rsidRPr="00202E13" w:rsidRDefault="00920795">
      <w:pPr>
        <w:pStyle w:val="Normaltindrag"/>
      </w:pPr>
    </w:p>
    <w:p w:rsidR="00920795" w:rsidRPr="00202E13" w:rsidRDefault="00920795">
      <w:pPr>
        <w:spacing w:before="0"/>
      </w:pPr>
      <w:r w:rsidRPr="00202E13">
        <w:t>Vi finner det visserligen tillfredsställande att regeringen tillsatt en utredning om rättegången i allmän domstol. Enligt vår uppfattning är dock utrednin</w:t>
      </w:r>
      <w:r w:rsidRPr="00202E13">
        <w:t>g</w:t>
      </w:r>
      <w:r w:rsidRPr="00202E13">
        <w:t>ens uppdrag allt för begränsat. Utredningen bör överväga om en gemensam processordning för allmänna domstolar och förvaltningsdomstolar bör inf</w:t>
      </w:r>
      <w:r w:rsidRPr="00202E13">
        <w:t>ö</w:t>
      </w:r>
      <w:r w:rsidRPr="00202E13">
        <w:t>ras. Även frågan om domstolsliknande nämnders ställning i EG-rättsligt hänseende bör utredas. Vi känner oss inte övertygade om att pågående utre</w:t>
      </w:r>
      <w:r w:rsidRPr="00202E13">
        <w:t>d</w:t>
      </w:r>
      <w:r w:rsidRPr="00202E13">
        <w:t>nings- och beredningsarbete tillräckligt uppmärksammar de processuella problemen kring ett effektivt skydd för målsägande och vittnen, varför utre</w:t>
      </w:r>
      <w:r w:rsidRPr="00202E13">
        <w:t>d</w:t>
      </w:r>
      <w:r w:rsidRPr="00202E13">
        <w:t>ningen bör tydligt belysa även denna fråga. Utredningen bör få tilläggsdire</w:t>
      </w:r>
      <w:r w:rsidRPr="00202E13">
        <w:t>k</w:t>
      </w:r>
      <w:r w:rsidRPr="00202E13">
        <w:t>tiv av den innebörd vi nu skisserat. Detta bör ges regeringen till känna.</w:t>
      </w:r>
    </w:p>
    <w:p w:rsidR="00920795" w:rsidRPr="00202E13" w:rsidRDefault="00920795">
      <w:r w:rsidRPr="00202E13">
        <w:t>Vi anser att utskottets hemställan under moment 2 bort ha följande lydelse:</w:t>
      </w:r>
    </w:p>
    <w:p w:rsidR="00920795" w:rsidRPr="00202E13" w:rsidRDefault="00920795">
      <w:pPr>
        <w:pStyle w:val="Resklmb"/>
        <w:rPr>
          <w:i/>
        </w:rPr>
      </w:pPr>
      <w:r w:rsidRPr="00202E13">
        <w:t xml:space="preserve">2. beträffande </w:t>
      </w:r>
      <w:r w:rsidRPr="00202E13">
        <w:rPr>
          <w:i/>
        </w:rPr>
        <w:t xml:space="preserve">rättegångsutredning </w:t>
      </w:r>
    </w:p>
    <w:p w:rsidR="00920795" w:rsidRPr="00202E13" w:rsidRDefault="00920795">
      <w:pPr>
        <w:pStyle w:val="Resklm"/>
      </w:pPr>
      <w:r w:rsidRPr="00202E13">
        <w:t>att riksdagen med anledning av motion 1999/2000:Ju5 som sin m</w:t>
      </w:r>
      <w:r w:rsidRPr="00202E13">
        <w:t>e</w:t>
      </w:r>
      <w:r w:rsidRPr="00202E13">
        <w:t>ning ger regeringen till känna vad som anförts i reservationen.</w:t>
      </w:r>
    </w:p>
    <w:p w:rsidR="00920795" w:rsidRPr="00202E13" w:rsidRDefault="00920795"/>
    <w:p w:rsidR="00920795" w:rsidRPr="00202E13" w:rsidRDefault="00920795">
      <w:pPr>
        <w:pStyle w:val="Resklm"/>
      </w:pPr>
    </w:p>
    <w:p w:rsidR="00920795" w:rsidRPr="00202E13" w:rsidRDefault="00920795">
      <w:pPr>
        <w:pStyle w:val="Resklm"/>
        <w:sectPr w:rsidR="00000000" w:rsidRPr="00202E13">
          <w:headerReference w:type="default" r:id="rId9"/>
          <w:footerReference w:type="default" r:id="rId10"/>
          <w:pgSz w:w="11906" w:h="16838" w:code="9"/>
          <w:pgMar w:top="567" w:right="4876" w:bottom="4508" w:left="1134" w:header="227" w:footer="227" w:gutter="0"/>
          <w:cols w:space="720"/>
        </w:sectPr>
      </w:pPr>
      <w:bookmarkStart w:id="36" w:name="Nästa_Reservation"/>
      <w:bookmarkEnd w:id="36"/>
    </w:p>
    <w:p w:rsidR="00920795" w:rsidRPr="00202E13" w:rsidRDefault="00920795">
      <w:pPr>
        <w:pStyle w:val="Rubrik1"/>
      </w:pPr>
      <w:bookmarkStart w:id="37" w:name="_Toc476448246"/>
      <w:r w:rsidRPr="00202E13">
        <w:t>Regeringens lagförslag</w:t>
      </w:r>
      <w:bookmarkEnd w:id="37"/>
    </w:p>
    <w:p w:rsidR="00920795" w:rsidRPr="00202E13" w:rsidRDefault="00920795">
      <w:r w:rsidRPr="00202E13">
        <w:br w:type="page"/>
      </w:r>
      <w:r w:rsidRPr="00202E13">
        <w:br w:type="page"/>
      </w:r>
      <w:r w:rsidRPr="00202E13">
        <w:br w:type="page"/>
      </w:r>
      <w:r w:rsidRPr="00202E13">
        <w:br w:type="page"/>
      </w:r>
      <w:r w:rsidRPr="00202E13">
        <w:br w:type="page"/>
      </w:r>
      <w:r w:rsidRPr="00202E13">
        <w:br w:type="page"/>
      </w:r>
      <w:r w:rsidRPr="00202E13">
        <w:br w:type="page"/>
      </w:r>
      <w:r w:rsidRPr="00202E13">
        <w:br w:type="page"/>
      </w:r>
      <w:r w:rsidRPr="00202E13">
        <w:br w:type="page"/>
      </w:r>
      <w:r w:rsidRPr="00202E13">
        <w:br w:type="page"/>
      </w:r>
      <w:r w:rsidRPr="00202E13">
        <w:br w:type="page"/>
      </w:r>
      <w:r w:rsidRPr="00202E13">
        <w:br w:type="page"/>
      </w:r>
      <w:r w:rsidRPr="00202E13">
        <w:br w:type="page"/>
      </w:r>
    </w:p>
    <w:p w:rsidR="00920795" w:rsidRPr="00202E13" w:rsidRDefault="00920795">
      <w:pPr>
        <w:pStyle w:val="Normaltindrag"/>
      </w:pPr>
      <w:r w:rsidRPr="00202E13">
        <w:br w:type="page"/>
      </w:r>
      <w:r w:rsidRPr="00202E13">
        <w:br w:type="page"/>
      </w:r>
      <w:r w:rsidRPr="00202E13">
        <w:br w:type="page"/>
      </w:r>
      <w:r w:rsidRPr="00202E13">
        <w:br w:type="page"/>
      </w:r>
      <w:r w:rsidRPr="00202E13">
        <w:br w:type="page"/>
      </w:r>
    </w:p>
    <w:p w:rsidR="00920795" w:rsidRPr="00202E13" w:rsidRDefault="00920795">
      <w:pPr>
        <w:pStyle w:val="Normaltindrag"/>
      </w:pPr>
      <w:r w:rsidRPr="00202E13">
        <w:br w:type="page"/>
      </w:r>
      <w:r w:rsidRPr="00202E13">
        <w:br w:type="page"/>
      </w:r>
      <w:r w:rsidRPr="00202E13">
        <w:br w:type="page"/>
      </w:r>
      <w:r w:rsidRPr="00202E13">
        <w:br w:type="page"/>
      </w:r>
    </w:p>
    <w:p w:rsidR="00920795" w:rsidRPr="00202E13" w:rsidRDefault="00920795">
      <w:pPr>
        <w:pStyle w:val="Normaltindrag"/>
      </w:pPr>
    </w:p>
    <w:p w:rsidR="00920795" w:rsidRPr="00202E13" w:rsidRDefault="00920795">
      <w:pPr>
        <w:pStyle w:val="Normaltindrag"/>
      </w:pPr>
      <w:r w:rsidRPr="00202E13">
        <w:br w:type="page"/>
      </w:r>
      <w:r w:rsidRPr="00202E13">
        <w:br w:type="page"/>
      </w:r>
    </w:p>
    <w:p w:rsidR="00920795" w:rsidRPr="00202E13" w:rsidRDefault="00920795">
      <w:pPr>
        <w:pStyle w:val="Normaltindrag"/>
      </w:pPr>
    </w:p>
    <w:p w:rsidR="00920795" w:rsidRPr="00202E13" w:rsidRDefault="00920795">
      <w:pPr>
        <w:pStyle w:val="Normaltindrag"/>
      </w:pPr>
      <w:r w:rsidRPr="00202E13">
        <w:br w:type="page"/>
      </w:r>
      <w:r w:rsidRPr="00202E13">
        <w:br w:type="page"/>
      </w:r>
      <w:r w:rsidRPr="00202E13">
        <w:br w:type="page"/>
      </w:r>
    </w:p>
    <w:p w:rsidR="00920795" w:rsidRPr="00202E13" w:rsidRDefault="00920795">
      <w:pPr>
        <w:pStyle w:val="Normaltindrag"/>
      </w:pPr>
    </w:p>
    <w:p w:rsidR="00920795" w:rsidRPr="00202E13" w:rsidRDefault="00920795">
      <w:pPr>
        <w:pStyle w:val="Normaltindrag"/>
      </w:pPr>
      <w:r w:rsidRPr="00202E13">
        <w:br w:type="page"/>
      </w:r>
      <w:r w:rsidRPr="00202E13">
        <w:br w:type="page"/>
      </w:r>
      <w:r w:rsidRPr="00202E13">
        <w:br w:type="page"/>
      </w:r>
      <w:r w:rsidRPr="00202E13">
        <w:br w:type="page"/>
      </w:r>
      <w:r w:rsidRPr="00202E13">
        <w:br w:type="page"/>
      </w:r>
      <w:r w:rsidRPr="00202E13">
        <w:br w:type="page"/>
      </w:r>
      <w:r w:rsidRPr="00202E13">
        <w:br w:type="page"/>
      </w:r>
    </w:p>
    <w:p w:rsidR="00920795" w:rsidRPr="00202E13" w:rsidRDefault="00920795"/>
    <w:p w:rsidR="00920795" w:rsidRPr="00202E13" w:rsidRDefault="00920795">
      <w:pPr>
        <w:pStyle w:val="Normaltindrag"/>
        <w:sectPr w:rsidR="00000000" w:rsidRPr="00202E13">
          <w:headerReference w:type="default" r:id="rId11"/>
          <w:footerReference w:type="default" r:id="rId12"/>
          <w:pgSz w:w="11906" w:h="16838" w:code="9"/>
          <w:pgMar w:top="567" w:right="4876" w:bottom="4508" w:left="1134" w:header="227" w:footer="227" w:gutter="0"/>
          <w:cols w:space="720"/>
        </w:sectPr>
      </w:pPr>
    </w:p>
    <w:p w:rsidR="00920795" w:rsidRPr="00202E13" w:rsidRDefault="00920795">
      <w:pPr>
        <w:pStyle w:val="Rubrik1"/>
      </w:pPr>
      <w:bookmarkStart w:id="38" w:name="_Toc476448247"/>
      <w:r w:rsidRPr="00202E13">
        <w:t>Utskottets förslag till ändringar i regeringens lagförslag</w:t>
      </w:r>
      <w:bookmarkEnd w:id="38"/>
    </w:p>
    <w:p w:rsidR="00920795" w:rsidRPr="00202E13" w:rsidRDefault="00920795">
      <w:pPr>
        <w:pStyle w:val="Rubrik2"/>
      </w:pPr>
      <w:bookmarkStart w:id="39" w:name="_Toc476448248"/>
      <w:r w:rsidRPr="00202E13">
        <w:t>1. Lag om ändring i rättegångsbalken</w:t>
      </w:r>
      <w:bookmarkEnd w:id="39"/>
    </w:p>
    <w:p w:rsidR="00920795" w:rsidRPr="00202E13" w:rsidRDefault="00920795">
      <w:r w:rsidRPr="00202E13">
        <w:t xml:space="preserve">_______________   </w:t>
      </w:r>
    </w:p>
    <w:p w:rsidR="00920795" w:rsidRPr="00202E13" w:rsidRDefault="00920795">
      <w:r w:rsidRPr="00202E13">
        <w:t>4.  Har en tredskodom meddelats före ikraftträdandet, gäller äldre bestä</w:t>
      </w:r>
      <w:r w:rsidRPr="00202E13">
        <w:t>m</w:t>
      </w:r>
      <w:r w:rsidRPr="00202E13">
        <w:t>melser i fråga om rätten att söka återvinning.</w:t>
      </w:r>
    </w:p>
    <w:p w:rsidR="00920795" w:rsidRPr="00202E13" w:rsidRDefault="00920795"/>
    <w:p w:rsidR="00920795" w:rsidRPr="00202E13" w:rsidRDefault="00920795">
      <w:pPr>
        <w:pStyle w:val="Rubrik2"/>
      </w:pPr>
      <w:r w:rsidRPr="00202E13">
        <w:br w:type="page"/>
      </w:r>
      <w:bookmarkStart w:id="40" w:name="_Toc476448249"/>
      <w:r w:rsidRPr="00202E13">
        <w:t>2. Lag om ändring i sekretesslagen (1980:100)</w:t>
      </w:r>
      <w:bookmarkEnd w:id="40"/>
    </w:p>
    <w:p w:rsidR="00920795" w:rsidRPr="00202E13" w:rsidRDefault="00920795"/>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02E13">
        <w:tblPrEx>
          <w:tblCellMar>
            <w:top w:w="0" w:type="dxa"/>
            <w:bottom w:w="0" w:type="dxa"/>
          </w:tblCellMar>
        </w:tblPrEx>
        <w:trPr>
          <w:tblHeader/>
        </w:trPr>
        <w:tc>
          <w:tcPr>
            <w:tcW w:w="3062" w:type="dxa"/>
          </w:tcPr>
          <w:p w:rsidR="00920795" w:rsidRPr="00202E13" w:rsidRDefault="00920795">
            <w:pPr>
              <w:pStyle w:val="LagtextRubrik"/>
              <w:rPr>
                <w:i/>
              </w:rPr>
            </w:pPr>
            <w:r w:rsidRPr="00202E13">
              <w:rPr>
                <w:i/>
              </w:rPr>
              <w:t>Lydelse enligt bet. 1999/2000:AU5</w:t>
            </w:r>
          </w:p>
        </w:tc>
        <w:tc>
          <w:tcPr>
            <w:tcW w:w="3062" w:type="dxa"/>
          </w:tcPr>
          <w:p w:rsidR="00920795" w:rsidRPr="00202E13" w:rsidRDefault="00920795">
            <w:pPr>
              <w:pStyle w:val="LagtextRubrik"/>
              <w:rPr>
                <w:i/>
              </w:rPr>
            </w:pPr>
            <w:r w:rsidRPr="00202E13">
              <w:rPr>
                <w:i/>
              </w:rPr>
              <w:t>Föreslagen lydelse</w:t>
            </w:r>
          </w:p>
        </w:tc>
      </w:tr>
      <w:tr w:rsidR="00000000" w:rsidRPr="00202E13">
        <w:tblPrEx>
          <w:tblCellMar>
            <w:top w:w="0" w:type="dxa"/>
            <w:bottom w:w="0" w:type="dxa"/>
          </w:tblCellMar>
        </w:tblPrEx>
        <w:tc>
          <w:tcPr>
            <w:tcW w:w="6124" w:type="dxa"/>
            <w:gridSpan w:val="2"/>
          </w:tcPr>
          <w:p w:rsidR="00920795" w:rsidRPr="00202E13" w:rsidRDefault="00920795">
            <w:pPr>
              <w:pStyle w:val="LagtextIndrag"/>
              <w:jc w:val="center"/>
              <w:rPr>
                <w:b/>
              </w:rPr>
            </w:pPr>
            <w:r w:rsidRPr="00202E13">
              <w:rPr>
                <w:b/>
              </w:rPr>
              <w:t>16 kap.</w:t>
            </w:r>
          </w:p>
        </w:tc>
      </w:tr>
      <w:tr w:rsidR="00000000" w:rsidRPr="00202E13">
        <w:tblPrEx>
          <w:tblCellMar>
            <w:top w:w="0" w:type="dxa"/>
            <w:bottom w:w="0" w:type="dxa"/>
          </w:tblCellMar>
        </w:tblPrEx>
        <w:tc>
          <w:tcPr>
            <w:tcW w:w="6124" w:type="dxa"/>
            <w:gridSpan w:val="2"/>
          </w:tcPr>
          <w:p w:rsidR="00920795" w:rsidRPr="00202E13" w:rsidRDefault="00920795">
            <w:pPr>
              <w:pStyle w:val="LagtextIndrag"/>
              <w:jc w:val="center"/>
            </w:pPr>
            <w:r w:rsidRPr="00202E13">
              <w:t>1  §</w:t>
            </w:r>
          </w:p>
        </w:tc>
      </w:tr>
      <w:tr w:rsidR="00000000" w:rsidRPr="00202E13">
        <w:tblPrEx>
          <w:tblCellMar>
            <w:top w:w="0" w:type="dxa"/>
            <w:bottom w:w="0" w:type="dxa"/>
          </w:tblCellMar>
        </w:tblPrEx>
        <w:tc>
          <w:tcPr>
            <w:tcW w:w="3062" w:type="dxa"/>
          </w:tcPr>
          <w:p w:rsidR="00920795" w:rsidRPr="00202E13" w:rsidRDefault="00920795">
            <w:pPr>
              <w:pStyle w:val="LagtextIndrag"/>
            </w:pPr>
            <w:r w:rsidRPr="00202E13">
              <w:t>Att friheten enligt 1 kap. 1 § tryc</w:t>
            </w:r>
            <w:r w:rsidRPr="00202E13">
              <w:t>k</w:t>
            </w:r>
            <w:r w:rsidRPr="00202E13">
              <w:t>frihetsförordningen och 1 kap. 2 § yttrandefrihetsgrundlagen att me</w:t>
            </w:r>
            <w:r w:rsidRPr="00202E13">
              <w:t>d</w:t>
            </w:r>
            <w:r w:rsidRPr="00202E13">
              <w:t>dela och offentliggöra uppgifter i vissa fall  är begränsad framgår av 7 kap. 3 § första stycket 1 och 2, 4 § 1–8 samt 5 § 1 och 3 tryckfrihetsfö</w:t>
            </w:r>
            <w:r w:rsidRPr="00202E13">
              <w:t>r</w:t>
            </w:r>
            <w:r w:rsidRPr="00202E13">
              <w:t>ordningen  och av  5 kap. 1 § första stycket samt 3 §  första stycket 1 och 2 yttrandefrihetsgrundlagen.  De fall av uppsåtligt åsidosättande av tys</w:t>
            </w:r>
            <w:r w:rsidRPr="00202E13">
              <w:t>t</w:t>
            </w:r>
            <w:r w:rsidRPr="00202E13">
              <w:t>nadsplikt, i vilka nämnda frihet enligt  7 kap. 3 § första stycket 3 och 5 § 2 tryckfrihetsförordningen samt 5 kap. 1 § första stycket och 3 § först</w:t>
            </w:r>
            <w:r w:rsidRPr="00202E13">
              <w:t>a stycket 3 yttrandefrihet</w:t>
            </w:r>
            <w:r w:rsidRPr="00202E13">
              <w:t>s</w:t>
            </w:r>
            <w:r w:rsidRPr="00202E13">
              <w:t>grundlagen i övrigt är begränsad, är  de där tystnadsplikten följer av</w:t>
            </w:r>
          </w:p>
        </w:tc>
        <w:tc>
          <w:tcPr>
            <w:tcW w:w="3062" w:type="dxa"/>
          </w:tcPr>
          <w:p w:rsidR="00920795" w:rsidRPr="00202E13" w:rsidRDefault="00920795">
            <w:pPr>
              <w:pStyle w:val="LagtextIndrag"/>
            </w:pPr>
            <w:r w:rsidRPr="00202E13">
              <w:t>Att friheten enligt 1 kap. 1 § tryc</w:t>
            </w:r>
            <w:r w:rsidRPr="00202E13">
              <w:t>k</w:t>
            </w:r>
            <w:r w:rsidRPr="00202E13">
              <w:t>frihetsförordningen och 1 kap. 2 § yttrandefrihetsgrundlagen att me</w:t>
            </w:r>
            <w:r w:rsidRPr="00202E13">
              <w:t>d</w:t>
            </w:r>
            <w:r w:rsidRPr="00202E13">
              <w:t>dela och offentliggöra uppgifter i vissa fall  är begränsad framgår av 7 kap. 3 § första stycket 1 och 2, 4 § 1–8 samt 5 § 1 och 3 tryckfrihetsfö</w:t>
            </w:r>
            <w:r w:rsidRPr="00202E13">
              <w:t>r</w:t>
            </w:r>
            <w:r w:rsidRPr="00202E13">
              <w:t>ordningen  och av  5 kap. 1 § första stycket samt 3 §  första stycket 1 och 2 yttrandefrihetsgrundlagen. De fall av uppsåtligt åsidosättande av tys</w:t>
            </w:r>
            <w:r w:rsidRPr="00202E13">
              <w:t>t</w:t>
            </w:r>
            <w:r w:rsidRPr="00202E13">
              <w:t>nadsplikt, i vilka nämnda frihet enligt  7 kap. 3 § första stycket 3 och 5 § 2 tryckfrihetsförordningen samt 5 kap. 1 § första stycket och 3 § första</w:t>
            </w:r>
            <w:r w:rsidRPr="00202E13">
              <w:t xml:space="preserve"> stycket 3 yttrandefrihet</w:t>
            </w:r>
            <w:r w:rsidRPr="00202E13">
              <w:t>s</w:t>
            </w:r>
            <w:r w:rsidRPr="00202E13">
              <w:t>grundlagen i övrigt är begränsad, är  de där tystnadsplikten följer av</w:t>
            </w:r>
          </w:p>
        </w:tc>
      </w:tr>
      <w:tr w:rsidR="00000000" w:rsidRPr="00202E13">
        <w:tblPrEx>
          <w:tblCellMar>
            <w:top w:w="0" w:type="dxa"/>
            <w:bottom w:w="0" w:type="dxa"/>
          </w:tblCellMar>
        </w:tblPrEx>
        <w:tc>
          <w:tcPr>
            <w:tcW w:w="3062" w:type="dxa"/>
          </w:tcPr>
          <w:p w:rsidR="00920795" w:rsidRPr="00202E13" w:rsidRDefault="00920795">
            <w:r w:rsidRPr="00202E13">
              <w:t>--------------------------------------------</w:t>
            </w:r>
          </w:p>
          <w:p w:rsidR="00920795" w:rsidRPr="00202E13" w:rsidRDefault="00920795">
            <w:pPr>
              <w:pStyle w:val="LagtextIndrag"/>
            </w:pPr>
          </w:p>
          <w:p w:rsidR="00920795" w:rsidRPr="00202E13" w:rsidRDefault="00920795">
            <w:pPr>
              <w:pStyle w:val="LagtextIndrag"/>
            </w:pPr>
            <w:r w:rsidRPr="00202E13">
              <w:t xml:space="preserve">6.8 kap. 4 § första stycket </w:t>
            </w:r>
            <w:r w:rsidRPr="00202E13">
              <w:rPr>
                <w:i/>
              </w:rPr>
              <w:t>tredje</w:t>
            </w:r>
            <w:r w:rsidRPr="00202E13">
              <w:t xml:space="preserve"> meningen rättegångsbalken</w:t>
            </w:r>
          </w:p>
          <w:p w:rsidR="00920795" w:rsidRPr="00202E13" w:rsidRDefault="00920795">
            <w:r w:rsidRPr="00202E13">
              <w:t>--------------------------------------------</w:t>
            </w:r>
          </w:p>
        </w:tc>
        <w:tc>
          <w:tcPr>
            <w:tcW w:w="3062" w:type="dxa"/>
          </w:tcPr>
          <w:p w:rsidR="00920795" w:rsidRPr="00202E13" w:rsidRDefault="00920795">
            <w:r w:rsidRPr="00202E13">
              <w:softHyphen/>
            </w:r>
            <w:r w:rsidRPr="00202E13">
              <w:softHyphen/>
              <w:t>--------------------------------------------</w:t>
            </w:r>
          </w:p>
          <w:p w:rsidR="00920795" w:rsidRPr="00202E13" w:rsidRDefault="00920795">
            <w:pPr>
              <w:pStyle w:val="LagtextIndrag"/>
            </w:pPr>
          </w:p>
          <w:p w:rsidR="00920795" w:rsidRPr="00202E13" w:rsidRDefault="00920795">
            <w:pPr>
              <w:pStyle w:val="LagtextIndrag"/>
            </w:pPr>
            <w:r w:rsidRPr="00202E13">
              <w:t xml:space="preserve">6.8 kap. 4 § första stycket </w:t>
            </w:r>
            <w:r w:rsidRPr="00202E13">
              <w:rPr>
                <w:i/>
              </w:rPr>
              <w:t xml:space="preserve">andra </w:t>
            </w:r>
            <w:r w:rsidRPr="00202E13">
              <w:t>meningen rättegångsbalken</w:t>
            </w:r>
          </w:p>
          <w:p w:rsidR="00920795" w:rsidRPr="00202E13" w:rsidRDefault="00920795">
            <w:r w:rsidRPr="00202E13">
              <w:t>--------------------------------------------</w:t>
            </w:r>
          </w:p>
        </w:tc>
      </w:tr>
    </w:tbl>
    <w:p w:rsidR="00920795" w:rsidRPr="00202E13" w:rsidRDefault="00920795">
      <w:pPr>
        <w:pStyle w:val="Normaltindrag"/>
        <w:sectPr w:rsidR="00000000" w:rsidRPr="00202E13">
          <w:headerReference w:type="default" r:id="rId13"/>
          <w:footerReference w:type="default" r:id="rId14"/>
          <w:pgSz w:w="11906" w:h="16838" w:code="9"/>
          <w:pgMar w:top="567" w:right="4876" w:bottom="4508" w:left="1134" w:header="227" w:footer="227" w:gutter="0"/>
          <w:cols w:space="720"/>
        </w:sectPr>
      </w:pPr>
    </w:p>
    <w:p w:rsidR="00920795" w:rsidRPr="00202E13" w:rsidRDefault="00920795">
      <w:pPr>
        <w:pStyle w:val="Innehll"/>
        <w:outlineLvl w:val="1"/>
      </w:pPr>
      <w:r w:rsidRPr="00202E13">
        <w:t>Innehållsförteckning</w:t>
      </w:r>
    </w:p>
    <w:p w:rsidR="00920795" w:rsidRPr="00202E13" w:rsidRDefault="00920795">
      <w:pPr>
        <w:pStyle w:val="Innehll1"/>
      </w:pPr>
      <w:r w:rsidRPr="00202E13">
        <w:t>Sammanfattning</w:t>
      </w:r>
      <w:r w:rsidRPr="00202E13">
        <w:tab/>
        <w:t>1</w:t>
      </w:r>
    </w:p>
    <w:p w:rsidR="00920795" w:rsidRPr="00202E13" w:rsidRDefault="00920795">
      <w:pPr>
        <w:pStyle w:val="Innehll1"/>
      </w:pPr>
      <w:r w:rsidRPr="00202E13">
        <w:t>Propositionen</w:t>
      </w:r>
      <w:r w:rsidRPr="00202E13">
        <w:tab/>
        <w:t>1</w:t>
      </w:r>
    </w:p>
    <w:p w:rsidR="00920795" w:rsidRPr="00202E13" w:rsidRDefault="00920795">
      <w:pPr>
        <w:pStyle w:val="Innehll1"/>
      </w:pPr>
      <w:r w:rsidRPr="00202E13">
        <w:t>Motionen</w:t>
      </w:r>
      <w:r w:rsidRPr="00202E13">
        <w:tab/>
        <w:t>2</w:t>
      </w:r>
    </w:p>
    <w:p w:rsidR="00920795" w:rsidRPr="00202E13" w:rsidRDefault="00920795">
      <w:pPr>
        <w:pStyle w:val="Innehll1"/>
      </w:pPr>
      <w:r w:rsidRPr="00202E13">
        <w:t>Utskottet</w:t>
      </w:r>
      <w:r w:rsidRPr="00202E13">
        <w:tab/>
        <w:t>2</w:t>
      </w:r>
    </w:p>
    <w:p w:rsidR="00920795" w:rsidRPr="00202E13" w:rsidRDefault="00920795">
      <w:pPr>
        <w:pStyle w:val="Innehll2"/>
      </w:pPr>
      <w:r w:rsidRPr="00202E13">
        <w:t>Ärendet och dess beredning</w:t>
      </w:r>
      <w:r w:rsidRPr="00202E13">
        <w:tab/>
        <w:t>2</w:t>
      </w:r>
    </w:p>
    <w:p w:rsidR="00920795" w:rsidRPr="00202E13" w:rsidRDefault="00920795">
      <w:pPr>
        <w:pStyle w:val="Innehll2"/>
      </w:pPr>
      <w:r w:rsidRPr="00202E13">
        <w:t>Propositionens huvudsakliga innehåll</w:t>
      </w:r>
      <w:r w:rsidRPr="00202E13">
        <w:tab/>
        <w:t>2</w:t>
      </w:r>
    </w:p>
    <w:p w:rsidR="00920795" w:rsidRPr="00202E13" w:rsidRDefault="00920795">
      <w:pPr>
        <w:pStyle w:val="Innehll2"/>
      </w:pPr>
      <w:r w:rsidRPr="00202E13">
        <w:t>Överväganden</w:t>
      </w:r>
      <w:r w:rsidRPr="00202E13">
        <w:tab/>
        <w:t>4</w:t>
      </w:r>
    </w:p>
    <w:p w:rsidR="00920795" w:rsidRPr="00202E13" w:rsidRDefault="00920795">
      <w:pPr>
        <w:pStyle w:val="Innehll3"/>
      </w:pPr>
      <w:r w:rsidRPr="00202E13">
        <w:t>Övrigt</w:t>
      </w:r>
      <w:r w:rsidRPr="00202E13">
        <w:tab/>
        <w:t>6</w:t>
      </w:r>
    </w:p>
    <w:p w:rsidR="00920795" w:rsidRPr="00202E13" w:rsidRDefault="00920795">
      <w:pPr>
        <w:pStyle w:val="Innehll2"/>
      </w:pPr>
      <w:r w:rsidRPr="00202E13">
        <w:t>Hemställan</w:t>
      </w:r>
      <w:r w:rsidRPr="00202E13">
        <w:tab/>
      </w:r>
      <w:bookmarkStart w:id="41" w:name="_Hlt477076742"/>
      <w:r w:rsidRPr="00202E13">
        <w:t>6</w:t>
      </w:r>
      <w:bookmarkEnd w:id="41"/>
    </w:p>
    <w:p w:rsidR="00920795" w:rsidRPr="00202E13" w:rsidRDefault="00920795">
      <w:pPr>
        <w:pStyle w:val="Innehll1"/>
      </w:pPr>
      <w:r w:rsidRPr="00202E13">
        <w:t>Reservation</w:t>
      </w:r>
      <w:r w:rsidRPr="00202E13">
        <w:tab/>
        <w:t>7</w:t>
      </w:r>
    </w:p>
    <w:p w:rsidR="00920795" w:rsidRPr="00202E13" w:rsidRDefault="00920795">
      <w:pPr>
        <w:pStyle w:val="Innehll2"/>
      </w:pPr>
      <w:r w:rsidRPr="00202E13">
        <w:t>Rättegångsutredning (mom. 2) (m)</w:t>
      </w:r>
      <w:r w:rsidRPr="00202E13">
        <w:tab/>
        <w:t>7</w:t>
      </w:r>
    </w:p>
    <w:p w:rsidR="00920795" w:rsidRPr="00202E13" w:rsidRDefault="00920795">
      <w:pPr>
        <w:pStyle w:val="Innehll1"/>
      </w:pPr>
      <w:r w:rsidRPr="00202E13">
        <w:t>Regeringens lagförslag</w:t>
      </w:r>
      <w:r w:rsidRPr="00202E13">
        <w:tab/>
        <w:t>8</w:t>
      </w:r>
    </w:p>
    <w:p w:rsidR="00920795" w:rsidRPr="00202E13" w:rsidRDefault="00920795">
      <w:pPr>
        <w:pStyle w:val="Innehll1"/>
      </w:pPr>
      <w:r w:rsidRPr="00202E13">
        <w:t>Utskottets förslag till ändringar i regeringens lagförslag</w:t>
      </w:r>
      <w:r w:rsidRPr="00202E13">
        <w:tab/>
        <w:t>43</w:t>
      </w:r>
    </w:p>
    <w:p w:rsidR="00920795" w:rsidRPr="00202E13" w:rsidRDefault="00920795">
      <w:pPr>
        <w:pStyle w:val="Innehll2"/>
      </w:pPr>
      <w:r w:rsidRPr="00202E13">
        <w:t>1. Lag om ändring i rättegångsbalken</w:t>
      </w:r>
      <w:r w:rsidRPr="00202E13">
        <w:tab/>
        <w:t>43</w:t>
      </w:r>
    </w:p>
    <w:p w:rsidR="00920795" w:rsidRPr="00202E13" w:rsidRDefault="00920795">
      <w:pPr>
        <w:pStyle w:val="Innehll2"/>
      </w:pPr>
      <w:r w:rsidRPr="00202E13">
        <w:t>2. Lag om ändring i sekretesslagen (1980:100)</w:t>
      </w:r>
      <w:r w:rsidRPr="00202E13">
        <w:tab/>
        <w:t>44</w:t>
      </w:r>
    </w:p>
    <w:p w:rsidR="00920795" w:rsidRPr="00202E13" w:rsidRDefault="00920795"/>
    <w:p w:rsidR="00920795" w:rsidRPr="00202E13" w:rsidRDefault="00920795">
      <w:pPr>
        <w:pStyle w:val="Tryckort"/>
        <w:framePr w:wrap="around"/>
      </w:pPr>
      <w:r w:rsidRPr="00202E13">
        <w:t>Elanders Gotab, Stockholm  2000</w:t>
      </w:r>
    </w:p>
    <w:p w:rsidR="00920795" w:rsidRPr="00202E13" w:rsidRDefault="00920795">
      <w:pPr>
        <w:pStyle w:val="Normaltindrag"/>
      </w:pPr>
    </w:p>
    <w:sectPr w:rsidR="00920795" w:rsidRPr="00202E13">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795" w:rsidRPr="00202E13" w:rsidRDefault="00920795">
      <w:pPr>
        <w:spacing w:before="0" w:line="240" w:lineRule="auto"/>
      </w:pPr>
      <w:r w:rsidRPr="00202E13">
        <w:separator/>
      </w:r>
    </w:p>
  </w:endnote>
  <w:endnote w:type="continuationSeparator" w:id="0">
    <w:p w:rsidR="00920795" w:rsidRPr="00202E13" w:rsidRDefault="00920795">
      <w:pPr>
        <w:spacing w:before="0" w:line="240" w:lineRule="auto"/>
      </w:pPr>
      <w:r w:rsidRPr="00202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fotH"/>
      <w:framePr w:wrap="around"/>
    </w:pPr>
    <w:r w:rsidRPr="00202E13">
      <w:fldChar w:fldCharType="begin" w:fldLock="1"/>
    </w:r>
    <w:r w:rsidRPr="00202E13">
      <w:instrText xml:space="preserve"> P</w:instrText>
    </w:r>
    <w:r w:rsidRPr="00202E13">
      <w:instrText>A</w:instrText>
    </w:r>
    <w:r w:rsidRPr="00202E13">
      <w:instrText xml:space="preserve">GE </w:instrText>
    </w:r>
    <w:r w:rsidRPr="00202E13">
      <w:fldChar w:fldCharType="separate"/>
    </w:r>
    <w:r w:rsidRPr="00202E13">
      <w:t>1</w:t>
    </w:r>
    <w:r w:rsidRPr="00202E13">
      <w:fldChar w:fldCharType="end"/>
    </w:r>
  </w:p>
  <w:p w:rsidR="00920795" w:rsidRPr="00202E13" w:rsidRDefault="009207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fotH"/>
      <w:framePr w:wrap="around"/>
    </w:pPr>
    <w:r w:rsidRPr="00202E13">
      <w:fldChar w:fldCharType="begin" w:fldLock="1"/>
    </w:r>
    <w:r w:rsidRPr="00202E13">
      <w:instrText xml:space="preserve"> P</w:instrText>
    </w:r>
    <w:r w:rsidRPr="00202E13">
      <w:instrText>A</w:instrText>
    </w:r>
    <w:r w:rsidRPr="00202E13">
      <w:instrText xml:space="preserve">GE </w:instrText>
    </w:r>
    <w:r w:rsidRPr="00202E13">
      <w:fldChar w:fldCharType="separate"/>
    </w:r>
    <w:r w:rsidRPr="00202E13">
      <w:t>8</w:t>
    </w:r>
    <w:r w:rsidRPr="00202E13">
      <w:fldChar w:fldCharType="end"/>
    </w:r>
  </w:p>
  <w:p w:rsidR="00920795" w:rsidRPr="00202E13" w:rsidRDefault="009207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fotH"/>
      <w:framePr w:wrap="around"/>
    </w:pPr>
    <w:r w:rsidRPr="00202E13">
      <w:fldChar w:fldCharType="begin" w:fldLock="1"/>
    </w:r>
    <w:r w:rsidRPr="00202E13">
      <w:instrText xml:space="preserve"> P</w:instrText>
    </w:r>
    <w:r w:rsidRPr="00202E13">
      <w:instrText>A</w:instrText>
    </w:r>
    <w:r w:rsidRPr="00202E13">
      <w:instrText xml:space="preserve">GE </w:instrText>
    </w:r>
    <w:r w:rsidRPr="00202E13">
      <w:fldChar w:fldCharType="separate"/>
    </w:r>
    <w:r w:rsidRPr="00202E13">
      <w:t>44</w:t>
    </w:r>
    <w:r w:rsidRPr="00202E13">
      <w:fldChar w:fldCharType="end"/>
    </w:r>
  </w:p>
  <w:p w:rsidR="00920795" w:rsidRPr="00202E13" w:rsidRDefault="0092079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fotH"/>
      <w:framePr w:wrap="around"/>
    </w:pPr>
    <w:r w:rsidRPr="00202E13">
      <w:fldChar w:fldCharType="begin" w:fldLock="1"/>
    </w:r>
    <w:r w:rsidRPr="00202E13">
      <w:instrText xml:space="preserve"> PAGE </w:instrText>
    </w:r>
    <w:r w:rsidRPr="00202E13">
      <w:fldChar w:fldCharType="separate"/>
    </w:r>
    <w:r w:rsidRPr="00202E13">
      <w:t>45</w:t>
    </w:r>
    <w:r w:rsidRPr="00202E13">
      <w:fldChar w:fldCharType="end"/>
    </w:r>
  </w:p>
  <w:p w:rsidR="00920795" w:rsidRPr="00202E13" w:rsidRDefault="009207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795" w:rsidRPr="00202E13" w:rsidRDefault="00920795">
      <w:pPr>
        <w:pStyle w:val="Sidfot"/>
      </w:pPr>
    </w:p>
  </w:footnote>
  <w:footnote w:type="continuationSeparator" w:id="0">
    <w:p w:rsidR="00920795" w:rsidRPr="00202E13" w:rsidRDefault="00920795">
      <w:pPr>
        <w:spacing w:before="0" w:line="240" w:lineRule="auto"/>
      </w:pPr>
      <w:r w:rsidRPr="00202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huvudKant"/>
      <w:framePr w:w="1758" w:h="2744" w:hRule="exact" w:wrap="around" w:vAnchor="page" w:hAnchor="page" w:x="7372" w:y="568" w:anchorLock="0"/>
    </w:pPr>
    <w:r w:rsidRPr="00202E13">
      <w:t>1999/2000:JuU10</w:t>
    </w:r>
  </w:p>
  <w:p w:rsidR="00920795" w:rsidRPr="00202E13" w:rsidRDefault="00920795">
    <w:pPr>
      <w:pStyle w:val="SidhuvudKantBilaga"/>
      <w:framePr w:w="1758" w:h="2744" w:hRule="exact" w:wrap="around" w:vAnchor="page" w:hAnchor="page" w:x="7372" w:y="568" w:anchorLock="0"/>
    </w:pPr>
  </w:p>
  <w:p w:rsidR="00920795" w:rsidRPr="00202E13" w:rsidRDefault="00920795">
    <w:pPr>
      <w:pStyle w:val="SidhuvudKant"/>
      <w:framePr w:w="1758" w:h="2744" w:hRule="exact" w:wrap="around" w:vAnchor="page" w:hAnchor="page" w:x="7372" w:y="568" w:anchorLock="0"/>
    </w:pPr>
  </w:p>
  <w:p w:rsidR="00920795" w:rsidRPr="00202E13" w:rsidRDefault="009207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huvudKant"/>
      <w:framePr w:w="1758" w:h="2744" w:hRule="exact" w:wrap="around" w:vAnchor="page" w:hAnchor="page" w:x="7372" w:y="568" w:anchorLock="0"/>
    </w:pPr>
    <w:r w:rsidRPr="00202E13">
      <w:t>1999/2000:JuU10</w:t>
    </w:r>
  </w:p>
  <w:p w:rsidR="00920795" w:rsidRPr="00202E13" w:rsidRDefault="00920795">
    <w:pPr>
      <w:pStyle w:val="SidhuvudKantBilaga"/>
      <w:framePr w:w="1758" w:h="2744" w:hRule="exact" w:wrap="around" w:vAnchor="page" w:hAnchor="page" w:x="7372" w:y="568" w:anchorLock="0"/>
    </w:pPr>
    <w:r w:rsidRPr="00202E13">
      <w:t>Bilaga 1</w:t>
    </w:r>
  </w:p>
  <w:p w:rsidR="00920795" w:rsidRPr="00202E13" w:rsidRDefault="00920795">
    <w:pPr>
      <w:pStyle w:val="SidhuvudKant"/>
      <w:framePr w:w="1758" w:h="2744" w:hRule="exact" w:wrap="around" w:vAnchor="page" w:hAnchor="page" w:x="7372" w:y="568" w:anchorLock="0"/>
    </w:pPr>
  </w:p>
  <w:p w:rsidR="00920795" w:rsidRPr="00202E13" w:rsidRDefault="009207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huvudKant"/>
      <w:framePr w:w="1758" w:h="2744" w:hRule="exact" w:wrap="around" w:vAnchor="page" w:hAnchor="page" w:x="7372" w:y="568" w:anchorLock="0"/>
    </w:pPr>
    <w:r w:rsidRPr="00202E13">
      <w:t>1999/2000:JuU10</w:t>
    </w:r>
  </w:p>
  <w:p w:rsidR="00920795" w:rsidRPr="00202E13" w:rsidRDefault="00920795">
    <w:pPr>
      <w:pStyle w:val="SidhuvudKantBilaga"/>
      <w:framePr w:w="1758" w:h="2744" w:hRule="exact" w:wrap="around" w:vAnchor="page" w:hAnchor="page" w:x="7372" w:y="568" w:anchorLock="0"/>
    </w:pPr>
    <w:r w:rsidRPr="00202E13">
      <w:t>Bilaga 2</w:t>
    </w:r>
  </w:p>
  <w:p w:rsidR="00920795" w:rsidRPr="00202E13" w:rsidRDefault="00920795">
    <w:pPr>
      <w:pStyle w:val="SidhuvudKant"/>
      <w:framePr w:w="1758" w:h="2744" w:hRule="exact" w:wrap="around" w:vAnchor="page" w:hAnchor="page" w:x="7372" w:y="568" w:anchorLock="0"/>
    </w:pPr>
  </w:p>
  <w:p w:rsidR="00920795" w:rsidRPr="00202E13" w:rsidRDefault="0092079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795" w:rsidRPr="00202E13" w:rsidRDefault="00920795">
    <w:pPr>
      <w:pStyle w:val="SidhuvudKant"/>
      <w:framePr w:w="1758" w:h="2744" w:hRule="exact" w:wrap="around" w:vAnchor="page" w:hAnchor="page" w:x="7372" w:y="568" w:anchorLock="0"/>
    </w:pPr>
    <w:r w:rsidRPr="00202E13">
      <w:t>1999/2000:JuU10</w:t>
    </w:r>
  </w:p>
  <w:p w:rsidR="00920795" w:rsidRPr="00202E13" w:rsidRDefault="00920795">
    <w:pPr>
      <w:pStyle w:val="SidhuvudKantBilaga"/>
      <w:framePr w:w="1758" w:h="2744" w:hRule="exact" w:wrap="around" w:vAnchor="page" w:hAnchor="page" w:x="7372" w:y="568" w:anchorLock="0"/>
    </w:pPr>
  </w:p>
  <w:p w:rsidR="00920795" w:rsidRPr="00202E13" w:rsidRDefault="00920795">
    <w:pPr>
      <w:pStyle w:val="SidhuvudKant"/>
      <w:framePr w:w="1758" w:h="2744" w:hRule="exact" w:wrap="around" w:vAnchor="page" w:hAnchor="page" w:x="7372" w:y="568" w:anchorLock="0"/>
    </w:pPr>
  </w:p>
  <w:p w:rsidR="00920795" w:rsidRPr="00202E13" w:rsidRDefault="0092079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5027CF"/>
    <w:rsid w:val="00202E13"/>
    <w:rsid w:val="005027CF"/>
    <w:rsid w:val="009207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F6D1F4-46A0-4527-A47A-9819489B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rubrik">
    <w:name w:val="Prop. rubrik"/>
    <w:basedOn w:val="Normal"/>
    <w:next w:val="Normal"/>
    <w:pPr>
      <w:tabs>
        <w:tab w:val="left" w:pos="2835"/>
      </w:tabs>
      <w:spacing w:before="80" w:after="240" w:line="240" w:lineRule="auto"/>
      <w:jc w:val="left"/>
    </w:pPr>
    <w:rPr>
      <w:sz w:val="34"/>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2811</Words>
  <Characters>17009</Characters>
  <Application>Microsoft Office Word</Application>
  <DocSecurity>4</DocSecurity>
  <Lines>436</Lines>
  <Paragraphs>158</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Justitieutskottets betänkande</vt:lpstr>
      <vt:lpstr>Sammanfattning</vt:lpstr>
      <vt:lpstr>Propositionen</vt:lpstr>
      <vt:lpstr>Motionen</vt:lpstr>
      <vt:lpstr>Utskottet</vt:lpstr>
      <vt:lpstr>    Ärendet och dess beredning</vt:lpstr>
      <vt:lpstr>    Propositionens huvudsakliga innehåll</vt:lpstr>
      <vt:lpstr>    Överväganden</vt:lpstr>
      <vt:lpstr>        Övrigt</vt:lpstr>
      <vt:lpstr>    Hemställan</vt:lpstr>
      <vt:lpstr>Reservation</vt:lpstr>
      <vt:lpstr>    Rättegångsutredning (mom. 2)</vt:lpstr>
      <vt:lpstr>Regeringens lagförslag</vt:lpstr>
      <vt:lpstr>Utskottets förslag till ändringar i regeringens lagförslag</vt:lpstr>
      <vt:lpstr>    1. Lag om ändring i rättegångsbalken</vt:lpstr>
      <vt:lpstr>    2. Lag om ändring i sekretesslagen (1980:100)</vt:lpstr>
      <vt:lpstr>    Innehållsförteckning</vt:lpstr>
    </vt:vector>
  </TitlesOfParts>
  <Company>Riksdagen</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2000-03-07T14:22:00Z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