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2996" w:rsidRPr="00B20D15" w:rsidRDefault="00F82996">
      <w:pPr>
        <w:pStyle w:val="RubrikSammanf"/>
        <w:shd w:val="clear" w:color="000000" w:fill="auto"/>
      </w:pPr>
      <w:bookmarkStart w:id="0" w:name="_Toc151083920"/>
      <w:r w:rsidRPr="00B20D15">
        <w:t>Sammanfattning</w:t>
      </w:r>
      <w:bookmarkEnd w:id="0"/>
    </w:p>
    <w:p w:rsidR="00F82996" w:rsidRPr="00B20D15" w:rsidRDefault="00F82996">
      <w:pPr>
        <w:shd w:val="clear" w:color="000000" w:fill="auto"/>
      </w:pPr>
      <w:r w:rsidRPr="00B20D15">
        <w:t xml:space="preserve">Kreativa människor med nya idéer är grunden </w:t>
      </w:r>
      <w:r w:rsidR="00664E7B" w:rsidRPr="00B20D15">
        <w:t>för</w:t>
      </w:r>
      <w:r w:rsidRPr="00B20D15">
        <w:t xml:space="preserve"> ett samhälle som utvecklas. Samhället</w:t>
      </w:r>
      <w:r w:rsidR="0039407C" w:rsidRPr="00B20D15">
        <w:t>s</w:t>
      </w:r>
      <w:r w:rsidRPr="00B20D15">
        <w:t xml:space="preserve"> och politikens uppgift är att skapa förutsättningar för entrepren</w:t>
      </w:r>
      <w:r w:rsidRPr="00B20D15">
        <w:t>ö</w:t>
      </w:r>
      <w:r w:rsidRPr="00B20D15">
        <w:t xml:space="preserve">ren, företagaren och innovatören att utveckla idéer, driva företag och skapa nya lösningar. Detta </w:t>
      </w:r>
      <w:r w:rsidR="00516B4B" w:rsidRPr="00B20D15">
        <w:t xml:space="preserve">ger förutsättningar för </w:t>
      </w:r>
      <w:r w:rsidRPr="00B20D15">
        <w:t>ekonomisk utveckling, nya jobb och ett hållbart samhälle.</w:t>
      </w:r>
    </w:p>
    <w:p w:rsidR="00F82996" w:rsidRPr="00B20D15" w:rsidRDefault="00F82996">
      <w:pPr>
        <w:pStyle w:val="Normaltindrag"/>
        <w:shd w:val="clear" w:color="000000" w:fill="auto"/>
      </w:pPr>
      <w:r w:rsidRPr="00B20D15">
        <w:t>Entreprenörskap och företagande stärker det lokala samhället. Många små företag och en differentierad ekonomi minskar det lokala samhällets sårbarhet i den globala ekonomin. Småföretagare som samarbetar skapar en bas för starka sociala nätverk. Genom att underlätta och skapa förutsättningar för företagande skapas också möjligheter för ett lokalsamhälle som växer och blir starkare.</w:t>
      </w:r>
    </w:p>
    <w:p w:rsidR="00F82996" w:rsidRPr="00B20D15" w:rsidRDefault="0039407C">
      <w:pPr>
        <w:pStyle w:val="Normaltindrag"/>
        <w:shd w:val="clear" w:color="000000" w:fill="auto"/>
      </w:pPr>
      <w:r w:rsidRPr="00B20D15">
        <w:t>O</w:t>
      </w:r>
      <w:r w:rsidR="00F82996" w:rsidRPr="00B20D15">
        <w:t>mställningen till ett hållbart samhälle kräver en fortsatt strukturomvan</w:t>
      </w:r>
      <w:r w:rsidR="00F82996" w:rsidRPr="00B20D15">
        <w:t>d</w:t>
      </w:r>
      <w:r w:rsidR="00F82996" w:rsidRPr="00B20D15">
        <w:t>ling av svensk ekonomi i hållbar riktning. För att klara det måste vi fortsätta att satsa på utvecklingen av små och medelstora företag och fortsätta att satsa på energiomställning genom effektiviseringar och ny hållbar energiprodu</w:t>
      </w:r>
      <w:r w:rsidR="00F82996" w:rsidRPr="00B20D15">
        <w:t>k</w:t>
      </w:r>
      <w:r w:rsidR="00F82996" w:rsidRPr="00B20D15">
        <w:t>tion. På det sättet kan Svensk ekonomi fortsätta att utvecklas samtidigt som vi klarar de krav som framtida generationer ställer på oss.</w:t>
      </w:r>
    </w:p>
    <w:p w:rsidR="00D90529" w:rsidRPr="00B20D15" w:rsidRDefault="00D90529">
      <w:pPr>
        <w:pStyle w:val="Normaltindrag"/>
        <w:shd w:val="clear" w:color="000000" w:fill="auto"/>
      </w:pPr>
      <w:r w:rsidRPr="00B20D15">
        <w:t>Svenska miljöteknikföretag har idag en enorm potential att växa och u</w:t>
      </w:r>
      <w:r w:rsidRPr="00B20D15">
        <w:t>t</w:t>
      </w:r>
      <w:r w:rsidRPr="00B20D15">
        <w:t>vecklas. En viktig grund för denna utveckling är en stark hemmamarknad med en kraftfull miljölagstiftning och ekonomiska styrmedel som driver på mot hållbar utveckling. Ett område där svenska miljöteknikföretag är starka är inom förnybar energiproduktion. För att denna utveckling ska kunna stärkas är det viktigt att just nu satsa på omställning av energisystemen i Sverige. Detta kräver offensiva satsningar i form av forskning och utveckling.</w:t>
      </w:r>
    </w:p>
    <w:p w:rsidR="00DD701D" w:rsidRPr="00B20D15" w:rsidRDefault="00DD701D">
      <w:pPr>
        <w:pStyle w:val="RubrikInnehllsf"/>
        <w:pageBreakBefore/>
        <w:shd w:val="clear" w:color="000000" w:fill="auto"/>
        <w:spacing w:before="0"/>
      </w:pPr>
      <w:r w:rsidRPr="00B20D15">
        <w:lastRenderedPageBreak/>
        <w:t>Innehållsförteckning</w:t>
      </w:r>
    </w:p>
    <w:p w:rsidR="008D59CC" w:rsidRPr="00B20D15" w:rsidRDefault="00BC23F6">
      <w:pPr>
        <w:pStyle w:val="Innehll1"/>
        <w:shd w:val="clear" w:color="000000" w:fill="auto"/>
        <w:tabs>
          <w:tab w:val="left" w:pos="240"/>
        </w:tabs>
        <w:spacing w:before="125"/>
        <w:rPr>
          <w:sz w:val="24"/>
          <w:szCs w:val="24"/>
        </w:rPr>
      </w:pPr>
      <w:r w:rsidRPr="00B20D15">
        <w:rPr>
          <w:sz w:val="24"/>
        </w:rPr>
        <w:fldChar w:fldCharType="begin" w:fldLock="1"/>
      </w:r>
      <w:r w:rsidR="00DD701D" w:rsidRPr="00B20D15">
        <w:instrText xml:space="preserve"> TOC \o "2-3" \t "Rubrik 1;1;Hemstl_rubrik;1;RubrikSammanf;1" </w:instrText>
      </w:r>
      <w:r w:rsidRPr="00B20D15">
        <w:rPr>
          <w:sz w:val="24"/>
        </w:rPr>
        <w:fldChar w:fldCharType="separate"/>
      </w:r>
      <w:r w:rsidR="008D59CC" w:rsidRPr="00B20D15">
        <w:t>1</w:t>
      </w:r>
      <w:r w:rsidR="008D59CC" w:rsidRPr="00B20D15">
        <w:rPr>
          <w:sz w:val="24"/>
          <w:szCs w:val="24"/>
        </w:rPr>
        <w:tab/>
      </w:r>
      <w:r w:rsidR="008D59CC" w:rsidRPr="00B20D15">
        <w:t>Sammanfattning</w:t>
      </w:r>
      <w:r w:rsidR="008D59CC" w:rsidRPr="00B20D15">
        <w:tab/>
      </w:r>
      <w:r w:rsidRPr="00B20D15">
        <w:fldChar w:fldCharType="begin" w:fldLock="1"/>
      </w:r>
      <w:r w:rsidR="008D59CC" w:rsidRPr="00B20D15">
        <w:instrText xml:space="preserve"> PAGEREF _Toc151083920 \h </w:instrText>
      </w:r>
      <w:r w:rsidRPr="00B20D15">
        <w:fldChar w:fldCharType="separate"/>
      </w:r>
      <w:r w:rsidR="0043212E" w:rsidRPr="00B20D15">
        <w:t>1</w:t>
      </w:r>
      <w:r w:rsidRPr="00B20D15">
        <w:fldChar w:fldCharType="end"/>
      </w:r>
    </w:p>
    <w:p w:rsidR="008D59CC" w:rsidRPr="00B20D15" w:rsidRDefault="008D59CC">
      <w:pPr>
        <w:pStyle w:val="Innehll1"/>
        <w:shd w:val="clear" w:color="000000" w:fill="auto"/>
        <w:tabs>
          <w:tab w:val="left" w:pos="240"/>
        </w:tabs>
        <w:rPr>
          <w:sz w:val="24"/>
          <w:szCs w:val="24"/>
        </w:rPr>
      </w:pPr>
      <w:r w:rsidRPr="00B20D15">
        <w:t>3</w:t>
      </w:r>
      <w:r w:rsidRPr="00B20D15">
        <w:rPr>
          <w:sz w:val="24"/>
          <w:szCs w:val="24"/>
        </w:rPr>
        <w:tab/>
      </w:r>
      <w:r w:rsidRPr="00B20D15">
        <w:t>Förslag till riksdagsbeslut</w:t>
      </w:r>
      <w:r w:rsidRPr="00B20D15">
        <w:tab/>
      </w:r>
      <w:r w:rsidR="00BC23F6" w:rsidRPr="00B20D15">
        <w:fldChar w:fldCharType="begin" w:fldLock="1"/>
      </w:r>
      <w:r w:rsidRPr="00B20D15">
        <w:instrText xml:space="preserve"> PAGEREF _Toc151083921 \h </w:instrText>
      </w:r>
      <w:r w:rsidR="00BC23F6" w:rsidRPr="00B20D15">
        <w:fldChar w:fldCharType="separate"/>
      </w:r>
      <w:r w:rsidR="0043212E" w:rsidRPr="00B20D15">
        <w:t>3</w:t>
      </w:r>
      <w:r w:rsidR="00BC23F6" w:rsidRPr="00B20D15">
        <w:fldChar w:fldCharType="end"/>
      </w:r>
    </w:p>
    <w:p w:rsidR="008D59CC" w:rsidRPr="00B20D15" w:rsidRDefault="008D59CC">
      <w:pPr>
        <w:pStyle w:val="Innehll1"/>
        <w:shd w:val="clear" w:color="000000" w:fill="auto"/>
        <w:tabs>
          <w:tab w:val="left" w:pos="240"/>
        </w:tabs>
        <w:rPr>
          <w:sz w:val="24"/>
          <w:szCs w:val="24"/>
        </w:rPr>
      </w:pPr>
      <w:r w:rsidRPr="00B20D15">
        <w:t>4</w:t>
      </w:r>
      <w:r w:rsidRPr="00B20D15">
        <w:rPr>
          <w:sz w:val="24"/>
          <w:szCs w:val="24"/>
        </w:rPr>
        <w:tab/>
      </w:r>
      <w:r w:rsidRPr="00B20D15">
        <w:t>Utgiftsområde 19 – Regionalpolitik</w:t>
      </w:r>
      <w:r w:rsidRPr="00B20D15">
        <w:tab/>
      </w:r>
      <w:r w:rsidR="00BC23F6" w:rsidRPr="00B20D15">
        <w:fldChar w:fldCharType="begin" w:fldLock="1"/>
      </w:r>
      <w:r w:rsidRPr="00B20D15">
        <w:instrText xml:space="preserve"> PAGEREF _Toc151083922 \h </w:instrText>
      </w:r>
      <w:r w:rsidR="00BC23F6" w:rsidRPr="00B20D15">
        <w:fldChar w:fldCharType="separate"/>
      </w:r>
      <w:r w:rsidR="0043212E" w:rsidRPr="00B20D15">
        <w:t>4</w:t>
      </w:r>
      <w:r w:rsidR="00BC23F6" w:rsidRPr="00B20D15">
        <w:fldChar w:fldCharType="end"/>
      </w:r>
    </w:p>
    <w:p w:rsidR="008D59CC" w:rsidRPr="00B20D15" w:rsidRDefault="008D59CC">
      <w:pPr>
        <w:pStyle w:val="Innehll2"/>
        <w:shd w:val="clear" w:color="000000" w:fill="auto"/>
        <w:tabs>
          <w:tab w:val="left" w:pos="480"/>
        </w:tabs>
        <w:ind w:left="120"/>
        <w:rPr>
          <w:sz w:val="24"/>
          <w:szCs w:val="24"/>
        </w:rPr>
      </w:pPr>
      <w:r w:rsidRPr="00B20D15">
        <w:t>4.1</w:t>
      </w:r>
      <w:r w:rsidRPr="00B20D15">
        <w:rPr>
          <w:sz w:val="24"/>
          <w:szCs w:val="24"/>
        </w:rPr>
        <w:tab/>
      </w:r>
      <w:r w:rsidRPr="00B20D15">
        <w:t>Regionalt förhöjt grundavdrag</w:t>
      </w:r>
      <w:r w:rsidRPr="00B20D15">
        <w:tab/>
      </w:r>
      <w:r w:rsidR="00BC23F6" w:rsidRPr="00B20D15">
        <w:fldChar w:fldCharType="begin" w:fldLock="1"/>
      </w:r>
      <w:r w:rsidRPr="00B20D15">
        <w:instrText xml:space="preserve"> PAGEREF _Toc151083923 \h </w:instrText>
      </w:r>
      <w:r w:rsidR="00BC23F6" w:rsidRPr="00B20D15">
        <w:fldChar w:fldCharType="separate"/>
      </w:r>
      <w:r w:rsidR="0043212E" w:rsidRPr="00B20D15">
        <w:t>4</w:t>
      </w:r>
      <w:r w:rsidR="00BC23F6" w:rsidRPr="00B20D15">
        <w:fldChar w:fldCharType="end"/>
      </w:r>
    </w:p>
    <w:p w:rsidR="008D59CC" w:rsidRPr="00B20D15" w:rsidRDefault="008D59CC">
      <w:pPr>
        <w:pStyle w:val="Innehll2"/>
        <w:shd w:val="clear" w:color="000000" w:fill="auto"/>
        <w:tabs>
          <w:tab w:val="left" w:pos="480"/>
        </w:tabs>
        <w:ind w:left="120"/>
        <w:rPr>
          <w:sz w:val="24"/>
          <w:szCs w:val="24"/>
        </w:rPr>
      </w:pPr>
      <w:r w:rsidRPr="00B20D15">
        <w:t>4.2</w:t>
      </w:r>
      <w:r w:rsidRPr="00B20D15">
        <w:rPr>
          <w:sz w:val="24"/>
          <w:szCs w:val="24"/>
        </w:rPr>
        <w:tab/>
      </w:r>
      <w:r w:rsidRPr="00B20D15">
        <w:t>Översyn av transportbidraget</w:t>
      </w:r>
      <w:r w:rsidRPr="00B20D15">
        <w:tab/>
      </w:r>
      <w:r w:rsidR="00BC23F6" w:rsidRPr="00B20D15">
        <w:fldChar w:fldCharType="begin" w:fldLock="1"/>
      </w:r>
      <w:r w:rsidRPr="00B20D15">
        <w:instrText xml:space="preserve"> PAGEREF _Toc151083924 \h </w:instrText>
      </w:r>
      <w:r w:rsidR="00BC23F6" w:rsidRPr="00B20D15">
        <w:fldChar w:fldCharType="separate"/>
      </w:r>
      <w:r w:rsidR="0043212E" w:rsidRPr="00B20D15">
        <w:t>4</w:t>
      </w:r>
      <w:r w:rsidR="00BC23F6" w:rsidRPr="00B20D15">
        <w:fldChar w:fldCharType="end"/>
      </w:r>
    </w:p>
    <w:p w:rsidR="008D59CC" w:rsidRPr="00B20D15" w:rsidRDefault="008D59CC">
      <w:pPr>
        <w:pStyle w:val="Innehll1"/>
        <w:shd w:val="clear" w:color="000000" w:fill="auto"/>
        <w:tabs>
          <w:tab w:val="left" w:pos="240"/>
        </w:tabs>
        <w:rPr>
          <w:sz w:val="24"/>
          <w:szCs w:val="24"/>
        </w:rPr>
      </w:pPr>
      <w:r w:rsidRPr="00B20D15">
        <w:t>5</w:t>
      </w:r>
      <w:r w:rsidRPr="00B20D15">
        <w:rPr>
          <w:sz w:val="24"/>
          <w:szCs w:val="24"/>
        </w:rPr>
        <w:tab/>
      </w:r>
      <w:r w:rsidRPr="00B20D15">
        <w:t>Utgiftsområde 21 – Energi</w:t>
      </w:r>
      <w:r w:rsidRPr="00B20D15">
        <w:tab/>
      </w:r>
      <w:r w:rsidR="00BC23F6" w:rsidRPr="00B20D15">
        <w:fldChar w:fldCharType="begin" w:fldLock="1"/>
      </w:r>
      <w:r w:rsidRPr="00B20D15">
        <w:instrText xml:space="preserve"> PAGEREF _Toc151083925 \h </w:instrText>
      </w:r>
      <w:r w:rsidR="00BC23F6" w:rsidRPr="00B20D15">
        <w:fldChar w:fldCharType="separate"/>
      </w:r>
      <w:r w:rsidR="0043212E" w:rsidRPr="00B20D15">
        <w:t>4</w:t>
      </w:r>
      <w:r w:rsidR="00BC23F6" w:rsidRPr="00B20D15">
        <w:fldChar w:fldCharType="end"/>
      </w:r>
    </w:p>
    <w:p w:rsidR="008D59CC" w:rsidRPr="00B20D15" w:rsidRDefault="008D59CC">
      <w:pPr>
        <w:pStyle w:val="Innehll2"/>
        <w:shd w:val="clear" w:color="000000" w:fill="auto"/>
        <w:tabs>
          <w:tab w:val="left" w:pos="480"/>
        </w:tabs>
        <w:ind w:left="120"/>
      </w:pPr>
      <w:r w:rsidRPr="00B20D15">
        <w:t>5.1</w:t>
      </w:r>
      <w:r w:rsidRPr="00B20D15">
        <w:rPr>
          <w:sz w:val="24"/>
          <w:szCs w:val="24"/>
        </w:rPr>
        <w:tab/>
      </w:r>
      <w:r w:rsidRPr="00B20D15">
        <w:t>Elcertifikat</w:t>
      </w:r>
      <w:r w:rsidRPr="00B20D15">
        <w:tab/>
      </w:r>
      <w:r w:rsidR="00BC23F6" w:rsidRPr="00B20D15">
        <w:fldChar w:fldCharType="begin" w:fldLock="1"/>
      </w:r>
      <w:r w:rsidRPr="00B20D15">
        <w:instrText xml:space="preserve"> PAGEREF _Toc151083926 \h </w:instrText>
      </w:r>
      <w:r w:rsidR="00BC23F6" w:rsidRPr="00B20D15">
        <w:fldChar w:fldCharType="separate"/>
      </w:r>
      <w:r w:rsidR="0043212E" w:rsidRPr="00B20D15">
        <w:t>4</w:t>
      </w:r>
      <w:r w:rsidR="00BC23F6" w:rsidRPr="00B20D15">
        <w:fldChar w:fldCharType="end"/>
      </w:r>
    </w:p>
    <w:p w:rsidR="008D59CC" w:rsidRPr="00B20D15" w:rsidRDefault="008D59CC">
      <w:pPr>
        <w:pStyle w:val="Innehll2"/>
        <w:shd w:val="clear" w:color="000000" w:fill="auto"/>
        <w:tabs>
          <w:tab w:val="left" w:pos="480"/>
        </w:tabs>
        <w:ind w:left="120"/>
      </w:pPr>
      <w:r w:rsidRPr="00B20D15">
        <w:t>5.2</w:t>
      </w:r>
      <w:r w:rsidRPr="00B20D15">
        <w:tab/>
        <w:t>Solvärme i fjärrvärmesystem</w:t>
      </w:r>
      <w:r w:rsidRPr="00B20D15">
        <w:tab/>
      </w:r>
      <w:r w:rsidR="00BC23F6" w:rsidRPr="00B20D15">
        <w:fldChar w:fldCharType="begin" w:fldLock="1"/>
      </w:r>
      <w:r w:rsidRPr="00B20D15">
        <w:instrText xml:space="preserve"> PAGEREF _Toc151083927 \h </w:instrText>
      </w:r>
      <w:r w:rsidR="00BC23F6" w:rsidRPr="00B20D15">
        <w:fldChar w:fldCharType="separate"/>
      </w:r>
      <w:r w:rsidR="0043212E" w:rsidRPr="00B20D15">
        <w:t>4</w:t>
      </w:r>
      <w:r w:rsidR="00BC23F6" w:rsidRPr="00B20D15">
        <w:fldChar w:fldCharType="end"/>
      </w:r>
    </w:p>
    <w:p w:rsidR="008D59CC" w:rsidRPr="00B20D15" w:rsidRDefault="008D59CC">
      <w:pPr>
        <w:pStyle w:val="Innehll2"/>
        <w:shd w:val="clear" w:color="000000" w:fill="auto"/>
        <w:tabs>
          <w:tab w:val="left" w:pos="480"/>
        </w:tabs>
        <w:ind w:left="120"/>
        <w:rPr>
          <w:sz w:val="24"/>
          <w:szCs w:val="24"/>
        </w:rPr>
      </w:pPr>
      <w:r w:rsidRPr="00B20D15">
        <w:t>5.3</w:t>
      </w:r>
      <w:r w:rsidRPr="00B20D15">
        <w:tab/>
        <w:t>Investeringsgaranti för fullskalig demonstrationsanläggning för förgasning av biomassa</w:t>
      </w:r>
      <w:r w:rsidRPr="00B20D15">
        <w:tab/>
      </w:r>
      <w:r w:rsidR="00BC23F6" w:rsidRPr="00B20D15">
        <w:fldChar w:fldCharType="begin" w:fldLock="1"/>
      </w:r>
      <w:r w:rsidRPr="00B20D15">
        <w:instrText xml:space="preserve"> PAGEREF _Toc151083928 \h </w:instrText>
      </w:r>
      <w:r w:rsidR="00BC23F6" w:rsidRPr="00B20D15">
        <w:fldChar w:fldCharType="separate"/>
      </w:r>
      <w:r w:rsidR="0043212E" w:rsidRPr="00B20D15">
        <w:t>5</w:t>
      </w:r>
      <w:r w:rsidR="00BC23F6" w:rsidRPr="00B20D15">
        <w:fldChar w:fldCharType="end"/>
      </w:r>
    </w:p>
    <w:p w:rsidR="008D59CC" w:rsidRPr="00B20D15" w:rsidRDefault="008D59CC">
      <w:pPr>
        <w:pStyle w:val="Innehll1"/>
        <w:shd w:val="clear" w:color="000000" w:fill="auto"/>
        <w:tabs>
          <w:tab w:val="left" w:pos="240"/>
        </w:tabs>
        <w:rPr>
          <w:sz w:val="24"/>
          <w:szCs w:val="24"/>
        </w:rPr>
      </w:pPr>
      <w:r w:rsidRPr="00B20D15">
        <w:t>6</w:t>
      </w:r>
      <w:r w:rsidRPr="00B20D15">
        <w:rPr>
          <w:sz w:val="24"/>
          <w:szCs w:val="24"/>
        </w:rPr>
        <w:tab/>
      </w:r>
      <w:r w:rsidRPr="00B20D15">
        <w:t>Utgiftsområde 24 – Näringsliv</w:t>
      </w:r>
      <w:r w:rsidRPr="00B20D15">
        <w:tab/>
      </w:r>
      <w:r w:rsidR="00BC23F6" w:rsidRPr="00B20D15">
        <w:fldChar w:fldCharType="begin" w:fldLock="1"/>
      </w:r>
      <w:r w:rsidRPr="00B20D15">
        <w:instrText xml:space="preserve"> PAGEREF _Toc151083929 \h </w:instrText>
      </w:r>
      <w:r w:rsidR="00BC23F6" w:rsidRPr="00B20D15">
        <w:fldChar w:fldCharType="separate"/>
      </w:r>
      <w:r w:rsidR="0043212E" w:rsidRPr="00B20D15">
        <w:t>5</w:t>
      </w:r>
      <w:r w:rsidR="00BC23F6" w:rsidRPr="00B20D15">
        <w:fldChar w:fldCharType="end"/>
      </w:r>
    </w:p>
    <w:p w:rsidR="008D59CC" w:rsidRPr="00B20D15" w:rsidRDefault="008D59CC">
      <w:pPr>
        <w:pStyle w:val="Innehll2"/>
        <w:shd w:val="clear" w:color="000000" w:fill="auto"/>
        <w:tabs>
          <w:tab w:val="left" w:pos="480"/>
        </w:tabs>
        <w:ind w:left="120"/>
      </w:pPr>
      <w:r w:rsidRPr="00B20D15">
        <w:t>6.1</w:t>
      </w:r>
      <w:r w:rsidRPr="00B20D15">
        <w:rPr>
          <w:sz w:val="24"/>
          <w:szCs w:val="24"/>
        </w:rPr>
        <w:tab/>
      </w:r>
      <w:r w:rsidRPr="00B20D15">
        <w:t>Forskning och utveckling i små företag</w:t>
      </w:r>
      <w:r w:rsidRPr="00B20D15">
        <w:tab/>
      </w:r>
      <w:r w:rsidR="00BC23F6" w:rsidRPr="00B20D15">
        <w:fldChar w:fldCharType="begin" w:fldLock="1"/>
      </w:r>
      <w:r w:rsidRPr="00B20D15">
        <w:instrText xml:space="preserve"> PAGEREF _Toc151083930 \h </w:instrText>
      </w:r>
      <w:r w:rsidR="00BC23F6" w:rsidRPr="00B20D15">
        <w:fldChar w:fldCharType="separate"/>
      </w:r>
      <w:r w:rsidR="0043212E" w:rsidRPr="00B20D15">
        <w:t>5</w:t>
      </w:r>
      <w:r w:rsidR="00BC23F6" w:rsidRPr="00B20D15">
        <w:fldChar w:fldCharType="end"/>
      </w:r>
    </w:p>
    <w:p w:rsidR="008D59CC" w:rsidRPr="00B20D15" w:rsidRDefault="008D59CC">
      <w:pPr>
        <w:pStyle w:val="Innehll2"/>
        <w:shd w:val="clear" w:color="000000" w:fill="auto"/>
        <w:tabs>
          <w:tab w:val="left" w:pos="480"/>
        </w:tabs>
        <w:ind w:left="120"/>
      </w:pPr>
      <w:r w:rsidRPr="00B20D15">
        <w:t>6.2</w:t>
      </w:r>
      <w:r w:rsidRPr="00B20D15">
        <w:tab/>
        <w:t>Fortsatt arbete med regelförenklingar</w:t>
      </w:r>
      <w:r w:rsidRPr="00B20D15">
        <w:tab/>
      </w:r>
      <w:r w:rsidR="00BC23F6" w:rsidRPr="00B20D15">
        <w:fldChar w:fldCharType="begin" w:fldLock="1"/>
      </w:r>
      <w:r w:rsidRPr="00B20D15">
        <w:instrText xml:space="preserve"> PAGEREF _Toc151083931 \h </w:instrText>
      </w:r>
      <w:r w:rsidR="00BC23F6" w:rsidRPr="00B20D15">
        <w:fldChar w:fldCharType="separate"/>
      </w:r>
      <w:r w:rsidR="0043212E" w:rsidRPr="00B20D15">
        <w:t>6</w:t>
      </w:r>
      <w:r w:rsidR="00BC23F6" w:rsidRPr="00B20D15">
        <w:fldChar w:fldCharType="end"/>
      </w:r>
    </w:p>
    <w:p w:rsidR="008D59CC" w:rsidRPr="00B20D15" w:rsidRDefault="008D59CC">
      <w:pPr>
        <w:pStyle w:val="Innehll2"/>
        <w:shd w:val="clear" w:color="000000" w:fill="auto"/>
        <w:tabs>
          <w:tab w:val="left" w:pos="480"/>
        </w:tabs>
        <w:ind w:left="120"/>
      </w:pPr>
      <w:r w:rsidRPr="00B20D15">
        <w:t>6.3</w:t>
      </w:r>
      <w:r w:rsidRPr="00B20D15">
        <w:tab/>
        <w:t>Utvecklingen av sociala och kooperativa företag</w:t>
      </w:r>
      <w:r w:rsidRPr="00B20D15">
        <w:tab/>
      </w:r>
      <w:r w:rsidR="00BC23F6" w:rsidRPr="00B20D15">
        <w:fldChar w:fldCharType="begin" w:fldLock="1"/>
      </w:r>
      <w:r w:rsidRPr="00B20D15">
        <w:instrText xml:space="preserve"> PAGEREF _Toc151083932 \h </w:instrText>
      </w:r>
      <w:r w:rsidR="00BC23F6" w:rsidRPr="00B20D15">
        <w:fldChar w:fldCharType="separate"/>
      </w:r>
      <w:r w:rsidR="0043212E" w:rsidRPr="00B20D15">
        <w:t>6</w:t>
      </w:r>
      <w:r w:rsidR="00BC23F6" w:rsidRPr="00B20D15">
        <w:fldChar w:fldCharType="end"/>
      </w:r>
    </w:p>
    <w:p w:rsidR="008D59CC" w:rsidRPr="00B20D15" w:rsidRDefault="008D59CC">
      <w:pPr>
        <w:pStyle w:val="Innehll2"/>
        <w:shd w:val="clear" w:color="000000" w:fill="auto"/>
        <w:tabs>
          <w:tab w:val="left" w:pos="480"/>
        </w:tabs>
        <w:ind w:left="120"/>
      </w:pPr>
      <w:r w:rsidRPr="00B20D15">
        <w:t>6.4</w:t>
      </w:r>
      <w:r w:rsidRPr="00B20D15">
        <w:tab/>
        <w:t>Större möjlighet till krediter för små företag</w:t>
      </w:r>
      <w:r w:rsidRPr="00B20D15">
        <w:tab/>
      </w:r>
      <w:r w:rsidR="00BC23F6" w:rsidRPr="00B20D15">
        <w:fldChar w:fldCharType="begin" w:fldLock="1"/>
      </w:r>
      <w:r w:rsidRPr="00B20D15">
        <w:instrText xml:space="preserve"> PAGEREF _Toc151083933 \h </w:instrText>
      </w:r>
      <w:r w:rsidR="00BC23F6" w:rsidRPr="00B20D15">
        <w:fldChar w:fldCharType="separate"/>
      </w:r>
      <w:r w:rsidR="0043212E" w:rsidRPr="00B20D15">
        <w:t>6</w:t>
      </w:r>
      <w:r w:rsidR="00BC23F6" w:rsidRPr="00B20D15">
        <w:fldChar w:fldCharType="end"/>
      </w:r>
    </w:p>
    <w:p w:rsidR="008D59CC" w:rsidRPr="00B20D15" w:rsidRDefault="008D59CC">
      <w:pPr>
        <w:pStyle w:val="Innehll2"/>
        <w:shd w:val="clear" w:color="000000" w:fill="auto"/>
        <w:tabs>
          <w:tab w:val="left" w:pos="480"/>
        </w:tabs>
        <w:ind w:left="120"/>
      </w:pPr>
      <w:r w:rsidRPr="00B20D15">
        <w:t>6.5</w:t>
      </w:r>
      <w:r w:rsidRPr="00B20D15">
        <w:tab/>
        <w:t>Ökad satsning på såddfinansiering</w:t>
      </w:r>
      <w:r w:rsidRPr="00B20D15">
        <w:tab/>
      </w:r>
      <w:r w:rsidR="00BC23F6" w:rsidRPr="00B20D15">
        <w:fldChar w:fldCharType="begin" w:fldLock="1"/>
      </w:r>
      <w:r w:rsidRPr="00B20D15">
        <w:instrText xml:space="preserve"> PAGEREF _Toc151083934 \h </w:instrText>
      </w:r>
      <w:r w:rsidR="00BC23F6" w:rsidRPr="00B20D15">
        <w:fldChar w:fldCharType="separate"/>
      </w:r>
      <w:r w:rsidR="0043212E" w:rsidRPr="00B20D15">
        <w:t>7</w:t>
      </w:r>
      <w:r w:rsidR="00BC23F6" w:rsidRPr="00B20D15">
        <w:fldChar w:fldCharType="end"/>
      </w:r>
    </w:p>
    <w:p w:rsidR="008D59CC" w:rsidRPr="00B20D15" w:rsidRDefault="008D59CC">
      <w:pPr>
        <w:pStyle w:val="Innehll2"/>
        <w:shd w:val="clear" w:color="000000" w:fill="auto"/>
        <w:tabs>
          <w:tab w:val="left" w:pos="480"/>
        </w:tabs>
        <w:ind w:left="120"/>
      </w:pPr>
      <w:r w:rsidRPr="00B20D15">
        <w:t>6.6</w:t>
      </w:r>
      <w:r w:rsidRPr="00B20D15">
        <w:tab/>
        <w:t>Produktutveckling i företag</w:t>
      </w:r>
      <w:r w:rsidRPr="00B20D15">
        <w:tab/>
      </w:r>
      <w:r w:rsidR="00BC23F6" w:rsidRPr="00B20D15">
        <w:fldChar w:fldCharType="begin" w:fldLock="1"/>
      </w:r>
      <w:r w:rsidRPr="00B20D15">
        <w:instrText xml:space="preserve"> PAGEREF _Toc151083935 \h </w:instrText>
      </w:r>
      <w:r w:rsidR="00BC23F6" w:rsidRPr="00B20D15">
        <w:fldChar w:fldCharType="separate"/>
      </w:r>
      <w:r w:rsidR="0043212E" w:rsidRPr="00B20D15">
        <w:t>7</w:t>
      </w:r>
      <w:r w:rsidR="00BC23F6" w:rsidRPr="00B20D15">
        <w:fldChar w:fldCharType="end"/>
      </w:r>
    </w:p>
    <w:p w:rsidR="008D59CC" w:rsidRPr="00B20D15" w:rsidRDefault="008D59CC">
      <w:pPr>
        <w:pStyle w:val="Innehll2"/>
        <w:shd w:val="clear" w:color="000000" w:fill="auto"/>
        <w:tabs>
          <w:tab w:val="left" w:pos="480"/>
        </w:tabs>
        <w:ind w:left="120"/>
      </w:pPr>
      <w:r w:rsidRPr="00B20D15">
        <w:t>6.7</w:t>
      </w:r>
      <w:r w:rsidRPr="00B20D15">
        <w:tab/>
        <w:t>Kvinnors företagande</w:t>
      </w:r>
      <w:r w:rsidRPr="00B20D15">
        <w:tab/>
      </w:r>
      <w:r w:rsidR="00BC23F6" w:rsidRPr="00B20D15">
        <w:fldChar w:fldCharType="begin" w:fldLock="1"/>
      </w:r>
      <w:r w:rsidRPr="00B20D15">
        <w:instrText xml:space="preserve"> PAGEREF _Toc151083936 \h </w:instrText>
      </w:r>
      <w:r w:rsidR="00BC23F6" w:rsidRPr="00B20D15">
        <w:fldChar w:fldCharType="separate"/>
      </w:r>
      <w:r w:rsidR="0043212E" w:rsidRPr="00B20D15">
        <w:t>7</w:t>
      </w:r>
      <w:r w:rsidR="00BC23F6" w:rsidRPr="00B20D15">
        <w:fldChar w:fldCharType="end"/>
      </w:r>
    </w:p>
    <w:p w:rsidR="008D59CC" w:rsidRPr="00B20D15" w:rsidRDefault="008D59CC">
      <w:pPr>
        <w:pStyle w:val="Innehll2"/>
        <w:shd w:val="clear" w:color="000000" w:fill="auto"/>
        <w:tabs>
          <w:tab w:val="left" w:pos="480"/>
        </w:tabs>
        <w:ind w:left="120"/>
      </w:pPr>
      <w:r w:rsidRPr="00B20D15">
        <w:t>6.8</w:t>
      </w:r>
      <w:r w:rsidRPr="00B20D15">
        <w:tab/>
        <w:t>Satsning på export av miljöteknik</w:t>
      </w:r>
      <w:r w:rsidRPr="00B20D15">
        <w:tab/>
      </w:r>
      <w:r w:rsidR="00BC23F6" w:rsidRPr="00B20D15">
        <w:fldChar w:fldCharType="begin" w:fldLock="1"/>
      </w:r>
      <w:r w:rsidRPr="00B20D15">
        <w:instrText xml:space="preserve"> PAGEREF _Toc151083937 \h </w:instrText>
      </w:r>
      <w:r w:rsidR="00BC23F6" w:rsidRPr="00B20D15">
        <w:fldChar w:fldCharType="separate"/>
      </w:r>
      <w:r w:rsidR="0043212E" w:rsidRPr="00B20D15">
        <w:t>7</w:t>
      </w:r>
      <w:r w:rsidR="00BC23F6" w:rsidRPr="00B20D15">
        <w:fldChar w:fldCharType="end"/>
      </w:r>
    </w:p>
    <w:p w:rsidR="008D59CC" w:rsidRPr="00B20D15" w:rsidRDefault="008D59CC">
      <w:pPr>
        <w:pStyle w:val="Innehll2"/>
        <w:shd w:val="clear" w:color="000000" w:fill="auto"/>
        <w:tabs>
          <w:tab w:val="left" w:pos="480"/>
        </w:tabs>
        <w:ind w:left="120"/>
      </w:pPr>
      <w:r w:rsidRPr="00B20D15">
        <w:t>6.9</w:t>
      </w:r>
      <w:r w:rsidRPr="00B20D15">
        <w:tab/>
        <w:t>Utred miljöteknikföretagens kreditsituation</w:t>
      </w:r>
      <w:r w:rsidRPr="00B20D15">
        <w:tab/>
      </w:r>
      <w:r w:rsidR="00BC23F6" w:rsidRPr="00B20D15">
        <w:fldChar w:fldCharType="begin" w:fldLock="1"/>
      </w:r>
      <w:r w:rsidRPr="00B20D15">
        <w:instrText xml:space="preserve"> PAGEREF _Toc151083938 \h </w:instrText>
      </w:r>
      <w:r w:rsidR="00BC23F6" w:rsidRPr="00B20D15">
        <w:fldChar w:fldCharType="separate"/>
      </w:r>
      <w:r w:rsidR="0043212E" w:rsidRPr="00B20D15">
        <w:t>8</w:t>
      </w:r>
      <w:r w:rsidR="00BC23F6" w:rsidRPr="00B20D15">
        <w:fldChar w:fldCharType="end"/>
      </w:r>
    </w:p>
    <w:p w:rsidR="008D59CC" w:rsidRPr="00B20D15" w:rsidRDefault="008D59CC">
      <w:pPr>
        <w:pStyle w:val="Innehll2"/>
        <w:shd w:val="clear" w:color="000000" w:fill="auto"/>
        <w:tabs>
          <w:tab w:val="left" w:pos="600"/>
        </w:tabs>
        <w:ind w:left="120"/>
      </w:pPr>
      <w:r w:rsidRPr="00B20D15">
        <w:t>6.10</w:t>
      </w:r>
      <w:r w:rsidRPr="00B20D15">
        <w:tab/>
        <w:t>Andra generationen svensk miljöteknik</w:t>
      </w:r>
      <w:r w:rsidRPr="00B20D15">
        <w:tab/>
      </w:r>
      <w:r w:rsidR="00BC23F6" w:rsidRPr="00B20D15">
        <w:fldChar w:fldCharType="begin" w:fldLock="1"/>
      </w:r>
      <w:r w:rsidRPr="00B20D15">
        <w:instrText xml:space="preserve"> PAGEREF _Toc151083939 \h </w:instrText>
      </w:r>
      <w:r w:rsidR="00BC23F6" w:rsidRPr="00B20D15">
        <w:fldChar w:fldCharType="separate"/>
      </w:r>
      <w:r w:rsidR="0043212E" w:rsidRPr="00B20D15">
        <w:t>8</w:t>
      </w:r>
      <w:r w:rsidR="00BC23F6" w:rsidRPr="00B20D15">
        <w:fldChar w:fldCharType="end"/>
      </w:r>
    </w:p>
    <w:p w:rsidR="008D59CC" w:rsidRPr="00B20D15" w:rsidRDefault="008D59CC">
      <w:pPr>
        <w:pStyle w:val="Innehll2"/>
        <w:shd w:val="clear" w:color="000000" w:fill="auto"/>
        <w:tabs>
          <w:tab w:val="left" w:pos="600"/>
        </w:tabs>
        <w:ind w:left="120"/>
      </w:pPr>
      <w:r w:rsidRPr="00B20D15">
        <w:t>6.11</w:t>
      </w:r>
      <w:r w:rsidRPr="00B20D15">
        <w:tab/>
        <w:t>Ja till fortsatt satsning på integrering av IFS och Almi</w:t>
      </w:r>
      <w:r w:rsidRPr="00B20D15">
        <w:tab/>
      </w:r>
      <w:r w:rsidR="00BC23F6" w:rsidRPr="00B20D15">
        <w:fldChar w:fldCharType="begin" w:fldLock="1"/>
      </w:r>
      <w:r w:rsidRPr="00B20D15">
        <w:instrText xml:space="preserve"> PAGEREF _Toc151083940 \h </w:instrText>
      </w:r>
      <w:r w:rsidR="00BC23F6" w:rsidRPr="00B20D15">
        <w:fldChar w:fldCharType="separate"/>
      </w:r>
      <w:r w:rsidR="0043212E" w:rsidRPr="00B20D15">
        <w:t>9</w:t>
      </w:r>
      <w:r w:rsidR="00BC23F6" w:rsidRPr="00B20D15">
        <w:fldChar w:fldCharType="end"/>
      </w:r>
    </w:p>
    <w:p w:rsidR="008D59CC" w:rsidRPr="00B20D15" w:rsidRDefault="008D59CC">
      <w:pPr>
        <w:pStyle w:val="Innehll2"/>
        <w:shd w:val="clear" w:color="000000" w:fill="auto"/>
        <w:tabs>
          <w:tab w:val="left" w:pos="600"/>
        </w:tabs>
        <w:ind w:left="120"/>
      </w:pPr>
      <w:r w:rsidRPr="00B20D15">
        <w:t>6.12</w:t>
      </w:r>
      <w:r w:rsidRPr="00B20D15">
        <w:tab/>
        <w:t>Satsning på ekoturism</w:t>
      </w:r>
      <w:r w:rsidRPr="00B20D15">
        <w:tab/>
      </w:r>
      <w:r w:rsidR="00BC23F6" w:rsidRPr="00B20D15">
        <w:fldChar w:fldCharType="begin" w:fldLock="1"/>
      </w:r>
      <w:r w:rsidRPr="00B20D15">
        <w:instrText xml:space="preserve"> PAGEREF _Toc151083941 \h </w:instrText>
      </w:r>
      <w:r w:rsidR="00BC23F6" w:rsidRPr="00B20D15">
        <w:fldChar w:fldCharType="separate"/>
      </w:r>
      <w:r w:rsidR="0043212E" w:rsidRPr="00B20D15">
        <w:t>9</w:t>
      </w:r>
      <w:r w:rsidR="00BC23F6" w:rsidRPr="00B20D15">
        <w:fldChar w:fldCharType="end"/>
      </w:r>
    </w:p>
    <w:p w:rsidR="008D59CC" w:rsidRPr="00B20D15" w:rsidRDefault="008D59CC">
      <w:pPr>
        <w:pStyle w:val="Innehll2"/>
        <w:shd w:val="clear" w:color="000000" w:fill="auto"/>
        <w:tabs>
          <w:tab w:val="left" w:pos="600"/>
        </w:tabs>
        <w:ind w:left="120"/>
      </w:pPr>
      <w:r w:rsidRPr="00B20D15">
        <w:t>6.13</w:t>
      </w:r>
      <w:r w:rsidRPr="00B20D15">
        <w:tab/>
        <w:t>Satsningar på ett mer aktivt standardiseringsarbete</w:t>
      </w:r>
      <w:r w:rsidRPr="00B20D15">
        <w:tab/>
      </w:r>
      <w:r w:rsidR="00BC23F6" w:rsidRPr="00B20D15">
        <w:fldChar w:fldCharType="begin" w:fldLock="1"/>
      </w:r>
      <w:r w:rsidRPr="00B20D15">
        <w:instrText xml:space="preserve"> PAGEREF _Toc151083942 \h </w:instrText>
      </w:r>
      <w:r w:rsidR="00BC23F6" w:rsidRPr="00B20D15">
        <w:fldChar w:fldCharType="separate"/>
      </w:r>
      <w:r w:rsidR="0043212E" w:rsidRPr="00B20D15">
        <w:t>10</w:t>
      </w:r>
      <w:r w:rsidR="00BC23F6" w:rsidRPr="00B20D15">
        <w:fldChar w:fldCharType="end"/>
      </w:r>
    </w:p>
    <w:p w:rsidR="008D59CC" w:rsidRPr="00B20D15" w:rsidRDefault="008D59CC">
      <w:pPr>
        <w:pStyle w:val="Innehll2"/>
        <w:shd w:val="clear" w:color="000000" w:fill="auto"/>
        <w:tabs>
          <w:tab w:val="left" w:pos="600"/>
        </w:tabs>
        <w:ind w:left="120"/>
      </w:pPr>
      <w:r w:rsidRPr="00B20D15">
        <w:t>6.14</w:t>
      </w:r>
      <w:r w:rsidRPr="00B20D15">
        <w:tab/>
        <w:t>Exportfrämjande</w:t>
      </w:r>
      <w:r w:rsidRPr="00B20D15">
        <w:tab/>
      </w:r>
      <w:r w:rsidR="00BC23F6" w:rsidRPr="00B20D15">
        <w:fldChar w:fldCharType="begin" w:fldLock="1"/>
      </w:r>
      <w:r w:rsidRPr="00B20D15">
        <w:instrText xml:space="preserve"> PAGEREF _Toc151083943 \h </w:instrText>
      </w:r>
      <w:r w:rsidR="00BC23F6" w:rsidRPr="00B20D15">
        <w:fldChar w:fldCharType="separate"/>
      </w:r>
      <w:r w:rsidR="0043212E" w:rsidRPr="00B20D15">
        <w:t>10</w:t>
      </w:r>
      <w:r w:rsidR="00BC23F6" w:rsidRPr="00B20D15">
        <w:fldChar w:fldCharType="end"/>
      </w:r>
    </w:p>
    <w:p w:rsidR="008D59CC" w:rsidRPr="00B20D15" w:rsidRDefault="008D59CC">
      <w:pPr>
        <w:pStyle w:val="Innehll2"/>
        <w:shd w:val="clear" w:color="000000" w:fill="auto"/>
        <w:tabs>
          <w:tab w:val="left" w:pos="600"/>
        </w:tabs>
        <w:ind w:left="120"/>
      </w:pPr>
      <w:r w:rsidRPr="00B20D15">
        <w:t>6.15</w:t>
      </w:r>
      <w:r w:rsidRPr="00B20D15">
        <w:tab/>
        <w:t>Viktiga åtgärder utanför politikområdet</w:t>
      </w:r>
      <w:r w:rsidRPr="00B20D15">
        <w:tab/>
      </w:r>
      <w:r w:rsidR="00BC23F6" w:rsidRPr="00B20D15">
        <w:fldChar w:fldCharType="begin" w:fldLock="1"/>
      </w:r>
      <w:r w:rsidRPr="00B20D15">
        <w:instrText xml:space="preserve"> PAGEREF _Toc151083944 \h </w:instrText>
      </w:r>
      <w:r w:rsidR="00BC23F6" w:rsidRPr="00B20D15">
        <w:fldChar w:fldCharType="separate"/>
      </w:r>
      <w:r w:rsidR="0043212E" w:rsidRPr="00B20D15">
        <w:t>10</w:t>
      </w:r>
      <w:r w:rsidR="00BC23F6" w:rsidRPr="00B20D15">
        <w:fldChar w:fldCharType="end"/>
      </w:r>
    </w:p>
    <w:p w:rsidR="008D59CC" w:rsidRPr="00B20D15" w:rsidRDefault="008D59CC">
      <w:pPr>
        <w:pStyle w:val="Innehll2"/>
        <w:shd w:val="clear" w:color="000000" w:fill="auto"/>
        <w:tabs>
          <w:tab w:val="left" w:pos="600"/>
        </w:tabs>
        <w:ind w:left="120"/>
      </w:pPr>
      <w:r w:rsidRPr="00B20D15">
        <w:t>6.16</w:t>
      </w:r>
      <w:r w:rsidRPr="00B20D15">
        <w:tab/>
        <w:t>Reformering av 3:12-reglerna och vissa andra skattefrågor</w:t>
      </w:r>
      <w:r w:rsidRPr="00B20D15">
        <w:tab/>
      </w:r>
      <w:r w:rsidR="00BC23F6" w:rsidRPr="00B20D15">
        <w:fldChar w:fldCharType="begin" w:fldLock="1"/>
      </w:r>
      <w:r w:rsidRPr="00B20D15">
        <w:instrText xml:space="preserve"> PAGEREF _Toc151083945 \h </w:instrText>
      </w:r>
      <w:r w:rsidR="00BC23F6" w:rsidRPr="00B20D15">
        <w:fldChar w:fldCharType="separate"/>
      </w:r>
      <w:r w:rsidR="0043212E" w:rsidRPr="00B20D15">
        <w:t>10</w:t>
      </w:r>
      <w:r w:rsidR="00BC23F6" w:rsidRPr="00B20D15">
        <w:fldChar w:fldCharType="end"/>
      </w:r>
    </w:p>
    <w:p w:rsidR="008D59CC" w:rsidRPr="00B20D15" w:rsidRDefault="008D59CC">
      <w:pPr>
        <w:pStyle w:val="Innehll2"/>
        <w:shd w:val="clear" w:color="000000" w:fill="auto"/>
        <w:tabs>
          <w:tab w:val="left" w:pos="600"/>
        </w:tabs>
        <w:ind w:left="120"/>
        <w:rPr>
          <w:sz w:val="24"/>
          <w:szCs w:val="24"/>
        </w:rPr>
      </w:pPr>
      <w:r w:rsidRPr="00B20D15">
        <w:t>6.17</w:t>
      </w:r>
      <w:r w:rsidRPr="00B20D15">
        <w:tab/>
        <w:t>Utförsäljning av statliga bolag</w:t>
      </w:r>
      <w:r w:rsidRPr="00B20D15">
        <w:tab/>
      </w:r>
      <w:r w:rsidR="00BC23F6" w:rsidRPr="00B20D15">
        <w:fldChar w:fldCharType="begin" w:fldLock="1"/>
      </w:r>
      <w:r w:rsidRPr="00B20D15">
        <w:instrText xml:space="preserve"> PAGEREF _Toc151083946 \h </w:instrText>
      </w:r>
      <w:r w:rsidR="00BC23F6" w:rsidRPr="00B20D15">
        <w:fldChar w:fldCharType="separate"/>
      </w:r>
      <w:r w:rsidR="0043212E" w:rsidRPr="00B20D15">
        <w:t>11</w:t>
      </w:r>
      <w:r w:rsidR="00BC23F6" w:rsidRPr="00B20D15">
        <w:fldChar w:fldCharType="end"/>
      </w:r>
    </w:p>
    <w:p w:rsidR="00BC23F6" w:rsidRPr="00B20D15" w:rsidRDefault="00BC23F6">
      <w:r w:rsidRPr="00B20D15">
        <w:fldChar w:fldCharType="end"/>
      </w:r>
      <w:bookmarkStart w:id="1" w:name="_Toc151083921"/>
    </w:p>
    <w:p w:rsidR="00F82996" w:rsidRPr="00B20D15" w:rsidRDefault="00F82996">
      <w:pPr>
        <w:pStyle w:val="Hemstlrubrik"/>
        <w:pageBreakBefore/>
        <w:shd w:val="clear" w:color="000000" w:fill="auto"/>
        <w:spacing w:before="0"/>
      </w:pPr>
      <w:r w:rsidRPr="00B20D15">
        <w:t>Förslag till riksdagsbeslut</w:t>
      </w:r>
      <w:bookmarkEnd w:id="1"/>
    </w:p>
    <w:p w:rsidR="00BC23F6" w:rsidRPr="00B20D15" w:rsidRDefault="00BC23F6">
      <w:pPr>
        <w:pStyle w:val="Hemstlatt"/>
        <w:numPr>
          <w:ilvl w:val="0"/>
          <w:numId w:val="1"/>
        </w:numPr>
        <w:shd w:val="clear" w:color="000000" w:fill="auto"/>
      </w:pPr>
      <w:r w:rsidRPr="00B20D15">
        <w:t>Riksdagen tillkännager för regeringen som sin mening vad i motionen anförs om att en översyn bör ske av transportbidraget med syfte att öka incitamentet för energisnåla och miljövänliga transporter och därmed öka miljöstyrningen av stödet.</w:t>
      </w:r>
    </w:p>
    <w:p w:rsidR="00BC23F6" w:rsidRPr="00B20D15" w:rsidRDefault="00BC23F6">
      <w:pPr>
        <w:pStyle w:val="Hemstlatt"/>
        <w:numPr>
          <w:ilvl w:val="0"/>
          <w:numId w:val="1"/>
        </w:numPr>
        <w:shd w:val="clear" w:color="000000" w:fill="auto"/>
      </w:pPr>
      <w:r w:rsidRPr="00B20D15">
        <w:t>Riksdagen tillkännager för regeringen som sin mening vad i motionen anförs om att torv ej ska vara berättigat till elcertifikat.</w:t>
      </w:r>
    </w:p>
    <w:p w:rsidR="00BC23F6" w:rsidRPr="00B20D15" w:rsidRDefault="00BC23F6">
      <w:pPr>
        <w:pStyle w:val="Hemstlatt"/>
        <w:numPr>
          <w:ilvl w:val="0"/>
          <w:numId w:val="1"/>
        </w:numPr>
        <w:shd w:val="clear" w:color="000000" w:fill="auto"/>
      </w:pPr>
      <w:r w:rsidRPr="00B20D15">
        <w:t>Riksdagen tillkännager för regeringen som sin mening vad i motionen anförs om att vattenkraft ej ska vara berättigad till elcertifikat.</w:t>
      </w:r>
    </w:p>
    <w:p w:rsidR="00BC23F6" w:rsidRPr="00B20D15" w:rsidRDefault="00BC23F6">
      <w:pPr>
        <w:pStyle w:val="Hemstlatt"/>
        <w:numPr>
          <w:ilvl w:val="0"/>
          <w:numId w:val="1"/>
        </w:numPr>
        <w:shd w:val="clear" w:color="000000" w:fill="auto"/>
      </w:pPr>
      <w:r w:rsidRPr="00B20D15">
        <w:t>Riksdagen tillkännager för regeringen som sin mening vad i motionen anförs om investeringsgaranti för en fullskalig demonstrationsanläggning för förgasning av biomassa.</w:t>
      </w:r>
    </w:p>
    <w:p w:rsidR="00BC23F6" w:rsidRPr="00B20D15" w:rsidRDefault="00BC23F6">
      <w:pPr>
        <w:pStyle w:val="Hemstlatt"/>
        <w:numPr>
          <w:ilvl w:val="0"/>
          <w:numId w:val="1"/>
        </w:numPr>
        <w:shd w:val="clear" w:color="000000" w:fill="auto"/>
      </w:pPr>
      <w:r w:rsidRPr="00B20D15">
        <w:t>Riksdagen anvisar med ändringar i förhållande till regeringens förslag anslagen under utgiftsområde 24 Näringsliv enligt uppställnng i motionen.</w:t>
      </w:r>
    </w:p>
    <w:tbl>
      <w:tblPr>
        <w:tblW w:w="5982" w:type="dxa"/>
        <w:tblInd w:w="113" w:type="dxa"/>
        <w:tblLayout w:type="fixed"/>
        <w:tblCellMar>
          <w:left w:w="70" w:type="dxa"/>
          <w:right w:w="70" w:type="dxa"/>
        </w:tblCellMar>
        <w:tblLook w:val="0000" w:firstRow="0" w:lastRow="0" w:firstColumn="0" w:lastColumn="0" w:noHBand="0" w:noVBand="0"/>
      </w:tblPr>
      <w:tblGrid>
        <w:gridCol w:w="3524"/>
        <w:gridCol w:w="1113"/>
        <w:gridCol w:w="502"/>
        <w:gridCol w:w="843"/>
      </w:tblGrid>
      <w:tr w:rsidR="002E4C4B" w:rsidRPr="00B20D15">
        <w:trPr>
          <w:trHeight w:val="20"/>
        </w:trPr>
        <w:tc>
          <w:tcPr>
            <w:tcW w:w="3536" w:type="dxa"/>
            <w:tcBorders>
              <w:top w:val="single" w:sz="4" w:space="0" w:color="auto"/>
              <w:bottom w:val="single" w:sz="4" w:space="0" w:color="auto"/>
            </w:tcBorders>
          </w:tcPr>
          <w:p w:rsidR="00BC23F6" w:rsidRPr="00B20D15" w:rsidRDefault="00BC23F6">
            <w:pPr>
              <w:shd w:val="clear" w:color="000000" w:fill="auto"/>
              <w:spacing w:line="240" w:lineRule="exact"/>
              <w:rPr>
                <w:b/>
                <w:sz w:val="16"/>
                <w:szCs w:val="16"/>
              </w:rPr>
            </w:pPr>
            <w:r w:rsidRPr="00B20D15">
              <w:rPr>
                <w:b/>
                <w:sz w:val="16"/>
                <w:szCs w:val="16"/>
              </w:rPr>
              <w:t>Miljoner kronor</w:t>
            </w:r>
          </w:p>
          <w:p w:rsidR="00BC23F6" w:rsidRPr="00B20D15" w:rsidRDefault="00BC23F6">
            <w:pPr>
              <w:shd w:val="clear" w:color="000000" w:fill="auto"/>
              <w:spacing w:line="200" w:lineRule="exact"/>
              <w:rPr>
                <w:b/>
                <w:sz w:val="16"/>
                <w:szCs w:val="16"/>
              </w:rPr>
            </w:pPr>
            <w:r w:rsidRPr="00B20D15">
              <w:rPr>
                <w:b/>
                <w:sz w:val="16"/>
                <w:szCs w:val="16"/>
              </w:rPr>
              <w:t>UO24</w:t>
            </w:r>
          </w:p>
        </w:tc>
        <w:tc>
          <w:tcPr>
            <w:tcW w:w="2464" w:type="dxa"/>
            <w:gridSpan w:val="3"/>
            <w:tcBorders>
              <w:top w:val="single" w:sz="4" w:space="0" w:color="auto"/>
              <w:bottom w:val="single" w:sz="4" w:space="0" w:color="auto"/>
            </w:tcBorders>
            <w:noWrap/>
          </w:tcPr>
          <w:p w:rsidR="00BC23F6" w:rsidRPr="00B20D15" w:rsidRDefault="00BC23F6">
            <w:pPr>
              <w:shd w:val="clear" w:color="000000" w:fill="auto"/>
              <w:spacing w:line="200" w:lineRule="exact"/>
              <w:ind w:right="-79"/>
              <w:rPr>
                <w:b/>
                <w:sz w:val="16"/>
                <w:szCs w:val="16"/>
              </w:rPr>
            </w:pPr>
            <w:r w:rsidRPr="00B20D15">
              <w:rPr>
                <w:b/>
                <w:sz w:val="16"/>
                <w:szCs w:val="16"/>
              </w:rPr>
              <w:t>Anslagsförändring avvikelse från regeringen</w:t>
            </w:r>
          </w:p>
        </w:tc>
      </w:tr>
      <w:tr w:rsidR="002E4C4B" w:rsidRPr="00B20D15">
        <w:tc>
          <w:tcPr>
            <w:tcW w:w="3536" w:type="dxa"/>
            <w:tcBorders>
              <w:top w:val="single" w:sz="4" w:space="0" w:color="auto"/>
            </w:tcBorders>
            <w:vAlign w:val="bottom"/>
          </w:tcPr>
          <w:p w:rsidR="00BC23F6" w:rsidRPr="00B20D15" w:rsidRDefault="00BC23F6">
            <w:pPr>
              <w:shd w:val="clear" w:color="000000" w:fill="auto"/>
              <w:spacing w:before="60" w:line="200" w:lineRule="exact"/>
              <w:rPr>
                <w:b/>
                <w:bCs/>
                <w:sz w:val="16"/>
                <w:szCs w:val="16"/>
              </w:rPr>
            </w:pPr>
            <w:r w:rsidRPr="00B20D15">
              <w:rPr>
                <w:b/>
                <w:bCs/>
                <w:sz w:val="16"/>
                <w:szCs w:val="16"/>
              </w:rPr>
              <w:t>Anslag</w:t>
            </w:r>
          </w:p>
        </w:tc>
        <w:tc>
          <w:tcPr>
            <w:tcW w:w="1116" w:type="dxa"/>
            <w:tcBorders>
              <w:top w:val="single" w:sz="4" w:space="0" w:color="auto"/>
            </w:tcBorders>
            <w:vAlign w:val="bottom"/>
          </w:tcPr>
          <w:p w:rsidR="00BC23F6" w:rsidRPr="00B20D15" w:rsidRDefault="00BC23F6">
            <w:pPr>
              <w:shd w:val="clear" w:color="000000" w:fill="auto"/>
              <w:spacing w:before="60" w:line="200" w:lineRule="exact"/>
              <w:jc w:val="right"/>
              <w:rPr>
                <w:b/>
                <w:bCs/>
                <w:sz w:val="16"/>
                <w:szCs w:val="16"/>
              </w:rPr>
            </w:pPr>
            <w:r w:rsidRPr="00B20D15">
              <w:rPr>
                <w:b/>
                <w:bCs/>
                <w:sz w:val="16"/>
                <w:szCs w:val="16"/>
              </w:rPr>
              <w:t>2007</w:t>
            </w:r>
          </w:p>
        </w:tc>
        <w:tc>
          <w:tcPr>
            <w:tcW w:w="503" w:type="dxa"/>
            <w:tcBorders>
              <w:top w:val="single" w:sz="4" w:space="0" w:color="auto"/>
            </w:tcBorders>
            <w:vAlign w:val="bottom"/>
          </w:tcPr>
          <w:p w:rsidR="00BC23F6" w:rsidRPr="00B20D15" w:rsidRDefault="00BC23F6">
            <w:pPr>
              <w:shd w:val="clear" w:color="000000" w:fill="auto"/>
              <w:spacing w:before="60" w:line="200" w:lineRule="exact"/>
              <w:jc w:val="right"/>
              <w:rPr>
                <w:b/>
                <w:bCs/>
                <w:sz w:val="16"/>
                <w:szCs w:val="16"/>
              </w:rPr>
            </w:pPr>
            <w:r w:rsidRPr="00B20D15">
              <w:rPr>
                <w:b/>
                <w:bCs/>
                <w:sz w:val="16"/>
                <w:szCs w:val="16"/>
              </w:rPr>
              <w:t>2008</w:t>
            </w:r>
          </w:p>
        </w:tc>
        <w:tc>
          <w:tcPr>
            <w:tcW w:w="845" w:type="dxa"/>
            <w:tcBorders>
              <w:top w:val="single" w:sz="4" w:space="0" w:color="auto"/>
            </w:tcBorders>
            <w:vAlign w:val="bottom"/>
          </w:tcPr>
          <w:p w:rsidR="00BC23F6" w:rsidRPr="00B20D15" w:rsidRDefault="00BC23F6">
            <w:pPr>
              <w:shd w:val="clear" w:color="000000" w:fill="auto"/>
              <w:spacing w:before="60" w:line="200" w:lineRule="exact"/>
              <w:jc w:val="right"/>
              <w:rPr>
                <w:b/>
                <w:bCs/>
                <w:sz w:val="16"/>
                <w:szCs w:val="16"/>
              </w:rPr>
            </w:pPr>
            <w:r w:rsidRPr="00B20D15">
              <w:rPr>
                <w:b/>
                <w:bCs/>
                <w:sz w:val="16"/>
                <w:szCs w:val="16"/>
              </w:rPr>
              <w:t>2009</w:t>
            </w:r>
          </w:p>
        </w:tc>
      </w:tr>
      <w:tr w:rsidR="002E4C4B" w:rsidRPr="00B20D15">
        <w:tc>
          <w:tcPr>
            <w:tcW w:w="3536" w:type="dxa"/>
          </w:tcPr>
          <w:p w:rsidR="00BC23F6" w:rsidRPr="00B20D15" w:rsidRDefault="00BC23F6">
            <w:pPr>
              <w:shd w:val="clear" w:color="000000" w:fill="auto"/>
              <w:spacing w:before="60" w:line="200" w:lineRule="exact"/>
              <w:rPr>
                <w:sz w:val="16"/>
                <w:szCs w:val="16"/>
              </w:rPr>
            </w:pPr>
            <w:r w:rsidRPr="00B20D15">
              <w:rPr>
                <w:sz w:val="16"/>
                <w:szCs w:val="16"/>
              </w:rPr>
              <w:t>26:2 Verket för innovationssystem: Forskning och utveckling, ramanslag</w:t>
            </w:r>
          </w:p>
        </w:tc>
        <w:tc>
          <w:tcPr>
            <w:tcW w:w="1116" w:type="dxa"/>
            <w:vAlign w:val="bottom"/>
          </w:tcPr>
          <w:p w:rsidR="00BC23F6" w:rsidRPr="00B20D15" w:rsidRDefault="00BC23F6">
            <w:pPr>
              <w:shd w:val="clear" w:color="000000" w:fill="auto"/>
              <w:spacing w:before="60" w:line="200" w:lineRule="exact"/>
              <w:jc w:val="right"/>
              <w:rPr>
                <w:sz w:val="16"/>
                <w:szCs w:val="16"/>
              </w:rPr>
            </w:pPr>
            <w:r w:rsidRPr="00B20D15">
              <w:rPr>
                <w:sz w:val="16"/>
                <w:szCs w:val="16"/>
              </w:rPr>
              <w:t>200</w:t>
            </w:r>
          </w:p>
        </w:tc>
        <w:tc>
          <w:tcPr>
            <w:tcW w:w="503" w:type="dxa"/>
            <w:vAlign w:val="bottom"/>
          </w:tcPr>
          <w:p w:rsidR="00BC23F6" w:rsidRPr="00B20D15" w:rsidRDefault="00BC23F6">
            <w:pPr>
              <w:shd w:val="clear" w:color="000000" w:fill="auto"/>
              <w:spacing w:before="60" w:line="200" w:lineRule="exact"/>
              <w:jc w:val="right"/>
              <w:rPr>
                <w:sz w:val="16"/>
                <w:szCs w:val="16"/>
              </w:rPr>
            </w:pPr>
            <w:r w:rsidRPr="00B20D15">
              <w:rPr>
                <w:sz w:val="16"/>
                <w:szCs w:val="16"/>
              </w:rPr>
              <w:t>200</w:t>
            </w:r>
          </w:p>
        </w:tc>
        <w:tc>
          <w:tcPr>
            <w:tcW w:w="845" w:type="dxa"/>
            <w:vAlign w:val="bottom"/>
          </w:tcPr>
          <w:p w:rsidR="00BC23F6" w:rsidRPr="00B20D15" w:rsidRDefault="00BC23F6">
            <w:pPr>
              <w:shd w:val="clear" w:color="000000" w:fill="auto"/>
              <w:spacing w:before="60" w:line="200" w:lineRule="exact"/>
              <w:jc w:val="right"/>
              <w:rPr>
                <w:sz w:val="16"/>
                <w:szCs w:val="16"/>
              </w:rPr>
            </w:pPr>
            <w:r w:rsidRPr="00B20D15">
              <w:rPr>
                <w:sz w:val="16"/>
                <w:szCs w:val="16"/>
              </w:rPr>
              <w:t>200</w:t>
            </w:r>
          </w:p>
        </w:tc>
      </w:tr>
      <w:tr w:rsidR="002E4C4B" w:rsidRPr="00B20D15">
        <w:tc>
          <w:tcPr>
            <w:tcW w:w="3536" w:type="dxa"/>
            <w:vAlign w:val="bottom"/>
          </w:tcPr>
          <w:p w:rsidR="00BC23F6" w:rsidRPr="00B20D15" w:rsidRDefault="00BC23F6">
            <w:pPr>
              <w:shd w:val="clear" w:color="000000" w:fill="auto"/>
              <w:spacing w:before="60" w:line="200" w:lineRule="exact"/>
              <w:rPr>
                <w:sz w:val="16"/>
                <w:szCs w:val="16"/>
              </w:rPr>
            </w:pPr>
            <w:r w:rsidRPr="00B20D15">
              <w:rPr>
                <w:sz w:val="16"/>
                <w:szCs w:val="16"/>
              </w:rPr>
              <w:t>38:1 Verket för näringslivsutveckling, ramanslag</w:t>
            </w:r>
          </w:p>
        </w:tc>
        <w:tc>
          <w:tcPr>
            <w:tcW w:w="1116" w:type="dxa"/>
            <w:vAlign w:val="bottom"/>
          </w:tcPr>
          <w:p w:rsidR="00BC23F6" w:rsidRPr="00B20D15" w:rsidRDefault="00BC23F6">
            <w:pPr>
              <w:shd w:val="clear" w:color="000000" w:fill="auto"/>
              <w:spacing w:before="60" w:line="200" w:lineRule="exact"/>
              <w:jc w:val="right"/>
              <w:rPr>
                <w:sz w:val="16"/>
                <w:szCs w:val="16"/>
              </w:rPr>
            </w:pPr>
            <w:r w:rsidRPr="00B20D15">
              <w:rPr>
                <w:sz w:val="16"/>
                <w:szCs w:val="16"/>
              </w:rPr>
              <w:t>5</w:t>
            </w:r>
          </w:p>
        </w:tc>
        <w:tc>
          <w:tcPr>
            <w:tcW w:w="503" w:type="dxa"/>
            <w:vAlign w:val="bottom"/>
          </w:tcPr>
          <w:p w:rsidR="00BC23F6" w:rsidRPr="00B20D15" w:rsidRDefault="00BC23F6">
            <w:pPr>
              <w:shd w:val="clear" w:color="000000" w:fill="auto"/>
              <w:spacing w:before="60" w:line="200" w:lineRule="exact"/>
              <w:jc w:val="right"/>
              <w:rPr>
                <w:sz w:val="16"/>
                <w:szCs w:val="16"/>
              </w:rPr>
            </w:pPr>
            <w:r w:rsidRPr="00B20D15">
              <w:rPr>
                <w:sz w:val="16"/>
                <w:szCs w:val="16"/>
              </w:rPr>
              <w:t>5</w:t>
            </w:r>
          </w:p>
        </w:tc>
        <w:tc>
          <w:tcPr>
            <w:tcW w:w="845" w:type="dxa"/>
            <w:vAlign w:val="bottom"/>
          </w:tcPr>
          <w:p w:rsidR="00BC23F6" w:rsidRPr="00B20D15" w:rsidRDefault="00BC23F6">
            <w:pPr>
              <w:shd w:val="clear" w:color="000000" w:fill="auto"/>
              <w:spacing w:before="60" w:line="200" w:lineRule="exact"/>
              <w:jc w:val="right"/>
              <w:rPr>
                <w:sz w:val="16"/>
                <w:szCs w:val="16"/>
              </w:rPr>
            </w:pPr>
            <w:r w:rsidRPr="00B20D15">
              <w:rPr>
                <w:sz w:val="16"/>
                <w:szCs w:val="16"/>
              </w:rPr>
              <w:t>5</w:t>
            </w:r>
          </w:p>
        </w:tc>
      </w:tr>
      <w:tr w:rsidR="002E4C4B" w:rsidRPr="00B20D15">
        <w:tc>
          <w:tcPr>
            <w:tcW w:w="3536" w:type="dxa"/>
            <w:vAlign w:val="bottom"/>
          </w:tcPr>
          <w:p w:rsidR="00BC23F6" w:rsidRPr="00B20D15" w:rsidRDefault="00BC23F6">
            <w:pPr>
              <w:shd w:val="clear" w:color="000000" w:fill="auto"/>
              <w:spacing w:before="60" w:line="200" w:lineRule="exact"/>
              <w:rPr>
                <w:sz w:val="16"/>
                <w:szCs w:val="16"/>
              </w:rPr>
            </w:pPr>
            <w:r w:rsidRPr="00B20D15">
              <w:rPr>
                <w:sz w:val="16"/>
                <w:szCs w:val="16"/>
              </w:rPr>
              <w:t>38:2 Näringslivsutveckling m.m. ramanslag</w:t>
            </w:r>
          </w:p>
        </w:tc>
        <w:tc>
          <w:tcPr>
            <w:tcW w:w="1116" w:type="dxa"/>
            <w:vAlign w:val="bottom"/>
          </w:tcPr>
          <w:p w:rsidR="00BC23F6" w:rsidRPr="00B20D15" w:rsidRDefault="00BC23F6">
            <w:pPr>
              <w:shd w:val="clear" w:color="000000" w:fill="auto"/>
              <w:spacing w:before="60" w:line="200" w:lineRule="exact"/>
              <w:jc w:val="right"/>
              <w:rPr>
                <w:sz w:val="16"/>
                <w:szCs w:val="16"/>
              </w:rPr>
            </w:pPr>
            <w:r w:rsidRPr="00B20D15">
              <w:rPr>
                <w:sz w:val="16"/>
                <w:szCs w:val="16"/>
              </w:rPr>
              <w:t>185</w:t>
            </w:r>
          </w:p>
        </w:tc>
        <w:tc>
          <w:tcPr>
            <w:tcW w:w="503" w:type="dxa"/>
            <w:vAlign w:val="bottom"/>
          </w:tcPr>
          <w:p w:rsidR="00BC23F6" w:rsidRPr="00B20D15" w:rsidRDefault="00BC23F6">
            <w:pPr>
              <w:shd w:val="clear" w:color="000000" w:fill="auto"/>
              <w:spacing w:before="60" w:line="200" w:lineRule="exact"/>
              <w:jc w:val="right"/>
              <w:rPr>
                <w:sz w:val="16"/>
                <w:szCs w:val="16"/>
              </w:rPr>
            </w:pPr>
            <w:r w:rsidRPr="00B20D15">
              <w:rPr>
                <w:sz w:val="16"/>
                <w:szCs w:val="16"/>
              </w:rPr>
              <w:t>185</w:t>
            </w:r>
          </w:p>
        </w:tc>
        <w:tc>
          <w:tcPr>
            <w:tcW w:w="845" w:type="dxa"/>
            <w:vAlign w:val="bottom"/>
          </w:tcPr>
          <w:p w:rsidR="00BC23F6" w:rsidRPr="00B20D15" w:rsidRDefault="00BC23F6">
            <w:pPr>
              <w:shd w:val="clear" w:color="000000" w:fill="auto"/>
              <w:spacing w:before="60" w:line="200" w:lineRule="exact"/>
              <w:jc w:val="right"/>
              <w:rPr>
                <w:sz w:val="16"/>
                <w:szCs w:val="16"/>
              </w:rPr>
            </w:pPr>
            <w:r w:rsidRPr="00B20D15">
              <w:rPr>
                <w:sz w:val="16"/>
                <w:szCs w:val="16"/>
              </w:rPr>
              <w:t>185</w:t>
            </w:r>
          </w:p>
        </w:tc>
      </w:tr>
      <w:tr w:rsidR="002E4C4B" w:rsidRPr="00B20D15">
        <w:tc>
          <w:tcPr>
            <w:tcW w:w="3536" w:type="dxa"/>
            <w:vAlign w:val="bottom"/>
          </w:tcPr>
          <w:p w:rsidR="00BC23F6" w:rsidRPr="00B20D15" w:rsidRDefault="00BC23F6">
            <w:pPr>
              <w:shd w:val="clear" w:color="000000" w:fill="auto"/>
              <w:spacing w:before="60" w:line="200" w:lineRule="exact"/>
              <w:rPr>
                <w:sz w:val="16"/>
                <w:szCs w:val="16"/>
              </w:rPr>
            </w:pPr>
            <w:r w:rsidRPr="00B20D15">
              <w:rPr>
                <w:sz w:val="16"/>
                <w:szCs w:val="16"/>
              </w:rPr>
              <w:t>38:4 Turistfrämjande</w:t>
            </w:r>
          </w:p>
        </w:tc>
        <w:tc>
          <w:tcPr>
            <w:tcW w:w="1116" w:type="dxa"/>
            <w:vAlign w:val="bottom"/>
          </w:tcPr>
          <w:p w:rsidR="00BC23F6" w:rsidRPr="00B20D15" w:rsidRDefault="00BC23F6">
            <w:pPr>
              <w:shd w:val="clear" w:color="000000" w:fill="auto"/>
              <w:spacing w:before="60" w:line="200" w:lineRule="exact"/>
              <w:jc w:val="right"/>
              <w:rPr>
                <w:sz w:val="16"/>
                <w:szCs w:val="16"/>
              </w:rPr>
            </w:pPr>
            <w:r w:rsidRPr="00B20D15">
              <w:rPr>
                <w:sz w:val="16"/>
                <w:szCs w:val="16"/>
              </w:rPr>
              <w:t>5</w:t>
            </w:r>
          </w:p>
        </w:tc>
        <w:tc>
          <w:tcPr>
            <w:tcW w:w="503" w:type="dxa"/>
            <w:vAlign w:val="bottom"/>
          </w:tcPr>
          <w:p w:rsidR="00BC23F6" w:rsidRPr="00B20D15" w:rsidRDefault="00BC23F6">
            <w:pPr>
              <w:shd w:val="clear" w:color="000000" w:fill="auto"/>
              <w:spacing w:before="60" w:line="200" w:lineRule="exact"/>
              <w:jc w:val="right"/>
              <w:rPr>
                <w:sz w:val="16"/>
                <w:szCs w:val="16"/>
              </w:rPr>
            </w:pPr>
            <w:r w:rsidRPr="00B20D15">
              <w:rPr>
                <w:sz w:val="16"/>
                <w:szCs w:val="16"/>
              </w:rPr>
              <w:t>5</w:t>
            </w:r>
          </w:p>
        </w:tc>
        <w:tc>
          <w:tcPr>
            <w:tcW w:w="845" w:type="dxa"/>
            <w:vAlign w:val="bottom"/>
          </w:tcPr>
          <w:p w:rsidR="00BC23F6" w:rsidRPr="00B20D15" w:rsidRDefault="00BC23F6">
            <w:pPr>
              <w:shd w:val="clear" w:color="000000" w:fill="auto"/>
              <w:spacing w:before="60" w:line="200" w:lineRule="exact"/>
              <w:jc w:val="right"/>
              <w:rPr>
                <w:sz w:val="16"/>
                <w:szCs w:val="16"/>
              </w:rPr>
            </w:pPr>
            <w:r w:rsidRPr="00B20D15">
              <w:rPr>
                <w:sz w:val="16"/>
                <w:szCs w:val="16"/>
              </w:rPr>
              <w:t>5</w:t>
            </w:r>
          </w:p>
        </w:tc>
      </w:tr>
      <w:tr w:rsidR="002E4C4B" w:rsidRPr="00B20D15">
        <w:tc>
          <w:tcPr>
            <w:tcW w:w="3536" w:type="dxa"/>
            <w:tcBorders>
              <w:bottom w:val="single" w:sz="4" w:space="0" w:color="auto"/>
            </w:tcBorders>
            <w:vAlign w:val="bottom"/>
          </w:tcPr>
          <w:p w:rsidR="00BC23F6" w:rsidRPr="00B20D15" w:rsidRDefault="00BC23F6">
            <w:pPr>
              <w:shd w:val="clear" w:color="000000" w:fill="auto"/>
              <w:spacing w:before="60" w:line="200" w:lineRule="exact"/>
              <w:rPr>
                <w:sz w:val="16"/>
                <w:szCs w:val="16"/>
              </w:rPr>
            </w:pPr>
            <w:r w:rsidRPr="00B20D15">
              <w:rPr>
                <w:sz w:val="16"/>
                <w:szCs w:val="16"/>
              </w:rPr>
              <w:t>39:6 Bidrag till standardisering</w:t>
            </w:r>
          </w:p>
        </w:tc>
        <w:tc>
          <w:tcPr>
            <w:tcW w:w="1116" w:type="dxa"/>
            <w:tcBorders>
              <w:bottom w:val="single" w:sz="4" w:space="0" w:color="auto"/>
            </w:tcBorders>
            <w:vAlign w:val="bottom"/>
          </w:tcPr>
          <w:p w:rsidR="00BC23F6" w:rsidRPr="00B20D15" w:rsidRDefault="00BC23F6">
            <w:pPr>
              <w:shd w:val="clear" w:color="000000" w:fill="auto"/>
              <w:spacing w:before="60" w:line="200" w:lineRule="exact"/>
              <w:jc w:val="right"/>
              <w:rPr>
                <w:sz w:val="16"/>
                <w:szCs w:val="16"/>
              </w:rPr>
            </w:pPr>
            <w:r w:rsidRPr="00B20D15">
              <w:rPr>
                <w:sz w:val="16"/>
                <w:szCs w:val="16"/>
              </w:rPr>
              <w:t>5</w:t>
            </w:r>
          </w:p>
        </w:tc>
        <w:tc>
          <w:tcPr>
            <w:tcW w:w="503" w:type="dxa"/>
            <w:tcBorders>
              <w:bottom w:val="single" w:sz="4" w:space="0" w:color="auto"/>
            </w:tcBorders>
            <w:vAlign w:val="bottom"/>
          </w:tcPr>
          <w:p w:rsidR="00BC23F6" w:rsidRPr="00B20D15" w:rsidRDefault="00BC23F6">
            <w:pPr>
              <w:shd w:val="clear" w:color="000000" w:fill="auto"/>
              <w:spacing w:before="60" w:line="200" w:lineRule="exact"/>
              <w:jc w:val="right"/>
              <w:rPr>
                <w:sz w:val="16"/>
                <w:szCs w:val="16"/>
              </w:rPr>
            </w:pPr>
            <w:r w:rsidRPr="00B20D15">
              <w:rPr>
                <w:sz w:val="16"/>
                <w:szCs w:val="16"/>
              </w:rPr>
              <w:t>5</w:t>
            </w:r>
          </w:p>
        </w:tc>
        <w:tc>
          <w:tcPr>
            <w:tcW w:w="845" w:type="dxa"/>
            <w:tcBorders>
              <w:bottom w:val="single" w:sz="4" w:space="0" w:color="auto"/>
            </w:tcBorders>
            <w:vAlign w:val="bottom"/>
          </w:tcPr>
          <w:p w:rsidR="00BC23F6" w:rsidRPr="00B20D15" w:rsidRDefault="00BC23F6">
            <w:pPr>
              <w:shd w:val="clear" w:color="000000" w:fill="auto"/>
              <w:spacing w:before="60" w:line="200" w:lineRule="exact"/>
              <w:jc w:val="right"/>
              <w:rPr>
                <w:sz w:val="16"/>
                <w:szCs w:val="16"/>
              </w:rPr>
            </w:pPr>
            <w:r w:rsidRPr="00B20D15">
              <w:rPr>
                <w:sz w:val="16"/>
                <w:szCs w:val="16"/>
              </w:rPr>
              <w:t>5</w:t>
            </w:r>
          </w:p>
        </w:tc>
      </w:tr>
    </w:tbl>
    <w:p w:rsidR="00BC23F6" w:rsidRPr="00B20D15" w:rsidRDefault="00BC23F6">
      <w:pPr>
        <w:pStyle w:val="Hemstlatt"/>
        <w:numPr>
          <w:ilvl w:val="0"/>
          <w:numId w:val="1"/>
        </w:numPr>
        <w:shd w:val="clear" w:color="000000" w:fill="auto"/>
      </w:pPr>
      <w:r w:rsidRPr="00B20D15">
        <w:t>Riksdagen tillkännager för regeringen som sin mening vad i motionen anförs om att ett nytt regelverk kring konsekvensanalyser av nya regler som påverkar små och medelstora företag införs omgående.</w:t>
      </w:r>
    </w:p>
    <w:p w:rsidR="00BC23F6" w:rsidRPr="00B20D15" w:rsidRDefault="00BC23F6">
      <w:pPr>
        <w:pStyle w:val="Hemstlatt"/>
        <w:numPr>
          <w:ilvl w:val="0"/>
          <w:numId w:val="1"/>
        </w:numPr>
        <w:shd w:val="clear" w:color="000000" w:fill="auto"/>
      </w:pPr>
      <w:r w:rsidRPr="00B20D15">
        <w:t>Riksdagen tillkännager för regeringen som sin mening vad i motionen anförs om att Almis ägardirektiv tydliggörs så att Almis mål och vilka mått som används för att mäta effektivitet i dess verksamhet tydligt definieras.</w:t>
      </w:r>
    </w:p>
    <w:p w:rsidR="00BC23F6" w:rsidRPr="00B20D15" w:rsidRDefault="00BC23F6">
      <w:pPr>
        <w:pStyle w:val="Hemstlatt"/>
        <w:numPr>
          <w:ilvl w:val="0"/>
          <w:numId w:val="1"/>
        </w:numPr>
        <w:shd w:val="clear" w:color="000000" w:fill="auto"/>
      </w:pPr>
      <w:r w:rsidRPr="00B20D15">
        <w:t>Riksdagen tillkännager för regeringen som sin mening vad i motionen anförs om att Nutek ges i uppdrag att studera om de svenska miljöteknikföretagen är i behov av statliga garantier för att underlätta finansieringen av miljöteknikföretagens utveckling.</w:t>
      </w:r>
    </w:p>
    <w:p w:rsidR="00BC23F6" w:rsidRPr="00B20D15" w:rsidRDefault="00BC23F6">
      <w:pPr>
        <w:pStyle w:val="Hemstlatt"/>
        <w:numPr>
          <w:ilvl w:val="0"/>
          <w:numId w:val="1"/>
        </w:numPr>
        <w:shd w:val="clear" w:color="000000" w:fill="auto"/>
      </w:pPr>
      <w:r w:rsidRPr="00B20D15">
        <w:t>Riksdagen tillkännager för regeringen som sin mening vad i motionen anförs om att en större andel av Klimpmedlen bör användas för mer framtidsinriktade satsningar på ny teknik, i samverkan mellan Naturvårdsverket och Swentec enligt vad som beskrivits i motionen.</w:t>
      </w:r>
      <w:r w:rsidRPr="00B20D15">
        <w:rPr>
          <w:vertAlign w:val="superscript"/>
        </w:rPr>
        <w:t>1</w:t>
      </w:r>
    </w:p>
    <w:p w:rsidR="00BC23F6" w:rsidRPr="00B20D15" w:rsidRDefault="00BC23F6">
      <w:pPr>
        <w:pStyle w:val="Hemstlatt"/>
        <w:numPr>
          <w:ilvl w:val="0"/>
          <w:numId w:val="1"/>
        </w:numPr>
        <w:shd w:val="clear" w:color="000000" w:fill="auto"/>
      </w:pPr>
      <w:r w:rsidRPr="00B20D15">
        <w:t>Riksdagen tillkännager för regeringen som sin mening vad i motionen anförs om möjligheterna till utförsäljning av statliga bolag.</w:t>
      </w:r>
    </w:p>
    <w:p w:rsidR="00BC23F6" w:rsidRPr="00B20D15" w:rsidRDefault="00BC23F6">
      <w:pPr>
        <w:shd w:val="clear" w:color="000000" w:fill="auto"/>
      </w:pPr>
    </w:p>
    <w:p w:rsidR="00BC23F6" w:rsidRPr="00B20D15" w:rsidRDefault="00BC23F6">
      <w:pPr>
        <w:shd w:val="clear" w:color="000000" w:fill="auto"/>
      </w:pPr>
      <w:r w:rsidRPr="00B20D15">
        <w:rPr>
          <w:vertAlign w:val="superscript"/>
        </w:rPr>
        <w:t>1</w:t>
      </w:r>
      <w:r w:rsidRPr="00B20D15">
        <w:t xml:space="preserve"> Yrkande 9 hänvisat till MJU.</w:t>
      </w:r>
    </w:p>
    <w:p w:rsidR="00945393" w:rsidRPr="00B20D15" w:rsidRDefault="00945393">
      <w:pPr>
        <w:pStyle w:val="Rubrik1"/>
        <w:pageBreakBefore/>
        <w:shd w:val="clear" w:color="000000" w:fill="auto"/>
        <w:spacing w:before="0"/>
      </w:pPr>
      <w:bookmarkStart w:id="2" w:name="_Toc151083922"/>
      <w:r w:rsidRPr="00B20D15">
        <w:t>Utgiftsområde 19 – Regionalpolitik</w:t>
      </w:r>
      <w:bookmarkEnd w:id="2"/>
    </w:p>
    <w:p w:rsidR="00473E22" w:rsidRPr="00B20D15" w:rsidRDefault="00642766">
      <w:pPr>
        <w:pStyle w:val="Rubrik2"/>
        <w:shd w:val="clear" w:color="000000" w:fill="auto"/>
        <w:spacing w:before="120"/>
      </w:pPr>
      <w:bookmarkStart w:id="3" w:name="_Toc151083923"/>
      <w:r w:rsidRPr="00B20D15">
        <w:t>Regionalt förhöjt grundavdrag</w:t>
      </w:r>
      <w:bookmarkEnd w:id="3"/>
    </w:p>
    <w:p w:rsidR="00473E22" w:rsidRPr="00B20D15" w:rsidRDefault="00D7608F">
      <w:pPr>
        <w:pStyle w:val="Normaltindrag"/>
        <w:shd w:val="clear" w:color="000000" w:fill="auto"/>
        <w:ind w:firstLine="0"/>
      </w:pPr>
      <w:r w:rsidRPr="00B20D15">
        <w:t xml:space="preserve">Som en del i den gröna skatteväxlingen införde </w:t>
      </w:r>
      <w:r w:rsidR="0039407C" w:rsidRPr="00B20D15">
        <w:t xml:space="preserve">Miljöpartiet </w:t>
      </w:r>
      <w:r w:rsidRPr="00B20D15">
        <w:t xml:space="preserve">tillsammans med den förra regeringen ett </w:t>
      </w:r>
      <w:r w:rsidR="001C6605" w:rsidRPr="00B20D15">
        <w:t>regionalt</w:t>
      </w:r>
      <w:r w:rsidR="00642766" w:rsidRPr="00B20D15">
        <w:t xml:space="preserve"> förhöjt grundavdrag</w:t>
      </w:r>
      <w:r w:rsidRPr="00B20D15">
        <w:t xml:space="preserve">. Syftet med avdraget var att kompensera för högre uppvärmnings- och transportkostnader. </w:t>
      </w:r>
      <w:r w:rsidR="00642766" w:rsidRPr="00B20D15">
        <w:t>Det regionala förhöjda grundavdraget</w:t>
      </w:r>
      <w:r w:rsidRPr="00B20D15">
        <w:t xml:space="preserve"> var en del av den gröna skatteväxlingen där skatten ökade på energi</w:t>
      </w:r>
      <w:r w:rsidR="0039407C" w:rsidRPr="00B20D15">
        <w:t xml:space="preserve"> och</w:t>
      </w:r>
      <w:r w:rsidRPr="00B20D15">
        <w:t xml:space="preserve"> växlades mot ett högre grundavdrag för att på det sättet öka miljöstyrningen i skattesystemet. Regeringen väljer nu att ta bort </w:t>
      </w:r>
      <w:r w:rsidR="00642766" w:rsidRPr="00B20D15">
        <w:t>detta avdrag</w:t>
      </w:r>
      <w:r w:rsidRPr="00B20D15">
        <w:t xml:space="preserve"> men inte att kompensera detta genom sänkta miljö</w:t>
      </w:r>
      <w:r w:rsidR="001C6605" w:rsidRPr="00B20D15">
        <w:softHyphen/>
      </w:r>
      <w:r w:rsidRPr="00B20D15">
        <w:t>skatter. Vi välkomnar givetvis att regeringen behåller miljöskatterna. Men ur en regi</w:t>
      </w:r>
      <w:r w:rsidRPr="00B20D15">
        <w:t>o</w:t>
      </w:r>
      <w:r w:rsidRPr="00B20D15">
        <w:t>nalpolitisk synvinkel är detta en mycket olycklig politik</w:t>
      </w:r>
      <w:r w:rsidR="0039407C" w:rsidRPr="00B20D15">
        <w:t>,</w:t>
      </w:r>
      <w:r w:rsidRPr="00B20D15">
        <w:t xml:space="preserve"> och Miljöpartiet menar därför att </w:t>
      </w:r>
      <w:r w:rsidR="00642766" w:rsidRPr="00B20D15">
        <w:t xml:space="preserve">avdraget </w:t>
      </w:r>
      <w:r w:rsidRPr="00B20D15">
        <w:t xml:space="preserve">ska vara kvar och avsätter för detta 300 miljoner </w:t>
      </w:r>
      <w:r w:rsidR="00642766" w:rsidRPr="00B20D15">
        <w:t xml:space="preserve">kronor </w:t>
      </w:r>
      <w:r w:rsidRPr="00B20D15">
        <w:t>i ökat skattebortfall jämfört med regeringen.</w:t>
      </w:r>
    </w:p>
    <w:p w:rsidR="00D7608F" w:rsidRPr="00B20D15" w:rsidRDefault="00D7608F">
      <w:pPr>
        <w:pStyle w:val="Rubrik2"/>
        <w:shd w:val="clear" w:color="000000" w:fill="auto"/>
      </w:pPr>
      <w:bookmarkStart w:id="4" w:name="_Toc151083924"/>
      <w:r w:rsidRPr="00B20D15">
        <w:t>Översyn av transportbidraget</w:t>
      </w:r>
      <w:bookmarkEnd w:id="4"/>
    </w:p>
    <w:p w:rsidR="00D7608F" w:rsidRPr="00B20D15" w:rsidRDefault="00D7608F">
      <w:pPr>
        <w:pStyle w:val="Normaltindrag"/>
        <w:shd w:val="clear" w:color="000000" w:fill="auto"/>
        <w:ind w:firstLine="0"/>
      </w:pPr>
      <w:r w:rsidRPr="00B20D15">
        <w:t>Transportbidraget är viktigt ur ett regionalpolitiskt perspektiv. Graden av miljöstyrning av transportbidraget är dock obefintligt. För att öka incitamentet för energisnåla och miljövänliga transporter vill Miljöpartiet tillsätta en u</w:t>
      </w:r>
      <w:r w:rsidRPr="00B20D15">
        <w:t>t</w:t>
      </w:r>
      <w:r w:rsidRPr="00B20D15">
        <w:t>redning med syfte att se över hur graden av miljöstyrning i transportbidraget kan öka.</w:t>
      </w:r>
    </w:p>
    <w:p w:rsidR="000D56FE" w:rsidRPr="00B20D15" w:rsidRDefault="0039407C">
      <w:pPr>
        <w:pStyle w:val="Rubrik1"/>
        <w:shd w:val="clear" w:color="000000" w:fill="auto"/>
      </w:pPr>
      <w:bookmarkStart w:id="5" w:name="_Toc151083925"/>
      <w:r w:rsidRPr="00B20D15">
        <w:t>Utgiftsområde 21 –</w:t>
      </w:r>
      <w:r w:rsidR="000D56FE" w:rsidRPr="00B20D15">
        <w:t xml:space="preserve"> Energi</w:t>
      </w:r>
      <w:bookmarkEnd w:id="5"/>
    </w:p>
    <w:p w:rsidR="000D56FE" w:rsidRPr="00B20D15" w:rsidRDefault="00035516">
      <w:pPr>
        <w:pStyle w:val="Rubrik2"/>
        <w:shd w:val="clear" w:color="000000" w:fill="auto"/>
        <w:spacing w:before="120"/>
      </w:pPr>
      <w:bookmarkStart w:id="6" w:name="_Toc151083926"/>
      <w:r w:rsidRPr="00B20D15">
        <w:t>E</w:t>
      </w:r>
      <w:r w:rsidR="000D56FE" w:rsidRPr="00B20D15">
        <w:t>lcertifikat</w:t>
      </w:r>
      <w:bookmarkEnd w:id="6"/>
    </w:p>
    <w:p w:rsidR="000D56FE" w:rsidRPr="00B20D15" w:rsidRDefault="000D56FE">
      <w:pPr>
        <w:shd w:val="clear" w:color="000000" w:fill="auto"/>
      </w:pPr>
      <w:r w:rsidRPr="00B20D15">
        <w:t>En förutsättning för att certifiktatsystemet ska ha legitimitet är att det verkl</w:t>
      </w:r>
      <w:r w:rsidRPr="00B20D15">
        <w:t>i</w:t>
      </w:r>
      <w:r w:rsidRPr="00B20D15">
        <w:t>gen gynnar miljöbättre teknik. Därför måste torv bort ur systemet. Torv är i utsläppsrapporteringen jämställt med fossila bränslen och avger mer koldio</w:t>
      </w:r>
      <w:r w:rsidRPr="00B20D15">
        <w:t>x</w:t>
      </w:r>
      <w:r w:rsidRPr="00B20D15">
        <w:t>id per energienhet än kol och olja.</w:t>
      </w:r>
    </w:p>
    <w:p w:rsidR="000D56FE" w:rsidRPr="00B20D15" w:rsidRDefault="000D56FE">
      <w:pPr>
        <w:pStyle w:val="Normaltindrag"/>
        <w:shd w:val="clear" w:color="000000" w:fill="auto"/>
      </w:pPr>
      <w:r w:rsidRPr="00B20D15">
        <w:t>Det finns heller inget försvar för att ha någon vattenkraft med i systemet. Befintlig vattenkraft behöver inget stöd, och ny småskalig vattenkraft ger orimligt stor natur</w:t>
      </w:r>
      <w:r w:rsidR="001C6605" w:rsidRPr="00B20D15">
        <w:softHyphen/>
      </w:r>
      <w:r w:rsidRPr="00B20D15">
        <w:t>förstörelse i förhållande till den energi som tillförs. Effekt</w:t>
      </w:r>
      <w:r w:rsidRPr="00B20D15">
        <w:t>i</w:t>
      </w:r>
      <w:r w:rsidRPr="00B20D15">
        <w:t>visering av befintlig vattenkraft genom utbyte av generatorer sker rutinmä</w:t>
      </w:r>
      <w:r w:rsidRPr="00B20D15">
        <w:t>s</w:t>
      </w:r>
      <w:r w:rsidRPr="00B20D15">
        <w:t>sigt och behöver inget särskilt stöd.</w:t>
      </w:r>
    </w:p>
    <w:p w:rsidR="000D56FE" w:rsidRPr="00B20D15" w:rsidRDefault="000D56FE">
      <w:pPr>
        <w:pStyle w:val="Rubrik2"/>
        <w:shd w:val="clear" w:color="000000" w:fill="auto"/>
      </w:pPr>
      <w:bookmarkStart w:id="7" w:name="_Toc151083927"/>
      <w:r w:rsidRPr="00B20D15">
        <w:t>Solvärme i fjärrvärmesystem</w:t>
      </w:r>
      <w:bookmarkEnd w:id="7"/>
    </w:p>
    <w:p w:rsidR="000D56FE" w:rsidRPr="00B20D15" w:rsidRDefault="000D56FE">
      <w:pPr>
        <w:shd w:val="clear" w:color="000000" w:fill="auto"/>
      </w:pPr>
      <w:r w:rsidRPr="00B20D15">
        <w:t>Solvärme har en stor potential i världen och Sverige. I världen dominerar Kina totalt både som producent och användare. Sverige har varit världsleda</w:t>
      </w:r>
      <w:r w:rsidRPr="00B20D15">
        <w:t>n</w:t>
      </w:r>
      <w:r w:rsidRPr="00B20D15">
        <w:t>de i storskaliga system, men stöd för storskalig solvärme upphörde år 2000. Detta bör snarast återinföras. Solvär</w:t>
      </w:r>
      <w:r w:rsidR="008D59CC" w:rsidRPr="00B20D15">
        <w:t>me i fjärrvärmen kan stå för 10–</w:t>
      </w:r>
      <w:r w:rsidRPr="00B20D15">
        <w:t>15 pr</w:t>
      </w:r>
      <w:r w:rsidRPr="00B20D15">
        <w:t>o</w:t>
      </w:r>
      <w:r w:rsidRPr="00B20D15">
        <w:t>cent av årsbehovet utan årsvärmelagring, och innebär därför ett sätt att hu</w:t>
      </w:r>
      <w:r w:rsidRPr="00B20D15">
        <w:t>s</w:t>
      </w:r>
      <w:r w:rsidRPr="00B20D15">
        <w:t>hålla med biobränslen. Med årsvärmelagring kan än mer solvärme komma in i systemet.</w:t>
      </w:r>
      <w:r w:rsidR="000E3DA2" w:rsidRPr="00B20D15">
        <w:t xml:space="preserve"> En utredning om solvärme från Boverket ska vara klar till årsskiftet</w:t>
      </w:r>
      <w:r w:rsidR="008D59CC" w:rsidRPr="00B20D15">
        <w:t>.</w:t>
      </w:r>
      <w:r w:rsidR="000E3DA2" w:rsidRPr="00B20D15">
        <w:t xml:space="preserve"> Miljöpartiet kommer att återkomma med förslag kring solvärme efter att u</w:t>
      </w:r>
      <w:r w:rsidR="000E3DA2" w:rsidRPr="00B20D15">
        <w:t>t</w:t>
      </w:r>
      <w:r w:rsidR="000E3DA2" w:rsidRPr="00B20D15">
        <w:t>redningen presenterat sina förslag.</w:t>
      </w:r>
    </w:p>
    <w:p w:rsidR="000D56FE" w:rsidRPr="00B20D15" w:rsidRDefault="000D56FE">
      <w:pPr>
        <w:pStyle w:val="Rubrik2"/>
        <w:shd w:val="clear" w:color="000000" w:fill="auto"/>
      </w:pPr>
      <w:bookmarkStart w:id="8" w:name="_Toc151083928"/>
      <w:r w:rsidRPr="00B20D15">
        <w:t>Investeringsgaranti för fullskalig demonstrationsanläggning för förgasning av biomassa</w:t>
      </w:r>
      <w:bookmarkEnd w:id="8"/>
    </w:p>
    <w:p w:rsidR="000D56FE" w:rsidRPr="00B20D15" w:rsidRDefault="000D56FE">
      <w:pPr>
        <w:shd w:val="clear" w:color="000000" w:fill="auto"/>
      </w:pPr>
      <w:r w:rsidRPr="00B20D15">
        <w:t>Gaskombi, gasturbin plus kondensturbin, för fossilgas har utvecklats snabbt och kan ge ett elutbyte på 60 procent av insatt bränsle med fossilgasdrift. I kraftvärmedrift kan man få en mycket god totalverkningsgrad, men ett myc</w:t>
      </w:r>
      <w:r w:rsidRPr="00B20D15">
        <w:t>k</w:t>
      </w:r>
      <w:r w:rsidRPr="00B20D15">
        <w:t>et bättre elutbyte jämfört med traditionell kraftvärme.</w:t>
      </w:r>
    </w:p>
    <w:p w:rsidR="000D56FE" w:rsidRPr="00B20D15" w:rsidRDefault="000D56FE">
      <w:pPr>
        <w:pStyle w:val="Normaltindrag"/>
        <w:shd w:val="clear" w:color="000000" w:fill="auto"/>
      </w:pPr>
      <w:r w:rsidRPr="00B20D15">
        <w:t>Samma teknik kan i princip användas för förgasat biobränsle. Gasen kan då användas för kraftvärme och ersätta fossilgas vid ett befintligt kraftvärm</w:t>
      </w:r>
      <w:r w:rsidRPr="00B20D15">
        <w:t>e</w:t>
      </w:r>
      <w:r w:rsidRPr="00B20D15">
        <w:t>verk, exempelvis det snart driftklara Ryaverket i Göteborg. Den kan emelle</w:t>
      </w:r>
      <w:r w:rsidRPr="00B20D15">
        <w:t>r</w:t>
      </w:r>
      <w:r w:rsidRPr="00B20D15">
        <w:t>tid också användas för att framställa biodrivmedel som DME, metanol eller syntetdiesel, biogas eller för att framställa plast. Värmen från förgasningspr</w:t>
      </w:r>
      <w:r w:rsidRPr="00B20D15">
        <w:t>o</w:t>
      </w:r>
      <w:r w:rsidRPr="00B20D15">
        <w:t>cessen kan nyttiggöras som fjärrvärme, och den gas som inte kan säljas till industrier kan ersätta fossilgas vid kraftvärmeverket.</w:t>
      </w:r>
    </w:p>
    <w:p w:rsidR="000D56FE" w:rsidRPr="00B20D15" w:rsidRDefault="000D56FE">
      <w:pPr>
        <w:pStyle w:val="Normaltindrag"/>
        <w:shd w:val="clear" w:color="000000" w:fill="auto"/>
      </w:pPr>
      <w:r w:rsidRPr="00B20D15">
        <w:t xml:space="preserve">Det är dock en tillräcklig ambition för detta </w:t>
      </w:r>
      <w:r w:rsidR="004A366F" w:rsidRPr="00B20D15">
        <w:t>demonstrationsprojekt</w:t>
      </w:r>
      <w:r w:rsidRPr="00B20D15">
        <w:t xml:space="preserve"> att få fram en gas av god kvalitet.</w:t>
      </w:r>
    </w:p>
    <w:p w:rsidR="000D56FE" w:rsidRPr="00B20D15" w:rsidRDefault="000D56FE">
      <w:pPr>
        <w:pStyle w:val="Normaltindrag"/>
        <w:shd w:val="clear" w:color="000000" w:fill="auto"/>
      </w:pPr>
      <w:r w:rsidRPr="00B20D15">
        <w:t>Potentialen för denna teknik, där FoU i Sverige pågått sedan 1970-talet, är mycket stor såväl i Sverige som i hela världen. När tekniken är demonstrerad kan efterfrågan bli mycket stor. Fördelen med att bygga i full skala är att denna kan dupliceras direkt. Problemet med att bygga en demonstrationsa</w:t>
      </w:r>
      <w:r w:rsidRPr="00B20D15">
        <w:t>n</w:t>
      </w:r>
      <w:r w:rsidRPr="00B20D15">
        <w:t>läggning är i princip inte ekonomin. Med förväntade ved-, el- och certifikat</w:t>
      </w:r>
      <w:r w:rsidRPr="00B20D15">
        <w:t>s</w:t>
      </w:r>
      <w:r w:rsidRPr="00B20D15">
        <w:t>priser bör investeringen vara lönsam. Däremot finns det en teknisk risk, att anläggningen kan visa sig ha väsentligt lägre tillgänglighet än väntat, särskilt under de första åren.</w:t>
      </w:r>
    </w:p>
    <w:p w:rsidR="000D56FE" w:rsidRPr="00B20D15" w:rsidRDefault="000D56FE">
      <w:pPr>
        <w:pStyle w:val="Normaltindrag"/>
        <w:shd w:val="clear" w:color="000000" w:fill="auto"/>
      </w:pPr>
      <w:r w:rsidRPr="00B20D15">
        <w:t>Givetvis måste statens och anläggningshavarens åtaganden specificeras i ett avtal innan ett budgetunderlag är möjligt. En garanti kan behöva tecknas under 2007, men eventuella utbetalningar ligger flera år framåt.</w:t>
      </w:r>
    </w:p>
    <w:p w:rsidR="00F82996" w:rsidRPr="00B20D15" w:rsidRDefault="00F82996">
      <w:pPr>
        <w:pStyle w:val="Rubrik1"/>
        <w:shd w:val="clear" w:color="000000" w:fill="auto"/>
        <w:rPr>
          <w:szCs w:val="16"/>
        </w:rPr>
      </w:pPr>
      <w:bookmarkStart w:id="9" w:name="_Toc151083929"/>
      <w:r w:rsidRPr="00B20D15">
        <w:t>Utgiftsområde 24 – Näringsliv</w:t>
      </w:r>
      <w:bookmarkEnd w:id="9"/>
    </w:p>
    <w:p w:rsidR="00F82996" w:rsidRPr="00B20D15" w:rsidRDefault="00F82996">
      <w:pPr>
        <w:pStyle w:val="Rubrik2"/>
        <w:shd w:val="clear" w:color="000000" w:fill="auto"/>
        <w:spacing w:before="120"/>
      </w:pPr>
      <w:bookmarkStart w:id="10" w:name="_Toc151083930"/>
      <w:r w:rsidRPr="00B20D15">
        <w:t>Forskning och utveckling i små företag</w:t>
      </w:r>
      <w:bookmarkEnd w:id="10"/>
    </w:p>
    <w:p w:rsidR="00890CEA" w:rsidRPr="00B20D15" w:rsidRDefault="00F82996">
      <w:pPr>
        <w:shd w:val="clear" w:color="000000" w:fill="auto"/>
      </w:pPr>
      <w:r w:rsidRPr="00B20D15">
        <w:t>Forskning och produktutveckling i små företag är grundläggande för att u</w:t>
      </w:r>
      <w:r w:rsidRPr="00B20D15">
        <w:t>t</w:t>
      </w:r>
      <w:r w:rsidRPr="00B20D15">
        <w:t>veckla svenskt näringsliv, skapa nya jobb och nya företag. Genom progra</w:t>
      </w:r>
      <w:r w:rsidRPr="00B20D15">
        <w:t>m</w:t>
      </w:r>
      <w:r w:rsidRPr="00B20D15">
        <w:t xml:space="preserve">met </w:t>
      </w:r>
      <w:r w:rsidR="008D59CC" w:rsidRPr="00B20D15">
        <w:t xml:space="preserve">Forska </w:t>
      </w:r>
      <w:r w:rsidRPr="00B20D15">
        <w:t xml:space="preserve">och väx </w:t>
      </w:r>
      <w:r w:rsidR="00890CEA" w:rsidRPr="00B20D15">
        <w:t xml:space="preserve">har </w:t>
      </w:r>
      <w:r w:rsidRPr="00B20D15">
        <w:t xml:space="preserve">mindre företag </w:t>
      </w:r>
      <w:r w:rsidR="00890CEA" w:rsidRPr="00B20D15">
        <w:t xml:space="preserve">kunnat </w:t>
      </w:r>
      <w:r w:rsidRPr="00B20D15">
        <w:t>söka medel från Vinnova för att forska och utveckla nya produkter. Forska och väx har sedan programmet startade 2006 varit mycket framgångs</w:t>
      </w:r>
      <w:r w:rsidR="001C6605" w:rsidRPr="00B20D15">
        <w:softHyphen/>
      </w:r>
      <w:r w:rsidRPr="00B20D15">
        <w:t>rik</w:t>
      </w:r>
      <w:r w:rsidR="00D90529" w:rsidRPr="00B20D15">
        <w:t>t</w:t>
      </w:r>
      <w:r w:rsidRPr="00B20D15">
        <w:t xml:space="preserve"> och eftertraktat. </w:t>
      </w:r>
      <w:r w:rsidR="00890CEA" w:rsidRPr="00B20D15">
        <w:t>Regeringe</w:t>
      </w:r>
      <w:r w:rsidR="008D59CC" w:rsidRPr="00B20D15">
        <w:t>n</w:t>
      </w:r>
      <w:r w:rsidR="00890CEA" w:rsidRPr="00B20D15">
        <w:t xml:space="preserve"> väljer nu i sin budgetproposition att avskaffa programmet forska och väx vilket vi menar tyder på bristande insikt i de små företagens behov.</w:t>
      </w:r>
    </w:p>
    <w:p w:rsidR="00F82996" w:rsidRPr="00B20D15" w:rsidRDefault="00F82996">
      <w:pPr>
        <w:pStyle w:val="Normaltindrag"/>
        <w:shd w:val="clear" w:color="000000" w:fill="auto"/>
      </w:pPr>
      <w:r w:rsidRPr="00B20D15">
        <w:t>Miljöpar</w:t>
      </w:r>
      <w:r w:rsidR="008D59CC" w:rsidRPr="00B20D15">
        <w:t>t</w:t>
      </w:r>
      <w:r w:rsidRPr="00B20D15">
        <w:t xml:space="preserve">iet menar att det är viktigt att </w:t>
      </w:r>
      <w:r w:rsidR="00890CEA" w:rsidRPr="00B20D15">
        <w:t xml:space="preserve">fortsätta att </w:t>
      </w:r>
      <w:r w:rsidRPr="00B20D15">
        <w:t xml:space="preserve">stimulera forskning och utveckling i svenska småföretag och vill därför </w:t>
      </w:r>
      <w:r w:rsidR="00890CEA" w:rsidRPr="00B20D15">
        <w:t>i</w:t>
      </w:r>
      <w:r w:rsidR="008D59CC" w:rsidRPr="00B20D15">
        <w:t xml:space="preserve"> </w:t>
      </w:r>
      <w:r w:rsidR="00890CEA" w:rsidRPr="00B20D15">
        <w:t xml:space="preserve">stället </w:t>
      </w:r>
      <w:r w:rsidRPr="00B20D15">
        <w:t xml:space="preserve">utöka anslagen till </w:t>
      </w:r>
      <w:r w:rsidR="008D59CC" w:rsidRPr="00B20D15">
        <w:t xml:space="preserve">Forska </w:t>
      </w:r>
      <w:r w:rsidRPr="00B20D15">
        <w:t xml:space="preserve">och väx med </w:t>
      </w:r>
      <w:r w:rsidR="00890CEA" w:rsidRPr="00B20D15">
        <w:t>ytterligare 1</w:t>
      </w:r>
      <w:r w:rsidRPr="00B20D15">
        <w:t>00 milj</w:t>
      </w:r>
      <w:r w:rsidR="004A366F" w:rsidRPr="00B20D15">
        <w:t>oner</w:t>
      </w:r>
      <w:r w:rsidRPr="00B20D15">
        <w:t xml:space="preserve"> kronor årligen</w:t>
      </w:r>
      <w:r w:rsidR="00890CEA" w:rsidRPr="00B20D15">
        <w:t xml:space="preserve"> jämfört med vå</w:t>
      </w:r>
      <w:r w:rsidR="00890CEA" w:rsidRPr="00B20D15">
        <w:t>r</w:t>
      </w:r>
      <w:r w:rsidR="00890CEA" w:rsidRPr="00B20D15">
        <w:t xml:space="preserve">propositionen och anslår därför 200 miljoner </w:t>
      </w:r>
      <w:r w:rsidR="00642766" w:rsidRPr="00B20D15">
        <w:t xml:space="preserve">kronor </w:t>
      </w:r>
      <w:r w:rsidR="00890CEA" w:rsidRPr="00B20D15">
        <w:t>mer till anslag 38:2 än regeringen väljer att göra.</w:t>
      </w:r>
    </w:p>
    <w:p w:rsidR="00F82996" w:rsidRPr="00B20D15" w:rsidRDefault="00F82996">
      <w:pPr>
        <w:pStyle w:val="Rubrik2"/>
        <w:shd w:val="clear" w:color="000000" w:fill="auto"/>
      </w:pPr>
      <w:bookmarkStart w:id="11" w:name="_Toc151083931"/>
      <w:r w:rsidRPr="00B20D15">
        <w:t>Fortsatt arbete med regelförenklingar</w:t>
      </w:r>
      <w:bookmarkEnd w:id="11"/>
    </w:p>
    <w:p w:rsidR="00F82996" w:rsidRPr="00B20D15" w:rsidRDefault="00F82996">
      <w:pPr>
        <w:shd w:val="clear" w:color="000000" w:fill="auto"/>
      </w:pPr>
      <w:r w:rsidRPr="00B20D15">
        <w:t>Nutek har sedan 2003 jobbat med regelförenklingar för företag. Genom att mäta företagens administrativa börda har kostnaden för olika typer av regler kartlagts och grunden för ett aktivt regelförenklingsarbete lagts.</w:t>
      </w:r>
    </w:p>
    <w:p w:rsidR="00F82996" w:rsidRPr="00B20D15" w:rsidRDefault="00F82996">
      <w:pPr>
        <w:pStyle w:val="Normaltindrag"/>
        <w:shd w:val="clear" w:color="000000" w:fill="auto"/>
      </w:pPr>
      <w:r w:rsidRPr="00B20D15">
        <w:t xml:space="preserve">Miljöpartiet </w:t>
      </w:r>
      <w:r w:rsidR="00890CEA" w:rsidRPr="00B20D15">
        <w:t xml:space="preserve">instämmer med regeringen om att </w:t>
      </w:r>
      <w:r w:rsidR="008D59CC" w:rsidRPr="00B20D15">
        <w:t>ett övergripande mål om en 25-</w:t>
      </w:r>
      <w:r w:rsidRPr="00B20D15">
        <w:t xml:space="preserve">procentig minskning av företagens administrativa börda </w:t>
      </w:r>
      <w:r w:rsidR="00D90529" w:rsidRPr="00B20D15">
        <w:t>sätt</w:t>
      </w:r>
      <w:r w:rsidR="00890CEA" w:rsidRPr="00B20D15">
        <w:t>s</w:t>
      </w:r>
      <w:r w:rsidR="00D90529" w:rsidRPr="00B20D15">
        <w:t xml:space="preserve"> </w:t>
      </w:r>
      <w:r w:rsidRPr="00B20D15">
        <w:t>för manda</w:t>
      </w:r>
      <w:r w:rsidRPr="00B20D15">
        <w:t>t</w:t>
      </w:r>
      <w:r w:rsidRPr="00B20D15">
        <w:t xml:space="preserve">perioden. För att kunna fortsätta bistå </w:t>
      </w:r>
      <w:r w:rsidR="008D59CC" w:rsidRPr="00B20D15">
        <w:t xml:space="preserve">Regeringskansliet </w:t>
      </w:r>
      <w:r w:rsidRPr="00B20D15">
        <w:t xml:space="preserve">med resurser i detta arbete och för att kunna mäta resterande regelområden tillskjuter vi </w:t>
      </w:r>
      <w:r w:rsidR="00890CEA" w:rsidRPr="00B20D15">
        <w:t xml:space="preserve">dock </w:t>
      </w:r>
      <w:r w:rsidR="00ED5A7D" w:rsidRPr="00B20D15">
        <w:t>5 </w:t>
      </w:r>
      <w:r w:rsidRPr="00B20D15">
        <w:t xml:space="preserve">miljoner kronor till Nutek för detta arbete. </w:t>
      </w:r>
      <w:r w:rsidR="00A950F2" w:rsidRPr="00B20D15">
        <w:t>Vi vill också att ett nytt rege</w:t>
      </w:r>
      <w:r w:rsidR="00A950F2" w:rsidRPr="00B20D15">
        <w:t>l</w:t>
      </w:r>
      <w:r w:rsidR="00A950F2" w:rsidRPr="00B20D15">
        <w:t>verk kring konsekvensanalyser av nya regler som påverkar små och medelst</w:t>
      </w:r>
      <w:r w:rsidR="00A950F2" w:rsidRPr="00B20D15">
        <w:t>o</w:t>
      </w:r>
      <w:r w:rsidR="00A950F2" w:rsidRPr="00B20D15">
        <w:t xml:space="preserve">ra företag genomförs omgående. Ärendet finns berett på </w:t>
      </w:r>
      <w:r w:rsidR="008D59CC" w:rsidRPr="00B20D15">
        <w:t>Näringsdeparteme</w:t>
      </w:r>
      <w:r w:rsidR="008D59CC" w:rsidRPr="00B20D15">
        <w:t>n</w:t>
      </w:r>
      <w:r w:rsidR="008D59CC" w:rsidRPr="00B20D15">
        <w:t>tet</w:t>
      </w:r>
      <w:r w:rsidR="00A950F2" w:rsidRPr="00B20D15">
        <w:t>.</w:t>
      </w:r>
    </w:p>
    <w:p w:rsidR="00F82996" w:rsidRPr="00B20D15" w:rsidRDefault="00F82996">
      <w:pPr>
        <w:pStyle w:val="Rubrik2"/>
        <w:shd w:val="clear" w:color="000000" w:fill="auto"/>
      </w:pPr>
      <w:bookmarkStart w:id="12" w:name="_Toc151083932"/>
      <w:r w:rsidRPr="00B20D15">
        <w:t>Utvecklingen av sociala och kooperativa företag</w:t>
      </w:r>
      <w:bookmarkEnd w:id="12"/>
    </w:p>
    <w:p w:rsidR="00B54A1F" w:rsidRPr="00B20D15" w:rsidRDefault="00B54A1F">
      <w:pPr>
        <w:pStyle w:val="Normaltindrag"/>
        <w:shd w:val="clear" w:color="000000" w:fill="auto"/>
        <w:ind w:firstLine="0"/>
      </w:pPr>
      <w:r w:rsidRPr="00B20D15">
        <w:t>Varje år startas cirka 500 nya kooperativa företag. Flertalet av dessa har sitt ursprung i offentlig sektor</w:t>
      </w:r>
      <w:r w:rsidR="00D90529" w:rsidRPr="00B20D15">
        <w:t>.</w:t>
      </w:r>
      <w:r w:rsidRPr="00B20D15">
        <w:t xml:space="preserve"> Det är till exempel brukarägd äldreomsorg, soci</w:t>
      </w:r>
      <w:r w:rsidR="00890CEA" w:rsidRPr="00B20D15">
        <w:t>ala arbetskooperativ och</w:t>
      </w:r>
      <w:r w:rsidR="00261375" w:rsidRPr="00B20D15">
        <w:t xml:space="preserve"> </w:t>
      </w:r>
      <w:r w:rsidRPr="00B20D15">
        <w:t xml:space="preserve">hälso- och sjukvårdskooperativ. </w:t>
      </w:r>
      <w:r w:rsidR="00261375" w:rsidRPr="00B20D15">
        <w:t xml:space="preserve">Men också </w:t>
      </w:r>
      <w:r w:rsidR="00890CEA" w:rsidRPr="00B20D15">
        <w:t xml:space="preserve">hantverkare, </w:t>
      </w:r>
      <w:r w:rsidRPr="00B20D15">
        <w:t xml:space="preserve">revisorer </w:t>
      </w:r>
      <w:r w:rsidR="00890CEA" w:rsidRPr="00B20D15">
        <w:t xml:space="preserve">och </w:t>
      </w:r>
      <w:r w:rsidRPr="00B20D15">
        <w:t>små</w:t>
      </w:r>
      <w:r w:rsidR="001C6605" w:rsidRPr="00B20D15">
        <w:softHyphen/>
      </w:r>
      <w:r w:rsidRPr="00B20D15">
        <w:t>företagare sluter sig samman för att tillgodose sina geme</w:t>
      </w:r>
      <w:r w:rsidRPr="00B20D15">
        <w:t>n</w:t>
      </w:r>
      <w:r w:rsidRPr="00B20D15">
        <w:t>samma angelägenheter</w:t>
      </w:r>
      <w:r w:rsidR="00890CEA" w:rsidRPr="00B20D15">
        <w:t xml:space="preserve"> i kooperativ form</w:t>
      </w:r>
      <w:r w:rsidRPr="00B20D15">
        <w:t xml:space="preserve">. </w:t>
      </w:r>
      <w:r w:rsidR="00261375" w:rsidRPr="00B20D15">
        <w:t>På landets 25 kooperativa utvec</w:t>
      </w:r>
      <w:r w:rsidR="00261375" w:rsidRPr="00B20D15">
        <w:t>k</w:t>
      </w:r>
      <w:r w:rsidR="00261375" w:rsidRPr="00B20D15">
        <w:t xml:space="preserve">lingscentrum får nya kooperatörer råd och stöd. Miljöpartiet anser att den sociala ekonomin där kooperativ och andra sociala företag ingår bör stödjas och anser att stödet till den sociala ekonomin som sker genom Nutek kan fördubblas från 35 till </w:t>
      </w:r>
      <w:r w:rsidR="00035516" w:rsidRPr="00B20D15">
        <w:t>60</w:t>
      </w:r>
      <w:r w:rsidR="00261375" w:rsidRPr="00B20D15">
        <w:t xml:space="preserve"> miljoner kronor årligen. Stödet bör kunna gå både till kooperativa utvecklingscentrum och till annan stödstruktur för att utveckla sociala företag.</w:t>
      </w:r>
    </w:p>
    <w:p w:rsidR="00B54A1F" w:rsidRPr="00B20D15" w:rsidRDefault="00B54A1F">
      <w:pPr>
        <w:pStyle w:val="Rubrik2"/>
        <w:shd w:val="clear" w:color="000000" w:fill="auto"/>
      </w:pPr>
      <w:bookmarkStart w:id="13" w:name="_Toc151083933"/>
      <w:r w:rsidRPr="00B20D15">
        <w:t>Större möjlighet till krediter för små företag</w:t>
      </w:r>
      <w:bookmarkEnd w:id="13"/>
    </w:p>
    <w:p w:rsidR="00B54A1F" w:rsidRPr="00B20D15" w:rsidRDefault="00B54A1F">
      <w:pPr>
        <w:pStyle w:val="Normaltindrag"/>
        <w:shd w:val="clear" w:color="000000" w:fill="auto"/>
        <w:ind w:firstLine="0"/>
      </w:pPr>
      <w:r w:rsidRPr="00B20D15">
        <w:t>Regionala kreditgarantiföreningar utvecklas just nu runt om i landet. Genom kredit</w:t>
      </w:r>
      <w:r w:rsidR="001C6605" w:rsidRPr="00B20D15">
        <w:softHyphen/>
      </w:r>
      <w:r w:rsidRPr="00B20D15">
        <w:t xml:space="preserve">garantiföreningar skapas </w:t>
      </w:r>
      <w:r w:rsidR="00D90529" w:rsidRPr="00B20D15">
        <w:t xml:space="preserve">bättre förutsättningar för krediter och lån till </w:t>
      </w:r>
      <w:r w:rsidRPr="00B20D15">
        <w:t>nya och växande småföretag. Kreditgarantiföreningar är ideella</w:t>
      </w:r>
      <w:r w:rsidR="008D59CC" w:rsidRPr="00B20D15">
        <w:t xml:space="preserve"> föreningar där företagare stöd</w:t>
      </w:r>
      <w:r w:rsidRPr="00B20D15">
        <w:t>er varandra genom garantier till banklån. Ett statligt stöd finns till utvecklingen av nya kredit</w:t>
      </w:r>
      <w:r w:rsidR="001C6605" w:rsidRPr="00B20D15">
        <w:softHyphen/>
      </w:r>
      <w:r w:rsidRPr="00B20D15">
        <w:t>garantiföreningar</w:t>
      </w:r>
      <w:r w:rsidR="00D90529" w:rsidRPr="00B20D15">
        <w:t>,</w:t>
      </w:r>
      <w:r w:rsidRPr="00B20D15">
        <w:t xml:space="preserve"> i övrigt sker finansieringen av verksamheten av föreningarna själva. Miljöpartiet anser att det är angel</w:t>
      </w:r>
      <w:r w:rsidRPr="00B20D15">
        <w:t>ä</w:t>
      </w:r>
      <w:r w:rsidRPr="00B20D15">
        <w:t xml:space="preserve">get att fler kreditgarantiföreningar ska kunna startas och vill därför </w:t>
      </w:r>
      <w:r w:rsidR="00664E7B" w:rsidRPr="00B20D15">
        <w:t xml:space="preserve">genom anslaget till Nutek </w:t>
      </w:r>
      <w:r w:rsidRPr="00B20D15">
        <w:t>satsa ytterligare fem miljoner på utvecklingen av kreditg</w:t>
      </w:r>
      <w:r w:rsidRPr="00B20D15">
        <w:t>a</w:t>
      </w:r>
      <w:r w:rsidRPr="00B20D15">
        <w:t>rantiföreningar.</w:t>
      </w:r>
    </w:p>
    <w:p w:rsidR="005914B0" w:rsidRPr="00B20D15" w:rsidRDefault="005914B0">
      <w:pPr>
        <w:pStyle w:val="Rubrik2"/>
        <w:shd w:val="clear" w:color="000000" w:fill="auto"/>
      </w:pPr>
      <w:bookmarkStart w:id="14" w:name="_Toc151083934"/>
      <w:r w:rsidRPr="00B20D15">
        <w:t>Ökad satsning på såddfinansiering</w:t>
      </w:r>
      <w:bookmarkEnd w:id="14"/>
    </w:p>
    <w:p w:rsidR="005914B0" w:rsidRPr="00B20D15" w:rsidRDefault="00261375">
      <w:pPr>
        <w:pStyle w:val="Normaltindrag"/>
        <w:shd w:val="clear" w:color="000000" w:fill="auto"/>
        <w:ind w:firstLine="0"/>
      </w:pPr>
      <w:r w:rsidRPr="00B20D15">
        <w:t xml:space="preserve">Genom anslaget till Nutek tillförs </w:t>
      </w:r>
      <w:r w:rsidR="008D59CC" w:rsidRPr="00B20D15">
        <w:t xml:space="preserve">Almi </w:t>
      </w:r>
      <w:r w:rsidRPr="00B20D15">
        <w:t>medel för såddfinansiering. Såddf</w:t>
      </w:r>
      <w:r w:rsidRPr="00B20D15">
        <w:t>i</w:t>
      </w:r>
      <w:r w:rsidRPr="00B20D15">
        <w:t>nansiering är en typ av finansieringen som sker i mycket tidiga skeenden av ett företags utveckling där osäkerheten är så pass stor att vanligt riskkapital eller kapital via banker inte finns att tillgå. Vi menar att tillgången till såddf</w:t>
      </w:r>
      <w:r w:rsidRPr="00B20D15">
        <w:t>i</w:t>
      </w:r>
      <w:r w:rsidRPr="00B20D15">
        <w:t xml:space="preserve">nansiering är mycket viktig för att nya produkter ska kunna bli framgångsrika företag. Samtidigt har kritik framförts mot </w:t>
      </w:r>
      <w:r w:rsidR="008D59CC" w:rsidRPr="00B20D15">
        <w:t>Almi</w:t>
      </w:r>
      <w:r w:rsidRPr="00B20D15">
        <w:t>s verksamhet och det är dä</w:t>
      </w:r>
      <w:r w:rsidRPr="00B20D15">
        <w:t>r</w:t>
      </w:r>
      <w:r w:rsidRPr="00B20D15">
        <w:t xml:space="preserve">för viktigt att nya satsningar där följs upp ordentligt samt att </w:t>
      </w:r>
      <w:r w:rsidR="008D59CC" w:rsidRPr="00B20D15">
        <w:t xml:space="preserve">Almi </w:t>
      </w:r>
      <w:r w:rsidRPr="00B20D15">
        <w:t>i sin ver</w:t>
      </w:r>
      <w:r w:rsidRPr="00B20D15">
        <w:t>k</w:t>
      </w:r>
      <w:r w:rsidRPr="00B20D15">
        <w:t xml:space="preserve">samhetsredovisning skapar transparens och tydlighet kring sina mål samt hur de medel som finns där använd. </w:t>
      </w:r>
      <w:r w:rsidR="008D59CC" w:rsidRPr="00B20D15">
        <w:t xml:space="preserve">Almi </w:t>
      </w:r>
      <w:r w:rsidRPr="00B20D15">
        <w:t xml:space="preserve">måste därför redovisa mått som gör att jämförelser kan göras med annan typ av såddfinansiering. Miljöpartiet menar att </w:t>
      </w:r>
      <w:r w:rsidR="00ED5A7D" w:rsidRPr="00B20D15">
        <w:t xml:space="preserve">Almi </w:t>
      </w:r>
      <w:r w:rsidRPr="00B20D15">
        <w:t xml:space="preserve">kan tillföras </w:t>
      </w:r>
      <w:r w:rsidR="00035516" w:rsidRPr="00B20D15">
        <w:t>65</w:t>
      </w:r>
      <w:r w:rsidRPr="00B20D15">
        <w:t xml:space="preserve"> miljoner </w:t>
      </w:r>
      <w:r w:rsidR="00642766" w:rsidRPr="00B20D15">
        <w:t xml:space="preserve">kronor </w:t>
      </w:r>
      <w:r w:rsidRPr="00B20D15">
        <w:t xml:space="preserve">men att regeringen i </w:t>
      </w:r>
      <w:r w:rsidR="008D59CC" w:rsidRPr="00B20D15">
        <w:t xml:space="preserve">Almis </w:t>
      </w:r>
      <w:r w:rsidRPr="00B20D15">
        <w:t>ägard</w:t>
      </w:r>
      <w:r w:rsidRPr="00B20D15">
        <w:t>i</w:t>
      </w:r>
      <w:r w:rsidRPr="00B20D15">
        <w:t xml:space="preserve">rektiv tydliggör </w:t>
      </w:r>
      <w:r w:rsidR="008D59CC" w:rsidRPr="00B20D15">
        <w:t xml:space="preserve">Almis </w:t>
      </w:r>
      <w:r w:rsidRPr="00B20D15">
        <w:t>mål och vilka mått som används för att mäta effektiv</w:t>
      </w:r>
      <w:r w:rsidRPr="00B20D15">
        <w:t>i</w:t>
      </w:r>
      <w:r w:rsidRPr="00B20D15">
        <w:t>tet i deras verksamhet.</w:t>
      </w:r>
    </w:p>
    <w:p w:rsidR="005914B0" w:rsidRPr="00B20D15" w:rsidRDefault="005914B0">
      <w:pPr>
        <w:pStyle w:val="Rubrik2"/>
        <w:shd w:val="clear" w:color="000000" w:fill="auto"/>
      </w:pPr>
      <w:bookmarkStart w:id="15" w:name="_Toc151083935"/>
      <w:r w:rsidRPr="00B20D15">
        <w:t>Produktutveckling i företag</w:t>
      </w:r>
      <w:bookmarkEnd w:id="15"/>
    </w:p>
    <w:p w:rsidR="005914B0" w:rsidRPr="00B20D15" w:rsidRDefault="008D59CC">
      <w:pPr>
        <w:pStyle w:val="Normaltindrag"/>
        <w:shd w:val="clear" w:color="000000" w:fill="auto"/>
        <w:ind w:firstLine="0"/>
      </w:pPr>
      <w:r w:rsidRPr="00B20D15">
        <w:t>Industriella utvecklingscentrum</w:t>
      </w:r>
      <w:r w:rsidR="00261375" w:rsidRPr="00B20D15">
        <w:t xml:space="preserve"> </w:t>
      </w:r>
      <w:r w:rsidR="00D90529" w:rsidRPr="00B20D15">
        <w:t xml:space="preserve">(IUC) </w:t>
      </w:r>
      <w:r w:rsidR="00261375" w:rsidRPr="00B20D15">
        <w:t xml:space="preserve">har under många år varit duktiga på </w:t>
      </w:r>
      <w:r w:rsidR="008F4AE4" w:rsidRPr="00B20D15">
        <w:t xml:space="preserve">att jobba med avknoppning av nya företagsidéer i befintliga företag. Vi menar att IUC bör få ett uppdrag av regeringen att jobba med avknoppning och att detta finansieras </w:t>
      </w:r>
      <w:r w:rsidR="00664E7B" w:rsidRPr="00B20D15">
        <w:t>genom anslaget till Nutek som</w:t>
      </w:r>
      <w:r w:rsidR="00ED5A7D" w:rsidRPr="00B20D15">
        <w:t xml:space="preserve"> därför ökas med ytterligare 60 </w:t>
      </w:r>
      <w:r w:rsidR="00664E7B" w:rsidRPr="00B20D15">
        <w:t xml:space="preserve">miljoner </w:t>
      </w:r>
      <w:r w:rsidR="00642766" w:rsidRPr="00B20D15">
        <w:t xml:space="preserve">kronor </w:t>
      </w:r>
      <w:r w:rsidR="00664E7B" w:rsidRPr="00B20D15">
        <w:t>jämfört med regeringen.</w:t>
      </w:r>
    </w:p>
    <w:p w:rsidR="005914B0" w:rsidRPr="00B20D15" w:rsidRDefault="005914B0">
      <w:pPr>
        <w:pStyle w:val="Rubrik2"/>
        <w:shd w:val="clear" w:color="000000" w:fill="auto"/>
      </w:pPr>
      <w:bookmarkStart w:id="16" w:name="_Toc151083936"/>
      <w:r w:rsidRPr="00B20D15">
        <w:t>Kvinnors företagande</w:t>
      </w:r>
      <w:bookmarkEnd w:id="16"/>
    </w:p>
    <w:p w:rsidR="000E3DA2" w:rsidRPr="00B20D15" w:rsidRDefault="008F4AE4">
      <w:pPr>
        <w:pStyle w:val="Normaltindrag"/>
        <w:shd w:val="clear" w:color="000000" w:fill="auto"/>
        <w:ind w:firstLine="0"/>
      </w:pPr>
      <w:r w:rsidRPr="00B20D15">
        <w:t>Kvinnor startar i lägre utsträckning företag än män. Flera anledningar</w:t>
      </w:r>
      <w:r w:rsidR="00642766" w:rsidRPr="00B20D15">
        <w:t xml:space="preserve"> till detta finns där en viktig</w:t>
      </w:r>
      <w:r w:rsidRPr="00B20D15">
        <w:t xml:space="preserve"> anledning självklart är den könssegregerade arbet</w:t>
      </w:r>
      <w:r w:rsidRPr="00B20D15">
        <w:t>s</w:t>
      </w:r>
      <w:r w:rsidRPr="00B20D15">
        <w:t>marknaden. Men det finns strategier för att motverka detta och skapa föru</w:t>
      </w:r>
      <w:r w:rsidRPr="00B20D15">
        <w:t>t</w:t>
      </w:r>
      <w:r w:rsidRPr="00B20D15">
        <w:t>sättningar för kvinnor att starta företag. Nutek har bedrivit ett framgångsrikt arbete genom utbildning, nätverkande, forskning m.m för att skapa möjligh</w:t>
      </w:r>
      <w:r w:rsidRPr="00B20D15">
        <w:t>e</w:t>
      </w:r>
      <w:r w:rsidRPr="00B20D15">
        <w:t xml:space="preserve">ter för kvinnor att starta företag. </w:t>
      </w:r>
      <w:r w:rsidR="007960BC" w:rsidRPr="00B20D15">
        <w:t>Regeringen föreslår att ytterligare 100 milj</w:t>
      </w:r>
      <w:r w:rsidR="007960BC" w:rsidRPr="00B20D15">
        <w:t>o</w:t>
      </w:r>
      <w:r w:rsidR="007960BC" w:rsidRPr="00B20D15">
        <w:t xml:space="preserve">ner </w:t>
      </w:r>
      <w:r w:rsidR="00642766" w:rsidRPr="00B20D15">
        <w:t xml:space="preserve">kronor </w:t>
      </w:r>
      <w:r w:rsidR="007960BC" w:rsidRPr="00B20D15">
        <w:t xml:space="preserve">satsa på kvinnors företagande. </w:t>
      </w:r>
    </w:p>
    <w:p w:rsidR="005914B0" w:rsidRPr="00B20D15" w:rsidRDefault="007960BC">
      <w:pPr>
        <w:pStyle w:val="Rubrik2"/>
        <w:shd w:val="clear" w:color="000000" w:fill="auto"/>
      </w:pPr>
      <w:bookmarkStart w:id="17" w:name="_Toc151083937"/>
      <w:r w:rsidRPr="00B20D15">
        <w:t>Satsning på export av miljöteknik</w:t>
      </w:r>
      <w:bookmarkEnd w:id="17"/>
    </w:p>
    <w:p w:rsidR="005F4DC9" w:rsidRPr="00B20D15" w:rsidRDefault="008F4AE4">
      <w:pPr>
        <w:pStyle w:val="Normaltindrag"/>
        <w:shd w:val="clear" w:color="000000" w:fill="auto"/>
        <w:ind w:firstLine="0"/>
      </w:pPr>
      <w:r w:rsidRPr="00B20D15">
        <w:t xml:space="preserve">Sverige </w:t>
      </w:r>
      <w:r w:rsidR="00D90529" w:rsidRPr="00B20D15">
        <w:t xml:space="preserve">har många </w:t>
      </w:r>
      <w:r w:rsidRPr="00B20D15">
        <w:t>ledande miljöteknikföretag. Höga miljökrav och en kraf</w:t>
      </w:r>
      <w:r w:rsidRPr="00B20D15">
        <w:t>t</w:t>
      </w:r>
      <w:r w:rsidRPr="00B20D15">
        <w:t xml:space="preserve">full miljölagstiftning kombinerat med ekonomiska styrmedel, information och forskning har gjort att en stark hemmamarknad kunnat utvecklas för svenska miljöteknikföretag. Denna starka hemmamarknad bär nu frukt genom att svensk miljöteknik går på export. Värdet på exporten beräknas idag till cirka 25 miljarder kronor och marknaden växer fort. </w:t>
      </w:r>
      <w:r w:rsidR="005F4DC9" w:rsidRPr="00B20D15">
        <w:t>Fram till 2010 beräknas expo</w:t>
      </w:r>
      <w:r w:rsidR="005F4DC9" w:rsidRPr="00B20D15">
        <w:t>r</w:t>
      </w:r>
      <w:r w:rsidR="005F4DC9" w:rsidRPr="00B20D15">
        <w:t xml:space="preserve">ten öka med minst 10 miljarder kronor enligt </w:t>
      </w:r>
      <w:r w:rsidR="008D59CC" w:rsidRPr="00B20D15">
        <w:t xml:space="preserve">Exportrådets </w:t>
      </w:r>
      <w:r w:rsidR="005F4DC9" w:rsidRPr="00B20D15">
        <w:t>pr</w:t>
      </w:r>
      <w:r w:rsidR="008D59CC" w:rsidRPr="00B20D15">
        <w:t>ognoser. Det motsvarar 10 000–</w:t>
      </w:r>
      <w:r w:rsidR="005F4DC9" w:rsidRPr="00B20D15">
        <w:t>15 000 nya jobb</w:t>
      </w:r>
      <w:r w:rsidR="00CE3953" w:rsidRPr="00B20D15">
        <w:t>.</w:t>
      </w:r>
    </w:p>
    <w:p w:rsidR="007960BC" w:rsidRPr="00B20D15" w:rsidRDefault="00CE3953">
      <w:pPr>
        <w:pStyle w:val="Normaltindrag"/>
        <w:shd w:val="clear" w:color="000000" w:fill="auto"/>
      </w:pPr>
      <w:r w:rsidRPr="00B20D15">
        <w:t>Samtidigt finns det risk för att svenska företag inte kan hänga med på den globala marknaden på grund av att de saknar de resurser som krävs för att till exempel vara med i internationella upphandlingar. I en rapport till Nutek hösten 2006 ”Potential för investeringar i svenska miljöteknikbolag – med marknadsexempel från export</w:t>
      </w:r>
      <w:r w:rsidR="001C6605" w:rsidRPr="00B20D15">
        <w:softHyphen/>
      </w:r>
      <w:r w:rsidRPr="00B20D15">
        <w:t>marknaderna i Kina och Rumänen” beskrivs både potentialen för de svenska företagen och de</w:t>
      </w:r>
      <w:r w:rsidR="008D59CC" w:rsidRPr="00B20D15">
        <w:t>ra</w:t>
      </w:r>
      <w:r w:rsidRPr="00B20D15">
        <w:t>s problem. I rapporten beskrivs också ett antal viktiga åtgärder för att underlätta för miljöteknikför</w:t>
      </w:r>
      <w:r w:rsidRPr="00B20D15">
        <w:t>e</w:t>
      </w:r>
      <w:r w:rsidRPr="00B20D15">
        <w:t xml:space="preserve">tagens export. Vi menar att det är viktigt att Nutek och </w:t>
      </w:r>
      <w:r w:rsidR="007960BC" w:rsidRPr="00B20D15">
        <w:t>Swedentech –</w:t>
      </w:r>
      <w:r w:rsidRPr="00B20D15">
        <w:t xml:space="preserve"> </w:t>
      </w:r>
      <w:r w:rsidR="008D59CC" w:rsidRPr="00B20D15">
        <w:t>Expor</w:t>
      </w:r>
      <w:r w:rsidR="008D59CC" w:rsidRPr="00B20D15">
        <w:t>t</w:t>
      </w:r>
      <w:r w:rsidR="008D59CC" w:rsidRPr="00B20D15">
        <w:t xml:space="preserve">rådets </w:t>
      </w:r>
      <w:r w:rsidR="007960BC" w:rsidRPr="00B20D15">
        <w:t xml:space="preserve">satsning på export av svensk miljöteknik </w:t>
      </w:r>
      <w:r w:rsidR="008D59CC" w:rsidRPr="00B20D15">
        <w:t>–</w:t>
      </w:r>
      <w:r w:rsidR="007960BC" w:rsidRPr="00B20D15">
        <w:t xml:space="preserve"> </w:t>
      </w:r>
      <w:r w:rsidRPr="00B20D15">
        <w:t xml:space="preserve">tillförs de medel som de behöver för att kunna </w:t>
      </w:r>
      <w:r w:rsidR="00A07103" w:rsidRPr="00B20D15">
        <w:t xml:space="preserve">stödja svenska företag att </w:t>
      </w:r>
      <w:r w:rsidRPr="00B20D15">
        <w:t xml:space="preserve">vara med i den internationella konkurrensen. </w:t>
      </w:r>
      <w:r w:rsidR="007960BC" w:rsidRPr="00B20D15">
        <w:t>Miljöpartiet föreslår därför att Nutek ges i uppdrag att geno</w:t>
      </w:r>
      <w:r w:rsidR="007960BC" w:rsidRPr="00B20D15">
        <w:t>m</w:t>
      </w:r>
      <w:r w:rsidR="007960BC" w:rsidRPr="00B20D15">
        <w:t>fö</w:t>
      </w:r>
      <w:r w:rsidR="00ED5A7D" w:rsidRPr="00B20D15">
        <w:t>r</w:t>
      </w:r>
      <w:r w:rsidR="008D59CC" w:rsidRPr="00B20D15">
        <w:t>a</w:t>
      </w:r>
      <w:r w:rsidR="007960BC" w:rsidRPr="00B20D15">
        <w:t xml:space="preserve"> de åtgärder som föreslås i rapporten Potential för investering i </w:t>
      </w:r>
      <w:r w:rsidR="008D59CC" w:rsidRPr="00B20D15">
        <w:t xml:space="preserve">svenska </w:t>
      </w:r>
      <w:r w:rsidR="007960BC" w:rsidRPr="00B20D15">
        <w:t xml:space="preserve">miljöteknikbolag och anslår för detta 30 miljoner </w:t>
      </w:r>
      <w:r w:rsidR="00642766" w:rsidRPr="00B20D15">
        <w:t xml:space="preserve">kronor </w:t>
      </w:r>
      <w:r w:rsidR="007960BC" w:rsidRPr="00B20D15">
        <w:t>till Nutek.</w:t>
      </w:r>
    </w:p>
    <w:p w:rsidR="007960BC" w:rsidRPr="00B20D15" w:rsidRDefault="007960BC">
      <w:pPr>
        <w:pStyle w:val="Rubrik2"/>
        <w:shd w:val="clear" w:color="000000" w:fill="auto"/>
      </w:pPr>
      <w:bookmarkStart w:id="18" w:name="_Toc151083938"/>
      <w:r w:rsidRPr="00B20D15">
        <w:t>Utred miljöteknikföretagen</w:t>
      </w:r>
      <w:r w:rsidR="008D59CC" w:rsidRPr="00B20D15">
        <w:t>s</w:t>
      </w:r>
      <w:r w:rsidRPr="00B20D15">
        <w:t xml:space="preserve"> kreditsituation</w:t>
      </w:r>
      <w:bookmarkEnd w:id="18"/>
    </w:p>
    <w:p w:rsidR="00CE3953" w:rsidRPr="00B20D15" w:rsidRDefault="007960BC">
      <w:pPr>
        <w:pStyle w:val="Normaltindrag"/>
        <w:shd w:val="clear" w:color="000000" w:fill="auto"/>
        <w:ind w:firstLine="0"/>
      </w:pPr>
      <w:r w:rsidRPr="00B20D15">
        <w:t xml:space="preserve">Miljöpartiet </w:t>
      </w:r>
      <w:r w:rsidR="00CE3953" w:rsidRPr="00B20D15">
        <w:t>menar att det finns fog för att u</w:t>
      </w:r>
      <w:r w:rsidR="008F30D9" w:rsidRPr="00B20D15">
        <w:t>treda om de svenska miljötekni</w:t>
      </w:r>
      <w:r w:rsidR="008F30D9" w:rsidRPr="00B20D15">
        <w:t>k</w:t>
      </w:r>
      <w:r w:rsidR="00CE3953" w:rsidRPr="00B20D15">
        <w:t>företagen är i behov av statliga garantier för att underlätta finansieringen av mi</w:t>
      </w:r>
      <w:r w:rsidR="008D59CC" w:rsidRPr="00B20D15">
        <w:t>ljöteknik</w:t>
      </w:r>
      <w:r w:rsidRPr="00B20D15">
        <w:t>företagens utveckling och föreslår att Nutek ges i uppdrag att studera dessa frågor vidare.</w:t>
      </w:r>
    </w:p>
    <w:p w:rsidR="007960BC" w:rsidRPr="00B20D15" w:rsidRDefault="00BE053B">
      <w:pPr>
        <w:pStyle w:val="Rubrik2"/>
        <w:shd w:val="clear" w:color="000000" w:fill="auto"/>
      </w:pPr>
      <w:bookmarkStart w:id="19" w:name="_Toc151083939"/>
      <w:r w:rsidRPr="00B20D15">
        <w:t>Andra generationen svensk</w:t>
      </w:r>
      <w:r w:rsidR="007960BC" w:rsidRPr="00B20D15">
        <w:t xml:space="preserve"> miljöteknik</w:t>
      </w:r>
      <w:bookmarkEnd w:id="19"/>
    </w:p>
    <w:p w:rsidR="00CE3953" w:rsidRPr="00B20D15" w:rsidRDefault="00CE3953">
      <w:pPr>
        <w:shd w:val="clear" w:color="000000" w:fill="auto"/>
      </w:pPr>
      <w:r w:rsidRPr="00B20D15">
        <w:t xml:space="preserve">Samtidigt </w:t>
      </w:r>
      <w:r w:rsidR="00CC0DFA" w:rsidRPr="00B20D15">
        <w:t>som staten har en viktig roll i att stödja och utveckla den svenska export</w:t>
      </w:r>
      <w:r w:rsidR="00642766" w:rsidRPr="00B20D15">
        <w:t>en</w:t>
      </w:r>
      <w:r w:rsidR="00CC0DFA" w:rsidRPr="00B20D15">
        <w:t xml:space="preserve"> av miljöteknik är det viktigt att fortsätta utveckla hemmamarknaden för att på det sättet skapa möjligheter för en ny generation miljöteknik. </w:t>
      </w:r>
      <w:r w:rsidRPr="00B20D15">
        <w:t>Det räcker inte längre att vara bäst på förnybar energi eller att rena farligt avfall. Nu krävs incitament för att gå vidare mot större systemlösningar. Att prod</w:t>
      </w:r>
      <w:r w:rsidRPr="00B20D15">
        <w:t>u</w:t>
      </w:r>
      <w:r w:rsidRPr="00B20D15">
        <w:t xml:space="preserve">cera bioenergi är bra och nödvändigt men att hitta kommunikationslösningar som kräver mindre energi eller ingen energi alls är att ta ytterligare ett steg. </w:t>
      </w:r>
      <w:r w:rsidR="00A07103" w:rsidRPr="00B20D15">
        <w:t>Denna insikt bör vi ta fasta på.</w:t>
      </w:r>
      <w:r w:rsidRPr="00B20D15">
        <w:t xml:space="preserve"> Kunnandet och tekniken </w:t>
      </w:r>
      <w:r w:rsidR="008D59CC" w:rsidRPr="00B20D15">
        <w:t>kommer att efterfr</w:t>
      </w:r>
      <w:r w:rsidR="008D59CC" w:rsidRPr="00B20D15">
        <w:t>å</w:t>
      </w:r>
      <w:r w:rsidR="008D59CC" w:rsidRPr="00B20D15">
        <w:t>gas allt</w:t>
      </w:r>
      <w:r w:rsidR="00CC0DFA" w:rsidRPr="00B20D15">
        <w:t>mer. M</w:t>
      </w:r>
      <w:r w:rsidRPr="00B20D15">
        <w:t>iljöhänsyn är en konkurrensfördel, inte dess motsats. Framt</w:t>
      </w:r>
      <w:r w:rsidRPr="00B20D15">
        <w:t>i</w:t>
      </w:r>
      <w:r w:rsidRPr="00B20D15">
        <w:t>dens jobb skapas i symbios med medvetenhet om de begränsningar, men också möjligheter, som naturlagarna sätter. Genom att vara bäst på hållbarhet driver vi på en positiv utveckling och förnyelse av näringslivet samtidigt som nya jobb skapas och våra samhällen utvecklas.</w:t>
      </w:r>
    </w:p>
    <w:p w:rsidR="00CC0DFA" w:rsidRPr="00B20D15" w:rsidRDefault="00CC0DFA">
      <w:pPr>
        <w:pStyle w:val="Normaltindrag"/>
        <w:shd w:val="clear" w:color="000000" w:fill="auto"/>
      </w:pPr>
      <w:r w:rsidRPr="00B20D15">
        <w:t xml:space="preserve">I detta arbete har </w:t>
      </w:r>
      <w:r w:rsidR="008D59CC" w:rsidRPr="00B20D15">
        <w:t xml:space="preserve">Swentec </w:t>
      </w:r>
      <w:r w:rsidRPr="00B20D15">
        <w:t>– Sverige miljöteknik råd en viktig roll. För att förstärka arbete</w:t>
      </w:r>
      <w:r w:rsidR="00FC16D4" w:rsidRPr="00B20D15">
        <w:t>t</w:t>
      </w:r>
      <w:r w:rsidRPr="00B20D15">
        <w:t xml:space="preserve"> med att ta fram framtiden</w:t>
      </w:r>
      <w:r w:rsidR="00FC16D4" w:rsidRPr="00B20D15">
        <w:t>s</w:t>
      </w:r>
      <w:r w:rsidRPr="00B20D15">
        <w:t xml:space="preserve"> miljöteknik föreslår Miljöpartiet att </w:t>
      </w:r>
      <w:r w:rsidR="008D59CC" w:rsidRPr="00B20D15">
        <w:t xml:space="preserve">Swentec </w:t>
      </w:r>
      <w:r w:rsidRPr="00B20D15">
        <w:t>får en mer formaliserad och aktiv roll i arbete med klimp. Klimp aviserades första gången i budgetpropositionen för 2002 och dess syften fö</w:t>
      </w:r>
      <w:r w:rsidRPr="00B20D15">
        <w:t>r</w:t>
      </w:r>
      <w:r w:rsidRPr="00B20D15">
        <w:t>tydligades i 2002 års klimatpolitiska beslut. Investeringsprogrammen är till för att gynna projekt som leder till minskad klimatpåverkan. Av propositionen framgår att kostnadseffektiviteten skall utgöra en viktig bedömningsgrund för beviljande av projekt. Åtgärderna skall i första hand bedömas utifrån kos</w:t>
      </w:r>
      <w:r w:rsidR="008D59CC" w:rsidRPr="00B20D15">
        <w:t>t</w:t>
      </w:r>
      <w:r w:rsidR="008D59CC" w:rsidRPr="00B20D15">
        <w:t>nadseffektivitetskriteriet, d</w:t>
      </w:r>
      <w:r w:rsidR="00642766" w:rsidRPr="00B20D15">
        <w:t>v</w:t>
      </w:r>
      <w:r w:rsidRPr="00B20D15">
        <w:t xml:space="preserve">s. med befintlig teknik hur man billigast </w:t>
      </w:r>
      <w:r w:rsidR="00642766" w:rsidRPr="00B20D15">
        <w:t xml:space="preserve">kan </w:t>
      </w:r>
      <w:r w:rsidRPr="00B20D15">
        <w:t>få en viss utsläppsminskning. I</w:t>
      </w:r>
      <w:r w:rsidR="008D59CC" w:rsidRPr="00B20D15">
        <w:t xml:space="preserve"> propositionen står vidare </w:t>
      </w:r>
      <w:r w:rsidR="00ED5A7D" w:rsidRPr="00B20D15">
        <w:t>”</w:t>
      </w:r>
      <w:r w:rsidR="008D59CC" w:rsidRPr="00B20D15">
        <w:t xml:space="preserve">att det dock kan vara angeläget </w:t>
      </w:r>
      <w:r w:rsidRPr="00B20D15">
        <w:t>att i mindre omfattning genomföra åtgärder trots en lägre kostnad</w:t>
      </w:r>
      <w:r w:rsidRPr="00B20D15">
        <w:t>s</w:t>
      </w:r>
      <w:r w:rsidRPr="00B20D15">
        <w:t>effektivitet. Nya metoder och tekniker bör kunna prövas även om kostnaderna initialt är höga för demonstrationsprojekt.” D</w:t>
      </w:r>
      <w:r w:rsidR="008D59CC" w:rsidRPr="00B20D15">
        <w:t>etta har sedan kommit att tolka</w:t>
      </w:r>
      <w:r w:rsidRPr="00B20D15">
        <w:t>s att omfatta någon enstaka procent av medlen.</w:t>
      </w:r>
    </w:p>
    <w:p w:rsidR="00CC0DFA" w:rsidRPr="00B20D15" w:rsidRDefault="00CC0DFA">
      <w:pPr>
        <w:pStyle w:val="Normaltindrag"/>
        <w:shd w:val="clear" w:color="000000" w:fill="auto"/>
      </w:pPr>
      <w:r w:rsidRPr="00B20D15">
        <w:t>Det som är kostnadseffektivt på kort sikt är inte alltid det som är mest kostnadseffektivt på längre sikt. Det är också viktigt att beakta möjligheten att stödja utvecklingen av nya företag, produkter och metoder som kan ge ut</w:t>
      </w:r>
      <w:r w:rsidR="00ED5A7D" w:rsidRPr="00B20D15">
        <w:softHyphen/>
      </w:r>
      <w:r w:rsidRPr="00B20D15">
        <w:t>släppsminsk</w:t>
      </w:r>
      <w:r w:rsidR="002D19F4" w:rsidRPr="00B20D15">
        <w:t>n</w:t>
      </w:r>
      <w:r w:rsidRPr="00B20D15">
        <w:t>ingar i framtiden, både i Sverige och utomlands. Riksdagen bör förtydliga att en något större andel kan och bör användas för sådana mer framtidsinriktade satsningar. Även dessa måste dock ingå i ett sammanhang som gör trovärdigt att pengarna kommer till god användning.</w:t>
      </w:r>
    </w:p>
    <w:p w:rsidR="00CC0DFA" w:rsidRPr="00B20D15" w:rsidRDefault="008D59CC">
      <w:pPr>
        <w:pStyle w:val="Normaltindrag"/>
        <w:shd w:val="clear" w:color="000000" w:fill="auto"/>
      </w:pPr>
      <w:r w:rsidRPr="00B20D15">
        <w:t xml:space="preserve">Swentecs </w:t>
      </w:r>
      <w:r w:rsidR="00642766" w:rsidRPr="00B20D15">
        <w:t>uppdrag är att bl.</w:t>
      </w:r>
      <w:r w:rsidR="00CC0DFA" w:rsidRPr="00B20D15">
        <w:t>a. främja utveckling, kommersialisering mar</w:t>
      </w:r>
      <w:r w:rsidR="00CC0DFA" w:rsidRPr="00B20D15">
        <w:t>k</w:t>
      </w:r>
      <w:r w:rsidR="00CC0DFA" w:rsidRPr="00B20D15">
        <w:t>nads</w:t>
      </w:r>
      <w:r w:rsidR="001C6605" w:rsidRPr="00B20D15">
        <w:softHyphen/>
      </w:r>
      <w:r w:rsidR="00CC0DFA" w:rsidRPr="00B20D15">
        <w:t>introduktion av miljölösningar, inklusive sådana för minskad klimatp</w:t>
      </w:r>
      <w:r w:rsidR="00CC0DFA" w:rsidRPr="00B20D15">
        <w:t>å</w:t>
      </w:r>
      <w:r w:rsidR="00CC0DFA" w:rsidRPr="00B20D15">
        <w:t>verkan.</w:t>
      </w:r>
    </w:p>
    <w:p w:rsidR="00CC0DFA" w:rsidRPr="00B20D15" w:rsidRDefault="00CC0DFA">
      <w:pPr>
        <w:pStyle w:val="Normaltindrag"/>
        <w:shd w:val="clear" w:color="000000" w:fill="auto"/>
      </w:pPr>
      <w:r w:rsidRPr="00B20D15">
        <w:t xml:space="preserve">Ett mer formaliserat samarbete mellan Naturvårdsverket och </w:t>
      </w:r>
      <w:r w:rsidR="008D59CC" w:rsidRPr="00B20D15">
        <w:t xml:space="preserve">Swentec </w:t>
      </w:r>
      <w:r w:rsidRPr="00B20D15">
        <w:t xml:space="preserve">kring Klimp skulle kunna ge positiva </w:t>
      </w:r>
      <w:r w:rsidR="00642766" w:rsidRPr="00B20D15">
        <w:t>synergieffekter. Det skulle bl.</w:t>
      </w:r>
      <w:r w:rsidRPr="00B20D15">
        <w:t>a. främja mer långsiktiga framtidsinriktade satsningar inom utveckling, kommersialis</w:t>
      </w:r>
      <w:r w:rsidRPr="00B20D15">
        <w:t>e</w:t>
      </w:r>
      <w:r w:rsidRPr="00B20D15">
        <w:t>ring och marknads</w:t>
      </w:r>
      <w:r w:rsidR="001C6605" w:rsidRPr="00B20D15">
        <w:softHyphen/>
      </w:r>
      <w:r w:rsidRPr="00B20D15">
        <w:t>introduktion av klimatförbättrande lösningar. Framförallt skulle ett mer långsiktigt perspektiv i beviljade satsningar kunna införas.</w:t>
      </w:r>
    </w:p>
    <w:p w:rsidR="00CC0DFA" w:rsidRPr="00B20D15" w:rsidRDefault="00CC0DFA">
      <w:pPr>
        <w:pStyle w:val="Normaltindrag"/>
        <w:shd w:val="clear" w:color="000000" w:fill="auto"/>
      </w:pPr>
      <w:r w:rsidRPr="00B20D15">
        <w:t xml:space="preserve">Riksdagen bör således tydliggöra att en något större andel av Klimpmedlen kan och bör användas för mer framtidsinriktade satsningar på ny teknik, i samverkan mellan Naturvårdsverket och </w:t>
      </w:r>
      <w:r w:rsidR="008D59CC" w:rsidRPr="00B20D15">
        <w:t xml:space="preserve">Swentec </w:t>
      </w:r>
      <w:r w:rsidRPr="00B20D15">
        <w:t>enligt vad som beskrivits ovan.</w:t>
      </w:r>
    </w:p>
    <w:p w:rsidR="00CC0DFA" w:rsidRPr="00B20D15" w:rsidRDefault="00CC0DFA">
      <w:pPr>
        <w:pStyle w:val="Rubrik2"/>
        <w:shd w:val="clear" w:color="000000" w:fill="auto"/>
      </w:pPr>
      <w:bookmarkStart w:id="20" w:name="_Toc151083940"/>
      <w:r w:rsidRPr="00B20D15">
        <w:t xml:space="preserve">Ja till fortsatt satsning på integrering av IFS och </w:t>
      </w:r>
      <w:r w:rsidR="008D59CC" w:rsidRPr="00B20D15">
        <w:t>Almi</w:t>
      </w:r>
      <w:bookmarkEnd w:id="20"/>
    </w:p>
    <w:p w:rsidR="00CC0DFA" w:rsidRPr="00B20D15" w:rsidRDefault="00CC0DFA">
      <w:pPr>
        <w:pStyle w:val="Normaltindrag"/>
        <w:shd w:val="clear" w:color="000000" w:fill="auto"/>
        <w:ind w:firstLine="0"/>
      </w:pPr>
      <w:r w:rsidRPr="00B20D15">
        <w:t xml:space="preserve">Miljöpartiet var i budgetpropositionen för 2006 med och tog initiativ till att stödja samarbetet mellan IFS och </w:t>
      </w:r>
      <w:r w:rsidR="008D59CC" w:rsidRPr="00B20D15">
        <w:t>Almi</w:t>
      </w:r>
      <w:r w:rsidRPr="00B20D15">
        <w:t>. Vi välkomnar att regeringen fortsätter detta viktiga arbete och bifaller därför satsningen på ytterligare 80 miljoner kronor för detta arbete.</w:t>
      </w:r>
    </w:p>
    <w:p w:rsidR="00945393" w:rsidRPr="00B20D15" w:rsidRDefault="00945393">
      <w:pPr>
        <w:pStyle w:val="Rubrik2"/>
        <w:shd w:val="clear" w:color="000000" w:fill="auto"/>
      </w:pPr>
      <w:bookmarkStart w:id="21" w:name="_Toc151083941"/>
      <w:r w:rsidRPr="00B20D15">
        <w:t>Satsning på ekoturism</w:t>
      </w:r>
      <w:bookmarkEnd w:id="21"/>
    </w:p>
    <w:p w:rsidR="00945393" w:rsidRPr="00B20D15" w:rsidRDefault="008F30D9">
      <w:pPr>
        <w:pStyle w:val="Normaltindrag"/>
        <w:shd w:val="clear" w:color="000000" w:fill="auto"/>
        <w:ind w:firstLine="0"/>
      </w:pPr>
      <w:r w:rsidRPr="00B20D15">
        <w:t>Sverige är ett fantastiskt land för ekoturism. Många svenska företag är också framgångsrika inom detta område. Många aktörer är däremot fortfarande små och har svårt att marknadsföra sig internationellt. Miljöpartiet anser att ett progr</w:t>
      </w:r>
      <w:r w:rsidR="00CC0DFA" w:rsidRPr="00B20D15">
        <w:t>am behövs för att stärka svensk</w:t>
      </w:r>
      <w:r w:rsidRPr="00B20D15">
        <w:t xml:space="preserve"> ekoturism ytterligare och vill därför tillföra ytterligare fem miljoner till anslag </w:t>
      </w:r>
      <w:r w:rsidR="00CC0DFA" w:rsidRPr="00B20D15">
        <w:t>38:4</w:t>
      </w:r>
      <w:r w:rsidRPr="00B20D15">
        <w:t xml:space="preserve"> </w:t>
      </w:r>
      <w:r w:rsidR="008D59CC" w:rsidRPr="00B20D15">
        <w:t>Turistfrämjande</w:t>
      </w:r>
      <w:r w:rsidRPr="00B20D15">
        <w:t>.</w:t>
      </w:r>
    </w:p>
    <w:p w:rsidR="00184042" w:rsidRPr="00B20D15" w:rsidRDefault="00184042">
      <w:pPr>
        <w:pStyle w:val="Rubrik2"/>
        <w:shd w:val="clear" w:color="000000" w:fill="auto"/>
      </w:pPr>
      <w:bookmarkStart w:id="22" w:name="_Toc151083942"/>
      <w:r w:rsidRPr="00B20D15">
        <w:t>Satsningar på ett mer aktivt standardiseringsarbete</w:t>
      </w:r>
      <w:bookmarkEnd w:id="22"/>
    </w:p>
    <w:p w:rsidR="00593D41" w:rsidRPr="00B20D15" w:rsidRDefault="00593D41">
      <w:pPr>
        <w:pStyle w:val="Normaltindrag"/>
        <w:shd w:val="clear" w:color="000000" w:fill="auto"/>
        <w:ind w:firstLine="0"/>
      </w:pPr>
      <w:r w:rsidRPr="00B20D15">
        <w:t>1 300 nya och reviderade internationella standarder presenteras varje år. E</w:t>
      </w:r>
      <w:r w:rsidRPr="00B20D15">
        <w:t>n</w:t>
      </w:r>
      <w:r w:rsidRPr="00B20D15">
        <w:t>bart på europeisk standardiseringsnivå är</w:t>
      </w:r>
      <w:r w:rsidR="00ED5A7D" w:rsidRPr="00B20D15">
        <w:t xml:space="preserve"> ungefär 1500 kommittéer och 60 </w:t>
      </w:r>
      <w:r w:rsidRPr="00B20D15">
        <w:t>000 personer engagerade. Sverige har en ledande roll i standardiseringsa</w:t>
      </w:r>
      <w:r w:rsidRPr="00B20D15">
        <w:t>r</w:t>
      </w:r>
      <w:r w:rsidRPr="00B20D15">
        <w:t>betet, bl.a. leder vi tillsammans med Brasilien arbetet med att ta fram en gl</w:t>
      </w:r>
      <w:r w:rsidRPr="00B20D15">
        <w:t>o</w:t>
      </w:r>
      <w:r w:rsidRPr="00B20D15">
        <w:t>bal standard för socialt ansvar.</w:t>
      </w:r>
    </w:p>
    <w:p w:rsidR="00593D41" w:rsidRPr="00B20D15" w:rsidRDefault="00593D41">
      <w:pPr>
        <w:pStyle w:val="Normaltindrag"/>
        <w:shd w:val="clear" w:color="000000" w:fill="auto"/>
      </w:pPr>
      <w:r w:rsidRPr="00B20D15">
        <w:t>Miljö- och konsumentrörelsen ser den ökande standardiseringen som en möjlighet att höja nivån på miljöarbetet, men det förutsätter att standardis</w:t>
      </w:r>
      <w:r w:rsidRPr="00B20D15">
        <w:t>e</w:t>
      </w:r>
      <w:r w:rsidRPr="00B20D15">
        <w:t>ringsarbetet sker öppet och att samhällets organisationer är representerade i hela processen. Frågan om delaktighet gäller inte bara svenska småföretag och miljö- och konsumentintressen, utan i minst lika hög grad globalt. Flert</w:t>
      </w:r>
      <w:r w:rsidRPr="00B20D15">
        <w:t>a</w:t>
      </w:r>
      <w:r w:rsidRPr="00B20D15">
        <w:t>let av ISO:s 151 medlemsländer kan av ekonomiska och fackkunskaps</w:t>
      </w:r>
      <w:r w:rsidR="00ED5A7D" w:rsidRPr="00B20D15">
        <w:softHyphen/>
      </w:r>
      <w:r w:rsidRPr="00B20D15">
        <w:t>mässiga skäl endast i mycket begränsad omfattning delta i standardiserings</w:t>
      </w:r>
      <w:r w:rsidR="001C6605" w:rsidRPr="00B20D15">
        <w:softHyphen/>
      </w:r>
      <w:r w:rsidRPr="00B20D15">
        <w:t>arbetet. I åtskilliga kommittéer har de minst utvecklade länderna ingen repr</w:t>
      </w:r>
      <w:r w:rsidRPr="00B20D15">
        <w:t>e</w:t>
      </w:r>
      <w:r w:rsidRPr="00B20D15">
        <w:t>sentation alls.</w:t>
      </w:r>
    </w:p>
    <w:p w:rsidR="00593D41" w:rsidRPr="00B20D15" w:rsidRDefault="00593D41">
      <w:pPr>
        <w:pStyle w:val="Normaltindrag"/>
        <w:shd w:val="clear" w:color="000000" w:fill="auto"/>
      </w:pPr>
      <w:r w:rsidRPr="00B20D15">
        <w:t>Sverige saknar ännu en standardiseringsstrategi. Miljöpartiet menar att ett arbete med en sådan strategi bör inledas skyndsamt och att vi i strategin ska ha med hur de minst utvecklade länderna kan gynnas samt hur mindre företag och ideella organisationer kan ges bättre representation i standardiseringsa</w:t>
      </w:r>
      <w:r w:rsidRPr="00B20D15">
        <w:t>r</w:t>
      </w:r>
      <w:r w:rsidRPr="00B20D15">
        <w:t>bete. Regeringen bör snarast inleda arbetet med att ta fram en nationell strat</w:t>
      </w:r>
      <w:r w:rsidRPr="00B20D15">
        <w:t>e</w:t>
      </w:r>
      <w:r w:rsidRPr="00B20D15">
        <w:t>gi med dessa förtecken.</w:t>
      </w:r>
      <w:r w:rsidR="00C6387F" w:rsidRPr="00B20D15">
        <w:t xml:space="preserve"> Miljöpartiet avsätt</w:t>
      </w:r>
      <w:r w:rsidR="00D64849" w:rsidRPr="00B20D15">
        <w:t>er</w:t>
      </w:r>
      <w:r w:rsidR="00C6387F" w:rsidRPr="00B20D15">
        <w:t xml:space="preserve"> </w:t>
      </w:r>
      <w:r w:rsidR="00ED5A7D" w:rsidRPr="00B20D15">
        <w:t>för detta ändamål ytterligare 5 </w:t>
      </w:r>
      <w:r w:rsidR="00C6387F" w:rsidRPr="00B20D15">
        <w:t xml:space="preserve">miljoner </w:t>
      </w:r>
      <w:r w:rsidR="00642766" w:rsidRPr="00B20D15">
        <w:t xml:space="preserve">kronor </w:t>
      </w:r>
      <w:r w:rsidR="00C6387F" w:rsidRPr="00B20D15">
        <w:t xml:space="preserve">till anslag 39:6 </w:t>
      </w:r>
      <w:r w:rsidR="008D59CC" w:rsidRPr="00B20D15">
        <w:t xml:space="preserve">Bidrag </w:t>
      </w:r>
      <w:r w:rsidR="00C6387F" w:rsidRPr="00B20D15">
        <w:t>till standardisering.</w:t>
      </w:r>
    </w:p>
    <w:p w:rsidR="006F4730" w:rsidRPr="00B20D15" w:rsidRDefault="006F4730">
      <w:pPr>
        <w:pStyle w:val="Rubrik2"/>
        <w:shd w:val="clear" w:color="000000" w:fill="auto"/>
      </w:pPr>
      <w:bookmarkStart w:id="23" w:name="_Toc151083943"/>
      <w:r w:rsidRPr="00B20D15">
        <w:t>Exportfrämjande</w:t>
      </w:r>
      <w:bookmarkEnd w:id="23"/>
    </w:p>
    <w:p w:rsidR="006F4730" w:rsidRPr="00B20D15" w:rsidRDefault="006F4730">
      <w:pPr>
        <w:pStyle w:val="Normaltindrag"/>
        <w:shd w:val="clear" w:color="000000" w:fill="auto"/>
        <w:ind w:firstLine="0"/>
      </w:pPr>
      <w:r w:rsidRPr="00B20D15">
        <w:t>Vi välkomnar regeringen</w:t>
      </w:r>
      <w:r w:rsidR="00ED5A7D" w:rsidRPr="00B20D15">
        <w:t>s</w:t>
      </w:r>
      <w:r w:rsidRPr="00B20D15">
        <w:t xml:space="preserve"> översyn vad det gäller exportfrämjande. Vi prior</w:t>
      </w:r>
      <w:r w:rsidRPr="00B20D15">
        <w:t>i</w:t>
      </w:r>
      <w:r w:rsidRPr="00B20D15">
        <w:t>terar framtidsbranscher för mån</w:t>
      </w:r>
      <w:r w:rsidR="00F474F1" w:rsidRPr="00B20D15">
        <w:t>ga små och medelstora företag (S</w:t>
      </w:r>
      <w:r w:rsidRPr="00B20D15">
        <w:t>veriges framtida storföretag) inom miljö och hållbar utveckling.</w:t>
      </w:r>
    </w:p>
    <w:p w:rsidR="00A950F2" w:rsidRPr="00B20D15" w:rsidRDefault="00A950F2">
      <w:pPr>
        <w:pStyle w:val="Rubrik2"/>
        <w:shd w:val="clear" w:color="000000" w:fill="auto"/>
      </w:pPr>
      <w:bookmarkStart w:id="24" w:name="_Toc151083944"/>
      <w:r w:rsidRPr="00B20D15">
        <w:t>Viktiga åtgärder utanför politikområdet</w:t>
      </w:r>
      <w:bookmarkEnd w:id="24"/>
    </w:p>
    <w:p w:rsidR="00A950F2" w:rsidRPr="00B20D15" w:rsidRDefault="00A950F2">
      <w:pPr>
        <w:pStyle w:val="Normaltindrag"/>
        <w:shd w:val="clear" w:color="000000" w:fill="auto"/>
        <w:ind w:firstLine="0"/>
      </w:pPr>
      <w:r w:rsidRPr="00B20D15">
        <w:t>Miljöpartiet menar att den förmånsrättsreform som drevs igenom med stöd av Kristdemokraterna, Socialdemokraterna och Vänsterpartiet har varit mycket skadlig för svenska små och medelstora företag. R</w:t>
      </w:r>
      <w:r w:rsidR="00A07103" w:rsidRPr="00B20D15">
        <w:t>eformen bör omedelbart återtas (beskrivs närmare i motion till arbetsmarknadsutskottet).</w:t>
      </w:r>
    </w:p>
    <w:p w:rsidR="00D90529" w:rsidRPr="00B20D15" w:rsidRDefault="00A950F2">
      <w:pPr>
        <w:pStyle w:val="Normaltindrag"/>
        <w:shd w:val="clear" w:color="000000" w:fill="auto"/>
      </w:pPr>
      <w:r w:rsidRPr="00B20D15">
        <w:t xml:space="preserve">För att underlätta den privata kapitalbildningen vill vi </w:t>
      </w:r>
      <w:r w:rsidR="00593D41" w:rsidRPr="00B20D15">
        <w:t xml:space="preserve">utreda möjligheten till </w:t>
      </w:r>
      <w:r w:rsidRPr="00B20D15">
        <w:t>ett skattefritt sparande för start av näringsverksamhet</w:t>
      </w:r>
      <w:r w:rsidR="00593D41" w:rsidRPr="00B20D15">
        <w:t>.</w:t>
      </w:r>
    </w:p>
    <w:p w:rsidR="00A950F2" w:rsidRPr="00B20D15" w:rsidRDefault="008D59CC">
      <w:pPr>
        <w:pStyle w:val="Rubrik2"/>
        <w:shd w:val="clear" w:color="000000" w:fill="auto"/>
      </w:pPr>
      <w:bookmarkStart w:id="25" w:name="_Toc151083945"/>
      <w:r w:rsidRPr="00B20D15">
        <w:t>Reformering av 3:12-</w:t>
      </w:r>
      <w:r w:rsidR="00A573CA" w:rsidRPr="00B20D15">
        <w:t>reglerna och vissa andra skattefrågor</w:t>
      </w:r>
      <w:bookmarkEnd w:id="25"/>
    </w:p>
    <w:p w:rsidR="00A573CA" w:rsidRPr="00B20D15" w:rsidRDefault="00593D41">
      <w:pPr>
        <w:shd w:val="clear" w:color="000000" w:fill="auto"/>
      </w:pPr>
      <w:r w:rsidRPr="00B20D15">
        <w:t xml:space="preserve">Miljöpartiet ser positivt på </w:t>
      </w:r>
      <w:r w:rsidR="00A573CA" w:rsidRPr="00B20D15">
        <w:t xml:space="preserve">den </w:t>
      </w:r>
      <w:r w:rsidR="008D59CC" w:rsidRPr="00B20D15">
        <w:t>fortsatta reformeringen av 3:12-</w:t>
      </w:r>
      <w:r w:rsidR="00A573CA" w:rsidRPr="00B20D15">
        <w:t xml:space="preserve">reglerna </w:t>
      </w:r>
      <w:r w:rsidRPr="00B20D15">
        <w:t xml:space="preserve">som regeringen </w:t>
      </w:r>
      <w:r w:rsidR="00A573CA" w:rsidRPr="00B20D15">
        <w:t>föreslår för att</w:t>
      </w:r>
      <w:r w:rsidRPr="00B20D15">
        <w:t xml:space="preserve"> underlätta för företagen. </w:t>
      </w:r>
      <w:r w:rsidR="00A573CA" w:rsidRPr="00B20D15">
        <w:t>Reformeringen av</w:t>
      </w:r>
      <w:r w:rsidR="008D59CC" w:rsidRPr="00B20D15">
        <w:t xml:space="preserve"> 3:12-</w:t>
      </w:r>
      <w:r w:rsidR="00A573CA" w:rsidRPr="00B20D15">
        <w:t xml:space="preserve">reglerna har </w:t>
      </w:r>
      <w:r w:rsidRPr="00B20D15">
        <w:t>vi själva drivit aktivt och kan därför välkomna att de nu geno</w:t>
      </w:r>
      <w:r w:rsidRPr="00B20D15">
        <w:t>m</w:t>
      </w:r>
      <w:r w:rsidRPr="00B20D15">
        <w:t>förs</w:t>
      </w:r>
      <w:r w:rsidR="00652E59" w:rsidRPr="00B20D15">
        <w:t>.</w:t>
      </w:r>
    </w:p>
    <w:p w:rsidR="00A573CA" w:rsidRPr="00B20D15" w:rsidRDefault="00A573CA">
      <w:pPr>
        <w:pStyle w:val="Normaltindrag"/>
        <w:shd w:val="clear" w:color="000000" w:fill="auto"/>
      </w:pPr>
      <w:r w:rsidRPr="00B20D15">
        <w:t>Till skillnad från regeringen ser vi dock ett stort problem i avskaffandet av den allmänna nedsättningen av arbetsgivaravgiften och egenavgiften som regeringen föreslår. Särskilt allvarligt är detta då de förslag till skattenedsät</w:t>
      </w:r>
      <w:r w:rsidRPr="00B20D15">
        <w:t>t</w:t>
      </w:r>
      <w:r w:rsidRPr="00B20D15">
        <w:t>ningar som man föreslår vad gäller vissa tjänsteföretag skjuts på framtiden. Detta innebär nämligen i praktiken att många tjänsteföretag (liksom andra företag) får kraftigt höjda arbetsgivar</w:t>
      </w:r>
      <w:r w:rsidR="001C6605" w:rsidRPr="00B20D15">
        <w:softHyphen/>
      </w:r>
      <w:r w:rsidRPr="00B20D15">
        <w:t>avgifter under de närmaste åren. Vi är också mycket tveksamma till regeringen</w:t>
      </w:r>
      <w:r w:rsidR="00B53D7F" w:rsidRPr="00B20D15">
        <w:t>s</w:t>
      </w:r>
      <w:r w:rsidRPr="00B20D15">
        <w:t xml:space="preserve"> ambitioner att generellt skattesu</w:t>
      </w:r>
      <w:r w:rsidRPr="00B20D15">
        <w:t>b</w:t>
      </w:r>
      <w:r w:rsidRPr="00B20D15">
        <w:t xml:space="preserve">ventionera tjänsteföretag som inte alla är utsatta för internationell konkurrens medan man höjer </w:t>
      </w:r>
      <w:r w:rsidR="002460B0" w:rsidRPr="00B20D15">
        <w:t>skatterna för mindre konkurrens</w:t>
      </w:r>
      <w:r w:rsidRPr="00B20D15">
        <w:t>utsatta industriföretag.</w:t>
      </w:r>
    </w:p>
    <w:p w:rsidR="007B6F01" w:rsidRPr="00B20D15" w:rsidRDefault="006F4730">
      <w:pPr>
        <w:pStyle w:val="Rubrik2"/>
        <w:shd w:val="clear" w:color="000000" w:fill="auto"/>
      </w:pPr>
      <w:bookmarkStart w:id="26" w:name="_Toc151083946"/>
      <w:r w:rsidRPr="00B20D15">
        <w:t>Utförsäljning av statliga bolag</w:t>
      </w:r>
      <w:bookmarkEnd w:id="26"/>
    </w:p>
    <w:p w:rsidR="001C6605" w:rsidRPr="00B20D15" w:rsidRDefault="006F4730">
      <w:pPr>
        <w:pStyle w:val="Normaltindrag"/>
        <w:shd w:val="clear" w:color="000000" w:fill="auto"/>
        <w:ind w:firstLine="0"/>
      </w:pPr>
      <w:r w:rsidRPr="00B20D15">
        <w:t>Vi välkomnar regeringen</w:t>
      </w:r>
      <w:r w:rsidR="004A366F" w:rsidRPr="00B20D15">
        <w:t>s</w:t>
      </w:r>
      <w:r w:rsidRPr="00B20D15">
        <w:t xml:space="preserve"> översyn över det statliga ägandet. </w:t>
      </w:r>
      <w:r w:rsidR="00EC7AF4" w:rsidRPr="00B20D15">
        <w:t>Miljöpar</w:t>
      </w:r>
      <w:r w:rsidR="008D59CC" w:rsidRPr="00B20D15">
        <w:t>t</w:t>
      </w:r>
      <w:r w:rsidR="00EC7AF4" w:rsidRPr="00B20D15">
        <w:t xml:space="preserve">iet menar att det </w:t>
      </w:r>
      <w:r w:rsidR="00642766" w:rsidRPr="00B20D15">
        <w:t xml:space="preserve">kan </w:t>
      </w:r>
      <w:r w:rsidR="00EC7AF4" w:rsidRPr="00B20D15">
        <w:t xml:space="preserve">finns </w:t>
      </w:r>
      <w:r w:rsidR="00642766" w:rsidRPr="00B20D15">
        <w:t xml:space="preserve">en </w:t>
      </w:r>
      <w:r w:rsidR="00EC7AF4" w:rsidRPr="00B20D15">
        <w:t>potential till utförsäljningar av statliga bolag. Efter översynen av ägandet avser vi återkomma med vilka bolag som vi anser mö</w:t>
      </w:r>
      <w:r w:rsidR="00EC7AF4" w:rsidRPr="00B20D15">
        <w:t>j</w:t>
      </w:r>
      <w:r w:rsidR="00EC7AF4" w:rsidRPr="00B20D15">
        <w:t xml:space="preserve">liga att sälja. Parallellt med detta är det viktigt att också styrningen av </w:t>
      </w:r>
      <w:r w:rsidR="008D59CC" w:rsidRPr="00B20D15">
        <w:t xml:space="preserve">de </w:t>
      </w:r>
      <w:r w:rsidR="00EC7AF4" w:rsidRPr="00B20D15">
        <w:t>statliga bolagen ses över och förbättras i enligt med vad som beskrivs i Milj</w:t>
      </w:r>
      <w:r w:rsidR="00EC7AF4" w:rsidRPr="00B20D15">
        <w:t>ö</w:t>
      </w:r>
      <w:r w:rsidR="00EC7AF4" w:rsidRPr="00B20D15">
        <w:t xml:space="preserve">partiets motion om styrningen av statliga bolag.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20D15">
        <w:trPr>
          <w:cantSplit/>
        </w:trPr>
        <w:tc>
          <w:tcPr>
            <w:tcW w:w="3046" w:type="dxa"/>
          </w:tcPr>
          <w:p w:rsidR="00BC23F6" w:rsidRPr="00B20D15" w:rsidRDefault="00BC23F6">
            <w:pPr>
              <w:pStyle w:val="UnderskriftDatum"/>
              <w:shd w:val="clear" w:color="000000" w:fill="auto"/>
              <w:spacing w:before="240"/>
            </w:pPr>
            <w:r w:rsidRPr="00B20D15">
              <w:t>Stockholm den 31 oktober 2006</w:t>
            </w:r>
          </w:p>
        </w:tc>
        <w:tc>
          <w:tcPr>
            <w:tcW w:w="3047" w:type="dxa"/>
          </w:tcPr>
          <w:p w:rsidR="00BC23F6" w:rsidRPr="00B20D15" w:rsidRDefault="00BC23F6">
            <w:pPr>
              <w:pStyle w:val="Underskrifter"/>
              <w:shd w:val="clear" w:color="000000" w:fill="auto"/>
              <w:spacing w:before="240"/>
            </w:pPr>
          </w:p>
        </w:tc>
      </w:tr>
      <w:tr w:rsidR="00000000" w:rsidRPr="00B20D15">
        <w:trPr>
          <w:cantSplit/>
        </w:trPr>
        <w:tc>
          <w:tcPr>
            <w:tcW w:w="3046" w:type="dxa"/>
          </w:tcPr>
          <w:p w:rsidR="00BC23F6" w:rsidRPr="00B20D15" w:rsidRDefault="00BC23F6">
            <w:pPr>
              <w:pStyle w:val="Underskrifter"/>
              <w:shd w:val="clear" w:color="000000" w:fill="auto"/>
            </w:pPr>
            <w:r w:rsidRPr="00B20D15">
              <w:t>Per Bolund (mp)</w:t>
            </w:r>
          </w:p>
        </w:tc>
        <w:tc>
          <w:tcPr>
            <w:tcW w:w="3046" w:type="dxa"/>
          </w:tcPr>
          <w:p w:rsidR="00BC23F6" w:rsidRPr="00B20D15" w:rsidRDefault="00BC23F6">
            <w:pPr>
              <w:pStyle w:val="Underskrifter"/>
              <w:shd w:val="clear" w:color="000000" w:fill="auto"/>
            </w:pPr>
          </w:p>
        </w:tc>
      </w:tr>
      <w:tr w:rsidR="00000000" w:rsidRPr="00B20D15">
        <w:trPr>
          <w:cantSplit/>
        </w:trPr>
        <w:tc>
          <w:tcPr>
            <w:tcW w:w="3046" w:type="dxa"/>
          </w:tcPr>
          <w:p w:rsidR="00BC23F6" w:rsidRPr="00B20D15" w:rsidRDefault="00BC23F6">
            <w:pPr>
              <w:pStyle w:val="Underskrifter"/>
              <w:shd w:val="clear" w:color="000000" w:fill="auto"/>
            </w:pPr>
            <w:r w:rsidRPr="00B20D15">
              <w:t>Mikaela Valtersson (mp)</w:t>
            </w:r>
          </w:p>
        </w:tc>
        <w:tc>
          <w:tcPr>
            <w:tcW w:w="3046" w:type="dxa"/>
          </w:tcPr>
          <w:p w:rsidR="00BC23F6" w:rsidRPr="00B20D15" w:rsidRDefault="00BC23F6">
            <w:pPr>
              <w:pStyle w:val="Underskrifter"/>
              <w:shd w:val="clear" w:color="000000" w:fill="auto"/>
            </w:pPr>
            <w:r w:rsidRPr="00B20D15">
              <w:t>Tina Ehn (mp)</w:t>
            </w:r>
          </w:p>
        </w:tc>
      </w:tr>
    </w:tbl>
    <w:p w:rsidR="00F82996" w:rsidRPr="00B20D15" w:rsidRDefault="00F82996">
      <w:pPr>
        <w:pStyle w:val="Normaltindrag"/>
        <w:shd w:val="clear" w:color="000000" w:fill="auto"/>
      </w:pPr>
    </w:p>
    <w:sectPr w:rsidR="00F82996" w:rsidRPr="00B20D15" w:rsidSect="008D59C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23F6" w:rsidRPr="00B20D15" w:rsidRDefault="00BC23F6">
      <w:r w:rsidRPr="00B20D15">
        <w:separator/>
      </w:r>
    </w:p>
  </w:endnote>
  <w:endnote w:type="continuationSeparator" w:id="0">
    <w:p w:rsidR="00BC23F6" w:rsidRPr="00B20D15" w:rsidRDefault="00BC23F6">
      <w:r w:rsidRPr="00B20D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5E44" w:rsidRPr="00B20D15" w:rsidRDefault="00B20D15" w:rsidP="008D59CC">
    <w:pPr>
      <w:pStyle w:val="Sidfot"/>
    </w:pPr>
    <w:r w:rsidRPr="00B20D1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22776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59CC" w:rsidRDefault="00BC23F6">
                          <w:pPr>
                            <w:pStyle w:val="NormalS5sidnrV"/>
                          </w:pPr>
                          <w:r>
                            <w:fldChar w:fldCharType="begin"/>
                          </w:r>
                          <w:r w:rsidR="008D59CC">
                            <w:instrText xml:space="preserve"> PAGE *\charformat</w:instrText>
                          </w:r>
                          <w:r>
                            <w:fldChar w:fldCharType="separate"/>
                          </w:r>
                          <w:r w:rsidR="0043212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D59CC" w:rsidRDefault="00BC23F6">
                    <w:pPr>
                      <w:pStyle w:val="NormalS5sidnrV"/>
                    </w:pPr>
                    <w:r>
                      <w:fldChar w:fldCharType="begin"/>
                    </w:r>
                    <w:r w:rsidR="008D59CC">
                      <w:instrText xml:space="preserve"> PAGE *\charformat</w:instrText>
                    </w:r>
                    <w:r>
                      <w:fldChar w:fldCharType="separate"/>
                    </w:r>
                    <w:r w:rsidR="0043212E">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5E44" w:rsidRPr="00B20D15" w:rsidRDefault="00B20D15" w:rsidP="008D59CC">
    <w:pPr>
      <w:pStyle w:val="Sidfot"/>
    </w:pPr>
    <w:r w:rsidRPr="00B20D1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77307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59CC" w:rsidRDefault="00BC23F6">
                          <w:pPr>
                            <w:pStyle w:val="NormalS5sidnrH"/>
                            <w:ind w:right="0"/>
                          </w:pPr>
                          <w:r>
                            <w:fldChar w:fldCharType="begin"/>
                          </w:r>
                          <w:r w:rsidR="008D59CC">
                            <w:instrText xml:space="preserve"> PAGE *\charformat</w:instrText>
                          </w:r>
                          <w:r>
                            <w:fldChar w:fldCharType="separate"/>
                          </w:r>
                          <w:r w:rsidR="0043212E">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D59CC" w:rsidRDefault="00BC23F6">
                    <w:pPr>
                      <w:pStyle w:val="NormalS5sidnrH"/>
                      <w:ind w:right="0"/>
                    </w:pPr>
                    <w:r>
                      <w:fldChar w:fldCharType="begin"/>
                    </w:r>
                    <w:r w:rsidR="008D59CC">
                      <w:instrText xml:space="preserve"> PAGE *\charformat</w:instrText>
                    </w:r>
                    <w:r>
                      <w:fldChar w:fldCharType="separate"/>
                    </w:r>
                    <w:r w:rsidR="0043212E">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5E44" w:rsidRPr="00B20D15" w:rsidRDefault="00B20D15" w:rsidP="008D59CC">
    <w:pPr>
      <w:pStyle w:val="Sidfot"/>
    </w:pPr>
    <w:r w:rsidRPr="00B20D1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60556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59CC" w:rsidRDefault="00BC23F6">
                          <w:pPr>
                            <w:pStyle w:val="NormalS5sidnrH"/>
                            <w:ind w:right="0"/>
                          </w:pPr>
                          <w:r>
                            <w:fldChar w:fldCharType="begin"/>
                          </w:r>
                          <w:r w:rsidR="008D59C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D59CC" w:rsidRDefault="00BC23F6">
                    <w:pPr>
                      <w:pStyle w:val="NormalS5sidnrH"/>
                      <w:ind w:right="0"/>
                    </w:pPr>
                    <w:r>
                      <w:fldChar w:fldCharType="begin"/>
                    </w:r>
                    <w:r w:rsidR="008D59C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23F6" w:rsidRPr="00B20D15" w:rsidRDefault="00BC23F6">
      <w:r w:rsidRPr="00B20D15">
        <w:separator/>
      </w:r>
    </w:p>
  </w:footnote>
  <w:footnote w:type="continuationSeparator" w:id="0">
    <w:p w:rsidR="00BC23F6" w:rsidRPr="00B20D15" w:rsidRDefault="00BC23F6">
      <w:r w:rsidRPr="00B20D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5E44" w:rsidRPr="00B20D15" w:rsidRDefault="00B20D15" w:rsidP="008D59CC">
    <w:pPr>
      <w:pStyle w:val="Sidhuvud"/>
    </w:pPr>
    <w:r w:rsidRPr="00B20D1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185269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59CC" w:rsidRDefault="00BC23F6">
                          <w:pPr>
                            <w:pStyle w:val="KantRubrikS5V"/>
                          </w:pPr>
                          <w:r>
                            <w:fldChar w:fldCharType="begin"/>
                          </w:r>
                          <w:r w:rsidR="008D59CC">
                            <w:instrText xml:space="preserve"> DOCPROPERTY "YearUser" *\charformat </w:instrText>
                          </w:r>
                          <w:r>
                            <w:fldChar w:fldCharType="separate"/>
                          </w:r>
                          <w:r w:rsidR="0043212E">
                            <w:t>2006/07</w:t>
                          </w:r>
                          <w:r>
                            <w:fldChar w:fldCharType="end"/>
                          </w:r>
                          <w:r w:rsidR="008D59CC">
                            <w:t>:</w:t>
                          </w:r>
                          <w:r>
                            <w:fldChar w:fldCharType="begin"/>
                          </w:r>
                          <w:r w:rsidR="008D59CC">
                            <w:instrText xml:space="preserve"> DOCPROPERTY "Motionsnummer" *\charformat </w:instrText>
                          </w:r>
                          <w:r>
                            <w:fldChar w:fldCharType="separate"/>
                          </w:r>
                          <w:r w:rsidR="0043212E">
                            <w:t>N344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D59CC" w:rsidRDefault="00BC23F6">
                    <w:pPr>
                      <w:pStyle w:val="KantRubrikS5V"/>
                    </w:pPr>
                    <w:r>
                      <w:fldChar w:fldCharType="begin"/>
                    </w:r>
                    <w:r w:rsidR="008D59CC">
                      <w:instrText xml:space="preserve"> DOCPROPERTY "YearUser" *\charformat </w:instrText>
                    </w:r>
                    <w:r>
                      <w:fldChar w:fldCharType="separate"/>
                    </w:r>
                    <w:r w:rsidR="0043212E">
                      <w:t>2006/07</w:t>
                    </w:r>
                    <w:r>
                      <w:fldChar w:fldCharType="end"/>
                    </w:r>
                    <w:r w:rsidR="008D59CC">
                      <w:t>:</w:t>
                    </w:r>
                    <w:r>
                      <w:fldChar w:fldCharType="begin"/>
                    </w:r>
                    <w:r w:rsidR="008D59CC">
                      <w:instrText xml:space="preserve"> DOCPROPERTY "Motionsnummer" *\charformat </w:instrText>
                    </w:r>
                    <w:r>
                      <w:fldChar w:fldCharType="separate"/>
                    </w:r>
                    <w:r w:rsidR="0043212E">
                      <w:t>N344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5E44" w:rsidRPr="00B20D15" w:rsidRDefault="00B20D15" w:rsidP="008D59CC">
    <w:pPr>
      <w:pStyle w:val="Sidhuvud"/>
    </w:pPr>
    <w:r w:rsidRPr="00B20D1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533753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59CC" w:rsidRDefault="00BC23F6">
                          <w:pPr>
                            <w:pStyle w:val="KantRubrikS5H"/>
                            <w:ind w:right="0"/>
                          </w:pPr>
                          <w:r>
                            <w:fldChar w:fldCharType="begin"/>
                          </w:r>
                          <w:r w:rsidR="008D59CC">
                            <w:instrText xml:space="preserve"> DOCPROPERTY "YearUser" *\charformat </w:instrText>
                          </w:r>
                          <w:r>
                            <w:fldChar w:fldCharType="separate"/>
                          </w:r>
                          <w:r w:rsidR="0043212E">
                            <w:t>2006/07</w:t>
                          </w:r>
                          <w:r>
                            <w:fldChar w:fldCharType="end"/>
                          </w:r>
                          <w:r w:rsidR="008D59CC">
                            <w:t>:</w:t>
                          </w:r>
                          <w:r>
                            <w:fldChar w:fldCharType="begin"/>
                          </w:r>
                          <w:r w:rsidR="008D59CC">
                            <w:instrText xml:space="preserve"> DOCPROPERTY "Motionsnummer" *\charformat </w:instrText>
                          </w:r>
                          <w:r>
                            <w:fldChar w:fldCharType="separate"/>
                          </w:r>
                          <w:r w:rsidR="0043212E">
                            <w:t>N344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D59CC" w:rsidRDefault="00BC23F6">
                    <w:pPr>
                      <w:pStyle w:val="KantRubrikS5H"/>
                      <w:ind w:right="0"/>
                    </w:pPr>
                    <w:r>
                      <w:fldChar w:fldCharType="begin"/>
                    </w:r>
                    <w:r w:rsidR="008D59CC">
                      <w:instrText xml:space="preserve"> DOCPROPERTY "YearUser" *\charformat </w:instrText>
                    </w:r>
                    <w:r>
                      <w:fldChar w:fldCharType="separate"/>
                    </w:r>
                    <w:r w:rsidR="0043212E">
                      <w:t>2006/07</w:t>
                    </w:r>
                    <w:r>
                      <w:fldChar w:fldCharType="end"/>
                    </w:r>
                    <w:r w:rsidR="008D59CC">
                      <w:t>:</w:t>
                    </w:r>
                    <w:r>
                      <w:fldChar w:fldCharType="begin"/>
                    </w:r>
                    <w:r w:rsidR="008D59CC">
                      <w:instrText xml:space="preserve"> DOCPROPERTY "Motionsnummer" *\charformat </w:instrText>
                    </w:r>
                    <w:r>
                      <w:fldChar w:fldCharType="separate"/>
                    </w:r>
                    <w:r w:rsidR="0043212E">
                      <w:t>N344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23F6" w:rsidRPr="00B20D15" w:rsidRDefault="00BC23F6">
    <w:pPr>
      <w:pStyle w:val="FSHNormal"/>
      <w:tabs>
        <w:tab w:val="right" w:pos="5840"/>
      </w:tabs>
    </w:pPr>
    <w:r w:rsidRPr="00B20D15">
      <w:br/>
    </w:r>
    <w:r w:rsidRPr="00B20D15">
      <w:fldChar w:fldCharType="begin" w:fldLock="1"/>
    </w:r>
    <w:r w:rsidRPr="00B20D15">
      <w:instrText xml:space="preserve"> DOCPROPERTY</w:instrText>
    </w:r>
    <w:r w:rsidRPr="00B20D15">
      <w:rPr>
        <w:sz w:val="18"/>
      </w:rPr>
      <w:instrText xml:space="preserve"> "YearUser" *\charformat </w:instrText>
    </w:r>
    <w:r w:rsidRPr="00B20D15">
      <w:fldChar w:fldCharType="separate"/>
    </w:r>
    <w:r w:rsidRPr="00B20D15">
      <w:t>2006/07</w:t>
    </w:r>
    <w:r w:rsidRPr="00B20D15">
      <w:fldChar w:fldCharType="end"/>
    </w:r>
    <w:r w:rsidRPr="00B20D15">
      <w:t xml:space="preserve"> </w:t>
    </w:r>
    <w:r w:rsidRPr="00B20D15">
      <w:tab/>
      <w:t xml:space="preserve">mnr: </w:t>
    </w:r>
    <w:r w:rsidRPr="00B20D15">
      <w:fldChar w:fldCharType="begin" w:fldLock="1"/>
    </w:r>
    <w:r w:rsidRPr="00B20D15">
      <w:instrText xml:space="preserve"> DOCPROPERTY</w:instrText>
    </w:r>
    <w:r w:rsidRPr="00B20D15">
      <w:rPr>
        <w:sz w:val="18"/>
      </w:rPr>
      <w:instrText xml:space="preserve"> "Motionsnummer" *\charformat </w:instrText>
    </w:r>
    <w:r w:rsidRPr="00B20D15">
      <w:fldChar w:fldCharType="separate"/>
    </w:r>
    <w:r w:rsidRPr="00B20D15">
      <w:t>N344</w:t>
    </w:r>
    <w:r w:rsidRPr="00B20D15">
      <w:fldChar w:fldCharType="end"/>
    </w:r>
    <w:r w:rsidRPr="00B20D15">
      <w:br/>
    </w:r>
    <w:r w:rsidRPr="00B20D15">
      <w:fldChar w:fldCharType="begin" w:fldLock="1"/>
    </w:r>
    <w:r w:rsidRPr="00B20D15">
      <w:instrText xml:space="preserve"> DOCPROPERTY</w:instrText>
    </w:r>
    <w:r w:rsidRPr="00B20D15">
      <w:rPr>
        <w:sz w:val="18"/>
      </w:rPr>
      <w:instrText xml:space="preserve"> "Samling" *\charformat </w:instrText>
    </w:r>
    <w:r w:rsidRPr="00B20D15">
      <w:fldChar w:fldCharType="end"/>
    </w:r>
    <w:r w:rsidRPr="00B20D15">
      <w:tab/>
      <w:t xml:space="preserve">pnr: </w:t>
    </w:r>
    <w:r w:rsidRPr="00B20D15">
      <w:fldChar w:fldCharType="begin" w:fldLock="1"/>
    </w:r>
    <w:r w:rsidRPr="00B20D15">
      <w:instrText xml:space="preserve"> DOCPROPERTY</w:instrText>
    </w:r>
    <w:r w:rsidRPr="00B20D15">
      <w:rPr>
        <w:sz w:val="18"/>
      </w:rPr>
      <w:instrText xml:space="preserve"> "Partinummer" *\charformat </w:instrText>
    </w:r>
    <w:r w:rsidRPr="00B20D15">
      <w:fldChar w:fldCharType="separate"/>
    </w:r>
    <w:r w:rsidRPr="00B20D15">
      <w:t>mp302</w:t>
    </w:r>
    <w:r w:rsidRPr="00B20D15">
      <w:fldChar w:fldCharType="end"/>
    </w:r>
  </w:p>
  <w:p w:rsidR="00BC23F6" w:rsidRPr="00B20D15" w:rsidRDefault="00BC23F6">
    <w:pPr>
      <w:pStyle w:val="FSHRub1"/>
    </w:pPr>
    <w:r w:rsidRPr="00B20D15">
      <w:t>Motion till riksdagen</w:t>
    </w:r>
    <w:r w:rsidRPr="00B20D15">
      <w:br/>
    </w:r>
    <w:r w:rsidRPr="00B20D15">
      <w:fldChar w:fldCharType="begin" w:fldLock="1"/>
    </w:r>
    <w:r w:rsidRPr="00B20D15">
      <w:instrText xml:space="preserve"> DOCPROPERTY "YearUser" *\charformat </w:instrText>
    </w:r>
    <w:r w:rsidRPr="00B20D15">
      <w:fldChar w:fldCharType="separate"/>
    </w:r>
    <w:r w:rsidRPr="00B20D15">
      <w:t>2006/07</w:t>
    </w:r>
    <w:r w:rsidRPr="00B20D15">
      <w:fldChar w:fldCharType="end"/>
    </w:r>
    <w:r w:rsidRPr="00B20D15">
      <w:t>:</w:t>
    </w:r>
    <w:r w:rsidRPr="00B20D15">
      <w:fldChar w:fldCharType="begin" w:fldLock="1"/>
    </w:r>
    <w:r w:rsidRPr="00B20D15">
      <w:instrText xml:space="preserve"> DOCPROPERTY "Motionsnummer" *\charformat </w:instrText>
    </w:r>
    <w:r w:rsidRPr="00B20D15">
      <w:fldChar w:fldCharType="separate"/>
    </w:r>
    <w:r w:rsidRPr="00B20D15">
      <w:t>N344</w:t>
    </w:r>
    <w:r w:rsidRPr="00B20D15">
      <w:fldChar w:fldCharType="end"/>
    </w:r>
  </w:p>
  <w:p w:rsidR="00BC23F6" w:rsidRPr="00B20D15" w:rsidRDefault="00BC23F6">
    <w:pPr>
      <w:pStyle w:val="FSHNormalS5"/>
    </w:pPr>
    <w:r w:rsidRPr="00B20D15">
      <w:fldChar w:fldCharType="begin" w:fldLock="1"/>
    </w:r>
    <w:r w:rsidRPr="00B20D15">
      <w:instrText xml:space="preserve"> DOCPROPERTY "MotionarText" *\charformat </w:instrText>
    </w:r>
    <w:r w:rsidRPr="00B20D15">
      <w:fldChar w:fldCharType="separate"/>
    </w:r>
    <w:r w:rsidRPr="00B20D15">
      <w:t>av Per Bolund m.fl. (mp)</w:t>
    </w:r>
    <w:r w:rsidRPr="00B20D15">
      <w:fldChar w:fldCharType="end"/>
    </w:r>
    <w:r w:rsidRPr="00B20D15">
      <w:br/>
    </w:r>
    <w:r w:rsidRPr="00B20D15">
      <w:fldChar w:fldCharType="begin" w:fldLock="1"/>
    </w:r>
    <w:r w:rsidRPr="00B20D15">
      <w:instrText xml:space="preserve"> DOCPROPERTY "SvarFrasKort" *\charformat </w:instrText>
    </w:r>
    <w:r w:rsidRPr="00B20D15">
      <w:fldChar w:fldCharType="end"/>
    </w:r>
  </w:p>
  <w:p w:rsidR="00BC23F6" w:rsidRPr="00B20D15" w:rsidRDefault="00BC23F6">
    <w:pPr>
      <w:pStyle w:val="FSHTitel"/>
    </w:pPr>
    <w:r w:rsidRPr="00B20D15">
      <w:fldChar w:fldCharType="begin" w:fldLock="1"/>
    </w:r>
    <w:r w:rsidRPr="00B20D15">
      <w:instrText xml:space="preserve"> DOCPROPERTY</w:instrText>
    </w:r>
    <w:r w:rsidRPr="00B20D15">
      <w:rPr>
        <w:sz w:val="18"/>
      </w:rPr>
      <w:instrText xml:space="preserve"> "RubrikSvar" *\charformat </w:instrText>
    </w:r>
    <w:r w:rsidRPr="00B20D15">
      <w:fldChar w:fldCharType="separate"/>
    </w:r>
    <w:r w:rsidRPr="00B20D15">
      <w:t>Utgiftsområdena 19, 21 och 24 Regional utveckling, energi och näringsliv</w:t>
    </w:r>
    <w:r w:rsidRPr="00B20D15">
      <w:fldChar w:fldCharType="end"/>
    </w:r>
  </w:p>
  <w:p w:rsidR="00BC23F6" w:rsidRPr="00B20D15" w:rsidRDefault="00BC23F6">
    <w:pPr>
      <w:pStyle w:val="Normal00"/>
    </w:pPr>
  </w:p>
  <w:p w:rsidR="008D59CC" w:rsidRPr="00B20D15" w:rsidRDefault="008D59C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2C608C6"/>
    <w:multiLevelType w:val="multilevel"/>
    <w:tmpl w:val="B46AD820"/>
    <w:lvl w:ilvl="0">
      <w:start w:val="1"/>
      <w:numFmt w:val="decimal"/>
      <w:lvlText w:val="%1"/>
      <w:lvlJc w:val="left"/>
      <w:pPr>
        <w:ind w:left="0" w:firstLine="0"/>
      </w:pPr>
      <w:rPr>
        <w:sz w:val="32"/>
        <w:szCs w:val="32"/>
      </w:r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33F02ED1"/>
    <w:multiLevelType w:val="multilevel"/>
    <w:tmpl w:val="C0A2BA7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3B724D98"/>
    <w:multiLevelType w:val="multilevel"/>
    <w:tmpl w:val="918AF23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4BBB15A2"/>
    <w:multiLevelType w:val="multilevel"/>
    <w:tmpl w:val="D420763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7" w15:restartNumberingAfterBreak="0">
    <w:nsid w:val="52E569EF"/>
    <w:multiLevelType w:val="hybridMultilevel"/>
    <w:tmpl w:val="0AEE980A"/>
    <w:lvl w:ilvl="0" w:tplc="4A4A5B0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6AFD32AF"/>
    <w:multiLevelType w:val="multilevel"/>
    <w:tmpl w:val="CE8C616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719937463">
    <w:abstractNumId w:val="18"/>
  </w:num>
  <w:num w:numId="2" w16cid:durableId="177237652">
    <w:abstractNumId w:val="11"/>
  </w:num>
  <w:num w:numId="3" w16cid:durableId="1678966847">
    <w:abstractNumId w:val="12"/>
  </w:num>
  <w:num w:numId="4" w16cid:durableId="465317051">
    <w:abstractNumId w:val="15"/>
  </w:num>
  <w:num w:numId="5" w16cid:durableId="1326516413">
    <w:abstractNumId w:val="8"/>
  </w:num>
  <w:num w:numId="6" w16cid:durableId="2023118952">
    <w:abstractNumId w:val="3"/>
  </w:num>
  <w:num w:numId="7" w16cid:durableId="1407805756">
    <w:abstractNumId w:val="2"/>
  </w:num>
  <w:num w:numId="8" w16cid:durableId="1914581113">
    <w:abstractNumId w:val="1"/>
  </w:num>
  <w:num w:numId="9" w16cid:durableId="1119566904">
    <w:abstractNumId w:val="0"/>
  </w:num>
  <w:num w:numId="10" w16cid:durableId="1816794085">
    <w:abstractNumId w:val="9"/>
  </w:num>
  <w:num w:numId="11" w16cid:durableId="2071154910">
    <w:abstractNumId w:val="7"/>
  </w:num>
  <w:num w:numId="12" w16cid:durableId="413163876">
    <w:abstractNumId w:val="6"/>
  </w:num>
  <w:num w:numId="13" w16cid:durableId="201524567">
    <w:abstractNumId w:val="5"/>
  </w:num>
  <w:num w:numId="14" w16cid:durableId="157120007">
    <w:abstractNumId w:val="4"/>
  </w:num>
  <w:num w:numId="15" w16cid:durableId="1218854106">
    <w:abstractNumId w:val="17"/>
  </w:num>
  <w:num w:numId="16" w16cid:durableId="1130123721">
    <w:abstractNumId w:val="19"/>
  </w:num>
  <w:num w:numId="17" w16cid:durableId="1327829027">
    <w:abstractNumId w:val="10"/>
  </w:num>
  <w:num w:numId="18" w16cid:durableId="889465732">
    <w:abstractNumId w:val="14"/>
  </w:num>
  <w:num w:numId="19" w16cid:durableId="800196994">
    <w:abstractNumId w:val="13"/>
  </w:num>
  <w:num w:numId="20" w16cid:durableId="163775958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6"/>
    <w:docVar w:name="PersonGUIDs" w:val="{7CC9A58C-3141-48A3-86B8-8EA19B911E01},{7C31CD86-53C7-4E1C-A073-157C1FC7DBDC},{18C74A2A-AE65-4127-9CEA-CFF157E3C4FA}"/>
  </w:docVars>
  <w:rsids>
    <w:rsidRoot w:val="00B20D15"/>
    <w:rsid w:val="0000197B"/>
    <w:rsid w:val="00002742"/>
    <w:rsid w:val="000220F8"/>
    <w:rsid w:val="00034058"/>
    <w:rsid w:val="00035516"/>
    <w:rsid w:val="00040D14"/>
    <w:rsid w:val="0004381F"/>
    <w:rsid w:val="00056314"/>
    <w:rsid w:val="00064BC3"/>
    <w:rsid w:val="000665E6"/>
    <w:rsid w:val="00066775"/>
    <w:rsid w:val="00072FB9"/>
    <w:rsid w:val="0007598F"/>
    <w:rsid w:val="00086361"/>
    <w:rsid w:val="000B2040"/>
    <w:rsid w:val="000D51FB"/>
    <w:rsid w:val="000D56FE"/>
    <w:rsid w:val="000E3DA2"/>
    <w:rsid w:val="000E431D"/>
    <w:rsid w:val="000E48DA"/>
    <w:rsid w:val="000E5207"/>
    <w:rsid w:val="000F41DE"/>
    <w:rsid w:val="000F5ADD"/>
    <w:rsid w:val="00100531"/>
    <w:rsid w:val="0010382E"/>
    <w:rsid w:val="00166D90"/>
    <w:rsid w:val="00170803"/>
    <w:rsid w:val="00177CC2"/>
    <w:rsid w:val="00184042"/>
    <w:rsid w:val="00191605"/>
    <w:rsid w:val="001921C4"/>
    <w:rsid w:val="001923A4"/>
    <w:rsid w:val="0019268B"/>
    <w:rsid w:val="001A25D5"/>
    <w:rsid w:val="001A2624"/>
    <w:rsid w:val="001A2A2B"/>
    <w:rsid w:val="001C6605"/>
    <w:rsid w:val="001E0043"/>
    <w:rsid w:val="001F084C"/>
    <w:rsid w:val="00201DFB"/>
    <w:rsid w:val="00204A63"/>
    <w:rsid w:val="00212FF1"/>
    <w:rsid w:val="00230193"/>
    <w:rsid w:val="00244D0B"/>
    <w:rsid w:val="002460B0"/>
    <w:rsid w:val="0025068A"/>
    <w:rsid w:val="00261375"/>
    <w:rsid w:val="002723CC"/>
    <w:rsid w:val="002818D3"/>
    <w:rsid w:val="002911A7"/>
    <w:rsid w:val="002943C8"/>
    <w:rsid w:val="00295E6D"/>
    <w:rsid w:val="002A2A6B"/>
    <w:rsid w:val="002C2373"/>
    <w:rsid w:val="002D11A8"/>
    <w:rsid w:val="002D19F4"/>
    <w:rsid w:val="002E0638"/>
    <w:rsid w:val="002E6282"/>
    <w:rsid w:val="00314F87"/>
    <w:rsid w:val="0032051D"/>
    <w:rsid w:val="003303B5"/>
    <w:rsid w:val="003366E9"/>
    <w:rsid w:val="00342FB4"/>
    <w:rsid w:val="0036065A"/>
    <w:rsid w:val="00361B71"/>
    <w:rsid w:val="003828BB"/>
    <w:rsid w:val="003866EC"/>
    <w:rsid w:val="00391AF5"/>
    <w:rsid w:val="0039407C"/>
    <w:rsid w:val="003B1403"/>
    <w:rsid w:val="003B418B"/>
    <w:rsid w:val="003C34A9"/>
    <w:rsid w:val="003D0707"/>
    <w:rsid w:val="003F100A"/>
    <w:rsid w:val="0043212E"/>
    <w:rsid w:val="004413F1"/>
    <w:rsid w:val="00445271"/>
    <w:rsid w:val="0044623A"/>
    <w:rsid w:val="00447A04"/>
    <w:rsid w:val="004527C3"/>
    <w:rsid w:val="00473E22"/>
    <w:rsid w:val="00487F7A"/>
    <w:rsid w:val="004946EF"/>
    <w:rsid w:val="0049512B"/>
    <w:rsid w:val="004A0504"/>
    <w:rsid w:val="004A366F"/>
    <w:rsid w:val="004D2806"/>
    <w:rsid w:val="004D73BA"/>
    <w:rsid w:val="004E1D30"/>
    <w:rsid w:val="004E38D9"/>
    <w:rsid w:val="005000F2"/>
    <w:rsid w:val="005014C2"/>
    <w:rsid w:val="00516B4B"/>
    <w:rsid w:val="00531020"/>
    <w:rsid w:val="00545150"/>
    <w:rsid w:val="00545421"/>
    <w:rsid w:val="0055072A"/>
    <w:rsid w:val="005525A5"/>
    <w:rsid w:val="005544CE"/>
    <w:rsid w:val="00580A04"/>
    <w:rsid w:val="005914B0"/>
    <w:rsid w:val="00593D41"/>
    <w:rsid w:val="005B145B"/>
    <w:rsid w:val="005D0B5E"/>
    <w:rsid w:val="005D39EB"/>
    <w:rsid w:val="005D3F50"/>
    <w:rsid w:val="005E2537"/>
    <w:rsid w:val="005F4DC9"/>
    <w:rsid w:val="0060066F"/>
    <w:rsid w:val="00601C6D"/>
    <w:rsid w:val="00603CD4"/>
    <w:rsid w:val="00624379"/>
    <w:rsid w:val="00642766"/>
    <w:rsid w:val="006465E3"/>
    <w:rsid w:val="00652E59"/>
    <w:rsid w:val="00653DD0"/>
    <w:rsid w:val="00664E7B"/>
    <w:rsid w:val="00695AAA"/>
    <w:rsid w:val="006B6262"/>
    <w:rsid w:val="006F4730"/>
    <w:rsid w:val="00727C6F"/>
    <w:rsid w:val="00740D6D"/>
    <w:rsid w:val="00743F76"/>
    <w:rsid w:val="00763B6D"/>
    <w:rsid w:val="00765E44"/>
    <w:rsid w:val="00774959"/>
    <w:rsid w:val="007852B2"/>
    <w:rsid w:val="00794149"/>
    <w:rsid w:val="007960BC"/>
    <w:rsid w:val="007B3836"/>
    <w:rsid w:val="007B67A7"/>
    <w:rsid w:val="007B6F01"/>
    <w:rsid w:val="007B7771"/>
    <w:rsid w:val="007C6092"/>
    <w:rsid w:val="007E119E"/>
    <w:rsid w:val="007E58B2"/>
    <w:rsid w:val="00832176"/>
    <w:rsid w:val="00846903"/>
    <w:rsid w:val="00890CEA"/>
    <w:rsid w:val="008B5AED"/>
    <w:rsid w:val="008D59CC"/>
    <w:rsid w:val="008F0A96"/>
    <w:rsid w:val="008F30D9"/>
    <w:rsid w:val="008F4AE4"/>
    <w:rsid w:val="008F6499"/>
    <w:rsid w:val="009062A0"/>
    <w:rsid w:val="009165C6"/>
    <w:rsid w:val="00916681"/>
    <w:rsid w:val="009451E7"/>
    <w:rsid w:val="00945393"/>
    <w:rsid w:val="0095581D"/>
    <w:rsid w:val="009649D9"/>
    <w:rsid w:val="00970D4F"/>
    <w:rsid w:val="00971D70"/>
    <w:rsid w:val="009A4377"/>
    <w:rsid w:val="009A6043"/>
    <w:rsid w:val="009D0673"/>
    <w:rsid w:val="009F65B4"/>
    <w:rsid w:val="00A053C6"/>
    <w:rsid w:val="00A055B3"/>
    <w:rsid w:val="00A07103"/>
    <w:rsid w:val="00A15D71"/>
    <w:rsid w:val="00A20A55"/>
    <w:rsid w:val="00A21BC5"/>
    <w:rsid w:val="00A22FF1"/>
    <w:rsid w:val="00A573CA"/>
    <w:rsid w:val="00A736FF"/>
    <w:rsid w:val="00A854BB"/>
    <w:rsid w:val="00A950F2"/>
    <w:rsid w:val="00AA1434"/>
    <w:rsid w:val="00AB5000"/>
    <w:rsid w:val="00AC63D9"/>
    <w:rsid w:val="00AE2EF8"/>
    <w:rsid w:val="00AF5881"/>
    <w:rsid w:val="00B13BF0"/>
    <w:rsid w:val="00B13E8A"/>
    <w:rsid w:val="00B20D15"/>
    <w:rsid w:val="00B33C81"/>
    <w:rsid w:val="00B34666"/>
    <w:rsid w:val="00B53D7F"/>
    <w:rsid w:val="00B54A1F"/>
    <w:rsid w:val="00B67E5B"/>
    <w:rsid w:val="00B82A4D"/>
    <w:rsid w:val="00BA1CE6"/>
    <w:rsid w:val="00BA2BD4"/>
    <w:rsid w:val="00BA4894"/>
    <w:rsid w:val="00BA6BE0"/>
    <w:rsid w:val="00BB6D75"/>
    <w:rsid w:val="00BC23F6"/>
    <w:rsid w:val="00BD43A8"/>
    <w:rsid w:val="00BE053B"/>
    <w:rsid w:val="00C1285C"/>
    <w:rsid w:val="00C27B7D"/>
    <w:rsid w:val="00C32A06"/>
    <w:rsid w:val="00C35B69"/>
    <w:rsid w:val="00C533BA"/>
    <w:rsid w:val="00C6387F"/>
    <w:rsid w:val="00C76840"/>
    <w:rsid w:val="00C902E9"/>
    <w:rsid w:val="00C92208"/>
    <w:rsid w:val="00CB5B24"/>
    <w:rsid w:val="00CC0DFA"/>
    <w:rsid w:val="00CD4B2B"/>
    <w:rsid w:val="00CE3037"/>
    <w:rsid w:val="00CE3953"/>
    <w:rsid w:val="00CE5A6E"/>
    <w:rsid w:val="00CF7A43"/>
    <w:rsid w:val="00CF7FDE"/>
    <w:rsid w:val="00D01775"/>
    <w:rsid w:val="00D1174F"/>
    <w:rsid w:val="00D1289C"/>
    <w:rsid w:val="00D52681"/>
    <w:rsid w:val="00D53D04"/>
    <w:rsid w:val="00D55EF7"/>
    <w:rsid w:val="00D64849"/>
    <w:rsid w:val="00D7608F"/>
    <w:rsid w:val="00D821BC"/>
    <w:rsid w:val="00D90529"/>
    <w:rsid w:val="00DC0DF0"/>
    <w:rsid w:val="00DC6C70"/>
    <w:rsid w:val="00DD701D"/>
    <w:rsid w:val="00DE6EDA"/>
    <w:rsid w:val="00DF5ACD"/>
    <w:rsid w:val="00E22893"/>
    <w:rsid w:val="00E349C2"/>
    <w:rsid w:val="00E360DE"/>
    <w:rsid w:val="00E43D20"/>
    <w:rsid w:val="00E5074A"/>
    <w:rsid w:val="00E521CB"/>
    <w:rsid w:val="00E728F6"/>
    <w:rsid w:val="00E75D28"/>
    <w:rsid w:val="00E8015A"/>
    <w:rsid w:val="00E84E82"/>
    <w:rsid w:val="00E84F25"/>
    <w:rsid w:val="00E9052D"/>
    <w:rsid w:val="00EA1141"/>
    <w:rsid w:val="00EA12D1"/>
    <w:rsid w:val="00EB46E0"/>
    <w:rsid w:val="00EC007B"/>
    <w:rsid w:val="00EC4142"/>
    <w:rsid w:val="00EC7938"/>
    <w:rsid w:val="00EC7AF4"/>
    <w:rsid w:val="00ED5A7D"/>
    <w:rsid w:val="00F21B30"/>
    <w:rsid w:val="00F25742"/>
    <w:rsid w:val="00F273EA"/>
    <w:rsid w:val="00F42CB9"/>
    <w:rsid w:val="00F474F1"/>
    <w:rsid w:val="00F73E9E"/>
    <w:rsid w:val="00F80D82"/>
    <w:rsid w:val="00F82996"/>
    <w:rsid w:val="00F87D14"/>
    <w:rsid w:val="00FA3338"/>
    <w:rsid w:val="00FA3374"/>
    <w:rsid w:val="00FB2435"/>
    <w:rsid w:val="00FB36D5"/>
    <w:rsid w:val="00FB6490"/>
    <w:rsid w:val="00FC16D4"/>
    <w:rsid w:val="00FC53D4"/>
    <w:rsid w:val="00FC7246"/>
    <w:rsid w:val="00FC7E79"/>
    <w:rsid w:val="00FD2531"/>
    <w:rsid w:val="00FD6126"/>
    <w:rsid w:val="00FE780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068EC6E-2988-4A90-A0A0-EAE5037EA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C76840"/>
    <w:pPr>
      <w:spacing w:before="125" w:line="250" w:lineRule="atLeast"/>
      <w:jc w:val="both"/>
    </w:pPr>
    <w:rPr>
      <w:sz w:val="19"/>
      <w:lang w:val="sv-SE" w:eastAsia="sv-SE"/>
    </w:rPr>
  </w:style>
  <w:style w:type="paragraph" w:styleId="Rubrik1">
    <w:name w:val="heading 1"/>
    <w:basedOn w:val="Normal"/>
    <w:next w:val="Normal"/>
    <w:qFormat/>
    <w:rsid w:val="008D59CC"/>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8D59CC"/>
    <w:pPr>
      <w:numPr>
        <w:ilvl w:val="1"/>
      </w:numPr>
      <w:spacing w:before="500" w:line="250" w:lineRule="exact"/>
      <w:outlineLvl w:val="1"/>
    </w:pPr>
    <w:rPr>
      <w:sz w:val="27"/>
    </w:rPr>
  </w:style>
  <w:style w:type="paragraph" w:styleId="Rubrik3">
    <w:name w:val="heading 3"/>
    <w:aliases w:val="Mellanrubrik"/>
    <w:basedOn w:val="Rubrik2"/>
    <w:next w:val="Normal"/>
    <w:qFormat/>
    <w:rsid w:val="008D59CC"/>
    <w:pPr>
      <w:numPr>
        <w:ilvl w:val="2"/>
      </w:numPr>
      <w:spacing w:before="250" w:after="0"/>
      <w:outlineLvl w:val="2"/>
    </w:pPr>
    <w:rPr>
      <w:b/>
      <w:sz w:val="21"/>
    </w:rPr>
  </w:style>
  <w:style w:type="paragraph" w:styleId="Rubrik4">
    <w:name w:val="heading 4"/>
    <w:aliases w:val="KursivRubrik"/>
    <w:basedOn w:val="Rubrik3"/>
    <w:next w:val="Normal"/>
    <w:qFormat/>
    <w:rsid w:val="008D59CC"/>
    <w:pPr>
      <w:numPr>
        <w:ilvl w:val="3"/>
      </w:numPr>
      <w:outlineLvl w:val="3"/>
    </w:pPr>
    <w:rPr>
      <w:b w:val="0"/>
      <w:i/>
    </w:rPr>
  </w:style>
  <w:style w:type="paragraph" w:styleId="Rubrik5">
    <w:name w:val="heading 5"/>
    <w:aliases w:val="PackadFetRubrik,PackadKursivRubrik"/>
    <w:basedOn w:val="Rubrik4"/>
    <w:next w:val="Normal"/>
    <w:qFormat/>
    <w:rsid w:val="008D59CC"/>
    <w:pPr>
      <w:numPr>
        <w:ilvl w:val="4"/>
      </w:numPr>
      <w:tabs>
        <w:tab w:val="clear" w:pos="1021"/>
      </w:tabs>
      <w:spacing w:before="125"/>
      <w:outlineLvl w:val="4"/>
    </w:pPr>
    <w:rPr>
      <w:i w:val="0"/>
      <w:sz w:val="19"/>
    </w:rPr>
  </w:style>
  <w:style w:type="paragraph" w:styleId="Rubrik6">
    <w:name w:val="heading 6"/>
    <w:basedOn w:val="Rubrik5"/>
    <w:next w:val="Normal"/>
    <w:qFormat/>
    <w:rsid w:val="008D59CC"/>
    <w:pPr>
      <w:numPr>
        <w:ilvl w:val="5"/>
      </w:numPr>
      <w:spacing w:before="50" w:line="200" w:lineRule="exact"/>
      <w:outlineLvl w:val="5"/>
    </w:pPr>
    <w:rPr>
      <w:caps/>
      <w:sz w:val="14"/>
    </w:rPr>
  </w:style>
  <w:style w:type="paragraph" w:styleId="Rubrik7">
    <w:name w:val="heading 7"/>
    <w:basedOn w:val="Rubrik6"/>
    <w:next w:val="Normal"/>
    <w:qFormat/>
    <w:rsid w:val="008D59CC"/>
    <w:pPr>
      <w:numPr>
        <w:ilvl w:val="6"/>
      </w:numPr>
      <w:spacing w:before="0"/>
      <w:outlineLvl w:val="6"/>
    </w:pPr>
  </w:style>
  <w:style w:type="paragraph" w:styleId="Rubrik8">
    <w:name w:val="heading 8"/>
    <w:basedOn w:val="Rubrik7"/>
    <w:next w:val="Normal"/>
    <w:qFormat/>
    <w:rsid w:val="008D59CC"/>
    <w:pPr>
      <w:numPr>
        <w:ilvl w:val="7"/>
      </w:numPr>
      <w:outlineLvl w:val="7"/>
    </w:pPr>
  </w:style>
  <w:style w:type="paragraph" w:styleId="Rubrik9">
    <w:name w:val="heading 9"/>
    <w:basedOn w:val="Rubrik8"/>
    <w:next w:val="Normal"/>
    <w:qFormat/>
    <w:rsid w:val="008D59CC"/>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table" w:styleId="Tabellrutnt">
    <w:name w:val="Table Grid"/>
    <w:basedOn w:val="Normaltabell"/>
    <w:rsid w:val="00C35B6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8D59CC"/>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Yrkandehnv">
    <w:name w:val="Yrkandehänv"/>
    <w:rsid w:val="009649D9"/>
    <w:pPr>
      <w:keepNext/>
      <w:keepLines/>
      <w:suppressAutoHyphens/>
    </w:pPr>
    <w:rPr>
      <w:noProof/>
      <w:sz w:val="1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794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3563</Words>
  <Characters>21488</Characters>
  <Application>Microsoft Office Word</Application>
  <DocSecurity>4</DocSecurity>
  <Lines>421</Lines>
  <Paragraphs>168</Paragraphs>
  <ScaleCrop>false</ScaleCrop>
  <HeadingPairs>
    <vt:vector size="2" baseType="variant">
      <vt:variant>
        <vt:lpstr>Rubrik</vt:lpstr>
      </vt:variant>
      <vt:variant>
        <vt:i4>1</vt:i4>
      </vt:variant>
    </vt:vector>
  </HeadingPairs>
  <TitlesOfParts>
    <vt:vector size="1" baseType="lpstr">
      <vt:lpstr>mp302</vt:lpstr>
    </vt:vector>
  </TitlesOfParts>
  <Company>Riksdagen</Company>
  <LinksUpToDate>false</LinksUpToDate>
  <CharactersWithSpaces>24883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mp302</dc:title>
  <dc:subject>mp302</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2007-02-09T12:00:00Z</cp:lastPrinted>
  <dcterms:created xsi:type="dcterms:W3CDTF">2025-12-17T01:02:00Z</dcterms:created>
  <dcterms:modified xsi:type="dcterms:W3CDTF">2025-12-17T01:02:00Z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mot2000_456_2006-10-16</vt:lpwstr>
  </property>
  <property fmtid="{D5CDD505-2E9C-101B-9397-08002B2CF9AE}" pid="3" name="version">
    <vt:lpwstr>mot2000_456_2006-10-12</vt:lpwstr>
  </property>
  <property fmtid="{D5CDD505-2E9C-101B-9397-08002B2CF9AE}" pid="4" name="dokumenttyp">
    <vt:lpwstr>motion</vt:lpwstr>
  </property>
  <property fmtid="{D5CDD505-2E9C-101B-9397-08002B2CF9AE}" pid="5" name="Sekr">
    <vt:lpwstr>FLn</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Utgiftsområdena 19, 21 och 24 Regional utveckling, energi och näringsliv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Utgiftsområdena 19, 21 och 24 Regional utveckling, energi och näringsliv</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mp302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Per Bolund m.fl. (mp)</vt:lpwstr>
  </property>
  <property fmtid="{D5CDD505-2E9C-101B-9397-08002B2CF9AE}" pid="26" name="MotionarLista">
    <vt:lpwstr>Bolund, Per (mp)\Valtersson, Mikaela (mp)\Ehn, Tina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Bolund (mp), Mikaela Valtersson (mp), Tina Ehn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N344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20062007000001090112000003020075</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20062007000001090112000003020075</vt:lpwstr>
  </property>
  <property fmtid="{D5CDD505-2E9C-101B-9397-08002B2CF9AE}" pid="50" name="nummer">
    <vt:lpwstr>344</vt:lpwstr>
  </property>
  <property fmtid="{D5CDD505-2E9C-101B-9397-08002B2CF9AE}" pid="51" name="utskottsbeteckning">
    <vt:lpwstr>N</vt:lpwstr>
  </property>
  <property fmtid="{D5CDD505-2E9C-101B-9397-08002B2CF9AE}" pid="52" name="GlobalUID">
    <vt:lpwstr>{B037BDAE-C371-4E13-8EC7-5345E4A37EB6}</vt:lpwstr>
  </property>
  <property fmtid="{D5CDD505-2E9C-101B-9397-08002B2CF9AE}" pid="53" name="Överföringar">
    <vt:i4>0</vt:i4>
  </property>
  <property fmtid="{D5CDD505-2E9C-101B-9397-08002B2CF9AE}" pid="54" name="Checksum">
    <vt:lpwstr>*1002234214443*</vt:lpwstr>
  </property>
  <property fmtid="{D5CDD505-2E9C-101B-9397-08002B2CF9AE}" pid="55" name="urixOrigin">
    <vt:lpwstr>070215 16:32:13.841</vt:lpwstr>
  </property>
  <property fmtid="{D5CDD505-2E9C-101B-9397-08002B2CF9AE}" pid="56" name="skuggnummer">
    <vt:lpwstr>2401</vt:lpwstr>
  </property>
  <property fmtid="{D5CDD505-2E9C-101B-9397-08002B2CF9AE}" pid="57" name="urixVersion">
    <vt:lpwstr>3.1.4.4</vt:lpwstr>
  </property>
  <property fmtid="{D5CDD505-2E9C-101B-9397-08002B2CF9AE}" pid="58" name="urixGuid">
    <vt:lpwstr>{FC9B1023-FE20-44ED-9ED9-7A89B0682A5B}</vt:lpwstr>
  </property>
</Properties>
</file>