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92C3B79" w14:textId="77777777" w:rsidTr="00350D82">
        <w:tc>
          <w:tcPr>
            <w:tcW w:w="2268" w:type="dxa"/>
          </w:tcPr>
          <w:p w14:paraId="00702BA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A480D1F" w14:textId="77777777" w:rsidR="006E4E11" w:rsidRDefault="006E4E11" w:rsidP="007242A3">
            <w:pPr>
              <w:framePr w:w="5035" w:h="1644" w:wrap="notBeside" w:vAnchor="page" w:hAnchor="page" w:x="6573" w:y="721"/>
              <w:rPr>
                <w:rFonts w:ascii="TradeGothic" w:hAnsi="TradeGothic"/>
                <w:i/>
                <w:sz w:val="18"/>
              </w:rPr>
            </w:pPr>
          </w:p>
        </w:tc>
      </w:tr>
      <w:tr w:rsidR="00350D82" w14:paraId="50763495" w14:textId="77777777" w:rsidTr="00350D82">
        <w:tc>
          <w:tcPr>
            <w:tcW w:w="5267" w:type="dxa"/>
            <w:gridSpan w:val="3"/>
          </w:tcPr>
          <w:p w14:paraId="60F274C3" w14:textId="77777777" w:rsidR="00350D82" w:rsidRDefault="00350D82"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20457753" w14:textId="77777777" w:rsidTr="00350D82">
        <w:tc>
          <w:tcPr>
            <w:tcW w:w="3402" w:type="dxa"/>
            <w:gridSpan w:val="2"/>
          </w:tcPr>
          <w:p w14:paraId="61CC0681" w14:textId="77777777" w:rsidR="006E4E11" w:rsidRDefault="006E4E11" w:rsidP="007242A3">
            <w:pPr>
              <w:framePr w:w="5035" w:h="1644" w:wrap="notBeside" w:vAnchor="page" w:hAnchor="page" w:x="6573" w:y="721"/>
            </w:pPr>
          </w:p>
        </w:tc>
        <w:tc>
          <w:tcPr>
            <w:tcW w:w="1865" w:type="dxa"/>
          </w:tcPr>
          <w:p w14:paraId="6B225C8D" w14:textId="77777777" w:rsidR="006E4E11" w:rsidRDefault="006E4E11" w:rsidP="007242A3">
            <w:pPr>
              <w:framePr w:w="5035" w:h="1644" w:wrap="notBeside" w:vAnchor="page" w:hAnchor="page" w:x="6573" w:y="721"/>
            </w:pPr>
          </w:p>
        </w:tc>
      </w:tr>
      <w:tr w:rsidR="006E4E11" w14:paraId="2DECBAEA" w14:textId="77777777" w:rsidTr="00350D82">
        <w:tc>
          <w:tcPr>
            <w:tcW w:w="2268" w:type="dxa"/>
          </w:tcPr>
          <w:p w14:paraId="23FF666C" w14:textId="2120D249" w:rsidR="006E4E11" w:rsidRDefault="003B08D3" w:rsidP="002C0B9A">
            <w:pPr>
              <w:framePr w:w="5035" w:h="1644" w:wrap="notBeside" w:vAnchor="page" w:hAnchor="page" w:x="6573" w:y="721"/>
            </w:pPr>
            <w:r>
              <w:t>201</w:t>
            </w:r>
            <w:r w:rsidR="00783254">
              <w:t>5</w:t>
            </w:r>
            <w:r>
              <w:t>-</w:t>
            </w:r>
            <w:r w:rsidR="002C0B9A">
              <w:t>03-02</w:t>
            </w:r>
          </w:p>
        </w:tc>
        <w:tc>
          <w:tcPr>
            <w:tcW w:w="2999" w:type="dxa"/>
            <w:gridSpan w:val="2"/>
          </w:tcPr>
          <w:p w14:paraId="18090AB7" w14:textId="77777777" w:rsidR="006E4E11" w:rsidRPr="00ED583F" w:rsidRDefault="006E4E11" w:rsidP="007242A3">
            <w:pPr>
              <w:framePr w:w="5035" w:h="1644" w:wrap="notBeside" w:vAnchor="page" w:hAnchor="page" w:x="6573" w:y="721"/>
              <w:rPr>
                <w:sz w:val="20"/>
              </w:rPr>
            </w:pPr>
          </w:p>
        </w:tc>
      </w:tr>
      <w:tr w:rsidR="006E4E11" w14:paraId="563DFA66" w14:textId="77777777" w:rsidTr="00350D82">
        <w:tc>
          <w:tcPr>
            <w:tcW w:w="2268" w:type="dxa"/>
          </w:tcPr>
          <w:p w14:paraId="6DCB71D4" w14:textId="77777777" w:rsidR="006E4E11" w:rsidRDefault="006E4E11" w:rsidP="007242A3">
            <w:pPr>
              <w:framePr w:w="5035" w:h="1644" w:wrap="notBeside" w:vAnchor="page" w:hAnchor="page" w:x="6573" w:y="721"/>
            </w:pPr>
          </w:p>
        </w:tc>
        <w:tc>
          <w:tcPr>
            <w:tcW w:w="2999" w:type="dxa"/>
            <w:gridSpan w:val="2"/>
          </w:tcPr>
          <w:p w14:paraId="30DAD58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23B4982" w14:textId="77777777">
        <w:trPr>
          <w:trHeight w:val="284"/>
        </w:trPr>
        <w:tc>
          <w:tcPr>
            <w:tcW w:w="4911" w:type="dxa"/>
          </w:tcPr>
          <w:p w14:paraId="22BC05E8" w14:textId="77777777" w:rsidR="006E4E11" w:rsidRDefault="00350D82">
            <w:pPr>
              <w:pStyle w:val="Avsndare"/>
              <w:framePr w:h="2483" w:wrap="notBeside" w:x="1504"/>
              <w:rPr>
                <w:b/>
                <w:i w:val="0"/>
                <w:sz w:val="22"/>
              </w:rPr>
            </w:pPr>
            <w:r>
              <w:rPr>
                <w:b/>
                <w:i w:val="0"/>
                <w:sz w:val="22"/>
              </w:rPr>
              <w:t>Justitiedepartementet</w:t>
            </w:r>
          </w:p>
        </w:tc>
      </w:tr>
      <w:tr w:rsidR="006E4E11" w14:paraId="5C960A19" w14:textId="77777777">
        <w:trPr>
          <w:trHeight w:val="284"/>
        </w:trPr>
        <w:tc>
          <w:tcPr>
            <w:tcW w:w="4911" w:type="dxa"/>
          </w:tcPr>
          <w:p w14:paraId="577FCADB" w14:textId="77777777" w:rsidR="006E4E11" w:rsidRDefault="006E4E11">
            <w:pPr>
              <w:pStyle w:val="Avsndare"/>
              <w:framePr w:h="2483" w:wrap="notBeside" w:x="1504"/>
              <w:rPr>
                <w:bCs/>
                <w:iCs/>
              </w:rPr>
            </w:pPr>
          </w:p>
        </w:tc>
      </w:tr>
      <w:tr w:rsidR="006E4E11" w14:paraId="58892CC5" w14:textId="77777777">
        <w:trPr>
          <w:trHeight w:val="284"/>
        </w:trPr>
        <w:tc>
          <w:tcPr>
            <w:tcW w:w="4911" w:type="dxa"/>
          </w:tcPr>
          <w:p w14:paraId="030E596C" w14:textId="77777777" w:rsidR="006E4E11" w:rsidRDefault="00350D82">
            <w:pPr>
              <w:pStyle w:val="Avsndare"/>
              <w:framePr w:h="2483" w:wrap="notBeside" w:x="1504"/>
              <w:rPr>
                <w:bCs/>
                <w:iCs/>
              </w:rPr>
            </w:pPr>
            <w:r>
              <w:rPr>
                <w:bCs/>
                <w:iCs/>
              </w:rPr>
              <w:t>Grundlagsenheten</w:t>
            </w:r>
          </w:p>
        </w:tc>
      </w:tr>
      <w:tr w:rsidR="006E4E11" w14:paraId="62545BBD" w14:textId="77777777">
        <w:trPr>
          <w:trHeight w:val="284"/>
        </w:trPr>
        <w:tc>
          <w:tcPr>
            <w:tcW w:w="4911" w:type="dxa"/>
          </w:tcPr>
          <w:p w14:paraId="218765AD" w14:textId="77777777" w:rsidR="006E4E11" w:rsidRDefault="006E4E11">
            <w:pPr>
              <w:pStyle w:val="Avsndare"/>
              <w:framePr w:h="2483" w:wrap="notBeside" w:x="1504"/>
              <w:rPr>
                <w:bCs/>
                <w:iCs/>
              </w:rPr>
            </w:pPr>
          </w:p>
        </w:tc>
      </w:tr>
      <w:tr w:rsidR="006E4E11" w14:paraId="763B2CD7" w14:textId="77777777">
        <w:trPr>
          <w:trHeight w:val="284"/>
        </w:trPr>
        <w:tc>
          <w:tcPr>
            <w:tcW w:w="4911" w:type="dxa"/>
          </w:tcPr>
          <w:p w14:paraId="59503CD9" w14:textId="77777777" w:rsidR="006E4E11" w:rsidRDefault="006E4E11">
            <w:pPr>
              <w:pStyle w:val="Avsndare"/>
              <w:framePr w:h="2483" w:wrap="notBeside" w:x="1504"/>
              <w:rPr>
                <w:bCs/>
                <w:iCs/>
              </w:rPr>
            </w:pPr>
          </w:p>
        </w:tc>
      </w:tr>
      <w:tr w:rsidR="006E4E11" w14:paraId="091808D4" w14:textId="77777777">
        <w:trPr>
          <w:trHeight w:val="284"/>
        </w:trPr>
        <w:tc>
          <w:tcPr>
            <w:tcW w:w="4911" w:type="dxa"/>
          </w:tcPr>
          <w:p w14:paraId="57343668" w14:textId="77777777" w:rsidR="006E4E11" w:rsidRDefault="006E4E11">
            <w:pPr>
              <w:pStyle w:val="Avsndare"/>
              <w:framePr w:h="2483" w:wrap="notBeside" w:x="1504"/>
              <w:rPr>
                <w:bCs/>
                <w:iCs/>
              </w:rPr>
            </w:pPr>
          </w:p>
        </w:tc>
      </w:tr>
      <w:tr w:rsidR="006E4E11" w14:paraId="6ECC28B5" w14:textId="77777777">
        <w:trPr>
          <w:trHeight w:val="284"/>
        </w:trPr>
        <w:tc>
          <w:tcPr>
            <w:tcW w:w="4911" w:type="dxa"/>
          </w:tcPr>
          <w:p w14:paraId="7A1766B5" w14:textId="177331F8" w:rsidR="006E4E11" w:rsidRDefault="00AE48C0">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14:anchorId="3950C7B8" wp14:editId="2C482469">
                      <wp:simplePos x="0" y="0"/>
                      <wp:positionH relativeFrom="column">
                        <wp:posOffset>4522470</wp:posOffset>
                      </wp:positionH>
                      <wp:positionV relativeFrom="paragraph">
                        <wp:posOffset>-2485390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7D502D" w14:textId="66A9AABB" w:rsidR="00AE48C0" w:rsidRPr="00AE48C0" w:rsidRDefault="00AE48C0">
                                  <w:pPr>
                                    <w:rPr>
                                      <w:rFonts w:ascii="Times New Roman" w:hAnsi="Times New Roman"/>
                                    </w:rPr>
                                  </w:pPr>
                                  <w:r w:rsidRPr="00AE48C0">
                                    <w:rPr>
                                      <w:rFonts w:ascii="Times New Roman" w:hAnsi="Times New Roman"/>
                                    </w:rPr>
                                    <w:t xml:space="preserve">RIF, </w:t>
                                  </w:r>
                                  <w:proofErr w:type="spellStart"/>
                                  <w:r w:rsidRPr="00AE48C0">
                                    <w:rPr>
                                      <w:rFonts w:ascii="Times New Roman" w:hAnsi="Times New Roman"/>
                                    </w:rPr>
                                    <w:t>dp</w:t>
                                  </w:r>
                                  <w:proofErr w:type="spellEnd"/>
                                  <w:r w:rsidRPr="00AE48C0">
                                    <w:rPr>
                                      <w:rFonts w:ascii="Times New Roman" w:hAnsi="Times New Roman"/>
                                    </w:rPr>
                                    <w:t>.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0C7B8" id="_x0000_t202" coordsize="21600,21600" o:spt="202" path="m,l,21600r21600,l21600,xe">
                      <v:stroke joinstyle="miter"/>
                      <v:path gradientshapeok="t" o:connecttype="rect"/>
                    </v:shapetype>
                    <v:shape id="Textruta 2"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MqSzgfqAgAA&#10;UgYAAA4AAAAAAAAAAAAAAAAALgIAAGRycy9lMm9Eb2MueG1sUEsBAi0AFAAGAAgAAAAhAJ25jcbk&#10;AAAADQEAAA8AAAAAAAAAAAAAAAAARAUAAGRycy9kb3ducmV2LnhtbFBLBQYAAAAABAAEAPMAAABV&#10;BgAAAAA=&#10;" filled="f" stroked="f" strokeweight=".5pt">
                      <v:fill o:detectmouseclick="t"/>
                      <v:textbox>
                        <w:txbxContent>
                          <w:p w14:paraId="3D7D502D" w14:textId="66A9AABB" w:rsidR="00AE48C0" w:rsidRPr="00AE48C0" w:rsidRDefault="00AE48C0">
                            <w:pPr>
                              <w:rPr>
                                <w:rFonts w:ascii="Times New Roman" w:hAnsi="Times New Roman"/>
                              </w:rPr>
                            </w:pPr>
                            <w:r w:rsidRPr="00AE48C0">
                              <w:rPr>
                                <w:rFonts w:ascii="Times New Roman" w:hAnsi="Times New Roman"/>
                              </w:rPr>
                              <w:t xml:space="preserve">RIF, </w:t>
                            </w:r>
                            <w:proofErr w:type="spellStart"/>
                            <w:r w:rsidRPr="00AE48C0">
                              <w:rPr>
                                <w:rFonts w:ascii="Times New Roman" w:hAnsi="Times New Roman"/>
                              </w:rPr>
                              <w:t>dp</w:t>
                            </w:r>
                            <w:proofErr w:type="spellEnd"/>
                            <w:r w:rsidRPr="00AE48C0">
                              <w:rPr>
                                <w:rFonts w:ascii="Times New Roman" w:hAnsi="Times New Roman"/>
                              </w:rPr>
                              <w:t>. 10</w:t>
                            </w:r>
                          </w:p>
                        </w:txbxContent>
                      </v:textbox>
                    </v:shape>
                  </w:pict>
                </mc:Fallback>
              </mc:AlternateContent>
            </w:r>
          </w:p>
        </w:tc>
      </w:tr>
      <w:tr w:rsidR="006E4E11" w14:paraId="7D9F6ED5" w14:textId="77777777">
        <w:trPr>
          <w:trHeight w:val="284"/>
        </w:trPr>
        <w:tc>
          <w:tcPr>
            <w:tcW w:w="4911" w:type="dxa"/>
          </w:tcPr>
          <w:p w14:paraId="2942AACE" w14:textId="77777777" w:rsidR="006E4E11" w:rsidRDefault="006E4E11">
            <w:pPr>
              <w:pStyle w:val="Avsndare"/>
              <w:framePr w:h="2483" w:wrap="notBeside" w:x="1504"/>
              <w:rPr>
                <w:bCs/>
                <w:iCs/>
              </w:rPr>
            </w:pPr>
          </w:p>
        </w:tc>
      </w:tr>
      <w:tr w:rsidR="006E4E11" w14:paraId="0E3B3CFC" w14:textId="77777777">
        <w:trPr>
          <w:trHeight w:val="284"/>
        </w:trPr>
        <w:tc>
          <w:tcPr>
            <w:tcW w:w="4911" w:type="dxa"/>
          </w:tcPr>
          <w:p w14:paraId="686BE4F3" w14:textId="77777777" w:rsidR="006E4E11" w:rsidRDefault="006E4E11">
            <w:pPr>
              <w:pStyle w:val="Avsndare"/>
              <w:framePr w:h="2483" w:wrap="notBeside" w:x="1504"/>
              <w:rPr>
                <w:bCs/>
                <w:iCs/>
              </w:rPr>
            </w:pPr>
          </w:p>
        </w:tc>
      </w:tr>
    </w:tbl>
    <w:p w14:paraId="119F48F2" w14:textId="77777777" w:rsidR="006E4E11" w:rsidRPr="00350D82" w:rsidRDefault="006E4E11">
      <w:pPr>
        <w:framePr w:w="4400" w:h="2523" w:wrap="notBeside" w:vAnchor="page" w:hAnchor="page" w:x="6453" w:y="2445"/>
        <w:ind w:left="142"/>
        <w:rPr>
          <w:b/>
        </w:rPr>
      </w:pPr>
    </w:p>
    <w:p w14:paraId="26BE24A3" w14:textId="0E04C3D5" w:rsidR="00350D82" w:rsidRDefault="00350D82">
      <w:pPr>
        <w:pStyle w:val="RKrubrik"/>
        <w:pBdr>
          <w:bottom w:val="single" w:sz="6" w:space="1" w:color="auto"/>
        </w:pBdr>
      </w:pPr>
      <w:bookmarkStart w:id="0" w:name="bRubrik"/>
      <w:bookmarkEnd w:id="0"/>
      <w:r>
        <w:t xml:space="preserve">Rådets möte för rättsliga och inrikes frågor (RIF) den </w:t>
      </w:r>
      <w:r w:rsidR="007F05EE">
        <w:t>12–</w:t>
      </w:r>
      <w:r w:rsidR="00783254">
        <w:t>1</w:t>
      </w:r>
      <w:r w:rsidR="00C47450">
        <w:t>3</w:t>
      </w:r>
      <w:r>
        <w:t xml:space="preserve"> </w:t>
      </w:r>
      <w:r w:rsidR="00783254">
        <w:t xml:space="preserve">mars </w:t>
      </w:r>
      <w:r>
        <w:t>201</w:t>
      </w:r>
      <w:r w:rsidR="00783254">
        <w:t>5</w:t>
      </w:r>
    </w:p>
    <w:p w14:paraId="679047F2" w14:textId="77777777" w:rsidR="00350D82" w:rsidRDefault="00350D82">
      <w:pPr>
        <w:pStyle w:val="RKnormal"/>
      </w:pPr>
    </w:p>
    <w:p w14:paraId="2524FABD" w14:textId="170989B3" w:rsidR="00350D82" w:rsidRDefault="00FA4ACB">
      <w:pPr>
        <w:pStyle w:val="RKnormal"/>
      </w:pPr>
      <w:r>
        <w:t xml:space="preserve">Dagordningspunkt </w:t>
      </w:r>
      <w:r w:rsidR="00F143D0">
        <w:t>10</w:t>
      </w:r>
    </w:p>
    <w:p w14:paraId="16B3E6C0" w14:textId="77777777" w:rsidR="00350D82" w:rsidRDefault="00350D82">
      <w:pPr>
        <w:pStyle w:val="RKnormal"/>
      </w:pPr>
    </w:p>
    <w:p w14:paraId="1056DA64" w14:textId="77777777" w:rsidR="009F406E" w:rsidRDefault="00350D82" w:rsidP="00350D82">
      <w:pPr>
        <w:pStyle w:val="RKnormal"/>
      </w:pPr>
      <w:r>
        <w:t>Rubrik: Förslag till Europaparlamentets och rådets förordning om skydd för enskilda personer med avseende på behandling av personuppgifter oc</w:t>
      </w:r>
      <w:bookmarkStart w:id="1" w:name="_GoBack"/>
      <w:bookmarkEnd w:id="1"/>
      <w:r>
        <w:t>h om det fria flödet av sådana uppgifter (allmän uppgiftsskydds</w:t>
      </w:r>
      <w:r w:rsidR="00FA4ACB">
        <w:softHyphen/>
        <w:t xml:space="preserve">förordning) </w:t>
      </w:r>
    </w:p>
    <w:p w14:paraId="3DF5C130" w14:textId="557FD402" w:rsidR="009F406E" w:rsidRDefault="00FA4ACB" w:rsidP="00350D82">
      <w:pPr>
        <w:pStyle w:val="RKnormal"/>
      </w:pPr>
      <w:r>
        <w:t xml:space="preserve">– Partiell allmän inriktning </w:t>
      </w:r>
    </w:p>
    <w:p w14:paraId="605AC008" w14:textId="77777777" w:rsidR="00350D82" w:rsidRDefault="00350D82">
      <w:pPr>
        <w:pStyle w:val="RKnormal"/>
      </w:pPr>
    </w:p>
    <w:p w14:paraId="1485E3D3" w14:textId="0A6167F3" w:rsidR="00350D82" w:rsidRDefault="00350D82">
      <w:pPr>
        <w:pStyle w:val="RKnormal"/>
      </w:pPr>
      <w:r>
        <w:t xml:space="preserve">Dokument: </w:t>
      </w:r>
      <w:r w:rsidR="007248B7">
        <w:t>det har ännu inte presenterats något dokument för behandlingen i rådet</w:t>
      </w:r>
    </w:p>
    <w:p w14:paraId="6F81E539" w14:textId="77777777" w:rsidR="00350D82" w:rsidRDefault="00350D82">
      <w:pPr>
        <w:pStyle w:val="RKnormal"/>
      </w:pPr>
    </w:p>
    <w:p w14:paraId="6543B829" w14:textId="77777777" w:rsidR="00350D82" w:rsidRDefault="00350D82" w:rsidP="00350D82">
      <w:pPr>
        <w:pStyle w:val="RKnormal"/>
      </w:pPr>
      <w:r>
        <w:t>Tidigare dokument:</w:t>
      </w:r>
      <w:r w:rsidRPr="00350D82">
        <w:t xml:space="preserve"> </w:t>
      </w:r>
    </w:p>
    <w:p w14:paraId="71FCF1DB" w14:textId="50429105" w:rsidR="00350D82" w:rsidRPr="00E13D6E" w:rsidRDefault="00350D82" w:rsidP="00350D82">
      <w:pPr>
        <w:pStyle w:val="RKnormal"/>
      </w:pPr>
      <w:r>
        <w:t xml:space="preserve">KOM (2012) </w:t>
      </w:r>
      <w:r w:rsidRPr="00E13D6E">
        <w:t>11 slutlig</w:t>
      </w:r>
      <w:r>
        <w:t xml:space="preserve"> </w:t>
      </w:r>
      <w:r w:rsidRPr="00E13D6E">
        <w:t>Förslag till Europaparlamentets och rådets förordning om skydd för enskilda personer med avseende på behandling av personuppgifter och om det fria flödet av sådana uppgifter</w:t>
      </w:r>
    </w:p>
    <w:p w14:paraId="0FD74D28" w14:textId="5571C6B5" w:rsidR="00350D82" w:rsidRDefault="00350D82" w:rsidP="00350D82">
      <w:pPr>
        <w:pStyle w:val="RKnormal"/>
      </w:pPr>
      <w:r>
        <w:t xml:space="preserve">Faktapromemoria </w:t>
      </w:r>
      <w:r w:rsidRPr="00E13D6E">
        <w:t>2011/</w:t>
      </w:r>
      <w:proofErr w:type="gramStart"/>
      <w:r w:rsidRPr="00E13D6E">
        <w:t>12:FPM</w:t>
      </w:r>
      <w:proofErr w:type="gramEnd"/>
      <w:r w:rsidRPr="00E13D6E">
        <w:t>117</w:t>
      </w:r>
    </w:p>
    <w:p w14:paraId="51B7AEE7" w14:textId="77777777" w:rsidR="00350D82" w:rsidRDefault="00350D82">
      <w:pPr>
        <w:pStyle w:val="RKnormal"/>
      </w:pPr>
    </w:p>
    <w:p w14:paraId="0EBDB6AD" w14:textId="4F063B76" w:rsidR="00350D82" w:rsidRDefault="00350D82" w:rsidP="00350D82">
      <w:pPr>
        <w:pStyle w:val="RKnormal"/>
      </w:pPr>
      <w:r>
        <w:t xml:space="preserve">Tidigare behandlad vid samråd med EU-nämnden: 2012-10-19, 2012-11-30, 2013-03-01, 2013-05-31, 2013-10-04, 2013-11-29, 2014-02-28, </w:t>
      </w:r>
      <w:r w:rsidR="001E72E7">
        <w:t>2014-05-30</w:t>
      </w:r>
      <w:r w:rsidR="00783254">
        <w:t>,</w:t>
      </w:r>
      <w:r w:rsidR="001E72E7">
        <w:t xml:space="preserve"> 2014-10-03</w:t>
      </w:r>
      <w:r w:rsidR="00783254">
        <w:t xml:space="preserve"> och 2014-11-28</w:t>
      </w:r>
    </w:p>
    <w:p w14:paraId="1F15CDC3" w14:textId="77777777" w:rsidR="00350D82" w:rsidRDefault="00350D82" w:rsidP="00350D82">
      <w:pPr>
        <w:pStyle w:val="RKnormal"/>
      </w:pPr>
    </w:p>
    <w:p w14:paraId="1B0BAE47" w14:textId="70E8F290" w:rsidR="007248B7" w:rsidRDefault="00350D82" w:rsidP="00350D82">
      <w:pPr>
        <w:pStyle w:val="RKnormal"/>
      </w:pPr>
      <w:r>
        <w:t xml:space="preserve">Tidigare behandlad vid </w:t>
      </w:r>
      <w:r w:rsidR="007248B7">
        <w:t xml:space="preserve">överläggning med eller information till </w:t>
      </w:r>
      <w:r w:rsidR="00053832">
        <w:t>konstitutionsutskottet och vid information till justitieutskottet</w:t>
      </w:r>
      <w:r w:rsidR="007248B7">
        <w:t>:</w:t>
      </w:r>
    </w:p>
    <w:p w14:paraId="1784DD16" w14:textId="77777777" w:rsidR="007248B7" w:rsidRDefault="007248B7" w:rsidP="00350D82">
      <w:pPr>
        <w:pStyle w:val="RKnormal"/>
      </w:pPr>
    </w:p>
    <w:p w14:paraId="22836D2F" w14:textId="58B82650" w:rsidR="00350D82" w:rsidRDefault="007248B7" w:rsidP="00350D82">
      <w:pPr>
        <w:pStyle w:val="RKnormal"/>
      </w:pPr>
      <w:proofErr w:type="gramStart"/>
      <w:r>
        <w:t>-</w:t>
      </w:r>
      <w:proofErr w:type="gramEnd"/>
      <w:r>
        <w:t xml:space="preserve"> </w:t>
      </w:r>
      <w:r w:rsidR="00350D82">
        <w:t>konstitutionsutskottet: 2012-02-16, 2012-03-20, 2012-11-20, 2013-01-22, 2013-05-28</w:t>
      </w:r>
      <w:r w:rsidR="00783254">
        <w:t>,</w:t>
      </w:r>
      <w:r w:rsidR="00350D82">
        <w:t xml:space="preserve"> 2013-10-03</w:t>
      </w:r>
      <w:r w:rsidR="00783254">
        <w:t xml:space="preserve"> och 2014-11-27</w:t>
      </w:r>
      <w:r w:rsidR="00350D82">
        <w:br/>
      </w:r>
      <w:r w:rsidR="00350D82">
        <w:br/>
      </w:r>
      <w:proofErr w:type="gramStart"/>
      <w:r>
        <w:t>-</w:t>
      </w:r>
      <w:proofErr w:type="gramEnd"/>
      <w:r>
        <w:t xml:space="preserve"> </w:t>
      </w:r>
      <w:r w:rsidR="00350D82">
        <w:t>justitieutskottet: 2013-05-30, 2013-10-03</w:t>
      </w:r>
      <w:r w:rsidR="001E72E7">
        <w:t>,</w:t>
      </w:r>
      <w:r w:rsidR="00350D82">
        <w:t xml:space="preserve"> 2014-02-27</w:t>
      </w:r>
      <w:r w:rsidR="001E72E7">
        <w:t xml:space="preserve"> och 2014-05-27</w:t>
      </w:r>
    </w:p>
    <w:p w14:paraId="27007885" w14:textId="77777777" w:rsidR="00350D82" w:rsidRDefault="00350D82">
      <w:pPr>
        <w:pStyle w:val="RKrubrik"/>
      </w:pPr>
      <w:r>
        <w:lastRenderedPageBreak/>
        <w:t>Bakgrund</w:t>
      </w:r>
    </w:p>
    <w:p w14:paraId="581C54FD" w14:textId="1142CAAF" w:rsidR="00350D82" w:rsidRDefault="00350D82" w:rsidP="00350D82">
      <w:pPr>
        <w:pStyle w:val="RKnormal"/>
      </w:pPr>
      <w:r w:rsidRPr="00E13D6E">
        <w:t>Den viktigaste EU-rättsakten på dataskyddsområdet</w:t>
      </w:r>
      <w:r>
        <w:t xml:space="preserve"> är det s.k. </w:t>
      </w:r>
      <w:r w:rsidRPr="00E13D6E">
        <w:t>data</w:t>
      </w:r>
      <w:r w:rsidRPr="00E13D6E">
        <w:softHyphen/>
        <w:t>skydds</w:t>
      </w:r>
      <w:r>
        <w:softHyphen/>
      </w:r>
      <w:r w:rsidRPr="00E13D6E">
        <w:t>direktivet</w:t>
      </w:r>
      <w:r>
        <w:t xml:space="preserve"> som</w:t>
      </w:r>
      <w:r w:rsidRPr="00E13D6E">
        <w:t xml:space="preserve"> antog</w:t>
      </w:r>
      <w:r>
        <w:t>s 1995. Direktivet</w:t>
      </w:r>
      <w:r w:rsidR="007248B7">
        <w:t>s</w:t>
      </w:r>
      <w:r>
        <w:t xml:space="preserve"> syfte</w:t>
      </w:r>
      <w:r w:rsidRPr="00E13D6E">
        <w:t xml:space="preserve"> </w:t>
      </w:r>
      <w:r>
        <w:t xml:space="preserve">är dels </w:t>
      </w:r>
      <w:r w:rsidRPr="00E13D6E">
        <w:t>att skydda fysiska personers grund</w:t>
      </w:r>
      <w:r w:rsidRPr="00E13D6E">
        <w:softHyphen/>
        <w:t>läggande fri- och rättigheter i sam</w:t>
      </w:r>
      <w:r>
        <w:softHyphen/>
      </w:r>
      <w:r w:rsidRPr="00E13D6E">
        <w:t>band me</w:t>
      </w:r>
      <w:r>
        <w:t xml:space="preserve">d behandling av personuppgifter, dels </w:t>
      </w:r>
      <w:r w:rsidRPr="00E13D6E">
        <w:t>att underlätta ett fritt flöde av personuppgift</w:t>
      </w:r>
      <w:r w:rsidRPr="00E13D6E">
        <w:softHyphen/>
        <w:t>er mellan medlemsstaterna. Dataskyddsdirektivet har i svensk rätt genom</w:t>
      </w:r>
      <w:r>
        <w:softHyphen/>
      </w:r>
      <w:r w:rsidRPr="00E13D6E">
        <w:t>förts genom personuppgifts</w:t>
      </w:r>
      <w:r w:rsidRPr="00E13D6E">
        <w:softHyphen/>
        <w:t>lagen och ett antal särreglering</w:t>
      </w:r>
      <w:r>
        <w:t>ar i förhållande till denna lag, t.ex. patientdatalagen och kustbevakningsdatalagen.</w:t>
      </w:r>
    </w:p>
    <w:p w14:paraId="51F56379" w14:textId="77777777" w:rsidR="00350D82" w:rsidRDefault="00350D82" w:rsidP="00350D82">
      <w:pPr>
        <w:pStyle w:val="RKnormal"/>
      </w:pPr>
    </w:p>
    <w:p w14:paraId="4CD68F69" w14:textId="77777777" w:rsidR="00581C3D" w:rsidRDefault="00350D82" w:rsidP="00350D82">
      <w:pPr>
        <w:pStyle w:val="RKnormal"/>
      </w:pPr>
      <w:r w:rsidRPr="00E13D6E">
        <w:t xml:space="preserve">Den 25 januari 2012 presenterade kommissionen </w:t>
      </w:r>
      <w:r>
        <w:t>ett</w:t>
      </w:r>
      <w:r w:rsidRPr="00E13D6E">
        <w:t xml:space="preserve"> förslag till en genomgripande reform av EU:s regler om skydd för personuppgifter. Förslaget innebär bl.a. att dataskyd</w:t>
      </w:r>
      <w:r>
        <w:t>dsdirektivet ska ersättas av en allmän</w:t>
      </w:r>
      <w:r w:rsidRPr="00E13D6E">
        <w:t xml:space="preserve"> dataskyddsförordning. </w:t>
      </w:r>
      <w:r w:rsidRPr="000B450F">
        <w:t>Förslaget till förordning har därefter förhandlats i behörig rådsarbetsgrupp</w:t>
      </w:r>
      <w:r>
        <w:t>.</w:t>
      </w:r>
    </w:p>
    <w:p w14:paraId="2006B9DC" w14:textId="77777777" w:rsidR="00581C3D" w:rsidRDefault="00581C3D" w:rsidP="00350D82">
      <w:pPr>
        <w:pStyle w:val="RKnormal"/>
      </w:pPr>
    </w:p>
    <w:p w14:paraId="25E968FA" w14:textId="5C55EC7F" w:rsidR="00350D82" w:rsidRDefault="00350D82" w:rsidP="00581C3D">
      <w:pPr>
        <w:pStyle w:val="RKnormal"/>
      </w:pPr>
      <w:r>
        <w:t xml:space="preserve">Förslaget </w:t>
      </w:r>
      <w:r w:rsidR="00581C3D">
        <w:t xml:space="preserve">har behandlats </w:t>
      </w:r>
      <w:r>
        <w:t>vid RIF-råde</w:t>
      </w:r>
      <w:r w:rsidR="00581C3D">
        <w:t>ts samtliga möten</w:t>
      </w:r>
      <w:r>
        <w:t xml:space="preserve"> </w:t>
      </w:r>
      <w:r w:rsidR="00581C3D">
        <w:t xml:space="preserve">sedan </w:t>
      </w:r>
      <w:r>
        <w:t>december 2012</w:t>
      </w:r>
      <w:r w:rsidR="00581C3D">
        <w:t xml:space="preserve">. Därvid har riktlinjedebatter hållits bl.a. i fråga om att </w:t>
      </w:r>
      <w:r>
        <w:t>införa en riskbaserad ansats i regleringen</w:t>
      </w:r>
      <w:r w:rsidR="00581C3D">
        <w:t>,</w:t>
      </w:r>
      <w:r>
        <w:t xml:space="preserve"> att skapa </w:t>
      </w:r>
      <w:r w:rsidR="00581C3D">
        <w:t xml:space="preserve">ökad </w:t>
      </w:r>
      <w:r>
        <w:t>flexibilitet för den offentliga sektorn</w:t>
      </w:r>
      <w:r w:rsidR="00581C3D">
        <w:t xml:space="preserve">, att utvidga det </w:t>
      </w:r>
      <w:r>
        <w:t>s.k. hushållsundantaget</w:t>
      </w:r>
      <w:r w:rsidR="00581C3D">
        <w:t xml:space="preserve"> i regleringen och att utvidga regleringens territoriella tillämpningsområde. Frågan om att skapa en mekanism för enhetlighet vid behandling av personuppgifter med gränsöverskridande inslag har diskuterats vid flera av rådets möten. </w:t>
      </w:r>
    </w:p>
    <w:p w14:paraId="21D3A304" w14:textId="77777777" w:rsidR="00350D82" w:rsidRDefault="00350D82" w:rsidP="00350D82"/>
    <w:p w14:paraId="4D5D2B43" w14:textId="46C1C01E" w:rsidR="00DF19C6" w:rsidRDefault="00DF19C6" w:rsidP="00DF19C6">
      <w:pPr>
        <w:pStyle w:val="RKnormal"/>
      </w:pPr>
      <w:r>
        <w:t xml:space="preserve">Vid RIF-rådet i juni 2014 träffades en överenskommelse om partiell allmän inriktning när det gäller förordningens kapitel V, som innehåller bestämmelser om överföring av personuppgifter till </w:t>
      </w:r>
      <w:r w:rsidR="009B6C7E">
        <w:t>stater</w:t>
      </w:r>
      <w:r>
        <w:t xml:space="preserve"> och inter</w:t>
      </w:r>
      <w:r>
        <w:softHyphen/>
        <w:t xml:space="preserve">nationella organisationer utanför EU och EES. </w:t>
      </w:r>
    </w:p>
    <w:p w14:paraId="0A517924" w14:textId="77777777" w:rsidR="00DF19C6" w:rsidRDefault="00DF19C6" w:rsidP="00DF19C6">
      <w:pPr>
        <w:pStyle w:val="RKnormal"/>
      </w:pPr>
    </w:p>
    <w:p w14:paraId="72A11EB6" w14:textId="1BB1570B" w:rsidR="00DF19C6" w:rsidRDefault="00DF19C6" w:rsidP="00DF19C6">
      <w:pPr>
        <w:pStyle w:val="RKnormal"/>
      </w:pPr>
      <w:r>
        <w:t xml:space="preserve">Vid RIF-rådet i oktober 2014 träffades en överenskommelse om partiell allmän inriktning när det gäller kapitel IV, som främst innehåller bestämmelser om de personuppgiftsansvarigas skyldigheter. </w:t>
      </w:r>
    </w:p>
    <w:p w14:paraId="4CD73F3E" w14:textId="45B198C0" w:rsidR="00783254" w:rsidRDefault="00783254" w:rsidP="00DF19C6">
      <w:pPr>
        <w:pStyle w:val="RKnormal"/>
      </w:pPr>
    </w:p>
    <w:p w14:paraId="01556FE0" w14:textId="6D647ACD" w:rsidR="00783254" w:rsidRDefault="00783254" w:rsidP="00DF19C6">
      <w:pPr>
        <w:pStyle w:val="RKnormal"/>
      </w:pPr>
      <w:r>
        <w:t xml:space="preserve">Vid RIF-rådet i december 2014 träffades en överenskommelse om partiell allmän inriktning när det gäller kapitel IX, som främst innehåller bestämmelser som definierar utrymmet för </w:t>
      </w:r>
      <w:proofErr w:type="spellStart"/>
      <w:r>
        <w:t>medlemstaterna</w:t>
      </w:r>
      <w:proofErr w:type="spellEnd"/>
      <w:r>
        <w:t xml:space="preserve"> att anta nationella bestämmelser om undantag från förordningen i vissa avseenden (bl.a. när det gäller yttrandefriheten och allmänhetens tillgång till allmänna handlingar), och när det gäller artiklarna 1(2)a, 6(3) och 21, som innehåller bestämmelser som klargör utrymmet för nationella kompletterande föreskrifter rörande offentlig sektor. </w:t>
      </w:r>
    </w:p>
    <w:p w14:paraId="2A2414A5" w14:textId="77777777" w:rsidR="00DF19C6" w:rsidRDefault="00DF19C6" w:rsidP="00DF19C6">
      <w:pPr>
        <w:pStyle w:val="RKnormal"/>
        <w:rPr>
          <w:i/>
        </w:rPr>
      </w:pPr>
    </w:p>
    <w:p w14:paraId="389D3144" w14:textId="7B9BD38F" w:rsidR="00995026" w:rsidRDefault="00995026" w:rsidP="00995026">
      <w:pPr>
        <w:pStyle w:val="RKnormal"/>
      </w:pPr>
      <w:r>
        <w:t xml:space="preserve">Som förbehåll för </w:t>
      </w:r>
      <w:r w:rsidR="00581C3D">
        <w:t xml:space="preserve">dessa överenskommelser </w:t>
      </w:r>
      <w:r>
        <w:t>har gällt att inget är överenskommet förrän allt är över</w:t>
      </w:r>
      <w:r>
        <w:softHyphen/>
        <w:t>ens</w:t>
      </w:r>
      <w:r>
        <w:softHyphen/>
        <w:t>kommet, att överenskommelsen inte binder förhandlingarna till några horisontella frågor och att beslutet inte ger ordförandeskapet mandat att inleda triologer med Europaparlamentet.</w:t>
      </w:r>
    </w:p>
    <w:p w14:paraId="0177D9B8" w14:textId="77777777" w:rsidR="00995026" w:rsidRDefault="00995026" w:rsidP="00350D82">
      <w:pPr>
        <w:pStyle w:val="RKnormal"/>
      </w:pPr>
    </w:p>
    <w:p w14:paraId="4E9639A5" w14:textId="0442E823" w:rsidR="00350D82" w:rsidRDefault="00350D82" w:rsidP="00350D82">
      <w:pPr>
        <w:pStyle w:val="RKnormal"/>
      </w:pPr>
      <w:r>
        <w:t xml:space="preserve">Vid nu aktuellt rådsmöte är avsikten att nå en </w:t>
      </w:r>
      <w:r w:rsidR="0054111D">
        <w:t xml:space="preserve">överenskommelse om </w:t>
      </w:r>
      <w:r>
        <w:t xml:space="preserve">partiell allmän inriktning </w:t>
      </w:r>
      <w:r w:rsidR="0054111D">
        <w:t xml:space="preserve">rörande </w:t>
      </w:r>
      <w:r w:rsidR="00783254">
        <w:t>kapitel II, VI och VII</w:t>
      </w:r>
      <w:r w:rsidR="00DF19C6">
        <w:t xml:space="preserve">. </w:t>
      </w:r>
      <w:r w:rsidR="00783254">
        <w:t>Kapitel II innehåller grundläggande bestämmel</w:t>
      </w:r>
      <w:r w:rsidR="00783254">
        <w:lastRenderedPageBreak/>
        <w:t xml:space="preserve">ser om principerna för behandling av personuppgifter. I kapitel VI och VII finns bestämmelser om tillsynsmyndigheternas självständighet, uppgifter och befogenheter samt om inrättandet av en ny EU-myndighet, </w:t>
      </w:r>
      <w:r w:rsidR="007F05EE">
        <w:t xml:space="preserve">Europeiska dataskyddsstyrelsen </w:t>
      </w:r>
      <w:r w:rsidR="00271C1A">
        <w:t>(EDPB)</w:t>
      </w:r>
      <w:r w:rsidR="00783254">
        <w:t xml:space="preserve">, som bl.a. ska ha som uppgift att fatta </w:t>
      </w:r>
      <w:r w:rsidR="00CD4B7C">
        <w:t xml:space="preserve">vissa </w:t>
      </w:r>
      <w:r w:rsidR="00783254">
        <w:t xml:space="preserve">beslut i ärenden med gränsöverskridande </w:t>
      </w:r>
      <w:r w:rsidR="00CD4B7C">
        <w:t>inslag.</w:t>
      </w:r>
      <w:r w:rsidR="00581C3D">
        <w:t xml:space="preserve"> I kapitel VII regleras också den nya mekanismen för enhetlig tillämpning av förordningen (</w:t>
      </w:r>
      <w:proofErr w:type="spellStart"/>
      <w:r w:rsidR="00581C3D">
        <w:t>one</w:t>
      </w:r>
      <w:proofErr w:type="spellEnd"/>
      <w:r w:rsidR="00581C3D">
        <w:t xml:space="preserve">-stop-shop). </w:t>
      </w:r>
    </w:p>
    <w:p w14:paraId="742E47CE" w14:textId="77777777" w:rsidR="00350D82" w:rsidRDefault="00350D82">
      <w:pPr>
        <w:pStyle w:val="RKrubrik"/>
      </w:pPr>
      <w:r>
        <w:t>Rättslig grund och beslutsförfarande</w:t>
      </w:r>
    </w:p>
    <w:p w14:paraId="2E859403" w14:textId="25B87797" w:rsidR="00350D82" w:rsidRDefault="00350D82">
      <w:pPr>
        <w:pStyle w:val="RKnormal"/>
      </w:pPr>
      <w:r w:rsidRPr="00231C4B">
        <w:t xml:space="preserve">Den rättsliga grunden för förslaget är artikel 16 </w:t>
      </w:r>
      <w:r w:rsidR="007248B7">
        <w:t>i Fördraget om Europeiska unionens funktionssätt (</w:t>
      </w:r>
      <w:r>
        <w:t>EUF</w:t>
      </w:r>
      <w:r w:rsidR="009B6C7E">
        <w:t>-fördraget</w:t>
      </w:r>
      <w:r w:rsidR="007248B7">
        <w:t>)</w:t>
      </w:r>
      <w:r w:rsidRPr="00231C4B">
        <w:t>. Beslut fattas genom det ordinarie beslutsförfarandet, vilket betyder att det krävs kvalificerad majoritet i rådet samt enighet med Europaparlamentet för att anta den föreslagna förordningen.</w:t>
      </w:r>
    </w:p>
    <w:p w14:paraId="18980B5B" w14:textId="36B93A6F" w:rsidR="00F856FF" w:rsidRPr="00F856FF" w:rsidRDefault="00350D82" w:rsidP="00F856FF">
      <w:pPr>
        <w:pStyle w:val="RKrubrik"/>
        <w:rPr>
          <w:iCs/>
        </w:rPr>
      </w:pPr>
      <w:r w:rsidRPr="00350D82">
        <w:rPr>
          <w:iCs/>
        </w:rPr>
        <w:t>Svensk ståndpunkt</w:t>
      </w:r>
    </w:p>
    <w:p w14:paraId="62A68059" w14:textId="273F9A81" w:rsidR="00F02E46" w:rsidRDefault="001357F0" w:rsidP="007248B7">
      <w:pPr>
        <w:pStyle w:val="RKnormal"/>
      </w:pPr>
      <w:r>
        <w:t>Regeringen</w:t>
      </w:r>
      <w:r w:rsidR="00F02E46">
        <w:t xml:space="preserve"> står bakom den utformning av kapitel II som nu föreslagits. Strukturen bygger i huvudsak på den reglering som finns i det nuvarande dataskyddsdirektivet, som visat sig fungera väl i praktiken. För </w:t>
      </w:r>
      <w:r>
        <w:t>regeringen</w:t>
      </w:r>
      <w:r w:rsidR="00F02E46">
        <w:t xml:space="preserve"> har det varit viktigt att regleringen om otvetydigt samtycke som rättslig grund för behandling behålls, i stället för att – som kommissionen föreslagit – ett generellt krav på uttryckligt samtycke införs. Detta önskemål har tillgodosetts. </w:t>
      </w:r>
      <w:r>
        <w:t>Regeringen</w:t>
      </w:r>
      <w:r w:rsidR="00F02E46">
        <w:t xml:space="preserve"> har också med prioritet verkat för att regleringen inte ska få några negativa konsekvenser för forskning</w:t>
      </w:r>
      <w:r w:rsidR="00036527">
        <w:t>ens förutsättningar</w:t>
      </w:r>
      <w:r w:rsidR="00F02E46">
        <w:t>.</w:t>
      </w:r>
      <w:r w:rsidR="0019729D">
        <w:t xml:space="preserve"> </w:t>
      </w:r>
      <w:r>
        <w:t>Regeringen</w:t>
      </w:r>
      <w:r w:rsidR="00F02E46">
        <w:t xml:space="preserve">s bedömning är att den föreslagna regleringen </w:t>
      </w:r>
      <w:r w:rsidR="00036527">
        <w:t xml:space="preserve">skapar en god balans mellan berörda motstående intressen. </w:t>
      </w:r>
    </w:p>
    <w:p w14:paraId="63DB09E9" w14:textId="77777777" w:rsidR="00036527" w:rsidRDefault="00036527" w:rsidP="007248B7">
      <w:pPr>
        <w:pStyle w:val="RKnormal"/>
      </w:pPr>
    </w:p>
    <w:p w14:paraId="176AC4AF" w14:textId="413D46E5" w:rsidR="007248B7" w:rsidRDefault="00F02E46" w:rsidP="007248B7">
      <w:pPr>
        <w:pStyle w:val="RKnormal"/>
      </w:pPr>
      <w:r>
        <w:t>När det gäller</w:t>
      </w:r>
      <w:r w:rsidR="00036527">
        <w:t xml:space="preserve"> regleringen av tillsynsmyndigheternas uppdrag och befogenheter har </w:t>
      </w:r>
      <w:r w:rsidR="001357F0">
        <w:t>regeringen</w:t>
      </w:r>
      <w:r w:rsidR="00036527">
        <w:t xml:space="preserve"> verkat för att regleringen ska begränsas till vad som är nödvändigt för att säkerställa myndigheternas självständighet och </w:t>
      </w:r>
      <w:r w:rsidR="009B6C7E">
        <w:t xml:space="preserve">för att </w:t>
      </w:r>
      <w:r w:rsidR="00036527">
        <w:t xml:space="preserve">ge </w:t>
      </w:r>
      <w:r w:rsidR="0019729D">
        <w:t xml:space="preserve">dem </w:t>
      </w:r>
      <w:r w:rsidR="00036527">
        <w:t xml:space="preserve">likartade förutsättningar att utföra sitt uppdrag </w:t>
      </w:r>
      <w:r w:rsidR="0019729D">
        <w:t xml:space="preserve">och </w:t>
      </w:r>
      <w:r w:rsidR="009B6C7E">
        <w:t xml:space="preserve">att det </w:t>
      </w:r>
      <w:r w:rsidR="00036527">
        <w:t>i övrigt lämna</w:t>
      </w:r>
      <w:r w:rsidR="009B6C7E">
        <w:t>s</w:t>
      </w:r>
      <w:r w:rsidR="00036527">
        <w:t xml:space="preserve"> åt medlemsstaterna att reglera den nationella förvaltningen</w:t>
      </w:r>
      <w:r>
        <w:t xml:space="preserve">. </w:t>
      </w:r>
      <w:r w:rsidR="00036527">
        <w:t xml:space="preserve">Regleringen i denna del har fått något större omfång och detaljeringsgrad än vad </w:t>
      </w:r>
      <w:r w:rsidR="001357F0">
        <w:t>regeringen</w:t>
      </w:r>
      <w:r w:rsidR="00036527">
        <w:t xml:space="preserve"> i första hand eftersträvat, men utformningen bedöms kunna godtas som en acceptabel kompromiss </w:t>
      </w:r>
      <w:r w:rsidR="007D25A2">
        <w:t>i rådet.</w:t>
      </w:r>
    </w:p>
    <w:p w14:paraId="41165B95" w14:textId="74B6B562" w:rsidR="00271C1A" w:rsidRDefault="00271C1A" w:rsidP="007248B7">
      <w:pPr>
        <w:pStyle w:val="RKnormal"/>
      </w:pPr>
    </w:p>
    <w:p w14:paraId="7FBF86B5" w14:textId="5A34C59B" w:rsidR="00036527" w:rsidRDefault="00271C1A" w:rsidP="007248B7">
      <w:pPr>
        <w:pStyle w:val="RKnormal"/>
      </w:pPr>
      <w:r>
        <w:t xml:space="preserve">När det gäller Europeiska dataskyddsstyrelsens (EDPB) roll och den nya enhetlighetsmekanismens </w:t>
      </w:r>
      <w:r w:rsidR="0019729D">
        <w:t xml:space="preserve">funktion </w:t>
      </w:r>
      <w:r>
        <w:t xml:space="preserve">har </w:t>
      </w:r>
      <w:r w:rsidR="001357F0">
        <w:t>regeringen</w:t>
      </w:r>
      <w:r>
        <w:t xml:space="preserve"> välkomnat att det införs ett system för att säkerställa en enhetlig tillämpning av regelverket i fall som har gränsöverskridande inslag. Den mekanism som nu presenteras för rådet är ett resultat av långa och svåra diskussioner mellan medlemsstaterna. Förslaget syftar till att tillgodose två delvis helt motsatta </w:t>
      </w:r>
      <w:r w:rsidR="0019729D">
        <w:t>ändamål</w:t>
      </w:r>
      <w:r w:rsidR="007F05EE">
        <w:t xml:space="preserve">. Å ena sidan ska </w:t>
      </w:r>
      <w:r w:rsidR="0019729D">
        <w:t xml:space="preserve">regleringen ge </w:t>
      </w:r>
      <w:r>
        <w:t xml:space="preserve">multinationella företag </w:t>
      </w:r>
      <w:r w:rsidR="0019729D">
        <w:t xml:space="preserve">en </w:t>
      </w:r>
      <w:r>
        <w:t xml:space="preserve">möjlighet att vända sig till </w:t>
      </w:r>
      <w:r w:rsidR="0019729D">
        <w:t xml:space="preserve">enbart </w:t>
      </w:r>
      <w:r>
        <w:t xml:space="preserve">en tillsynsmyndighet i EU </w:t>
      </w:r>
      <w:r w:rsidR="0019729D">
        <w:t xml:space="preserve">för att </w:t>
      </w:r>
      <w:r>
        <w:t xml:space="preserve">få ett beslut som kan gälla för behandlingen </w:t>
      </w:r>
      <w:r w:rsidR="0019729D">
        <w:t xml:space="preserve">av personuppgifter </w:t>
      </w:r>
      <w:r>
        <w:t>i alla företag i</w:t>
      </w:r>
      <w:r w:rsidR="0019729D">
        <w:t>nom</w:t>
      </w:r>
      <w:r>
        <w:t xml:space="preserve"> en koncern </w:t>
      </w:r>
      <w:r w:rsidR="0019729D">
        <w:t xml:space="preserve">i </w:t>
      </w:r>
      <w:r>
        <w:t>EU</w:t>
      </w:r>
      <w:r w:rsidR="007F05EE">
        <w:t>. Å</w:t>
      </w:r>
      <w:r>
        <w:t xml:space="preserve"> </w:t>
      </w:r>
      <w:r w:rsidR="006B1E74">
        <w:t>andra</w:t>
      </w:r>
      <w:r>
        <w:t xml:space="preserve"> sida</w:t>
      </w:r>
      <w:r w:rsidR="0019729D">
        <w:t>n</w:t>
      </w:r>
      <w:r>
        <w:t xml:space="preserve"> </w:t>
      </w:r>
      <w:r w:rsidR="007F05EE">
        <w:t xml:space="preserve">ska regleringen också </w:t>
      </w:r>
      <w:r w:rsidR="0019729D">
        <w:t xml:space="preserve">tillgodose </w:t>
      </w:r>
      <w:r>
        <w:t xml:space="preserve">intresset av att tillförsäkra enskilda individer närhet till beslutsfattandet och till tillgängliga överklagandemekanismer. </w:t>
      </w:r>
      <w:r w:rsidR="00632994">
        <w:t>Regleringen är komplicerad</w:t>
      </w:r>
      <w:r w:rsidR="003E484B">
        <w:t xml:space="preserve">. Det kan inte uteslutas att den </w:t>
      </w:r>
      <w:r w:rsidR="00632994">
        <w:t xml:space="preserve">kan ge upphov till tillämpningsproblem. </w:t>
      </w:r>
      <w:r w:rsidR="001357F0">
        <w:lastRenderedPageBreak/>
        <w:t>Regeringen</w:t>
      </w:r>
      <w:r w:rsidR="00632994">
        <w:t xml:space="preserve"> bedöm</w:t>
      </w:r>
      <w:r w:rsidR="003E484B">
        <w:t>er trots det</w:t>
      </w:r>
      <w:r w:rsidR="00632994">
        <w:t xml:space="preserve"> att </w:t>
      </w:r>
      <w:r w:rsidR="0019729D">
        <w:t xml:space="preserve">det presenterade </w:t>
      </w:r>
      <w:r w:rsidR="00632994">
        <w:t xml:space="preserve">förslaget </w:t>
      </w:r>
      <w:r w:rsidR="003E484B">
        <w:t>utgör en bra grund för en godtagbar kompromiss.</w:t>
      </w:r>
    </w:p>
    <w:p w14:paraId="6E81AC12" w14:textId="77777777" w:rsidR="00350D82" w:rsidRDefault="00350D82" w:rsidP="00350D82">
      <w:pPr>
        <w:pStyle w:val="RKrubrik"/>
      </w:pPr>
      <w:r>
        <w:t>Europaparlamentets inställning</w:t>
      </w:r>
    </w:p>
    <w:p w14:paraId="7FB320A7" w14:textId="77777777" w:rsidR="00350D82" w:rsidRPr="00C11EE4" w:rsidRDefault="00350D82" w:rsidP="00350D82">
      <w:pPr>
        <w:pStyle w:val="RKnormal"/>
        <w:rPr>
          <w:i/>
        </w:rPr>
      </w:pPr>
      <w:r>
        <w:t>I Europaparlamentet behandlas dataskyddsförordningen i LIBE-</w:t>
      </w:r>
      <w:r w:rsidRPr="002A3415">
        <w:t>utskottet.</w:t>
      </w:r>
      <w:r w:rsidRPr="00C11EE4">
        <w:rPr>
          <w:i/>
        </w:rPr>
        <w:t xml:space="preserve"> </w:t>
      </w:r>
      <w:r w:rsidRPr="002A3415">
        <w:t>Rapportören, Jan Philipp Albrecht, lade fram ett förslag till betänkande i december 2012</w:t>
      </w:r>
      <w:r>
        <w:t xml:space="preserve"> och d</w:t>
      </w:r>
      <w:r w:rsidRPr="00AB3F0D">
        <w:t>en 22 oktober 2013</w:t>
      </w:r>
      <w:r>
        <w:t xml:space="preserve"> röstade LIBE fram ett förslag.</w:t>
      </w:r>
      <w:r w:rsidRPr="00AB3F0D">
        <w:t xml:space="preserve"> </w:t>
      </w:r>
      <w:r>
        <w:t xml:space="preserve">Den 12 mars 2014 antog Europarlamentet sin resolution till </w:t>
      </w:r>
      <w:proofErr w:type="spellStart"/>
      <w:r>
        <w:t>lagstiftingen</w:t>
      </w:r>
      <w:proofErr w:type="spellEnd"/>
      <w:r>
        <w:t xml:space="preserve"> (första läsning).</w:t>
      </w:r>
    </w:p>
    <w:p w14:paraId="15F89916" w14:textId="77777777" w:rsidR="00350D82" w:rsidRPr="00E13D6E" w:rsidRDefault="00350D82" w:rsidP="00350D82">
      <w:pPr>
        <w:pStyle w:val="RKrubrik"/>
        <w:rPr>
          <w:iCs/>
        </w:rPr>
      </w:pPr>
      <w:r w:rsidRPr="00E13D6E">
        <w:rPr>
          <w:iCs/>
        </w:rPr>
        <w:t>Förslaget</w:t>
      </w:r>
    </w:p>
    <w:p w14:paraId="7D15A28D" w14:textId="1DB14EA8" w:rsidR="00350D82" w:rsidRDefault="00350D82" w:rsidP="00350D82">
      <w:pPr>
        <w:pStyle w:val="RKnormal"/>
      </w:pPr>
      <w:r w:rsidRPr="00231C4B">
        <w:t>Det huvudsakliga syftet med kommissionens förslag är att ytterligare harmonisera och effektivisera skyddet av person</w:t>
      </w:r>
      <w:r w:rsidRPr="00231C4B">
        <w:softHyphen/>
        <w:t>uppgifter i syfte att förbättra den inre marknadens funktion och öka enskildas kontroll över sina personuppgifter. I och med att regleringen ges formen av en förordning kommer den att bli direkt tillämplig i alla medlemsstater när den trätt i kraft. Om förslaget genomförs kommer förordningen således inte att ersätta bara data</w:t>
      </w:r>
      <w:r>
        <w:softHyphen/>
      </w:r>
      <w:r w:rsidRPr="00231C4B">
        <w:t>skydds</w:t>
      </w:r>
      <w:r w:rsidRPr="00231C4B">
        <w:softHyphen/>
        <w:t xml:space="preserve">direktivet utan även personuppgiftslagen. Förslaget lämnar dock ett visst utrymme för </w:t>
      </w:r>
      <w:r>
        <w:t>nationell reglering. Exempelvis är det möjligt att i nationell rätt fastställa vad som är ett allmänt intresse som kan ge rätt att behandla personuppgifter samt att under vissa förutsättningar införa undantag från bestämmelserna i förord</w:t>
      </w:r>
      <w:r>
        <w:softHyphen/>
        <w:t xml:space="preserve">ningen. Vidare är det möjligt att införa viss nationell reglering inom </w:t>
      </w:r>
      <w:r w:rsidRPr="00231C4B">
        <w:t xml:space="preserve">vissa </w:t>
      </w:r>
      <w:r>
        <w:t xml:space="preserve">i förordningen utpekade områden, </w:t>
      </w:r>
      <w:r w:rsidRPr="00231C4B">
        <w:t>t.ex. arbets</w:t>
      </w:r>
      <w:r>
        <w:softHyphen/>
      </w:r>
      <w:r w:rsidRPr="00231C4B">
        <w:t>marknadsområdet</w:t>
      </w:r>
      <w:r>
        <w:t xml:space="preserve">. </w:t>
      </w:r>
      <w:r w:rsidRPr="00231C4B">
        <w:t>Kommissionen framhåller att förslaget kommer att undanröja den fragmentariska dataskydds</w:t>
      </w:r>
      <w:r w:rsidRPr="00231C4B">
        <w:softHyphen/>
        <w:t>reglering som nu finns inom EU. Enligt kommissionen kommer detta att både förenkla för företagen och stärka den enskildes rätt till skydd för sina personuppgifter.</w:t>
      </w:r>
    </w:p>
    <w:p w14:paraId="4209F8F4" w14:textId="77777777" w:rsidR="00350D82" w:rsidRPr="00231C4B" w:rsidRDefault="00350D82" w:rsidP="00350D82">
      <w:pPr>
        <w:pStyle w:val="RKnormal"/>
      </w:pPr>
    </w:p>
    <w:p w14:paraId="13A07A8A" w14:textId="77777777" w:rsidR="00350D82" w:rsidRDefault="00350D82" w:rsidP="00350D82">
      <w:pPr>
        <w:pStyle w:val="RKnormal"/>
      </w:pPr>
      <w:r w:rsidRPr="00231C4B">
        <w:t>Förslaget till förordning baseras till stor del på den struktur och reglering som finns i det nu gällande dataskydds</w:t>
      </w:r>
      <w:r w:rsidRPr="00231C4B">
        <w:softHyphen/>
        <w:t>direktivet. Förordningen innehåller dock även en rad nyheter jämfört med dataskyddsdirektivet</w:t>
      </w:r>
      <w:r>
        <w:t>. För en mer utförlig beskrivning av förslaget hänvisas till fakta</w:t>
      </w:r>
      <w:r>
        <w:softHyphen/>
        <w:t>promemorian.</w:t>
      </w:r>
    </w:p>
    <w:p w14:paraId="0E89C811" w14:textId="77777777" w:rsidR="00350D82" w:rsidRPr="00E13D6E" w:rsidRDefault="00350D82" w:rsidP="00350D82">
      <w:pPr>
        <w:pStyle w:val="RKrubrik"/>
        <w:rPr>
          <w:iCs/>
        </w:rPr>
      </w:pPr>
      <w:r w:rsidRPr="00E13D6E">
        <w:rPr>
          <w:iCs/>
        </w:rPr>
        <w:t>Gällande svenska regler och förslagets effekter på dessa</w:t>
      </w:r>
    </w:p>
    <w:p w14:paraId="56CCF609" w14:textId="77777777" w:rsidR="00350D82" w:rsidRDefault="00350D82" w:rsidP="00350D82">
      <w:pPr>
        <w:pStyle w:val="RKnormal"/>
      </w:pPr>
      <w:r>
        <w:t>Dataskyddsdirektivet har i svensk rätt genomförts dels genom person</w:t>
      </w:r>
      <w:r>
        <w:softHyphen/>
        <w:t>upp</w:t>
      </w:r>
      <w:r>
        <w:softHyphen/>
        <w:t>giftslagen, dels genom ett stort antal författningar som innehåller sär</w:t>
      </w:r>
      <w:r>
        <w:softHyphen/>
        <w:t xml:space="preserve">regleringar om behandling av personuppgifter för olika myndigheter och sektorer. </w:t>
      </w:r>
    </w:p>
    <w:p w14:paraId="1007AA83" w14:textId="77777777" w:rsidR="00350D82" w:rsidRDefault="00350D82" w:rsidP="00350D82">
      <w:pPr>
        <w:pStyle w:val="RKnormal"/>
      </w:pPr>
    </w:p>
    <w:p w14:paraId="11252501" w14:textId="78964EEE" w:rsidR="00350D82" w:rsidRDefault="00350D82" w:rsidP="00350D82">
      <w:pPr>
        <w:pStyle w:val="RKnormal"/>
      </w:pPr>
      <w:r>
        <w:t>Kommissionens förslag innebär att dataskyddsdirektivet ska ersättas av en allmän dataskyddsförordning. Eftersom förordningen kommer att bli direkt tillämplig i medlemsstaterna kommer den, om förslaget genom</w:t>
      </w:r>
      <w:r>
        <w:softHyphen/>
        <w:t xml:space="preserve">förs, att ersätta personuppgiftslagen. </w:t>
      </w:r>
    </w:p>
    <w:p w14:paraId="590960CB" w14:textId="77777777" w:rsidR="00350D82" w:rsidRDefault="00350D82" w:rsidP="00350D82">
      <w:pPr>
        <w:pStyle w:val="RKrubrik"/>
      </w:pPr>
      <w:r>
        <w:t>Ekonomiska konsekvenser</w:t>
      </w:r>
    </w:p>
    <w:p w14:paraId="127D6858" w14:textId="107D2278" w:rsidR="006E4E11" w:rsidRDefault="00350D82">
      <w:pPr>
        <w:pStyle w:val="RKnormal"/>
      </w:pPr>
      <w:r>
        <w:t xml:space="preserve">I dagsläget är det inte möjligt att närmare bedöma vilka budgetära eller samhällsekonomiska konsekvenser ett genomförande av förslaget kommer att få för företag och </w:t>
      </w:r>
      <w:r>
        <w:lastRenderedPageBreak/>
        <w:t>privatpersoner i Sverige och för svensk offentlig förvaltning. Det bör dock kunna förutsättas att eventuella budgetära konsekvenser inom EU ska kunna finansieras genom omfördelningar inom befintliga budgetramar.</w:t>
      </w:r>
    </w:p>
    <w:sectPr w:rsidR="006E4E1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86ED2" w14:textId="77777777" w:rsidR="00350D82" w:rsidRDefault="00350D82">
      <w:r>
        <w:separator/>
      </w:r>
    </w:p>
  </w:endnote>
  <w:endnote w:type="continuationSeparator" w:id="0">
    <w:p w14:paraId="7A14CBA9" w14:textId="77777777" w:rsidR="00350D82" w:rsidRDefault="0035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8B5A2" w14:textId="77777777" w:rsidR="00350D82" w:rsidRDefault="00350D82">
      <w:r>
        <w:separator/>
      </w:r>
    </w:p>
  </w:footnote>
  <w:footnote w:type="continuationSeparator" w:id="0">
    <w:p w14:paraId="493C9483" w14:textId="77777777" w:rsidR="00350D82" w:rsidRDefault="00350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886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2C68">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EF6C11" w14:textId="77777777">
      <w:trPr>
        <w:cantSplit/>
      </w:trPr>
      <w:tc>
        <w:tcPr>
          <w:tcW w:w="3119" w:type="dxa"/>
        </w:tcPr>
        <w:p w14:paraId="70816C5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269FB9" w14:textId="77777777" w:rsidR="00E80146" w:rsidRDefault="00E80146">
          <w:pPr>
            <w:pStyle w:val="Sidhuvud"/>
            <w:ind w:right="360"/>
          </w:pPr>
        </w:p>
      </w:tc>
      <w:tc>
        <w:tcPr>
          <w:tcW w:w="1525" w:type="dxa"/>
        </w:tcPr>
        <w:p w14:paraId="54CA4CC1" w14:textId="77777777" w:rsidR="00E80146" w:rsidRDefault="00E80146">
          <w:pPr>
            <w:pStyle w:val="Sidhuvud"/>
            <w:ind w:right="360"/>
          </w:pPr>
        </w:p>
      </w:tc>
    </w:tr>
  </w:tbl>
  <w:p w14:paraId="4F11ADD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DF09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2C68">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BE5FD7" w14:textId="77777777">
      <w:trPr>
        <w:cantSplit/>
      </w:trPr>
      <w:tc>
        <w:tcPr>
          <w:tcW w:w="3119" w:type="dxa"/>
        </w:tcPr>
        <w:p w14:paraId="58C46F9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FA6C8C" w14:textId="77777777" w:rsidR="00E80146" w:rsidRDefault="00E80146">
          <w:pPr>
            <w:pStyle w:val="Sidhuvud"/>
            <w:ind w:right="360"/>
          </w:pPr>
        </w:p>
      </w:tc>
      <w:tc>
        <w:tcPr>
          <w:tcW w:w="1525" w:type="dxa"/>
        </w:tcPr>
        <w:p w14:paraId="5C22E52A" w14:textId="77777777" w:rsidR="00E80146" w:rsidRDefault="00E80146">
          <w:pPr>
            <w:pStyle w:val="Sidhuvud"/>
            <w:ind w:right="360"/>
          </w:pPr>
        </w:p>
      </w:tc>
    </w:tr>
  </w:tbl>
  <w:p w14:paraId="3F6F94F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528E1" w14:textId="6E4ACF76" w:rsidR="00350D82" w:rsidRDefault="001E72E7">
    <w:pPr>
      <w:framePr w:w="2948" w:h="1321" w:hRule="exact" w:wrap="notBeside" w:vAnchor="page" w:hAnchor="page" w:x="1362" w:y="653"/>
    </w:pPr>
    <w:r>
      <w:rPr>
        <w:noProof/>
        <w:lang w:eastAsia="sv-SE"/>
      </w:rPr>
      <w:drawing>
        <wp:inline distT="0" distB="0" distL="0" distR="0" wp14:anchorId="65EFBED6" wp14:editId="379BC7C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B2E3453" w14:textId="77777777" w:rsidR="00E80146" w:rsidRDefault="00E80146">
    <w:pPr>
      <w:pStyle w:val="RKrubrik"/>
      <w:keepNext w:val="0"/>
      <w:tabs>
        <w:tab w:val="clear" w:pos="1134"/>
        <w:tab w:val="clear" w:pos="2835"/>
      </w:tabs>
      <w:spacing w:before="0" w:after="0" w:line="320" w:lineRule="atLeast"/>
      <w:rPr>
        <w:bCs/>
      </w:rPr>
    </w:pPr>
  </w:p>
  <w:p w14:paraId="169A4645" w14:textId="77777777" w:rsidR="00E80146" w:rsidRDefault="00E80146">
    <w:pPr>
      <w:rPr>
        <w:rFonts w:ascii="TradeGothic" w:hAnsi="TradeGothic"/>
        <w:b/>
        <w:bCs/>
        <w:spacing w:val="12"/>
        <w:sz w:val="22"/>
      </w:rPr>
    </w:pPr>
  </w:p>
  <w:p w14:paraId="3786910B" w14:textId="77777777" w:rsidR="00E80146" w:rsidRDefault="00E80146">
    <w:pPr>
      <w:pStyle w:val="RKrubrik"/>
      <w:keepNext w:val="0"/>
      <w:tabs>
        <w:tab w:val="clear" w:pos="1134"/>
        <w:tab w:val="clear" w:pos="2835"/>
      </w:tabs>
      <w:spacing w:before="0" w:after="0" w:line="320" w:lineRule="atLeast"/>
      <w:rPr>
        <w:bCs/>
      </w:rPr>
    </w:pPr>
  </w:p>
  <w:p w14:paraId="407733E1"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2182C"/>
    <w:multiLevelType w:val="hybridMultilevel"/>
    <w:tmpl w:val="97FC3BD2"/>
    <w:lvl w:ilvl="0" w:tplc="2868A60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41459FB"/>
    <w:multiLevelType w:val="hybridMultilevel"/>
    <w:tmpl w:val="B3EA8472"/>
    <w:lvl w:ilvl="0" w:tplc="AD2C1E5A">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Justitiedepartementet"/>
    <w:docVar w:name="Regering" w:val="N"/>
  </w:docVars>
  <w:rsids>
    <w:rsidRoot w:val="00350D82"/>
    <w:rsid w:val="00032C68"/>
    <w:rsid w:val="00036527"/>
    <w:rsid w:val="00053832"/>
    <w:rsid w:val="000B24BD"/>
    <w:rsid w:val="001357F0"/>
    <w:rsid w:val="00150384"/>
    <w:rsid w:val="00160901"/>
    <w:rsid w:val="001805B7"/>
    <w:rsid w:val="0019729D"/>
    <w:rsid w:val="001C5AF0"/>
    <w:rsid w:val="001E72E7"/>
    <w:rsid w:val="00221B28"/>
    <w:rsid w:val="00271C1A"/>
    <w:rsid w:val="002C0B9A"/>
    <w:rsid w:val="00350D82"/>
    <w:rsid w:val="00367B1C"/>
    <w:rsid w:val="003A4579"/>
    <w:rsid w:val="003A46AF"/>
    <w:rsid w:val="003B08D3"/>
    <w:rsid w:val="003E484B"/>
    <w:rsid w:val="003F4377"/>
    <w:rsid w:val="004A328D"/>
    <w:rsid w:val="0054111D"/>
    <w:rsid w:val="00581C3D"/>
    <w:rsid w:val="0058762B"/>
    <w:rsid w:val="005F686C"/>
    <w:rsid w:val="00600A61"/>
    <w:rsid w:val="00610DFD"/>
    <w:rsid w:val="00632994"/>
    <w:rsid w:val="00656B4F"/>
    <w:rsid w:val="006B1E74"/>
    <w:rsid w:val="006D5EE6"/>
    <w:rsid w:val="006E4E11"/>
    <w:rsid w:val="007242A3"/>
    <w:rsid w:val="007248B7"/>
    <w:rsid w:val="00783254"/>
    <w:rsid w:val="007A6855"/>
    <w:rsid w:val="007D25A2"/>
    <w:rsid w:val="007F05EE"/>
    <w:rsid w:val="0092027A"/>
    <w:rsid w:val="00955E31"/>
    <w:rsid w:val="00992E72"/>
    <w:rsid w:val="00995026"/>
    <w:rsid w:val="009B6C7E"/>
    <w:rsid w:val="009F406E"/>
    <w:rsid w:val="00A97FA0"/>
    <w:rsid w:val="00AE48C0"/>
    <w:rsid w:val="00AF26D1"/>
    <w:rsid w:val="00C22AFC"/>
    <w:rsid w:val="00C47450"/>
    <w:rsid w:val="00CA66CD"/>
    <w:rsid w:val="00CD4B7C"/>
    <w:rsid w:val="00D133D7"/>
    <w:rsid w:val="00D440DA"/>
    <w:rsid w:val="00DD1733"/>
    <w:rsid w:val="00DF19C6"/>
    <w:rsid w:val="00E64249"/>
    <w:rsid w:val="00E73B05"/>
    <w:rsid w:val="00E80146"/>
    <w:rsid w:val="00E904D0"/>
    <w:rsid w:val="00EC25F9"/>
    <w:rsid w:val="00ED583F"/>
    <w:rsid w:val="00F02E46"/>
    <w:rsid w:val="00F143D0"/>
    <w:rsid w:val="00F856FF"/>
    <w:rsid w:val="00FA4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E3053"/>
  <w15:docId w15:val="{3E4C419C-8DE0-4FA3-A3BE-9C0207CA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A4AC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A4AC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iarienummer xmlns="ae7d44cc-993d-4c0e-9780-c4ecd094065b" xsi:nil="true"/>
    <TaxCatchAll xmlns="ae7d44cc-993d-4c0e-9780-c4ecd094065b"/>
    <Nyckelord xmlns="ae7d44cc-993d-4c0e-9780-c4ecd094065b" xsi:nil="true"/>
    <k46d94c0acf84ab9a79866a9d8b1905f xmlns="ae7d44cc-993d-4c0e-9780-c4ecd094065b">
      <Terms xmlns="http://schemas.microsoft.com/office/infopath/2007/PartnerControls"/>
    </k46d94c0acf84ab9a79866a9d8b1905f>
    <_dlc_DocId xmlns="ae7d44cc-993d-4c0e-9780-c4ecd094065b">F5J5VW6DSRJ4-5-15980</_dlc_DocId>
    <_dlc_DocIdUrl xmlns="ae7d44cc-993d-4c0e-9780-c4ecd094065b">
      <Url>http://rkdhs-ju/enhet/eu/_layouts/DocIdRedir.aspx?ID=F5J5VW6DSRJ4-5-15980</Url>
      <Description>F5J5VW6DSRJ4-5-15980</Description>
    </_dlc_DocIdUrl>
    <RKOrdnaCheckInComment xmlns="338f2a83-5282-45d1-8af4-7e742a6566e3" xsi:nil="true"/>
    <RKOrdnaClass xmlns="338f2a83-5282-45d1-8af4-7e742a6566e3" xsi:nil="true"/>
    <Sekretess xmlns="ae7d44cc-993d-4c0e-9780-c4ecd094065b" xsi:nil="true"/>
    <c9cd366cc722410295b9eacffbd73909 xmlns="ae7d44cc-993d-4c0e-9780-c4ecd094065b">
      <Terms xmlns="http://schemas.microsoft.com/office/infopath/2007/PartnerControls"/>
    </c9cd366cc722410295b9eacffbd73909>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66B3A-8361-482F-9689-6B6A8B289E71}">
  <ds:schemaRefs>
    <ds:schemaRef ds:uri="http://schemas.openxmlformats.org/package/2006/metadata/core-properties"/>
    <ds:schemaRef ds:uri="http://purl.org/dc/elements/1.1/"/>
    <ds:schemaRef ds:uri="338f2a83-5282-45d1-8af4-7e742a6566e3"/>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ae7d44cc-993d-4c0e-9780-c4ecd094065b"/>
    <ds:schemaRef ds:uri="http://purl.org/dc/terms/"/>
  </ds:schemaRefs>
</ds:datastoreItem>
</file>

<file path=customXml/itemProps2.xml><?xml version="1.0" encoding="utf-8"?>
<ds:datastoreItem xmlns:ds="http://schemas.openxmlformats.org/officeDocument/2006/customXml" ds:itemID="{CCB61E0A-4115-4C4D-905A-C3444E60EFCE}">
  <ds:schemaRefs>
    <ds:schemaRef ds:uri="http://schemas.microsoft.com/sharepoint/v3/contenttype/forms/url"/>
  </ds:schemaRefs>
</ds:datastoreItem>
</file>

<file path=customXml/itemProps3.xml><?xml version="1.0" encoding="utf-8"?>
<ds:datastoreItem xmlns:ds="http://schemas.openxmlformats.org/officeDocument/2006/customXml" ds:itemID="{EA9E8619-F9A7-4D81-BB66-49CB51E3A850}">
  <ds:schemaRefs>
    <ds:schemaRef ds:uri="http://schemas.microsoft.com/sharepoint/v3/contenttype/forms"/>
  </ds:schemaRefs>
</ds:datastoreItem>
</file>

<file path=customXml/itemProps4.xml><?xml version="1.0" encoding="utf-8"?>
<ds:datastoreItem xmlns:ds="http://schemas.openxmlformats.org/officeDocument/2006/customXml" ds:itemID="{8C9D77FC-26D4-491D-B022-6D41ADC7A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C25F5C-EE38-41BB-95C1-36D466759A0F}">
  <ds:schemaRefs>
    <ds:schemaRef ds:uri="http://schemas.microsoft.com/office/2006/metadata/customXsn"/>
  </ds:schemaRefs>
</ds:datastoreItem>
</file>

<file path=customXml/itemProps6.xml><?xml version="1.0" encoding="utf-8"?>
<ds:datastoreItem xmlns:ds="http://schemas.openxmlformats.org/officeDocument/2006/customXml" ds:itemID="{79FB2F7E-4DF1-4910-AC7F-20B3345F4CC8}">
  <ds:schemaRefs>
    <ds:schemaRef ds:uri="http://schemas.microsoft.com/sharepoint/events"/>
  </ds:schemaRefs>
</ds:datastoreItem>
</file>

<file path=customXml/itemProps7.xml><?xml version="1.0" encoding="utf-8"?>
<ds:datastoreItem xmlns:ds="http://schemas.openxmlformats.org/officeDocument/2006/customXml" ds:itemID="{0B122F99-A7E8-4DB1-AF35-C9E8A89A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1406</Words>
  <Characters>8495</Characters>
  <Application>Microsoft Office Word</Application>
  <DocSecurity>4</DocSecurity>
  <Lines>242</Lines>
  <Paragraphs>69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Säfsten</dc:creator>
  <cp:lastModifiedBy>Johan Eriksson</cp:lastModifiedBy>
  <cp:revision>2</cp:revision>
  <cp:lastPrinted>2015-03-02T12:48:00Z</cp:lastPrinted>
  <dcterms:created xsi:type="dcterms:W3CDTF">2015-03-02T12:48:00Z</dcterms:created>
  <dcterms:modified xsi:type="dcterms:W3CDTF">2015-03-02T12:48:00Z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2;0;0;205</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0x01010053E1D612BA3F4E21AA250ECD751942B300D32C9E506A07C54F976DA4F70564747D</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ef88208d-1354-4cb1-becd-0039832e4e91</vt:lpwstr>
  </property>
</Properties>
</file>