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2015/16</w:t>
      </w:r>
      <w:bookmarkEnd w:id="0"/>
      <w:r>
        <w:t>:</w:t>
      </w:r>
      <w:bookmarkStart w:id="1" w:name="DocumentNumber"/>
      <w:r>
        <w:t>62</w:t>
      </w:r>
      <w:bookmarkEnd w:id="1"/>
    </w:p>
    <w:p w:rsidR="006E04A4">
      <w:pPr>
        <w:pStyle w:val="Date"/>
        <w:outlineLvl w:val="0"/>
      </w:pPr>
      <w:bookmarkStart w:id="2" w:name="DocumentDate"/>
      <w:r>
        <w:t>Onsdagen den 3 februari 2016</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09.00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Arbetsplenum</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16.00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Votering</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Protokollen från sammanträdena onsdagen den 20, torsdagen den 21 och fredagen den 22 januari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Avsägelse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Johan Nissinen (SD) som suppleant i finansutskottet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fördröjt svar på interpellation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 xml:space="preserve">2015/16:337 av Ann-Charlotte Hammar Johnsson (M) </w:t>
            </w:r>
            <w:r>
              <w:rPr>
                <w:rtl w:val="0"/>
              </w:rPr>
              <w:br/>
            </w:r>
            <w:r>
              <w:rPr>
                <w:rtl w:val="0"/>
              </w:rPr>
              <w:t>Offentlig upphandling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2015/16:82 Åtgärder för ökad folkhälsa på tobaksområdet – genomförandet av EU:s tobaksproduktdirektiv</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Skrivelser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2015/16:80 En arbetsmiljöstrategi för det moderna arbetslivet 2016–2020</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2015/16:87 Kontrollstation för de klimat- och energipolitiska målen till 2020 samt klimatanpassning</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KOM(2016) 31 Förslag till Europaparlamentets och rådets förordning om godkännande av och marknadstillsyn över motorfordon och släpfordon till dessa fordon samt av system, komponenter och separata tekniska enheter som är avsedda för sådana fordon </w:t>
            </w:r>
            <w:r>
              <w:rPr>
                <w:rtl w:val="0"/>
              </w:rPr>
              <w:br/>
            </w:r>
            <w:r>
              <w:rPr>
                <w:i/>
                <w:iCs/>
                <w:rtl w:val="0"/>
              </w:rPr>
              <w:t>Åttaveckorsfristen för att avge ett motiverat yttrande går ut den 29 mars 2016</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debatt och avgörande</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Socialförsäkringsutskottets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Bet. 2015/16:SfU10 Utlänningsdatalag</w:t>
            </w:r>
          </w:p>
        </w:tc>
        <w:tc>
          <w:tcPr>
            <w:tcW w:w="2055" w:type="dxa"/>
          </w:tcPr>
          <w:p w:rsidR="006E04A4" w:rsidP="00C84F80">
            <w:r>
              <w:rPr>
                <w:rtl w:val="0"/>
              </w:rPr>
              <w:t>5 res. (M, SD, V)</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Bet. 2015/16:SoU4 Bidrag för glasögon till barn och unga</w:t>
            </w:r>
          </w:p>
        </w:tc>
        <w:tc>
          <w:tcPr>
            <w:tcW w:w="2055" w:type="dxa"/>
          </w:tcPr>
          <w:p w:rsidR="006E04A4" w:rsidP="00C84F80">
            <w:r>
              <w:rPr>
                <w:rtl w:val="0"/>
              </w:rPr>
              <w:t>7 res. (SD, C,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Finansutskottets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Bet. 2015/16:FiU15 Värdepapperscentraler och kontoföring av finansiella instrument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Konstitutionsutskottets betänkanden och utlåtande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Utl. 2015/16:KU27 Subsidiaritetsprövning av Europaparlamentets förslag till ändringar i EU:s valrättsakt</w:t>
            </w:r>
            <w:r>
              <w:rPr>
                <w:rtl w:val="0"/>
              </w:rPr>
              <w:br/>
            </w:r>
            <w:r>
              <w:rPr>
                <w:i/>
                <w:iCs/>
                <w:rtl w:val="0"/>
              </w:rPr>
              <w:t>Utskottet föreslår att ärendet får avgöras trots att det har varit tillgängligt kortare tid än två vardagar före den dag då det behandlas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Bet. 2015/16:KU4 Åtgärder för att göra samhället mer motståndskraftigt mot våldsbejakande extremism</w:t>
            </w:r>
          </w:p>
        </w:tc>
        <w:tc>
          <w:tcPr>
            <w:tcW w:w="2055" w:type="dxa"/>
          </w:tcPr>
          <w:p w:rsidR="006E04A4" w:rsidP="00C84F80">
            <w:r>
              <w:rPr>
                <w:rtl w:val="0"/>
              </w:rPr>
              <w:t>6 res. (SD)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Bet. 2015/16:KU6 Riksrevisionens rapport om digitalradio</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Bet. 2015/16:KU9 Nya regler för att öka Europadomstolens effektivitet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Näringsutskottets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Bet. 2015/16:NU7 Riksrevisionens rapport om Vattenfall och energiomställningen</w:t>
            </w:r>
          </w:p>
        </w:tc>
        <w:tc>
          <w:tcPr>
            <w:tcW w:w="2055" w:type="dxa"/>
          </w:tcPr>
          <w:p w:rsidR="006E04A4" w:rsidP="00C84F80">
            <w:r>
              <w:rPr>
                <w:rtl w:val="0"/>
              </w:rPr>
              <w:t>6 res. (S, M, SD, MP, C, V,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Bet. 2015/16:JuU2 En modernare rättegång II</w:t>
            </w:r>
          </w:p>
        </w:tc>
        <w:tc>
          <w:tcPr>
            <w:tcW w:w="2055" w:type="dxa"/>
          </w:tcPr>
          <w:p w:rsidR="006E04A4" w:rsidP="00C84F80">
            <w:r>
              <w:rPr>
                <w:rtl w:val="0"/>
              </w:rPr>
              <w:t>1 res. (C)</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Trafikutskottets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Bet. 2015/16:TU6 Postfrågor och grundläggande betaltjänster</w:t>
            </w:r>
          </w:p>
        </w:tc>
        <w:tc>
          <w:tcPr>
            <w:tcW w:w="2055" w:type="dxa"/>
          </w:tcPr>
          <w:p w:rsidR="006E04A4" w:rsidP="00C84F80">
            <w:r>
              <w:rPr>
                <w:rtl w:val="0"/>
              </w:rPr>
              <w:t>5 res. (M, SD, C, V,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Bet. 2015/16:TU7 Cykelfrågor</w:t>
            </w:r>
          </w:p>
        </w:tc>
        <w:tc>
          <w:tcPr>
            <w:tcW w:w="2055" w:type="dxa"/>
          </w:tcPr>
          <w:p w:rsidR="006E04A4" w:rsidP="00C84F80">
            <w:r>
              <w:rPr>
                <w:rtl w:val="0"/>
              </w:rPr>
              <w:t>5 res. (M, C, V,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Kulturutskottets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Bet. 2015/16:KrU4 Kultur och fritid för barn och unga</w:t>
            </w:r>
          </w:p>
        </w:tc>
        <w:tc>
          <w:tcPr>
            <w:tcW w:w="2055" w:type="dxa"/>
          </w:tcPr>
          <w:p w:rsidR="006E04A4" w:rsidP="00C84F80">
            <w:r>
              <w:rPr>
                <w:rtl w:val="0"/>
              </w:rPr>
              <w:t>7 res. (M, SD, C,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Bet. 2015/16:KrU5 Radio och tv i allmänhetens tjänst</w:t>
            </w:r>
          </w:p>
        </w:tc>
        <w:tc>
          <w:tcPr>
            <w:tcW w:w="2055" w:type="dxa"/>
          </w:tcPr>
          <w:p w:rsidR="006E04A4" w:rsidP="00C84F80">
            <w:r>
              <w:rPr>
                <w:rtl w:val="0"/>
              </w:rPr>
              <w:t>3 res. (SD, KD)</w:t>
            </w:r>
          </w:p>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Onsdagen den 3 februari 2016</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2016-02-03</SAFIR_Sammantradesdatum_Doc>
    <SAFIR_SammantradeID xmlns="C07A1A6C-0B19-41D9-BDF8-F523BA3921EB">0fda95ca-285a-4f3f-989e-077b830a13c2</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2DF9E-4D52-4999-9C91-DC902D40B291}"/>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3 februari 2016</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