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E1E0C">
        <w:tblPrEx>
          <w:tblCellMar>
            <w:top w:w="0" w:type="dxa"/>
            <w:bottom w:w="0" w:type="dxa"/>
          </w:tblCellMar>
        </w:tblPrEx>
        <w:trPr>
          <w:cantSplit/>
          <w:trHeight w:hRule="exact" w:val="1260"/>
        </w:trPr>
        <w:tc>
          <w:tcPr>
            <w:tcW w:w="6024" w:type="dxa"/>
            <w:gridSpan w:val="2"/>
            <w:vMerge w:val="restart"/>
          </w:tcPr>
          <w:p w:rsidR="00031A3F" w:rsidRPr="00EE1E0C" w:rsidRDefault="00031A3F">
            <w:pPr>
              <w:pStyle w:val="HuvudRubrik"/>
            </w:pPr>
            <w:r w:rsidRPr="00EE1E0C">
              <w:t>Förslag till riksdagen</w:t>
            </w:r>
            <w:r w:rsidR="00EE1E0C" w:rsidRPr="00EE1E0C">
              <w:rPr>
                <w:noProof/>
              </w:rPr>
              <mc:AlternateContent>
                <mc:Choice Requires="wps">
                  <w:drawing>
                    <wp:anchor distT="0" distB="0" distL="114300" distR="114300" simplePos="0" relativeHeight="25161369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74867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031A3F" w:rsidRPr="00EE1E0C" w:rsidRDefault="00031A3F">
                                  <w:pPr>
                                    <w:pStyle w:val="Logo"/>
                                  </w:pPr>
                                  <w:r w:rsidRPr="00EE1E0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693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031A3F" w:rsidRPr="00EE1E0C" w:rsidRDefault="00031A3F">
                            <w:pPr>
                              <w:pStyle w:val="Logo"/>
                            </w:pPr>
                            <w:r w:rsidRPr="00EE1E0C">
                              <w:object w:dxaOrig="840" w:dyaOrig="1545">
                                <v:shape id="_x0000_i1027" type="#_x0000_t75" style="width:90.45pt;height:77.15pt" fillcolor="window">
                                  <v:imagedata r:id="rId7" o:title="" cropright="-75835f"/>
                                </v:shape>
                                <o:OLEObject Type="Embed" ProgID="Word.Picture.8" ShapeID="_x0000_i1027" DrawAspect="Content" ObjectID="_1827346935" r:id="rId9"/>
                              </w:object>
                            </w:r>
                          </w:p>
                        </w:txbxContent>
                      </v:textbox>
                      <w10:wrap anchorx="page" anchory="page"/>
                    </v:shape>
                  </w:pict>
                </mc:Fallback>
              </mc:AlternateContent>
            </w:r>
          </w:p>
          <w:p w:rsidR="00031A3F" w:rsidRPr="00EE1E0C" w:rsidRDefault="00031A3F">
            <w:pPr>
              <w:pStyle w:val="HuvudRubrikRad2"/>
            </w:pPr>
            <w:bookmarkStart w:id="16" w:name="BetänkandeNr"/>
            <w:bookmarkEnd w:id="16"/>
            <w:r w:rsidRPr="00EE1E0C">
              <w:t>1999/2000:RR7</w:t>
            </w:r>
          </w:p>
          <w:p w:rsidR="00031A3F" w:rsidRPr="00EE1E0C" w:rsidRDefault="00031A3F">
            <w:pPr>
              <w:pStyle w:val="BetnkandeRubrik"/>
            </w:pPr>
            <w:bookmarkStart w:id="17" w:name="Huvudrubrik"/>
            <w:bookmarkEnd w:id="17"/>
            <w:r w:rsidRPr="00EE1E0C">
              <w:t>Riksdagens revisorers förslag angående organis</w:t>
            </w:r>
            <w:r w:rsidRPr="00EE1E0C">
              <w:t>a</w:t>
            </w:r>
            <w:r w:rsidRPr="00EE1E0C">
              <w:t>tionsförändringar inom rättsväsendet</w:t>
            </w:r>
          </w:p>
        </w:tc>
        <w:tc>
          <w:tcPr>
            <w:tcW w:w="1559" w:type="dxa"/>
            <w:tcBorders>
              <w:bottom w:val="nil"/>
            </w:tcBorders>
          </w:tcPr>
          <w:p w:rsidR="00031A3F" w:rsidRPr="00EE1E0C" w:rsidRDefault="00031A3F">
            <w:pPr>
              <w:spacing w:before="0" w:line="230" w:lineRule="auto"/>
              <w:rPr>
                <w:sz w:val="24"/>
              </w:rPr>
            </w:pPr>
          </w:p>
        </w:tc>
      </w:tr>
      <w:tr w:rsidR="00000000" w:rsidRPr="00EE1E0C">
        <w:tblPrEx>
          <w:tblCellMar>
            <w:top w:w="0" w:type="dxa"/>
            <w:bottom w:w="0" w:type="dxa"/>
          </w:tblCellMar>
        </w:tblPrEx>
        <w:trPr>
          <w:cantSplit/>
          <w:trHeight w:hRule="exact" w:val="240"/>
        </w:trPr>
        <w:tc>
          <w:tcPr>
            <w:tcW w:w="6024" w:type="dxa"/>
            <w:gridSpan w:val="2"/>
            <w:vMerge/>
            <w:tcBorders>
              <w:top w:val="nil"/>
              <w:bottom w:val="nil"/>
            </w:tcBorders>
          </w:tcPr>
          <w:p w:rsidR="00031A3F" w:rsidRPr="00EE1E0C" w:rsidRDefault="00031A3F">
            <w:pPr>
              <w:spacing w:before="40" w:after="900" w:line="280" w:lineRule="exact"/>
              <w:jc w:val="left"/>
              <w:rPr>
                <w:sz w:val="28"/>
              </w:rPr>
            </w:pPr>
          </w:p>
        </w:tc>
        <w:tc>
          <w:tcPr>
            <w:tcW w:w="1559" w:type="dxa"/>
          </w:tcPr>
          <w:p w:rsidR="00031A3F" w:rsidRPr="00EE1E0C" w:rsidRDefault="00031A3F">
            <w:pPr>
              <w:pStyle w:val="rtal"/>
            </w:pPr>
            <w:r w:rsidRPr="00EE1E0C">
              <w:t>1999/2000</w:t>
            </w:r>
          </w:p>
        </w:tc>
      </w:tr>
      <w:tr w:rsidR="00000000" w:rsidRPr="00EE1E0C">
        <w:tblPrEx>
          <w:tblCellMar>
            <w:top w:w="0" w:type="dxa"/>
            <w:bottom w:w="0" w:type="dxa"/>
          </w:tblCellMar>
        </w:tblPrEx>
        <w:trPr>
          <w:cantSplit/>
          <w:trHeight w:val="560"/>
        </w:trPr>
        <w:tc>
          <w:tcPr>
            <w:tcW w:w="6024" w:type="dxa"/>
            <w:gridSpan w:val="2"/>
            <w:vMerge/>
            <w:tcBorders>
              <w:top w:val="nil"/>
              <w:bottom w:val="single" w:sz="6" w:space="0" w:color="auto"/>
            </w:tcBorders>
          </w:tcPr>
          <w:p w:rsidR="00031A3F" w:rsidRPr="00EE1E0C" w:rsidRDefault="00031A3F">
            <w:pPr>
              <w:spacing w:before="40" w:after="900" w:line="280" w:lineRule="exact"/>
              <w:jc w:val="left"/>
              <w:rPr>
                <w:sz w:val="28"/>
              </w:rPr>
            </w:pPr>
          </w:p>
        </w:tc>
        <w:tc>
          <w:tcPr>
            <w:tcW w:w="1559" w:type="dxa"/>
            <w:tcBorders>
              <w:bottom w:val="single" w:sz="6" w:space="0" w:color="auto"/>
            </w:tcBorders>
          </w:tcPr>
          <w:p w:rsidR="00031A3F" w:rsidRPr="00EE1E0C" w:rsidRDefault="00031A3F">
            <w:pPr>
              <w:pStyle w:val="rtal"/>
            </w:pPr>
            <w:r w:rsidRPr="00EE1E0C">
              <w:t>RR7</w:t>
            </w:r>
          </w:p>
        </w:tc>
      </w:tr>
      <w:tr w:rsidR="00000000" w:rsidRPr="00EE1E0C">
        <w:tblPrEx>
          <w:tblCellMar>
            <w:top w:w="0" w:type="dxa"/>
            <w:bottom w:w="0" w:type="dxa"/>
          </w:tblCellMar>
        </w:tblPrEx>
        <w:trPr>
          <w:cantSplit/>
          <w:trHeight w:hRule="exact" w:val="660"/>
        </w:trPr>
        <w:tc>
          <w:tcPr>
            <w:tcW w:w="3012" w:type="dxa"/>
          </w:tcPr>
          <w:p w:rsidR="00031A3F" w:rsidRPr="00EE1E0C" w:rsidRDefault="00031A3F">
            <w:pPr>
              <w:pStyle w:val="StatusSida1"/>
            </w:pPr>
          </w:p>
        </w:tc>
        <w:tc>
          <w:tcPr>
            <w:tcW w:w="3012" w:type="dxa"/>
          </w:tcPr>
          <w:p w:rsidR="00031A3F" w:rsidRPr="00EE1E0C" w:rsidRDefault="00031A3F">
            <w:pPr>
              <w:pStyle w:val="UtskriftsdatumSida1"/>
              <w:rPr>
                <w:b/>
                <w:sz w:val="28"/>
              </w:rPr>
            </w:pPr>
          </w:p>
        </w:tc>
        <w:tc>
          <w:tcPr>
            <w:tcW w:w="1559" w:type="dxa"/>
          </w:tcPr>
          <w:p w:rsidR="00031A3F" w:rsidRPr="00EE1E0C" w:rsidRDefault="00031A3F"/>
        </w:tc>
      </w:tr>
    </w:tbl>
    <w:p w:rsidR="00031A3F" w:rsidRPr="00EE1E0C" w:rsidRDefault="00031A3F">
      <w:r w:rsidRPr="00EE1E0C">
        <w:t>Riksdagens revisorer anmäler härmed sina granskningar av organisationsfö</w:t>
      </w:r>
      <w:r w:rsidRPr="00EE1E0C">
        <w:t>r</w:t>
      </w:r>
      <w:r w:rsidRPr="00EE1E0C">
        <w:t>ändringar inom rättsväsendet och nedläggningen av häktet i Östersund.</w:t>
      </w:r>
    </w:p>
    <w:p w:rsidR="00031A3F" w:rsidRPr="00EE1E0C" w:rsidRDefault="00031A3F"/>
    <w:p w:rsidR="00031A3F" w:rsidRPr="00EE1E0C" w:rsidRDefault="00031A3F">
      <w:pPr>
        <w:pStyle w:val="Rubrik1"/>
        <w:spacing w:before="0"/>
      </w:pPr>
      <w:bookmarkStart w:id="18" w:name="_Toc466264097"/>
      <w:r w:rsidRPr="00EE1E0C">
        <w:t>1. Revisorernas granskning</w:t>
      </w:r>
      <w:bookmarkEnd w:id="18"/>
    </w:p>
    <w:p w:rsidR="00031A3F" w:rsidRPr="00EE1E0C" w:rsidRDefault="00031A3F">
      <w:bookmarkStart w:id="19" w:name="Textstart"/>
      <w:bookmarkEnd w:id="19"/>
      <w:r w:rsidRPr="00EE1E0C">
        <w:t>Riksdagens revisorers granskning av organisationsförändringar inom rättsv</w:t>
      </w:r>
      <w:r w:rsidRPr="00EE1E0C">
        <w:t>ä</w:t>
      </w:r>
      <w:r w:rsidRPr="00EE1E0C">
        <w:t>sendet har föreslagits av justitieutskottet. Syftet med granskningen är att visa hur rättsväsendet på central, regional och lokal nivå är organiserat och hur rättsväsendets prestationer varierar mellan de län som valts ut till att omfattas av granskningen, dvs. Stockholms, Östergötlands och Västernorrlands län. Hela granskningsresultatet från länen redovisas i en separat bilaga till ra</w:t>
      </w:r>
      <w:r w:rsidRPr="00EE1E0C">
        <w:t>p</w:t>
      </w:r>
      <w:r w:rsidRPr="00EE1E0C">
        <w:t>porten (</w:t>
      </w:r>
      <w:r w:rsidRPr="00EE1E0C">
        <w:rPr>
          <w:i/>
        </w:rPr>
        <w:t>Rättsväsendet i tre län</w:t>
      </w:r>
      <w:r w:rsidRPr="00EE1E0C">
        <w:t>). I granskningen kartläggs sambanden mellan prestationer och organisationsform, ekonomi sa</w:t>
      </w:r>
      <w:r w:rsidRPr="00EE1E0C">
        <w:t>mt övriga förutsättningar för verksamheten. I granskningen ingår framför allt polis- och åklagarväsendena, men även tingsrätternas och häktenas organis</w:t>
      </w:r>
      <w:r w:rsidRPr="00EE1E0C">
        <w:t>a</w:t>
      </w:r>
      <w:r w:rsidRPr="00EE1E0C">
        <w:t xml:space="preserve">tion berörs. </w:t>
      </w:r>
    </w:p>
    <w:p w:rsidR="00031A3F" w:rsidRPr="00EE1E0C" w:rsidRDefault="00031A3F">
      <w:pPr>
        <w:pStyle w:val="Normaltindrag"/>
      </w:pPr>
      <w:r w:rsidRPr="00EE1E0C">
        <w:t>Granskningen av organisationsförändringarna omfattar också en kartläg</w:t>
      </w:r>
      <w:r w:rsidRPr="00EE1E0C">
        <w:t>g</w:t>
      </w:r>
      <w:r w:rsidRPr="00EE1E0C">
        <w:t>ning av förundersökningsarbetet i de tre länen. Ett antal polisanmälningar har följts från anmälan till dom eller nedläggning. Vidare har revisorerna genom bl.a. en enkätundersökning kartlagt vissa yrkesgruppers uppfattningar om förundersökningarnas kvalitet. Enkätundersökningen omfattade även frågan hur intagna på anstalt uppfattar polisens och åklagarnas förundersökningsa</w:t>
      </w:r>
      <w:r w:rsidRPr="00EE1E0C">
        <w:t>r</w:t>
      </w:r>
      <w:r w:rsidRPr="00EE1E0C">
        <w:t xml:space="preserve">bete. </w:t>
      </w:r>
    </w:p>
    <w:p w:rsidR="00031A3F" w:rsidRPr="00EE1E0C" w:rsidRDefault="00031A3F">
      <w:pPr>
        <w:pStyle w:val="Normaltindrag"/>
      </w:pPr>
      <w:r w:rsidRPr="00EE1E0C">
        <w:t xml:space="preserve">Revisorernas överväganden och förslag har redovisats i rapporten (1998/99:9) </w:t>
      </w:r>
      <w:r w:rsidRPr="00EE1E0C">
        <w:rPr>
          <w:i/>
        </w:rPr>
        <w:t>Organisationsförändringar inom rättsväsendet</w:t>
      </w:r>
      <w:r w:rsidRPr="00EE1E0C">
        <w:t xml:space="preserve"> som bifogas denna skrivelse som bilaga 1. En sammanställning av remissvaren finns i bilaga 2.</w:t>
      </w:r>
    </w:p>
    <w:p w:rsidR="00031A3F" w:rsidRPr="00EE1E0C" w:rsidRDefault="00031A3F">
      <w:pPr>
        <w:pStyle w:val="Normaltindrag"/>
      </w:pPr>
      <w:r w:rsidRPr="00EE1E0C">
        <w:t>Revisorernas granskning av häktesnedläggningen i Östersund är en up</w:t>
      </w:r>
      <w:r w:rsidRPr="00EE1E0C">
        <w:t>p</w:t>
      </w:r>
      <w:r w:rsidRPr="00EE1E0C">
        <w:t>följning av en tidigare granskning om ekonomiska konsekvensanalyser</w:t>
      </w:r>
      <w:r w:rsidRPr="00EE1E0C">
        <w:rPr>
          <w:i/>
        </w:rPr>
        <w:t xml:space="preserve"> </w:t>
      </w:r>
      <w:r w:rsidRPr="00EE1E0C">
        <w:t>(förs. 1996/97:7)</w:t>
      </w:r>
      <w:r w:rsidRPr="00EE1E0C">
        <w:rPr>
          <w:i/>
        </w:rPr>
        <w:t>.</w:t>
      </w:r>
      <w:r w:rsidRPr="00EE1E0C">
        <w:t xml:space="preserve"> Där granskades bl.a. det underlag som förelåg vid beslutet om nedläggningen av häktet i Östersund. Uppföljningen består dels av en up</w:t>
      </w:r>
      <w:r w:rsidRPr="00EE1E0C">
        <w:t>p</w:t>
      </w:r>
      <w:r w:rsidRPr="00EE1E0C">
        <w:t>följning av den samhällsekonomiska kalkyl revisorerna presenterade, dels av en beskrivning av de praktiska konsekvenserna av hä</w:t>
      </w:r>
      <w:r w:rsidRPr="00EE1E0C">
        <w:t>k</w:t>
      </w:r>
      <w:r w:rsidRPr="00EE1E0C">
        <w:t>tesnedläggningen.</w:t>
      </w:r>
    </w:p>
    <w:p w:rsidR="00031A3F" w:rsidRPr="00EE1E0C" w:rsidRDefault="00031A3F">
      <w:pPr>
        <w:pStyle w:val="Normaltindrag"/>
      </w:pPr>
      <w:r w:rsidRPr="00EE1E0C">
        <w:t xml:space="preserve">Revisorernas överväganden har redovisats i rapporten (1997/98:7) </w:t>
      </w:r>
      <w:r w:rsidRPr="00EE1E0C">
        <w:rPr>
          <w:i/>
        </w:rPr>
        <w:t>Ne</w:t>
      </w:r>
      <w:r w:rsidRPr="00EE1E0C">
        <w:rPr>
          <w:i/>
        </w:rPr>
        <w:t>d</w:t>
      </w:r>
      <w:r w:rsidRPr="00EE1E0C">
        <w:rPr>
          <w:i/>
        </w:rPr>
        <w:t>läggningen av häktet i Östersund</w:t>
      </w:r>
      <w:r w:rsidRPr="00EE1E0C">
        <w:t xml:space="preserve"> som bifogas denna skrivelse som bilaga 3. En sammanställning av remissv</w:t>
      </w:r>
      <w:r w:rsidRPr="00EE1E0C">
        <w:t>a</w:t>
      </w:r>
      <w:r w:rsidRPr="00EE1E0C">
        <w:t>ren finns i bilaga 4.</w:t>
      </w:r>
    </w:p>
    <w:p w:rsidR="00031A3F" w:rsidRPr="00EE1E0C" w:rsidRDefault="00031A3F">
      <w:pPr>
        <w:pStyle w:val="Normaltindrag"/>
      </w:pPr>
      <w:r w:rsidRPr="00EE1E0C">
        <w:lastRenderedPageBreak/>
        <w:t>I det följande redovisar revisorerna sina slutliga överväganden och förslag med anle</w:t>
      </w:r>
      <w:r w:rsidRPr="00EE1E0C">
        <w:t>d</w:t>
      </w:r>
      <w:r w:rsidRPr="00EE1E0C">
        <w:t>ning av de båda granskningarna.</w:t>
      </w:r>
    </w:p>
    <w:p w:rsidR="00031A3F" w:rsidRPr="00EE1E0C" w:rsidRDefault="00031A3F">
      <w:pPr>
        <w:pStyle w:val="Rubrik1"/>
      </w:pPr>
      <w:bookmarkStart w:id="20" w:name="_Toc466264098"/>
      <w:r w:rsidRPr="00EE1E0C">
        <w:t>2. Revisorernas överväganden och förslag</w:t>
      </w:r>
      <w:bookmarkEnd w:id="20"/>
    </w:p>
    <w:p w:rsidR="00031A3F" w:rsidRPr="00EE1E0C" w:rsidRDefault="00031A3F">
      <w:pPr>
        <w:pStyle w:val="Rubrik2"/>
      </w:pPr>
      <w:bookmarkStart w:id="21" w:name="_Toc466264099"/>
      <w:r w:rsidRPr="00EE1E0C">
        <w:t>2.1  Kvalitet och tillsyn</w:t>
      </w:r>
      <w:bookmarkEnd w:id="21"/>
    </w:p>
    <w:p w:rsidR="00031A3F" w:rsidRPr="00EE1E0C" w:rsidRDefault="00031A3F">
      <w:r w:rsidRPr="00EE1E0C">
        <w:t xml:space="preserve">I rapporten behandlas frågor om kvalitet och möjligheten att mäta kvalitet. Tillsynen över polis- och åklagarväsendena diskuteras också. </w:t>
      </w:r>
    </w:p>
    <w:p w:rsidR="00031A3F" w:rsidRPr="00EE1E0C" w:rsidRDefault="00031A3F">
      <w:pPr>
        <w:pStyle w:val="Rubrik3"/>
      </w:pPr>
      <w:bookmarkStart w:id="22" w:name="_Toc466264100"/>
      <w:r w:rsidRPr="00EE1E0C">
        <w:t>2.1.1  Förundersökningarnas kvalitet</w:t>
      </w:r>
      <w:bookmarkEnd w:id="22"/>
    </w:p>
    <w:p w:rsidR="00031A3F" w:rsidRPr="00EE1E0C" w:rsidRDefault="00031A3F">
      <w:pPr>
        <w:pStyle w:val="Rubrik4"/>
      </w:pPr>
      <w:bookmarkStart w:id="23" w:name="_Toc465973488"/>
      <w:bookmarkStart w:id="24" w:name="_Toc466264101"/>
      <w:r w:rsidRPr="00EE1E0C">
        <w:t>Rapporten</w:t>
      </w:r>
      <w:bookmarkEnd w:id="23"/>
      <w:bookmarkEnd w:id="24"/>
    </w:p>
    <w:p w:rsidR="00031A3F" w:rsidRPr="00EE1E0C" w:rsidRDefault="00031A3F">
      <w:r w:rsidRPr="00EE1E0C">
        <w:t>Revisorerna anser att polisens och åklagarnas förundersökningsarbete intar en särställning i arbetet inom rättsväsendet. Ett viktigt mått på polisens och åklagarnas arbete är förundersökningarnas kvalitet. Kvaliteten kan bl.a. m</w:t>
      </w:r>
      <w:r w:rsidRPr="00EE1E0C">
        <w:t>ä</w:t>
      </w:r>
      <w:r w:rsidRPr="00EE1E0C">
        <w:t>tas genom handläggningstidernas längd. Den kartläggning av ärendehan</w:t>
      </w:r>
      <w:r w:rsidRPr="00EE1E0C">
        <w:t>d</w:t>
      </w:r>
      <w:r w:rsidRPr="00EE1E0C">
        <w:t>läggningen som revisorerna genomfört omfattade ärenden som anmälts till polisen under år 1997 där en person född 1973 är skäligen misstänkt för misshandel. Undersökningen avsåg misshandelsbrott i Stockholms, Öste</w:t>
      </w:r>
      <w:r w:rsidRPr="00EE1E0C">
        <w:t>r</w:t>
      </w:r>
      <w:r w:rsidRPr="00EE1E0C">
        <w:t>götlands och Västernorrlands län. Revisorernas undersökning visade att 57 procent av ärendena lades ned av polis eller åklagare och att 24 procent av ärendena fortfarande var under utredning i mitten av augusti 1998. Endast 18 pr</w:t>
      </w:r>
      <w:r w:rsidRPr="00EE1E0C">
        <w:t>ocent hade lett till dom, strafföreläggande eller åtalsunderlåtelse före u</w:t>
      </w:r>
      <w:r w:rsidRPr="00EE1E0C">
        <w:t>t</w:t>
      </w:r>
      <w:r w:rsidRPr="00EE1E0C">
        <w:t>gången av september 1998. Enligt revisorernas undersökning var den g</w:t>
      </w:r>
      <w:r w:rsidRPr="00EE1E0C">
        <w:t>e</w:t>
      </w:r>
      <w:r w:rsidRPr="00EE1E0C">
        <w:t>nomsnittliga tiden från anmälan till dom 185 dagar i Västernorrlands län och ca 230 dagar för ärenden i Stockholms och Östergötlands län. Revisorerna anser att handläggningstidernas längd är en rättssäkerhetsfråga. Långa han</w:t>
      </w:r>
      <w:r w:rsidRPr="00EE1E0C">
        <w:t>d</w:t>
      </w:r>
      <w:r w:rsidRPr="00EE1E0C">
        <w:t>läggningstider skapar problem för brottsoffret, den misstänkte och samhället. Revisorerna menar mot bakgrund av vad som framkommit i den ovan b</w:t>
      </w:r>
      <w:r w:rsidRPr="00EE1E0C">
        <w:t>e</w:t>
      </w:r>
      <w:r w:rsidRPr="00EE1E0C">
        <w:t>skrivna undersökningen att handläggningstiden för ärenden med en skäligen misstänkt är anmärkning</w:t>
      </w:r>
      <w:r w:rsidRPr="00EE1E0C">
        <w:t>s</w:t>
      </w:r>
      <w:r w:rsidRPr="00EE1E0C">
        <w:t xml:space="preserve">värt lång. </w:t>
      </w:r>
    </w:p>
    <w:p w:rsidR="00031A3F" w:rsidRPr="00EE1E0C" w:rsidRDefault="00031A3F">
      <w:pPr>
        <w:pStyle w:val="Normaltindrag"/>
      </w:pPr>
      <w:r w:rsidRPr="00EE1E0C">
        <w:t>Enkätundersökningen riktades till domare, försvarare, utredare på försä</w:t>
      </w:r>
      <w:r w:rsidRPr="00EE1E0C">
        <w:t>k</w:t>
      </w:r>
      <w:r w:rsidRPr="00EE1E0C">
        <w:t>ringsbolag och intagna på anstalt. Av svaren framgick att domare, försvarare och utredare vid försäkringsbolag anser att förundersökningarnas kvalitet har försämrats under 1990-talet. Endast ett fåtal av de svarande menar att föru</w:t>
      </w:r>
      <w:r w:rsidRPr="00EE1E0C">
        <w:t>n</w:t>
      </w:r>
      <w:r w:rsidRPr="00EE1E0C">
        <w:t>dersökningarnas kvalitet har blivit bättre. Flera av de försvarare som besvarat enkäten kritiserar t.ex. polisens förhörsteknik och tillvaratagandet av objekt</w:t>
      </w:r>
      <w:r w:rsidRPr="00EE1E0C">
        <w:t>i</w:t>
      </w:r>
      <w:r w:rsidRPr="00EE1E0C">
        <w:t>vitetsprincipen. Enligt de domare som är kritiska leder de försämrade föru</w:t>
      </w:r>
      <w:r w:rsidRPr="00EE1E0C">
        <w:t>n</w:t>
      </w:r>
      <w:r w:rsidRPr="00EE1E0C">
        <w:t xml:space="preserve">dersökningarna till att rättegångarnas utgång </w:t>
      </w:r>
      <w:r w:rsidRPr="00EE1E0C">
        <w:t>påverkas på ett sådant sätt att fler åtal ogillas. Man menar att med en förundersökning av högre kvalitet hade utgången blivit en annan. Många av de intagna på anstalt anser att de kunnat följa förundersökningsarbetet bättre vid tidigare tillfällen. Revisore</w:t>
      </w:r>
      <w:r w:rsidRPr="00EE1E0C">
        <w:t>r</w:t>
      </w:r>
      <w:r w:rsidRPr="00EE1E0C">
        <w:t>na menar att resultatet av enkätundersökningen visar på risk för ökad rätts</w:t>
      </w:r>
      <w:r w:rsidRPr="00EE1E0C">
        <w:softHyphen/>
        <w:t>osäkerhet. Revisorerna ser allvarligt på den kritik mot förundersökningarnas kvalitet som framko</w:t>
      </w:r>
      <w:r w:rsidRPr="00EE1E0C">
        <w:t>m</w:t>
      </w:r>
      <w:r w:rsidRPr="00EE1E0C">
        <w:t xml:space="preserve">mit i granskningen. </w:t>
      </w:r>
    </w:p>
    <w:p w:rsidR="00031A3F" w:rsidRPr="00EE1E0C" w:rsidRDefault="00031A3F">
      <w:pPr>
        <w:pStyle w:val="Rubrik4"/>
      </w:pPr>
      <w:bookmarkStart w:id="25" w:name="_Toc465973489"/>
      <w:bookmarkStart w:id="26" w:name="_Toc466264102"/>
      <w:r w:rsidRPr="00EE1E0C">
        <w:t>Remissinstanserna</w:t>
      </w:r>
      <w:bookmarkEnd w:id="25"/>
      <w:bookmarkEnd w:id="26"/>
    </w:p>
    <w:p w:rsidR="00031A3F" w:rsidRPr="00EE1E0C" w:rsidRDefault="00031A3F">
      <w:r w:rsidRPr="00EE1E0C">
        <w:rPr>
          <w:i/>
        </w:rPr>
        <w:t>Justitieombudsmannen</w:t>
      </w:r>
      <w:r w:rsidRPr="00EE1E0C">
        <w:t xml:space="preserve"> menar att den omständigheten att förundersökninga</w:t>
      </w:r>
      <w:r w:rsidRPr="00EE1E0C">
        <w:t>r</w:t>
      </w:r>
      <w:r w:rsidRPr="00EE1E0C">
        <w:t>nas kvalitet sätts i fråga måste tas på största allvar. Han anser också att r</w:t>
      </w:r>
      <w:r w:rsidRPr="00EE1E0C">
        <w:t>e</w:t>
      </w:r>
      <w:r w:rsidRPr="00EE1E0C">
        <w:t>sultatet av undersökningen av misshandelsärendena framstår som särskilt nedslående eftersom våldsbrott är en av de brottskategorier som ska priorit</w:t>
      </w:r>
      <w:r w:rsidRPr="00EE1E0C">
        <w:t>e</w:t>
      </w:r>
      <w:r w:rsidRPr="00EE1E0C">
        <w:t xml:space="preserve">ras i utredningshänseende. </w:t>
      </w:r>
      <w:r w:rsidRPr="00EE1E0C">
        <w:rPr>
          <w:i/>
        </w:rPr>
        <w:t>Justitiedepartementet,</w:t>
      </w:r>
      <w:r w:rsidRPr="00EE1E0C">
        <w:t xml:space="preserve"> </w:t>
      </w:r>
      <w:r w:rsidRPr="00EE1E0C">
        <w:rPr>
          <w:i/>
        </w:rPr>
        <w:t>Nacka tingsrätt,</w:t>
      </w:r>
      <w:r w:rsidRPr="00EE1E0C">
        <w:t xml:space="preserve"> </w:t>
      </w:r>
      <w:r w:rsidRPr="00EE1E0C">
        <w:rPr>
          <w:i/>
        </w:rPr>
        <w:t>Södra Roslags tingsrätt,</w:t>
      </w:r>
      <w:r w:rsidRPr="00EE1E0C">
        <w:t xml:space="preserve"> </w:t>
      </w:r>
      <w:r w:rsidRPr="00EE1E0C">
        <w:rPr>
          <w:i/>
        </w:rPr>
        <w:t>Åklagarmyndigheten i Göteborg</w:t>
      </w:r>
      <w:r w:rsidRPr="00EE1E0C">
        <w:t xml:space="preserve"> och </w:t>
      </w:r>
      <w:r w:rsidRPr="00EE1E0C">
        <w:rPr>
          <w:i/>
        </w:rPr>
        <w:t>Polismyndigheten i Blekinge län</w:t>
      </w:r>
      <w:r w:rsidRPr="00EE1E0C">
        <w:t xml:space="preserve"> instämmer i revisorernas slutsats att handläggningstiden för brottmål bör bli</w:t>
      </w:r>
      <w:r w:rsidRPr="00EE1E0C">
        <w:t xml:space="preserve"> kortare. </w:t>
      </w:r>
      <w:r w:rsidRPr="00EE1E0C">
        <w:rPr>
          <w:i/>
        </w:rPr>
        <w:t>Riksåklagaren</w:t>
      </w:r>
      <w:r w:rsidRPr="00EE1E0C">
        <w:t xml:space="preserve"> menar att de undersökningsmetoder som använts i rapporten och de resultat som där redovisats inte speglar d</w:t>
      </w:r>
      <w:r w:rsidRPr="00EE1E0C">
        <w:t>a</w:t>
      </w:r>
      <w:r w:rsidRPr="00EE1E0C">
        <w:t xml:space="preserve">gens situation. Ansträngningar görs enligt riksåklagaren fortlöpande för att förbättra läget, t.ex. genom åklagarmentorernas arbete och kvalitetssäkring. Även </w:t>
      </w:r>
      <w:r w:rsidRPr="00EE1E0C">
        <w:rPr>
          <w:i/>
        </w:rPr>
        <w:t>Polismyndigheten i Västernorrlands län</w:t>
      </w:r>
      <w:r w:rsidRPr="00EE1E0C">
        <w:t xml:space="preserve"> ställer sig frågande till revis</w:t>
      </w:r>
      <w:r w:rsidRPr="00EE1E0C">
        <w:t>o</w:t>
      </w:r>
      <w:r w:rsidRPr="00EE1E0C">
        <w:t xml:space="preserve">rernas uppfattning att förundersökningarnas kvalitet kan sättas i fråga. </w:t>
      </w:r>
      <w:r w:rsidRPr="00EE1E0C">
        <w:rPr>
          <w:i/>
        </w:rPr>
        <w:t>Åkl</w:t>
      </w:r>
      <w:r w:rsidRPr="00EE1E0C">
        <w:rPr>
          <w:i/>
        </w:rPr>
        <w:t>a</w:t>
      </w:r>
      <w:r w:rsidRPr="00EE1E0C">
        <w:rPr>
          <w:i/>
        </w:rPr>
        <w:t>garmyndigheten i Malmö</w:t>
      </w:r>
      <w:r w:rsidRPr="00EE1E0C">
        <w:t xml:space="preserve"> anser att revisorernas förslag till förbättringar </w:t>
      </w:r>
      <w:r w:rsidRPr="00EE1E0C">
        <w:t xml:space="preserve">kan verka kvalitetshöjande, även om det befintliga systemet med åklagarmentorer och kvalitetssäkring av brottsutredningar är bra för att höja kvaliteten på utredningarna. </w:t>
      </w:r>
      <w:r w:rsidRPr="00EE1E0C">
        <w:rPr>
          <w:i/>
        </w:rPr>
        <w:t>Rikspolisstyrelsen</w:t>
      </w:r>
      <w:r w:rsidRPr="00EE1E0C">
        <w:t xml:space="preserve"> pekar på att det gått förhållandevis kort tid sedan polisen på ett mer genomgripande sätt ändrade arbetssätt och metoder. Rikspolisstyrelsen menar att de positiva effekterna av arbetet i flertalet fall förväntas först på längre sikt. Man framhåller också att det pågår ett omfa</w:t>
      </w:r>
      <w:r w:rsidRPr="00EE1E0C">
        <w:t>t</w:t>
      </w:r>
      <w:r w:rsidRPr="00EE1E0C">
        <w:t>tande arbete för att höja kvaliteten och för</w:t>
      </w:r>
      <w:r w:rsidRPr="00EE1E0C">
        <w:t>bättra ledningen av förundersö</w:t>
      </w:r>
      <w:r w:rsidRPr="00EE1E0C">
        <w:t>k</w:t>
      </w:r>
      <w:r w:rsidRPr="00EE1E0C">
        <w:t xml:space="preserve">ningarna. </w:t>
      </w:r>
      <w:r w:rsidRPr="00EE1E0C">
        <w:rPr>
          <w:i/>
        </w:rPr>
        <w:t>Polisförbundet</w:t>
      </w:r>
      <w:r w:rsidRPr="00EE1E0C">
        <w:t xml:space="preserve"> menar att åklagare och domare ställer ökade b</w:t>
      </w:r>
      <w:r w:rsidRPr="00EE1E0C">
        <w:t>e</w:t>
      </w:r>
      <w:r w:rsidRPr="00EE1E0C">
        <w:t xml:space="preserve">viskrav i brottmålsärenden. Detta kan enligt förbundet till en del förklara domares och försvarares svar i undersökningarna av förundersökningens kvalitet. </w:t>
      </w:r>
    </w:p>
    <w:p w:rsidR="00031A3F" w:rsidRPr="00EE1E0C" w:rsidRDefault="00031A3F">
      <w:pPr>
        <w:pStyle w:val="Rubrik3"/>
      </w:pPr>
      <w:bookmarkStart w:id="27" w:name="_Toc466264103"/>
      <w:r w:rsidRPr="00EE1E0C">
        <w:t>2.1.2  Kvalitetsmått</w:t>
      </w:r>
      <w:bookmarkEnd w:id="27"/>
    </w:p>
    <w:p w:rsidR="00031A3F" w:rsidRPr="00EE1E0C" w:rsidRDefault="00031A3F">
      <w:pPr>
        <w:pStyle w:val="Rubrik4"/>
      </w:pPr>
      <w:bookmarkStart w:id="28" w:name="_Toc465973491"/>
      <w:bookmarkStart w:id="29" w:name="_Toc466264104"/>
      <w:r w:rsidRPr="00EE1E0C">
        <w:t>Rapporten</w:t>
      </w:r>
      <w:bookmarkEnd w:id="28"/>
      <w:bookmarkEnd w:id="29"/>
    </w:p>
    <w:p w:rsidR="00031A3F" w:rsidRPr="00EE1E0C" w:rsidRDefault="00031A3F">
      <w:r w:rsidRPr="00EE1E0C">
        <w:t>Revisorerna menar att polisens och åklagarnas prestationer i stort sett mäts uteslutande i kvantitativa termer. Prestationsmåtten beskriver inte på ett entydigt sätt i vilken riktning verksamheten utvecklas. Revisorerna menar att det finns risk för att en koncentration på att redovisa kvantitativa mått kan innebära att redovisningen av verksamhetens kvalitet kommer i andra hand. Det finns risk för att rättssäkerhetsfrågorna inte uppmärksammas tillräckligt, eftersom det är svårt att redovisa rättssäkerheten</w:t>
      </w:r>
      <w:r w:rsidRPr="00EE1E0C">
        <w:t>s utveckling. Revisorerna menar också att det varit svårt att få en uppfattning om kvaliteten på polisens och åklagarnas arbete. En översyn av den samlade resultatredovisningen för rättsväsendet har påbörjats av Justitiedepartementet under våren 1999. Rev</w:t>
      </w:r>
      <w:r w:rsidRPr="00EE1E0C">
        <w:t>i</w:t>
      </w:r>
      <w:r w:rsidRPr="00EE1E0C">
        <w:t>sorerna understryker vikten av att kvalitetsmått tas fram.</w:t>
      </w:r>
    </w:p>
    <w:p w:rsidR="00031A3F" w:rsidRPr="00EE1E0C" w:rsidRDefault="00031A3F">
      <w:pPr>
        <w:pStyle w:val="Rubrik4"/>
      </w:pPr>
      <w:bookmarkStart w:id="30" w:name="_Toc465973492"/>
      <w:bookmarkStart w:id="31" w:name="_Toc466264105"/>
      <w:r w:rsidRPr="00EE1E0C">
        <w:t>Remissinstanserna</w:t>
      </w:r>
      <w:bookmarkEnd w:id="30"/>
      <w:bookmarkEnd w:id="31"/>
    </w:p>
    <w:p w:rsidR="00031A3F" w:rsidRPr="00EE1E0C" w:rsidRDefault="00031A3F">
      <w:r w:rsidRPr="00EE1E0C">
        <w:rPr>
          <w:i/>
        </w:rPr>
        <w:t>Justitieombudsmannen</w:t>
      </w:r>
      <w:r w:rsidRPr="00EE1E0C">
        <w:t xml:space="preserve"> efterlyser en mer nyanserad metod för att mäta pre</w:t>
      </w:r>
      <w:r w:rsidRPr="00EE1E0C">
        <w:t>s</w:t>
      </w:r>
      <w:r w:rsidRPr="00EE1E0C">
        <w:t>tationer inom rättsväsendet. Justitieombudsmannen understryker att rättsv</w:t>
      </w:r>
      <w:r w:rsidRPr="00EE1E0C">
        <w:t>ä</w:t>
      </w:r>
      <w:r w:rsidRPr="00EE1E0C">
        <w:t>sendet utgör själva kärnan i rättsstaten och menar att det är uppenbart att rättssäkerhetsaspekter och andra kvalitetsaspekter måste tillmätas central betydelse när man utvärderar rättsväsendets prestationer. Effektivitetstä</w:t>
      </w:r>
      <w:r w:rsidRPr="00EE1E0C">
        <w:t>n</w:t>
      </w:r>
      <w:r w:rsidRPr="00EE1E0C">
        <w:t>kandet får inte gå så långt att man kommer i konflikt med kravet på rättss</w:t>
      </w:r>
      <w:r w:rsidRPr="00EE1E0C">
        <w:t>ä</w:t>
      </w:r>
      <w:r w:rsidRPr="00EE1E0C">
        <w:t xml:space="preserve">kerhet för den enskilde. </w:t>
      </w:r>
      <w:r w:rsidRPr="00EE1E0C">
        <w:rPr>
          <w:i/>
        </w:rPr>
        <w:t xml:space="preserve">Åklagarmyndigheten i Umeå </w:t>
      </w:r>
      <w:r w:rsidRPr="00EE1E0C">
        <w:t xml:space="preserve">anser också att det är viktigt att </w:t>
      </w:r>
      <w:r w:rsidRPr="00EE1E0C">
        <w:t>kvalitetsmått tas fram</w:t>
      </w:r>
      <w:r w:rsidRPr="00EE1E0C">
        <w:rPr>
          <w:i/>
        </w:rPr>
        <w:t>. Riksåklagaren</w:t>
      </w:r>
      <w:r w:rsidRPr="00EE1E0C">
        <w:t xml:space="preserve"> påpekar att en helt ny modell för att överskådligt kunna följa utvecklingen av åklagarväsendets prestati</w:t>
      </w:r>
      <w:r w:rsidRPr="00EE1E0C">
        <w:t>o</w:t>
      </w:r>
      <w:r w:rsidRPr="00EE1E0C">
        <w:t xml:space="preserve">ner har tagits fram. </w:t>
      </w:r>
      <w:r w:rsidRPr="00EE1E0C">
        <w:rPr>
          <w:i/>
        </w:rPr>
        <w:t xml:space="preserve">Rikspolisstyrelsen </w:t>
      </w:r>
      <w:r w:rsidRPr="00EE1E0C">
        <w:t>framhåller att den resultatmodell som polisen använder fortlöpande ses över och att man då söker efter kvalitetsb</w:t>
      </w:r>
      <w:r w:rsidRPr="00EE1E0C">
        <w:t>e</w:t>
      </w:r>
      <w:r w:rsidRPr="00EE1E0C">
        <w:t xml:space="preserve">skrivande mått. </w:t>
      </w:r>
      <w:r w:rsidRPr="00EE1E0C">
        <w:rPr>
          <w:i/>
        </w:rPr>
        <w:t xml:space="preserve">Polismyndigheten  i Blekinge </w:t>
      </w:r>
      <w:r w:rsidRPr="00EE1E0C">
        <w:t xml:space="preserve">anser att resultatmodellen inte är bra, medan </w:t>
      </w:r>
      <w:r w:rsidRPr="00EE1E0C">
        <w:rPr>
          <w:i/>
        </w:rPr>
        <w:t>Polismyndigheten i Västernorrland</w:t>
      </w:r>
      <w:r w:rsidRPr="00EE1E0C">
        <w:t xml:space="preserve"> menar att den anmälda brottsligheten och uppklarningsprocenten är bra kvalitetsmått.</w:t>
      </w:r>
    </w:p>
    <w:p w:rsidR="00031A3F" w:rsidRPr="00EE1E0C" w:rsidRDefault="00031A3F">
      <w:pPr>
        <w:pStyle w:val="Rubrik3"/>
      </w:pPr>
      <w:bookmarkStart w:id="32" w:name="_Toc466264106"/>
      <w:r w:rsidRPr="00EE1E0C">
        <w:t>2.1.3</w:t>
      </w:r>
      <w:r w:rsidRPr="00EE1E0C">
        <w:t xml:space="preserve"> Tillsyn</w:t>
      </w:r>
      <w:bookmarkEnd w:id="32"/>
    </w:p>
    <w:p w:rsidR="00031A3F" w:rsidRPr="00EE1E0C" w:rsidRDefault="00031A3F">
      <w:pPr>
        <w:pStyle w:val="Rubrik4"/>
      </w:pPr>
      <w:bookmarkStart w:id="33" w:name="_Toc465973494"/>
      <w:bookmarkStart w:id="34" w:name="_Toc466264107"/>
      <w:r w:rsidRPr="00EE1E0C">
        <w:t>Rapporten</w:t>
      </w:r>
      <w:bookmarkEnd w:id="33"/>
      <w:bookmarkEnd w:id="34"/>
    </w:p>
    <w:p w:rsidR="00031A3F" w:rsidRPr="00EE1E0C" w:rsidRDefault="00031A3F">
      <w:r w:rsidRPr="00EE1E0C">
        <w:t>Rikspolisstyrelsen har ansvar för tillsynen över all polisverksamhet sedan den 1 januari 1999. Tillsynen består framför allt av inspektioner vid de olika polismyndigheterna. Ofta anlitas specialister från polisorganisationen för att utföra inspektionerna. Riksåklagaren har lednings- och tillsynsansvar över åklagarväsendet och ska verka för lagenlighet, följdriktighet och enhetlighet vid rättstillämpningen. Överåklagarna svarar för den fortlöpande tillsynen av åklagarverksamheten inom myndigheten.</w:t>
      </w:r>
    </w:p>
    <w:p w:rsidR="00031A3F" w:rsidRPr="00EE1E0C" w:rsidRDefault="00031A3F">
      <w:pPr>
        <w:pStyle w:val="Normaltindrag"/>
      </w:pPr>
      <w:r w:rsidRPr="00EE1E0C">
        <w:t xml:space="preserve">Revisorerna menar att ett viktigt mått på polisens och åklagarnas arbete är förundersökningarnas kvalitet. Revisorerna ser allvarligt på den kritik mot långa handläggningstider av ärenden och brister i förundersökningarnas kvalitet som framförts under granskningsarbetet. </w:t>
      </w:r>
    </w:p>
    <w:p w:rsidR="00031A3F" w:rsidRPr="00EE1E0C" w:rsidRDefault="00031A3F">
      <w:pPr>
        <w:pStyle w:val="Normaltindrag"/>
      </w:pPr>
      <w:r w:rsidRPr="00EE1E0C">
        <w:t>Revisorerna anser att tillsynen som bedrivs av förundersökningsverksa</w:t>
      </w:r>
      <w:r w:rsidRPr="00EE1E0C">
        <w:t>m</w:t>
      </w:r>
      <w:r w:rsidRPr="00EE1E0C">
        <w:t xml:space="preserve">heten inte är tillräcklig. Polisens och åklagarnas utredningsverksamhet bör betraktas som en helhet när förundersökningsarbetet inspekteras. Revisorerna föreslår att tillsynen över polisens förundersökningsarbete och åklagarnas förundersökningsledarskap förstärks. </w:t>
      </w:r>
    </w:p>
    <w:p w:rsidR="00031A3F" w:rsidRPr="00EE1E0C" w:rsidRDefault="00031A3F">
      <w:pPr>
        <w:pStyle w:val="Rubrik4"/>
      </w:pPr>
      <w:bookmarkStart w:id="35" w:name="_Toc465973495"/>
      <w:bookmarkStart w:id="36" w:name="_Toc466264108"/>
      <w:r w:rsidRPr="00EE1E0C">
        <w:t>Remissinstanserna</w:t>
      </w:r>
      <w:bookmarkEnd w:id="35"/>
      <w:bookmarkEnd w:id="36"/>
    </w:p>
    <w:p w:rsidR="00031A3F" w:rsidRPr="00EE1E0C" w:rsidRDefault="00031A3F">
      <w:r w:rsidRPr="00EE1E0C">
        <w:rPr>
          <w:i/>
        </w:rPr>
        <w:t>Justitieombudsmannen</w:t>
      </w:r>
      <w:r w:rsidRPr="00EE1E0C">
        <w:t xml:space="preserve"> menar att den nuvarande organisationen för tillsyn över polis och åklagare är otillfredsställande i flera hänseenden. Den är up</w:t>
      </w:r>
      <w:r w:rsidRPr="00EE1E0C">
        <w:t>p</w:t>
      </w:r>
      <w:r w:rsidRPr="00EE1E0C">
        <w:t>byggd på ett sådant sätt att den i hög grad försvårar en enhetlig tillsyn. Til</w:t>
      </w:r>
      <w:r w:rsidRPr="00EE1E0C">
        <w:t>l</w:t>
      </w:r>
      <w:r w:rsidRPr="00EE1E0C">
        <w:t>synsuppgiften är uppdelad mellan olika myndighetsorganisationer och utövas centralt vad gäller polisen och regionalt i fråga om åklagarväsendet. Justiti</w:t>
      </w:r>
      <w:r w:rsidRPr="00EE1E0C">
        <w:t>e</w:t>
      </w:r>
      <w:r w:rsidRPr="00EE1E0C">
        <w:t>ombudsmannen anser vidare att tillsynsverksamheten har alltför knappa resurser. Han ifrågasätter om det för åklagarverksamhetens del över huvud taget ä</w:t>
      </w:r>
      <w:r w:rsidRPr="00EE1E0C">
        <w:t>r fråga om tillsyn eftersom uppgiften att utöva tillsyn över verksa</w:t>
      </w:r>
      <w:r w:rsidRPr="00EE1E0C">
        <w:t>m</w:t>
      </w:r>
      <w:r w:rsidRPr="00EE1E0C">
        <w:t>heten ligger på myndighetens chef. Justitieombudsmannen föreslår att en utredning tillsätts för att utreda ett särskilt, från båda myndighetsorganisati</w:t>
      </w:r>
      <w:r w:rsidRPr="00EE1E0C">
        <w:t>o</w:t>
      </w:r>
      <w:r w:rsidRPr="00EE1E0C">
        <w:t xml:space="preserve">nerna fristående, organ för tillsyn. </w:t>
      </w:r>
      <w:r w:rsidRPr="00EE1E0C">
        <w:rPr>
          <w:i/>
        </w:rPr>
        <w:t>Justitiedepartementet,</w:t>
      </w:r>
      <w:r w:rsidRPr="00EE1E0C">
        <w:t xml:space="preserve"> </w:t>
      </w:r>
      <w:r w:rsidRPr="00EE1E0C">
        <w:rPr>
          <w:i/>
        </w:rPr>
        <w:t xml:space="preserve">Riksåklagaren </w:t>
      </w:r>
      <w:r w:rsidRPr="00EE1E0C">
        <w:t>och</w:t>
      </w:r>
      <w:r w:rsidRPr="00EE1E0C">
        <w:rPr>
          <w:i/>
        </w:rPr>
        <w:t xml:space="preserve">  Rikspolisstyrelsen</w:t>
      </w:r>
      <w:r w:rsidRPr="00EE1E0C">
        <w:t xml:space="preserve"> framhåller att även åklagare oftast deltar i Rikspolisstyre</w:t>
      </w:r>
      <w:r w:rsidRPr="00EE1E0C">
        <w:t>l</w:t>
      </w:r>
      <w:r w:rsidRPr="00EE1E0C">
        <w:t xml:space="preserve">sens inspektioner. Enligt </w:t>
      </w:r>
      <w:r w:rsidRPr="00EE1E0C">
        <w:rPr>
          <w:i/>
        </w:rPr>
        <w:t>Justitiedepartementet, Riksåklagaren, Polismyndi</w:t>
      </w:r>
      <w:r w:rsidRPr="00EE1E0C">
        <w:rPr>
          <w:i/>
        </w:rPr>
        <w:t>g</w:t>
      </w:r>
      <w:r w:rsidRPr="00EE1E0C">
        <w:rPr>
          <w:i/>
        </w:rPr>
        <w:t>heten i Örebro län</w:t>
      </w:r>
      <w:r w:rsidRPr="00EE1E0C">
        <w:t xml:space="preserve"> och </w:t>
      </w:r>
      <w:r w:rsidRPr="00EE1E0C">
        <w:rPr>
          <w:i/>
        </w:rPr>
        <w:t>Brottsförebyggande rådet</w:t>
      </w:r>
      <w:r w:rsidRPr="00EE1E0C">
        <w:t xml:space="preserve"> finns utrym</w:t>
      </w:r>
      <w:r w:rsidRPr="00EE1E0C">
        <w:t xml:space="preserve">me för förstärkt tillsyn. </w:t>
      </w:r>
      <w:r w:rsidRPr="00EE1E0C">
        <w:rPr>
          <w:i/>
        </w:rPr>
        <w:t>Åklagarmyndigheten i Malmö</w:t>
      </w:r>
      <w:r w:rsidRPr="00EE1E0C">
        <w:t xml:space="preserve"> finner inga skäl för att utöka tillsynen över åklagarna. Även </w:t>
      </w:r>
      <w:r w:rsidRPr="00EE1E0C">
        <w:rPr>
          <w:i/>
        </w:rPr>
        <w:t xml:space="preserve">Polismyndigheten i Västernorrland </w:t>
      </w:r>
      <w:r w:rsidRPr="00EE1E0C">
        <w:t xml:space="preserve">anser att tillsynen är tillräcklig. </w:t>
      </w:r>
    </w:p>
    <w:p w:rsidR="00031A3F" w:rsidRPr="00EE1E0C" w:rsidRDefault="00031A3F">
      <w:pPr>
        <w:pStyle w:val="Rubrik3"/>
      </w:pPr>
      <w:bookmarkStart w:id="37" w:name="_Toc466264109"/>
      <w:r w:rsidRPr="00EE1E0C">
        <w:t>2.1.4  Revisorerna</w:t>
      </w:r>
      <w:bookmarkEnd w:id="37"/>
    </w:p>
    <w:p w:rsidR="00031A3F" w:rsidRPr="00EE1E0C" w:rsidRDefault="00031A3F">
      <w:r w:rsidRPr="00EE1E0C">
        <w:t>Revisorerna menar att polisens och åklagarnas samarbete intar en särställning inom rättsväsendet eftersom deras förundersökningar avgör om åtal ska väckas eller inte. Förundersökningarnas kvalitet är ett viktigt mått på hur polisens och åklagarnas arbete fungerar. Revisorerna menar att det är viktigt att kvalitetsmått som bättre mäter rättssäkerheten inom rättsväsendet tas fram. Denna uppfattning stöds av bl.a. Justitieombudsmannen. Polisens resultat</w:t>
      </w:r>
      <w:r w:rsidRPr="00EE1E0C">
        <w:softHyphen/>
        <w:t>modell och Riksåklagarens modell för hur åklagarnas prestationer ska kunna följas, mäter enligt revisorernas mening inte på ett tillfredsställande sätt kvaliteten på förundersökning</w:t>
      </w:r>
      <w:r w:rsidRPr="00EE1E0C">
        <w:t>s</w:t>
      </w:r>
      <w:r w:rsidRPr="00EE1E0C">
        <w:t>arbetet.</w:t>
      </w:r>
    </w:p>
    <w:p w:rsidR="00031A3F" w:rsidRPr="00EE1E0C" w:rsidRDefault="00031A3F">
      <w:pPr>
        <w:pStyle w:val="Normaltindrag"/>
      </w:pPr>
      <w:r w:rsidRPr="00EE1E0C">
        <w:t xml:space="preserve">Den kritik som framkommit mot förundersökningarnas kvalitet och som stöds av ett flertal remissinstanser visar enligt revisorerna att en ökad tillsyn över förundersökningsarbetet är nödvändig. Några remissinstanser menar att ökad tillsyn över den egna verksamheten inte är nödvändig. Revisorerna menar dock att polisens </w:t>
      </w:r>
      <w:r w:rsidRPr="00EE1E0C">
        <w:t>och åklagarnas förundersökningsarbete bör ses som en helhet. Tillsynen bör därför utföras i ett sammanhang. Invändningen att åklagare redan deltar i inspektionsverksamheten av polisen behöver inte innebära att åklagarnas egen verksamhet ingår i inspektionerna. Flera r</w:t>
      </w:r>
      <w:r w:rsidRPr="00EE1E0C">
        <w:t>e</w:t>
      </w:r>
      <w:r w:rsidRPr="00EE1E0C">
        <w:t>missinstanser som kommenterat förslaget menar att det finns utrymme för ytterligare tillsyn. Framför allt Justitieombudsmannen menar att ett sådant behov finns. Revisorerna delar Justitieombudsmannens uppfattning att en utredning om ett fristå</w:t>
      </w:r>
      <w:r w:rsidRPr="00EE1E0C">
        <w:t>ende organ för att förstärka tillsynen inom rättsväse</w:t>
      </w:r>
      <w:r w:rsidRPr="00EE1E0C">
        <w:t>n</w:t>
      </w:r>
      <w:r w:rsidRPr="00EE1E0C">
        <w:t>det bör tillsättas. Revisorerna anser dock att frågan om ökad tillsyn över polisens och åklagarnas förundersökningsarbete är av en sådan betydelse att Rikspolisstyrelsen och Riksåklagaren bör få i uppdrag att bedriva gemensam tillsyn över förundersökningsarbetet i avvaktan på att utredningen om ett självständigt organ har avslutats. Den kommande utredningen bör också utvärdera och följa de kvalitetsmått som används och som kan komma att införas efter det</w:t>
      </w:r>
      <w:r w:rsidRPr="00EE1E0C">
        <w:t xml:space="preserve"> att Justitiedepartementets arbete har avslutats.</w:t>
      </w:r>
    </w:p>
    <w:p w:rsidR="00031A3F" w:rsidRPr="00EE1E0C" w:rsidRDefault="00031A3F">
      <w:r w:rsidRPr="00EE1E0C">
        <w:t>Riksdagens revisorer föreslår</w:t>
      </w:r>
    </w:p>
    <w:p w:rsidR="00031A3F" w:rsidRPr="00EE1E0C" w:rsidRDefault="00031A3F">
      <w:pPr>
        <w:numPr>
          <w:ilvl w:val="0"/>
          <w:numId w:val="4"/>
        </w:numPr>
      </w:pPr>
      <w:r w:rsidRPr="00EE1E0C">
        <w:t>att en utredning tillsätts för att utreda frågan om huruvida ett oberoende tillsynsorgan bör inrättas. Utredningen bör också lämna förslag till hur ett sådant organ kan organiseras.</w:t>
      </w:r>
    </w:p>
    <w:p w:rsidR="00031A3F" w:rsidRPr="00EE1E0C" w:rsidRDefault="00031A3F">
      <w:pPr>
        <w:numPr>
          <w:ilvl w:val="0"/>
          <w:numId w:val="5"/>
        </w:numPr>
      </w:pPr>
      <w:r w:rsidRPr="00EE1E0C">
        <w:t>att Rikspolisstyrelsen och Riksåklagaren – i avvaktan på att den ovan föreslagna utredningens arbete redovisas – får i uppdrag att gemensamt bedriva tillsyn över polisens och åklagarnas förundersökningsarbete.</w:t>
      </w:r>
    </w:p>
    <w:p w:rsidR="00031A3F" w:rsidRPr="00EE1E0C" w:rsidRDefault="00031A3F">
      <w:pPr>
        <w:pStyle w:val="Rubrik2"/>
      </w:pPr>
      <w:bookmarkStart w:id="38" w:name="_Toc466264110"/>
      <w:r w:rsidRPr="00EE1E0C">
        <w:t>2.2 Kvalitetshöjande åtgärder för polisens verksamhet</w:t>
      </w:r>
      <w:bookmarkEnd w:id="38"/>
    </w:p>
    <w:p w:rsidR="00031A3F" w:rsidRPr="00EE1E0C" w:rsidRDefault="00031A3F">
      <w:r w:rsidRPr="00EE1E0C">
        <w:t>När polisen omorganiserades i mitten av 1990-talet förändrades formerna för polisens förundersökningsverksamhet. En av tankarna med närpolisreformen var att alla poliser skulle arbeta med förundersökningar.</w:t>
      </w:r>
    </w:p>
    <w:p w:rsidR="00031A3F" w:rsidRPr="00EE1E0C" w:rsidRDefault="00031A3F">
      <w:pPr>
        <w:pStyle w:val="Rubrik3"/>
      </w:pPr>
      <w:bookmarkStart w:id="39" w:name="_Toc466264111"/>
      <w:r w:rsidRPr="00EE1E0C">
        <w:t>2.2.1 Förstärkt utbildning</w:t>
      </w:r>
      <w:bookmarkEnd w:id="39"/>
    </w:p>
    <w:p w:rsidR="00031A3F" w:rsidRPr="00EE1E0C" w:rsidRDefault="00031A3F">
      <w:pPr>
        <w:pStyle w:val="Rubrik4"/>
      </w:pPr>
      <w:bookmarkStart w:id="40" w:name="_Toc465973499"/>
      <w:bookmarkStart w:id="41" w:name="_Toc466264112"/>
      <w:r w:rsidRPr="00EE1E0C">
        <w:t>Rapporten</w:t>
      </w:r>
      <w:bookmarkEnd w:id="40"/>
      <w:bookmarkEnd w:id="41"/>
    </w:p>
    <w:p w:rsidR="00031A3F" w:rsidRPr="00EE1E0C" w:rsidRDefault="00031A3F">
      <w:r w:rsidRPr="00EE1E0C">
        <w:t>Revisorerna föreslår att utbildningen av de poliser som arbetar med brottsu</w:t>
      </w:r>
      <w:r w:rsidRPr="00EE1E0C">
        <w:t>t</w:t>
      </w:r>
      <w:r w:rsidRPr="00EE1E0C">
        <w:t>redningar förstärks. Revisorernas förslag är att fler poliser med intresse för speciella typer av brottsutredningar efter några års tjänstgöring erbjuds sä</w:t>
      </w:r>
      <w:r w:rsidRPr="00EE1E0C">
        <w:t>r</w:t>
      </w:r>
      <w:r w:rsidRPr="00EE1E0C">
        <w:t>skild, kvalificerad vidareutbildning inkluderande handledning och praktik. Det skulle enligt revisorerna vara ett sätt att förbättra kvaliteten på polisens och åklagarnas förundersökningar.</w:t>
      </w:r>
    </w:p>
    <w:p w:rsidR="00031A3F" w:rsidRPr="00EE1E0C" w:rsidRDefault="00031A3F">
      <w:pPr>
        <w:pStyle w:val="Rubrik4"/>
      </w:pPr>
      <w:bookmarkStart w:id="42" w:name="_Toc465973500"/>
      <w:bookmarkStart w:id="43" w:name="_Toc466264113"/>
      <w:r w:rsidRPr="00EE1E0C">
        <w:t>Remissinstanserna</w:t>
      </w:r>
      <w:bookmarkEnd w:id="42"/>
      <w:bookmarkEnd w:id="43"/>
    </w:p>
    <w:p w:rsidR="00031A3F" w:rsidRPr="00EE1E0C" w:rsidRDefault="00031A3F">
      <w:r w:rsidRPr="00EE1E0C">
        <w:t xml:space="preserve">Revisorernas förslag om förstärkt utbildning får stöd av remissinstanserna. </w:t>
      </w:r>
      <w:r w:rsidRPr="00EE1E0C">
        <w:rPr>
          <w:i/>
        </w:rPr>
        <w:t>Justitieombudsmannen</w:t>
      </w:r>
      <w:r w:rsidRPr="00EE1E0C">
        <w:t xml:space="preserve">, </w:t>
      </w:r>
      <w:r w:rsidRPr="00EE1E0C">
        <w:rPr>
          <w:i/>
        </w:rPr>
        <w:t>Södra Roslags tingsrätt,</w:t>
      </w:r>
      <w:r w:rsidRPr="00EE1E0C">
        <w:t xml:space="preserve"> </w:t>
      </w:r>
      <w:r w:rsidRPr="00EE1E0C">
        <w:rPr>
          <w:i/>
        </w:rPr>
        <w:t>Polismyndigheten i Dala</w:t>
      </w:r>
      <w:r w:rsidRPr="00EE1E0C">
        <w:rPr>
          <w:i/>
        </w:rPr>
        <w:t>r</w:t>
      </w:r>
      <w:r w:rsidRPr="00EE1E0C">
        <w:rPr>
          <w:i/>
        </w:rPr>
        <w:t>na,</w:t>
      </w:r>
      <w:r w:rsidRPr="00EE1E0C">
        <w:t xml:space="preserve"> </w:t>
      </w:r>
      <w:r w:rsidRPr="00EE1E0C">
        <w:rPr>
          <w:i/>
        </w:rPr>
        <w:t>Brottsförebyggande rådet</w:t>
      </w:r>
      <w:r w:rsidRPr="00EE1E0C">
        <w:t xml:space="preserve"> och </w:t>
      </w:r>
      <w:r w:rsidRPr="00EE1E0C">
        <w:rPr>
          <w:i/>
        </w:rPr>
        <w:t>Polisförbundet</w:t>
      </w:r>
      <w:r w:rsidRPr="00EE1E0C">
        <w:t xml:space="preserve"> instämmer i revisorernas förslag om förstärkt utbildning i förundersökningsarbete. </w:t>
      </w:r>
      <w:r w:rsidRPr="00EE1E0C">
        <w:rPr>
          <w:i/>
        </w:rPr>
        <w:t>Åklagarmyndigh</w:t>
      </w:r>
      <w:r w:rsidRPr="00EE1E0C">
        <w:rPr>
          <w:i/>
        </w:rPr>
        <w:t>e</w:t>
      </w:r>
      <w:r w:rsidRPr="00EE1E0C">
        <w:rPr>
          <w:i/>
        </w:rPr>
        <w:t>ten i Göteborg</w:t>
      </w:r>
      <w:r w:rsidRPr="00EE1E0C">
        <w:t xml:space="preserve"> och </w:t>
      </w:r>
      <w:r w:rsidRPr="00EE1E0C">
        <w:rPr>
          <w:i/>
        </w:rPr>
        <w:t>Polismyndigheten i Stockholms län</w:t>
      </w:r>
      <w:r w:rsidRPr="00EE1E0C">
        <w:t xml:space="preserve"> anser att det är viktigt att närpolisens kompetens att utreda brott höjs.</w:t>
      </w:r>
      <w:r w:rsidRPr="00EE1E0C">
        <w:rPr>
          <w:i/>
        </w:rPr>
        <w:t xml:space="preserve"> Rikspolisstyrelsen</w:t>
      </w:r>
      <w:r w:rsidRPr="00EE1E0C">
        <w:t xml:space="preserve"> menar dock att utredningserfarenhet på sikt leder till att förstahandsåtgärder blir bättre och till att närpoliserna får större bredd i sitt arbete.</w:t>
      </w:r>
    </w:p>
    <w:p w:rsidR="00031A3F" w:rsidRPr="00EE1E0C" w:rsidRDefault="00031A3F">
      <w:pPr>
        <w:pStyle w:val="Rubrik3"/>
      </w:pPr>
      <w:bookmarkStart w:id="44" w:name="_Toc466264114"/>
      <w:r w:rsidRPr="00EE1E0C">
        <w:t>2.2.2  Närpolisens arbetsformer</w:t>
      </w:r>
      <w:bookmarkEnd w:id="44"/>
    </w:p>
    <w:p w:rsidR="00031A3F" w:rsidRPr="00EE1E0C" w:rsidRDefault="00031A3F">
      <w:pPr>
        <w:pStyle w:val="Rubrik4"/>
      </w:pPr>
      <w:bookmarkStart w:id="45" w:name="_Toc465973502"/>
      <w:bookmarkStart w:id="46" w:name="_Toc466264115"/>
      <w:r w:rsidRPr="00EE1E0C">
        <w:t>Rapporten</w:t>
      </w:r>
      <w:bookmarkEnd w:id="45"/>
      <w:bookmarkEnd w:id="46"/>
    </w:p>
    <w:p w:rsidR="00031A3F" w:rsidRPr="00EE1E0C" w:rsidRDefault="00031A3F">
      <w:r w:rsidRPr="00EE1E0C">
        <w:t>Revisorerna föreslår att utredningsarbetet specialiseras inom närpolisomr</w:t>
      </w:r>
      <w:r w:rsidRPr="00EE1E0C">
        <w:t>å</w:t>
      </w:r>
      <w:r w:rsidRPr="00EE1E0C">
        <w:t>dena. Om färre poliser arbetar med utredningar och specialisterna är fler blir utredningsarbetet mer koncentrerat. Det skulle enligt revisorernas mening få till följd att utredningskvaliteten blir bättre och handläggningstiderna kortare. Revisorerna menar att en sådan specialisering av utredningsverksamheten kan genomföras inom ramen för nuvarande organisation.</w:t>
      </w:r>
    </w:p>
    <w:p w:rsidR="00031A3F" w:rsidRPr="00EE1E0C" w:rsidRDefault="00031A3F">
      <w:pPr>
        <w:pStyle w:val="Rubrik4"/>
      </w:pPr>
      <w:bookmarkStart w:id="47" w:name="_Toc465973503"/>
      <w:bookmarkStart w:id="48" w:name="_Toc466264116"/>
      <w:r w:rsidRPr="00EE1E0C">
        <w:t>Remissinstanserna</w:t>
      </w:r>
      <w:bookmarkEnd w:id="47"/>
      <w:bookmarkEnd w:id="48"/>
    </w:p>
    <w:p w:rsidR="00031A3F" w:rsidRPr="00EE1E0C" w:rsidRDefault="00031A3F">
      <w:r w:rsidRPr="00EE1E0C">
        <w:t xml:space="preserve">Revisorernas förslag att närpolisens utredningsarbete ska specialiseras har mötts av blandande reaktioner. </w:t>
      </w:r>
      <w:r w:rsidRPr="00EE1E0C">
        <w:rPr>
          <w:i/>
        </w:rPr>
        <w:t xml:space="preserve">Justitieombudsmannen </w:t>
      </w:r>
      <w:r w:rsidRPr="00EE1E0C">
        <w:t xml:space="preserve">och </w:t>
      </w:r>
      <w:r w:rsidRPr="00EE1E0C">
        <w:rPr>
          <w:i/>
        </w:rPr>
        <w:t>Polismyndigheten i Blekinge</w:t>
      </w:r>
      <w:r w:rsidRPr="00EE1E0C">
        <w:t xml:space="preserve"> anser i likhet med revisorerna att utredningsarbetet inom polisen bör specialiseras. </w:t>
      </w:r>
      <w:r w:rsidRPr="00EE1E0C">
        <w:rPr>
          <w:i/>
        </w:rPr>
        <w:t xml:space="preserve">Justitiedepartementet </w:t>
      </w:r>
      <w:r w:rsidRPr="00EE1E0C">
        <w:t>anser att det inom närpol</w:t>
      </w:r>
      <w:r w:rsidRPr="00EE1E0C">
        <w:t>i</w:t>
      </w:r>
      <w:r w:rsidRPr="00EE1E0C">
        <w:t>s</w:t>
      </w:r>
      <w:r w:rsidRPr="00EE1E0C">
        <w:softHyphen/>
        <w:t>organisationen måste finnas välutbildade specialister för förundersökning</w:t>
      </w:r>
      <w:r w:rsidRPr="00EE1E0C">
        <w:t>s</w:t>
      </w:r>
      <w:r w:rsidRPr="00EE1E0C">
        <w:t xml:space="preserve">ledning. </w:t>
      </w:r>
    </w:p>
    <w:p w:rsidR="00031A3F" w:rsidRPr="00EE1E0C" w:rsidRDefault="00031A3F">
      <w:pPr>
        <w:pStyle w:val="Normaltindrag"/>
      </w:pPr>
      <w:r w:rsidRPr="00EE1E0C">
        <w:rPr>
          <w:i/>
        </w:rPr>
        <w:t>Rikspolisstyrelsen</w:t>
      </w:r>
      <w:r w:rsidRPr="00EE1E0C">
        <w:t xml:space="preserve"> och </w:t>
      </w:r>
      <w:r w:rsidRPr="00EE1E0C">
        <w:rPr>
          <w:i/>
        </w:rPr>
        <w:t xml:space="preserve">Polismyndigheten i Västernorrland </w:t>
      </w:r>
      <w:r w:rsidRPr="00EE1E0C">
        <w:t xml:space="preserve">är tveksamma till att utredningsarbetet inom närpolisområdena specialiseras. </w:t>
      </w:r>
      <w:r w:rsidRPr="00EE1E0C">
        <w:rPr>
          <w:i/>
        </w:rPr>
        <w:t>Polismyndi</w:t>
      </w:r>
      <w:r w:rsidRPr="00EE1E0C">
        <w:rPr>
          <w:i/>
        </w:rPr>
        <w:t>g</w:t>
      </w:r>
      <w:r w:rsidRPr="00EE1E0C">
        <w:rPr>
          <w:i/>
        </w:rPr>
        <w:t>heten i Dalarna</w:t>
      </w:r>
      <w:r w:rsidRPr="00EE1E0C">
        <w:t xml:space="preserve"> menar att en koncentration av utredningsverksamheten inom närpolisområdena skulle återskapa en uppdelning av de olika verksamhet</w:t>
      </w:r>
      <w:r w:rsidRPr="00EE1E0C">
        <w:t>s</w:t>
      </w:r>
      <w:r w:rsidRPr="00EE1E0C">
        <w:t xml:space="preserve">grenarna. </w:t>
      </w:r>
      <w:r w:rsidRPr="00EE1E0C">
        <w:rPr>
          <w:i/>
        </w:rPr>
        <w:t xml:space="preserve">Brottsförebyggande rådet </w:t>
      </w:r>
      <w:r w:rsidRPr="00EE1E0C">
        <w:t>ifrågasätter om inte en alltför långt gången specialisering av polisarbetet kommer i konflikt med närpolisrefo</w:t>
      </w:r>
      <w:r w:rsidRPr="00EE1E0C">
        <w:t>r</w:t>
      </w:r>
      <w:r w:rsidRPr="00EE1E0C">
        <w:t xml:space="preserve">mens syfte. </w:t>
      </w:r>
      <w:r w:rsidRPr="00EE1E0C">
        <w:rPr>
          <w:i/>
        </w:rPr>
        <w:t>Polismyndigheten i Stockholms län</w:t>
      </w:r>
      <w:r w:rsidRPr="00EE1E0C">
        <w:t xml:space="preserve"> framhåller att utredning</w:t>
      </w:r>
      <w:r w:rsidRPr="00EE1E0C">
        <w:t>s</w:t>
      </w:r>
      <w:r w:rsidRPr="00EE1E0C">
        <w:t>verksamheten inte bör s</w:t>
      </w:r>
      <w:r w:rsidRPr="00EE1E0C">
        <w:t>pridas på alltför många enheter om den skall vara effektiv. Myndighetens uppfattning är att endast ärenden av enkel beskaffe</w:t>
      </w:r>
      <w:r w:rsidRPr="00EE1E0C">
        <w:t>n</w:t>
      </w:r>
      <w:r w:rsidRPr="00EE1E0C">
        <w:t>het bör utredas vid närpolisområdena. Förundersökningsledarskapet bör enligt myndigheten utövas av ett fåtal specialister.</w:t>
      </w:r>
    </w:p>
    <w:p w:rsidR="00031A3F" w:rsidRPr="00EE1E0C" w:rsidRDefault="00031A3F">
      <w:pPr>
        <w:pStyle w:val="Rubrik3"/>
      </w:pPr>
      <w:bookmarkStart w:id="49" w:name="_Toc466264117"/>
      <w:r w:rsidRPr="00EE1E0C">
        <w:t>2.2.3  Problemorienterat arbetssätt</w:t>
      </w:r>
      <w:bookmarkEnd w:id="49"/>
    </w:p>
    <w:p w:rsidR="00031A3F" w:rsidRPr="00EE1E0C" w:rsidRDefault="00031A3F">
      <w:pPr>
        <w:pStyle w:val="Rubrik4"/>
      </w:pPr>
      <w:bookmarkStart w:id="50" w:name="_Toc465973505"/>
      <w:bookmarkStart w:id="51" w:name="_Toc466264118"/>
      <w:r w:rsidRPr="00EE1E0C">
        <w:t>Rapporten</w:t>
      </w:r>
      <w:bookmarkEnd w:id="50"/>
      <w:bookmarkEnd w:id="51"/>
    </w:p>
    <w:p w:rsidR="00031A3F" w:rsidRPr="00EE1E0C" w:rsidRDefault="00031A3F">
      <w:r w:rsidRPr="00EE1E0C">
        <w:t>Det problemorienterade arbetssättet ska genomsyra all polisverksamhet. I rapporten konstateras att det problemorienterade arbetssättet uppfattas på olika sätt i olika polismyndigheter. Det problemorienterade arbetssättet i</w:t>
      </w:r>
      <w:r w:rsidRPr="00EE1E0C">
        <w:t>n</w:t>
      </w:r>
      <w:r w:rsidRPr="00EE1E0C">
        <w:t>fördes formellt i polisorganisationen innan polisen fick utbildning på omr</w:t>
      </w:r>
      <w:r w:rsidRPr="00EE1E0C">
        <w:t>å</w:t>
      </w:r>
      <w:r w:rsidRPr="00EE1E0C">
        <w:t>det. Arbetssättet infördes samtidigt med närpolisverksamheten, vilket har inneburit att det problemorienterade arbetssättet kommit att förknippas med närpolisverksamheten. Det faktum att utbildningsinsatserna koncentrerats till närpolischeferna och närpoliserna förstärker bilden av att det problemorie</w:t>
      </w:r>
      <w:r w:rsidRPr="00EE1E0C">
        <w:t>n</w:t>
      </w:r>
      <w:r w:rsidRPr="00EE1E0C">
        <w:t>terade arbetssättet hör samman med närpolisorganisati</w:t>
      </w:r>
      <w:r w:rsidRPr="00EE1E0C">
        <w:t>o</w:t>
      </w:r>
      <w:r w:rsidRPr="00EE1E0C">
        <w:t xml:space="preserve">nen. </w:t>
      </w:r>
    </w:p>
    <w:p w:rsidR="00031A3F" w:rsidRPr="00EE1E0C" w:rsidRDefault="00031A3F">
      <w:pPr>
        <w:pStyle w:val="Normaltindrag"/>
      </w:pPr>
      <w:r w:rsidRPr="00EE1E0C">
        <w:t>Revisorerna påpekar att problemorienterat arbetssätt tycks betyda olika s</w:t>
      </w:r>
      <w:r w:rsidRPr="00EE1E0C">
        <w:t>a</w:t>
      </w:r>
      <w:r w:rsidRPr="00EE1E0C">
        <w:t>ker i olika delar av landet och för olika poliser. Inte minst mellan stora och små städer skiljer sig tolkningen av det problemorienterade arbet</w:t>
      </w:r>
      <w:r w:rsidRPr="00EE1E0C">
        <w:t>s</w:t>
      </w:r>
      <w:r w:rsidRPr="00EE1E0C">
        <w:t xml:space="preserve">sättet åt. </w:t>
      </w:r>
    </w:p>
    <w:p w:rsidR="00031A3F" w:rsidRPr="00EE1E0C" w:rsidRDefault="00031A3F">
      <w:pPr>
        <w:pStyle w:val="Normaltindrag"/>
      </w:pPr>
      <w:r w:rsidRPr="00EE1E0C">
        <w:t>Av en undersökning som revisorerna genomfört framgår att utbildningen i det problemorienterade arbetssättet varierar mellan polismyndigheterna. Inte alla poliser har fått lika mycket utbildning i problemorienterat arbetssätt. Revisorerna konstaterar vidare att det problemorienterade arbetssättet saknar innehåll för vissa poliser. Man saknar metoder för</w:t>
      </w:r>
      <w:r w:rsidRPr="00EE1E0C">
        <w:t xml:space="preserve"> att arbeta problemorient</w:t>
      </w:r>
      <w:r w:rsidRPr="00EE1E0C">
        <w:t>e</w:t>
      </w:r>
      <w:r w:rsidRPr="00EE1E0C">
        <w:t>rat.</w:t>
      </w:r>
    </w:p>
    <w:p w:rsidR="00031A3F" w:rsidRPr="00EE1E0C" w:rsidRDefault="00031A3F">
      <w:pPr>
        <w:pStyle w:val="Normaltindrag"/>
      </w:pPr>
      <w:r w:rsidRPr="00EE1E0C">
        <w:t>Enligt revisorernas uppfattning har det faktum att det problemorienterade arbetssättet i stort sett uteslutande kommit att förknippas med närpolisver</w:t>
      </w:r>
      <w:r w:rsidRPr="00EE1E0C">
        <w:t>k</w:t>
      </w:r>
      <w:r w:rsidRPr="00EE1E0C">
        <w:t>samhet försvårat arbetet med att introducera arbetssättet i den övriga ver</w:t>
      </w:r>
      <w:r w:rsidRPr="00EE1E0C">
        <w:t>k</w:t>
      </w:r>
      <w:r w:rsidRPr="00EE1E0C">
        <w:t>samheten. Revisorerna menar att det är nödvändigt att samtliga poliser, ob</w:t>
      </w:r>
      <w:r w:rsidRPr="00EE1E0C">
        <w:t>e</w:t>
      </w:r>
      <w:r w:rsidRPr="00EE1E0C">
        <w:t>roende av arbetsuppgifter och ålder, ges utbildning i problemorienterat a</w:t>
      </w:r>
      <w:r w:rsidRPr="00EE1E0C">
        <w:t>r</w:t>
      </w:r>
      <w:r w:rsidRPr="00EE1E0C">
        <w:t>betssätt om detta skall få någon praktisk effekt. Revisorerna anser att utbil</w:t>
      </w:r>
      <w:r w:rsidRPr="00EE1E0C">
        <w:t>d</w:t>
      </w:r>
      <w:r w:rsidRPr="00EE1E0C">
        <w:t>ningen i det probl</w:t>
      </w:r>
      <w:r w:rsidRPr="00EE1E0C">
        <w:t>e</w:t>
      </w:r>
      <w:r w:rsidRPr="00EE1E0C">
        <w:t>morienterade arbetssättet inte har varit tillräcklig.</w:t>
      </w:r>
    </w:p>
    <w:p w:rsidR="00031A3F" w:rsidRPr="00EE1E0C" w:rsidRDefault="00031A3F">
      <w:pPr>
        <w:pStyle w:val="Rubrik4"/>
      </w:pPr>
      <w:bookmarkStart w:id="52" w:name="_Toc465973506"/>
      <w:bookmarkStart w:id="53" w:name="_Toc466264119"/>
      <w:r w:rsidRPr="00EE1E0C">
        <w:t>Remissinstanserna</w:t>
      </w:r>
      <w:bookmarkEnd w:id="52"/>
      <w:bookmarkEnd w:id="53"/>
    </w:p>
    <w:p w:rsidR="00031A3F" w:rsidRPr="00EE1E0C" w:rsidRDefault="00031A3F">
      <w:r w:rsidRPr="00EE1E0C">
        <w:t>Remissinstanserna stöder revisorernas slutsats att införandet av det probl</w:t>
      </w:r>
      <w:r w:rsidRPr="00EE1E0C">
        <w:t>e</w:t>
      </w:r>
      <w:r w:rsidRPr="00EE1E0C">
        <w:t>m</w:t>
      </w:r>
      <w:r w:rsidRPr="00EE1E0C">
        <w:softHyphen/>
        <w:t xml:space="preserve">orienterade arbetssättet inte har varit problemfritt. </w:t>
      </w:r>
      <w:r w:rsidRPr="00EE1E0C">
        <w:rPr>
          <w:i/>
        </w:rPr>
        <w:t xml:space="preserve">Rikspolisstyrelsen </w:t>
      </w:r>
      <w:r w:rsidRPr="00EE1E0C">
        <w:t>bed</w:t>
      </w:r>
      <w:r w:rsidRPr="00EE1E0C">
        <w:t>ö</w:t>
      </w:r>
      <w:r w:rsidRPr="00EE1E0C">
        <w:t>mer att den kunskapsförmedling som gäller det problemorienterade arbet</w:t>
      </w:r>
      <w:r w:rsidRPr="00EE1E0C">
        <w:t>s</w:t>
      </w:r>
      <w:r w:rsidRPr="00EE1E0C">
        <w:t xml:space="preserve">sättet är effektiv men att den ger resultat först på lite längre sikt. </w:t>
      </w:r>
      <w:r w:rsidRPr="00EE1E0C">
        <w:rPr>
          <w:i/>
        </w:rPr>
        <w:t>Polismy</w:t>
      </w:r>
      <w:r w:rsidRPr="00EE1E0C">
        <w:rPr>
          <w:i/>
        </w:rPr>
        <w:t>n</w:t>
      </w:r>
      <w:r w:rsidRPr="00EE1E0C">
        <w:rPr>
          <w:i/>
        </w:rPr>
        <w:t>digheten i Blekinge</w:t>
      </w:r>
      <w:r w:rsidRPr="00EE1E0C">
        <w:t xml:space="preserve"> delar revisorernas uppfattning att det problemorienterade arbetssättet fått begränsat genomslag. </w:t>
      </w:r>
      <w:r w:rsidRPr="00EE1E0C">
        <w:rPr>
          <w:i/>
        </w:rPr>
        <w:t>Brottsförebyggande rådet</w:t>
      </w:r>
      <w:r w:rsidRPr="00EE1E0C">
        <w:t xml:space="preserve"> framhåller att många poliser deltagit i utbildningar i problemorienterat arbetssätt utan att för den skull använda det. </w:t>
      </w:r>
    </w:p>
    <w:p w:rsidR="00031A3F" w:rsidRPr="00EE1E0C" w:rsidRDefault="00031A3F">
      <w:pPr>
        <w:pStyle w:val="Rubrik3"/>
      </w:pPr>
      <w:bookmarkStart w:id="54" w:name="_Toc466264120"/>
      <w:r w:rsidRPr="00EE1E0C">
        <w:t>2.2.4  Revisorerna</w:t>
      </w:r>
      <w:bookmarkEnd w:id="54"/>
    </w:p>
    <w:p w:rsidR="00031A3F" w:rsidRPr="00EE1E0C" w:rsidRDefault="00031A3F">
      <w:r w:rsidRPr="00EE1E0C">
        <w:t>Remissinstanserna stöder förslaget om förstärkt utbildning i utredningsver</w:t>
      </w:r>
      <w:r w:rsidRPr="00EE1E0C">
        <w:t>k</w:t>
      </w:r>
      <w:r w:rsidRPr="00EE1E0C">
        <w:t>samhet. Remissinstanserna har även betonat betydelsen av erfarenhet av utredningsarbete för att poliser skall bli duktiga utredare. Revisorerna anser också att erfarenhet är viktig för att poliser skall kunna bli duktiga utredare. Dock anser revisorerna att de poliser som arbetar med utredningar måste ha god utbildning, inte minst i utredningsmetoder, för att kunna tillgodogöra sig den erfarenhet de får i det löpande arbetet. Revisorerna konstaterar att poli</w:t>
      </w:r>
      <w:r w:rsidRPr="00EE1E0C">
        <w:t>s</w:t>
      </w:r>
      <w:r w:rsidRPr="00EE1E0C">
        <w:t>myndigheterna själva beslutar om hur mycket peng</w:t>
      </w:r>
      <w:r w:rsidRPr="00EE1E0C">
        <w:t>ar som skall satsas på utbildning. Detta leder till att utbildningssatsningar inte görs i lika stor u</w:t>
      </w:r>
      <w:r w:rsidRPr="00EE1E0C">
        <w:t>t</w:t>
      </w:r>
      <w:r w:rsidRPr="00EE1E0C">
        <w:t>sträckning i hela landet. Revisorerna anser att situationen är otillfredsställa</w:t>
      </w:r>
      <w:r w:rsidRPr="00EE1E0C">
        <w:t>n</w:t>
      </w:r>
      <w:r w:rsidRPr="00EE1E0C">
        <w:t>de.</w:t>
      </w:r>
    </w:p>
    <w:p w:rsidR="00031A3F" w:rsidRPr="00EE1E0C" w:rsidRDefault="00031A3F">
      <w:pPr>
        <w:pStyle w:val="Normaltindrag"/>
      </w:pPr>
      <w:r w:rsidRPr="00EE1E0C">
        <w:t>Revisorernas förslag om specialisering av utredningsverksamheten inom närpolisen har mött skilda reaktioner av remissinstanserna. Revisorerna motiverade sitt förslag till specialisering med att det skulle förbättra kvalit</w:t>
      </w:r>
      <w:r w:rsidRPr="00EE1E0C">
        <w:t>e</w:t>
      </w:r>
      <w:r w:rsidRPr="00EE1E0C">
        <w:t>ten på förundersökningarna. Vissa av remissinstanserna har menat att det skulle innebära en återgång till den äldre ordningen då man hade utredning</w:t>
      </w:r>
      <w:r w:rsidRPr="00EE1E0C">
        <w:t>s</w:t>
      </w:r>
      <w:r w:rsidRPr="00EE1E0C">
        <w:t>enheter inom polisen. Förslaget skulle därmed inte ligga i linje med närpoli</w:t>
      </w:r>
      <w:r w:rsidRPr="00EE1E0C">
        <w:t>s</w:t>
      </w:r>
      <w:r w:rsidRPr="00EE1E0C">
        <w:t xml:space="preserve">reformens syfte. </w:t>
      </w:r>
    </w:p>
    <w:p w:rsidR="00031A3F" w:rsidRPr="00EE1E0C" w:rsidRDefault="00031A3F">
      <w:pPr>
        <w:pStyle w:val="Normaltindrag"/>
      </w:pPr>
      <w:r w:rsidRPr="00EE1E0C">
        <w:t>Det finns olika sätt att organisera verksamheten inom närpolisområdena. Samma organisationsform passar inte alla områden. Revisorerna anser dock att det i stora närpolisområden kan vara motiverat att koncentrera utrednin</w:t>
      </w:r>
      <w:r w:rsidRPr="00EE1E0C">
        <w:t>g</w:t>
      </w:r>
      <w:r w:rsidRPr="00EE1E0C">
        <w:t>arna till vissa närpoliser.</w:t>
      </w:r>
    </w:p>
    <w:p w:rsidR="00031A3F" w:rsidRPr="00EE1E0C" w:rsidRDefault="00031A3F">
      <w:pPr>
        <w:pStyle w:val="Normaltindrag"/>
      </w:pPr>
      <w:r w:rsidRPr="00EE1E0C">
        <w:t xml:space="preserve"> Revisorernas uppfattning att utbildningen i problemorienterat arbetssätt inte fått genomslag i polisorganisationen får stöd av remissinstanserna. Rev</w:t>
      </w:r>
      <w:r w:rsidRPr="00EE1E0C">
        <w:t>i</w:t>
      </w:r>
      <w:r w:rsidRPr="00EE1E0C">
        <w:t>sorerna anser även att utbildningen i problemorienterat arbetssätt varit otil</w:t>
      </w:r>
      <w:r w:rsidRPr="00EE1E0C">
        <w:t>l</w:t>
      </w:r>
      <w:r w:rsidRPr="00EE1E0C">
        <w:t>räcklig. Även denna uppfattning får stöd av remissinstanserna. Rikspolisst</w:t>
      </w:r>
      <w:r w:rsidRPr="00EE1E0C">
        <w:t>y</w:t>
      </w:r>
      <w:r w:rsidRPr="00EE1E0C">
        <w:t>relsen menar dock i sitt remissvar att det problemorienterade arbetssättet ger resultat först på sikt. Revisorerna menar att frågan om det problemorienter</w:t>
      </w:r>
      <w:r w:rsidRPr="00EE1E0C">
        <w:t>a</w:t>
      </w:r>
      <w:r w:rsidRPr="00EE1E0C">
        <w:t>de a</w:t>
      </w:r>
      <w:r w:rsidRPr="00EE1E0C">
        <w:t>r</w:t>
      </w:r>
      <w:r w:rsidRPr="00EE1E0C">
        <w:t>betssättet förtjänar fortsatt uppmärksamhet.</w:t>
      </w:r>
    </w:p>
    <w:p w:rsidR="00031A3F" w:rsidRPr="00EE1E0C" w:rsidRDefault="00031A3F">
      <w:pPr>
        <w:pStyle w:val="Normaltindrag"/>
      </w:pPr>
      <w:r w:rsidRPr="00EE1E0C">
        <w:t xml:space="preserve"> Vid Brottsförebyggande rådet pågår en utvärdering av närpolisverksa</w:t>
      </w:r>
      <w:r w:rsidRPr="00EE1E0C">
        <w:t>m</w:t>
      </w:r>
      <w:r w:rsidRPr="00EE1E0C">
        <w:t>heten. Där ingår även en studie av det problemorienterade arbetssättet. Den centrala frågeställningen är i vilken omfattning brott och andra problem åtgärdas utifrån ett problemorienterat arbetssätt och vilka eventuella hinder som finns för ett sådant arbetssätt.  Studien, som kommer att presenteras i juli år 2000, förväntas ge en bild av hur det problemorienterade arbetssättet har utvec</w:t>
      </w:r>
      <w:r w:rsidRPr="00EE1E0C">
        <w:t>k</w:t>
      </w:r>
      <w:r w:rsidRPr="00EE1E0C">
        <w:t>lats.</w:t>
      </w:r>
    </w:p>
    <w:p w:rsidR="00031A3F" w:rsidRPr="00EE1E0C" w:rsidRDefault="00031A3F">
      <w:r w:rsidRPr="00EE1E0C">
        <w:t>Riksdagens revisorer föreslår</w:t>
      </w:r>
    </w:p>
    <w:p w:rsidR="00031A3F" w:rsidRPr="00EE1E0C" w:rsidRDefault="00031A3F">
      <w:pPr>
        <w:numPr>
          <w:ilvl w:val="0"/>
          <w:numId w:val="10"/>
        </w:numPr>
      </w:pPr>
      <w:r w:rsidRPr="00EE1E0C">
        <w:t>att Rikspolisstyrelsen ges i uppdrag att i samarbete med Polishögskolan utforma förslag till förstärkt utbildning i förundersökningsverksamhet. Vidare bör Rikspolisstyrelsen och Polishögskolan gemensamt utarbeta en modell för hur rekryteringen till utbildningen ska se ut för att utbil</w:t>
      </w:r>
      <w:r w:rsidRPr="00EE1E0C">
        <w:t>d</w:t>
      </w:r>
      <w:r w:rsidRPr="00EE1E0C">
        <w:t>ningssatsningarna skall göras över hela landet och för att de poliser med störst fallenhet för förundersökningsarbete rekryteras till utbil</w:t>
      </w:r>
      <w:r w:rsidRPr="00EE1E0C">
        <w:t>d</w:t>
      </w:r>
      <w:r w:rsidRPr="00EE1E0C">
        <w:t xml:space="preserve">ningarna. </w:t>
      </w:r>
    </w:p>
    <w:p w:rsidR="00031A3F" w:rsidRPr="00EE1E0C" w:rsidRDefault="00031A3F">
      <w:pPr>
        <w:numPr>
          <w:ilvl w:val="0"/>
          <w:numId w:val="9"/>
        </w:numPr>
      </w:pPr>
      <w:r w:rsidRPr="00EE1E0C">
        <w:t>att Riksåklagaren och Rikspolisstyrelsen tillsammans undersöker hur närpolisen bör arbeta för att höja kvaliteten på förundersö</w:t>
      </w:r>
      <w:r w:rsidRPr="00EE1E0C">
        <w:t>k</w:t>
      </w:r>
      <w:r w:rsidRPr="00EE1E0C">
        <w:t xml:space="preserve">ningarna. </w:t>
      </w:r>
    </w:p>
    <w:p w:rsidR="00031A3F" w:rsidRPr="00EE1E0C" w:rsidRDefault="00031A3F">
      <w:pPr>
        <w:numPr>
          <w:ilvl w:val="0"/>
          <w:numId w:val="8"/>
        </w:numPr>
      </w:pPr>
      <w:r w:rsidRPr="00EE1E0C">
        <w:t>att regeringen senast år 2001 informerar riksdagen om hur det probl</w:t>
      </w:r>
      <w:r w:rsidRPr="00EE1E0C">
        <w:t>e</w:t>
      </w:r>
      <w:r w:rsidRPr="00EE1E0C">
        <w:t>m</w:t>
      </w:r>
      <w:r w:rsidRPr="00EE1E0C">
        <w:softHyphen/>
        <w:t>or</w:t>
      </w:r>
      <w:r w:rsidRPr="00EE1E0C">
        <w:t>i</w:t>
      </w:r>
      <w:r w:rsidRPr="00EE1E0C">
        <w:t>enterade arbetssättet har utvecklats inom polisorganisationen.</w:t>
      </w:r>
    </w:p>
    <w:p w:rsidR="00031A3F" w:rsidRPr="00EE1E0C" w:rsidRDefault="00031A3F">
      <w:pPr>
        <w:pStyle w:val="Rubrik2"/>
      </w:pPr>
      <w:bookmarkStart w:id="55" w:name="_Toc466264121"/>
      <w:r w:rsidRPr="00EE1E0C">
        <w:t>2.3  Kvalitetshöjande åtgärder för åklagarnas verksamhet</w:t>
      </w:r>
      <w:bookmarkEnd w:id="55"/>
    </w:p>
    <w:p w:rsidR="00031A3F" w:rsidRPr="00EE1E0C" w:rsidRDefault="00031A3F">
      <w:r w:rsidRPr="00EE1E0C">
        <w:t>Åklagarna deltar i egenskap av förundersökningsledare i förundersökning</w:t>
      </w:r>
      <w:r w:rsidRPr="00EE1E0C">
        <w:t>s</w:t>
      </w:r>
      <w:r w:rsidRPr="00EE1E0C">
        <w:t xml:space="preserve">arbetet, framför allt i ärenden av allvarligare slag. I enklare ärenden övertar åklagaren oftast utredningen i samband med att beslut i åtalsfrågan fattas. </w:t>
      </w:r>
    </w:p>
    <w:p w:rsidR="00031A3F" w:rsidRPr="00EE1E0C" w:rsidRDefault="00031A3F">
      <w:pPr>
        <w:pStyle w:val="Rubrik3"/>
      </w:pPr>
      <w:bookmarkStart w:id="56" w:name="_Toc466264122"/>
      <w:r w:rsidRPr="00EE1E0C">
        <w:t>2.3.1  Samverkan mellan åklagarkamrar och tingsrätter</w:t>
      </w:r>
      <w:bookmarkEnd w:id="56"/>
    </w:p>
    <w:p w:rsidR="00031A3F" w:rsidRPr="00EE1E0C" w:rsidRDefault="00031A3F">
      <w:pPr>
        <w:pStyle w:val="Rubrik4"/>
      </w:pPr>
      <w:bookmarkStart w:id="57" w:name="_Toc465973510"/>
      <w:bookmarkStart w:id="58" w:name="_Toc466264123"/>
      <w:r w:rsidRPr="00EE1E0C">
        <w:t>Rapporten</w:t>
      </w:r>
      <w:bookmarkEnd w:id="57"/>
      <w:bookmarkEnd w:id="58"/>
    </w:p>
    <w:p w:rsidR="00031A3F" w:rsidRPr="00EE1E0C" w:rsidRDefault="00031A3F">
      <w:r w:rsidRPr="00EE1E0C">
        <w:t>I rapporten framhåller revisorerna betydelsen av att rättsväsendets myndi</w:t>
      </w:r>
      <w:r w:rsidRPr="00EE1E0C">
        <w:t>g</w:t>
      </w:r>
      <w:r w:rsidRPr="00EE1E0C">
        <w:t>heter samverkar. Samverkan är nödvändig för att påskynda handläggningen av ärenden och hålla kostn</w:t>
      </w:r>
      <w:r w:rsidRPr="00EE1E0C">
        <w:t>a</w:t>
      </w:r>
      <w:r w:rsidRPr="00EE1E0C">
        <w:t xml:space="preserve">derna för verksamheten nere. </w:t>
      </w:r>
    </w:p>
    <w:p w:rsidR="00031A3F" w:rsidRPr="00EE1E0C" w:rsidRDefault="00031A3F">
      <w:pPr>
        <w:pStyle w:val="Normaltindrag"/>
      </w:pPr>
      <w:r w:rsidRPr="00EE1E0C">
        <w:t>Revisorerna menar att mycket tyder på att polisen och åklagarna har a</w:t>
      </w:r>
      <w:r w:rsidRPr="00EE1E0C">
        <w:t>n</w:t>
      </w:r>
      <w:r w:rsidRPr="00EE1E0C">
        <w:t>passat sitt arbetssätt och samarbete till den nya organisationen. En åklagare vid varje kammare har utsetts till mentor med uppgift att ansvara för sama</w:t>
      </w:r>
      <w:r w:rsidRPr="00EE1E0C">
        <w:t>r</w:t>
      </w:r>
      <w:r w:rsidRPr="00EE1E0C">
        <w:t>betet mellan kammarens åklagare och närpolisen. I allmänhet har arbetet lagts upp så att varje närpolisområde har en särskilt utsedd s.k. undermentor som svarar för utvecklingsarbetet inom närpolisområdet. Undermentorerna genomför utbildning i förundersökningsmetod. De ger också råd i ärenden där polisen är förundersökningsledare. Enligt vad som framkommit</w:t>
      </w:r>
      <w:r w:rsidRPr="00EE1E0C">
        <w:t xml:space="preserve"> i grans</w:t>
      </w:r>
      <w:r w:rsidRPr="00EE1E0C">
        <w:t>k</w:t>
      </w:r>
      <w:r w:rsidRPr="00EE1E0C">
        <w:t>ningen har mentorssystemet visat sig vara bra även för att kompensera för det geografiska avstånd som uppstått mellan polis och åklagare genom åkl</w:t>
      </w:r>
      <w:r w:rsidRPr="00EE1E0C">
        <w:t>a</w:t>
      </w:r>
      <w:r w:rsidRPr="00EE1E0C">
        <w:t>garnas omorganisation. Såväl polis som åklagare menar att systemet med mentorer fungerar bra. Dock saknar vissa poliser och åklagare den dagliga kontakt som man tidigare hade mellan yrkesgrupperna. Andra poliser och åklagare menar att samarbetet har blivit mer strukturerat då åklagaren bes</w:t>
      </w:r>
      <w:r w:rsidRPr="00EE1E0C">
        <w:t>ö</w:t>
      </w:r>
      <w:r w:rsidRPr="00EE1E0C">
        <w:t>ker polisen med viss regelbundenhet. Praktiska problem, såsom svå</w:t>
      </w:r>
      <w:r w:rsidRPr="00EE1E0C">
        <w:t xml:space="preserve">righeter att själv kunna titta på beslagtaget gods, framhålls av en del åklagare. </w:t>
      </w:r>
    </w:p>
    <w:p w:rsidR="00031A3F" w:rsidRPr="00EE1E0C" w:rsidRDefault="00031A3F">
      <w:pPr>
        <w:pStyle w:val="Normaltindrag"/>
      </w:pPr>
      <w:r w:rsidRPr="00EE1E0C">
        <w:t>I granskningen har vidare framkommit att många åklagare anser att det är tidsödande att resa till omkringliggande tingsrätter för att delta i förhandlin</w:t>
      </w:r>
      <w:r w:rsidRPr="00EE1E0C">
        <w:t>g</w:t>
      </w:r>
      <w:r w:rsidRPr="00EE1E0C">
        <w:t>ar. Kamrar som arbetar mot många tingsrätter måste också ägna tid åt att planera åklagarnas förhandlingsdagar. Det har också framkommit att sama</w:t>
      </w:r>
      <w:r w:rsidRPr="00EE1E0C">
        <w:t>r</w:t>
      </w:r>
      <w:r w:rsidRPr="00EE1E0C">
        <w:t xml:space="preserve">betet mellan åklagarna och tingsrätterna inte alltid fungerar när det gäller att planera förhandlingsdagar och tider för åklagarbundna mål. </w:t>
      </w:r>
    </w:p>
    <w:p w:rsidR="00031A3F" w:rsidRPr="00EE1E0C" w:rsidRDefault="00031A3F">
      <w:pPr>
        <w:pStyle w:val="Normaltindrag"/>
      </w:pPr>
      <w:r w:rsidRPr="00EE1E0C">
        <w:t>Revisorerna menar att en vidgad administrativ samverkan mellan tingsrä</w:t>
      </w:r>
      <w:r w:rsidRPr="00EE1E0C">
        <w:t>t</w:t>
      </w:r>
      <w:r w:rsidRPr="00EE1E0C">
        <w:t>ter och åklagare är motiverad. Exempelvis bör förhandlingsdagar bestämmas av åklagarkamrarna och tingsrätterna gemensamt. Revisorerna menar att tingsrätterna tillsammans med åklagarkamrarna bör planera sin verksamhet så att antalet resor för åklagarna blir så litet som mö</w:t>
      </w:r>
      <w:r w:rsidRPr="00EE1E0C">
        <w:t>j</w:t>
      </w:r>
      <w:r w:rsidRPr="00EE1E0C">
        <w:t>ligt.</w:t>
      </w:r>
    </w:p>
    <w:p w:rsidR="00031A3F" w:rsidRPr="00EE1E0C" w:rsidRDefault="00031A3F">
      <w:pPr>
        <w:pStyle w:val="Rubrik4"/>
      </w:pPr>
      <w:bookmarkStart w:id="59" w:name="_Toc465973511"/>
      <w:bookmarkStart w:id="60" w:name="_Toc466264124"/>
      <w:r w:rsidRPr="00EE1E0C">
        <w:t>Remissinstanserna</w:t>
      </w:r>
      <w:bookmarkEnd w:id="59"/>
      <w:bookmarkEnd w:id="60"/>
    </w:p>
    <w:p w:rsidR="00031A3F" w:rsidRPr="00EE1E0C" w:rsidRDefault="00031A3F">
      <w:r w:rsidRPr="00EE1E0C">
        <w:t>Flertalet remissinstanser som har kommenterat samverkansformerna mellan åklagarkamrarna och tingsrätterna förordar utökat samarbete. Några remis</w:t>
      </w:r>
      <w:r w:rsidRPr="00EE1E0C">
        <w:t>s</w:t>
      </w:r>
      <w:r w:rsidRPr="00EE1E0C">
        <w:t>instanser present</w:t>
      </w:r>
      <w:r w:rsidRPr="00EE1E0C">
        <w:t>e</w:t>
      </w:r>
      <w:r w:rsidRPr="00EE1E0C">
        <w:t xml:space="preserve">rar också förslag till förändringar. </w:t>
      </w:r>
    </w:p>
    <w:p w:rsidR="00031A3F" w:rsidRPr="00EE1E0C" w:rsidRDefault="00031A3F">
      <w:pPr>
        <w:pStyle w:val="Normaltindrag"/>
      </w:pPr>
      <w:r w:rsidRPr="00EE1E0C">
        <w:rPr>
          <w:i/>
        </w:rPr>
        <w:t>Justitieombudsmannen</w:t>
      </w:r>
      <w:r w:rsidRPr="00EE1E0C">
        <w:t xml:space="preserve"> menar att det som framkommit i granskningen av åklagarnas arbetsformer i relation till tingsrätterna är av den arten att en översyn av arbetsformerna framstår som påkallad. </w:t>
      </w:r>
      <w:r w:rsidRPr="00EE1E0C">
        <w:rPr>
          <w:i/>
        </w:rPr>
        <w:t xml:space="preserve">Södra Roslags tingsrätt, Domstolsverket, Riksåklagaren </w:t>
      </w:r>
      <w:r w:rsidRPr="00EE1E0C">
        <w:t>samt</w:t>
      </w:r>
      <w:r w:rsidRPr="00EE1E0C">
        <w:rPr>
          <w:i/>
        </w:rPr>
        <w:t xml:space="preserve"> Åklagarmyndigheterna i Malmö</w:t>
      </w:r>
      <w:r w:rsidRPr="00EE1E0C">
        <w:t xml:space="preserve"> och</w:t>
      </w:r>
      <w:r w:rsidRPr="00EE1E0C">
        <w:rPr>
          <w:i/>
        </w:rPr>
        <w:t xml:space="preserve"> Göteborg</w:t>
      </w:r>
      <w:r w:rsidRPr="00EE1E0C">
        <w:rPr>
          <w:b/>
          <w:i/>
        </w:rPr>
        <w:t xml:space="preserve"> </w:t>
      </w:r>
      <w:r w:rsidRPr="00EE1E0C">
        <w:t xml:space="preserve">förordar ökad samverkan mellan åklagare och tingsrätter. </w:t>
      </w:r>
      <w:r w:rsidRPr="00EE1E0C">
        <w:rPr>
          <w:i/>
        </w:rPr>
        <w:t>Stoc</w:t>
      </w:r>
      <w:r w:rsidRPr="00EE1E0C">
        <w:rPr>
          <w:i/>
        </w:rPr>
        <w:t>k</w:t>
      </w:r>
      <w:r w:rsidRPr="00EE1E0C">
        <w:rPr>
          <w:i/>
        </w:rPr>
        <w:t>holms tingsrätt</w:t>
      </w:r>
      <w:r w:rsidRPr="00EE1E0C">
        <w:t xml:space="preserve"> menar att förslaget att samverkan ska öka är praktiskt ogö</w:t>
      </w:r>
      <w:r w:rsidRPr="00EE1E0C">
        <w:t>r</w:t>
      </w:r>
      <w:r w:rsidRPr="00EE1E0C">
        <w:t xml:space="preserve">ligt. Man menar att det måste vara tingsrätten som slutligen bestämmer över arbetet i domstolen. </w:t>
      </w:r>
    </w:p>
    <w:p w:rsidR="00031A3F" w:rsidRPr="00EE1E0C" w:rsidRDefault="00031A3F">
      <w:pPr>
        <w:pStyle w:val="Normaltindrag"/>
      </w:pPr>
      <w:r w:rsidRPr="00EE1E0C">
        <w:rPr>
          <w:i/>
        </w:rPr>
        <w:t>D</w:t>
      </w:r>
      <w:r w:rsidRPr="00EE1E0C">
        <w:rPr>
          <w:i/>
        </w:rPr>
        <w:t xml:space="preserve">omstolsverket </w:t>
      </w:r>
      <w:r w:rsidRPr="00EE1E0C">
        <w:t>pekar på möjligheten av ett system där man lottar sessi</w:t>
      </w:r>
      <w:r w:rsidRPr="00EE1E0C">
        <w:t>o</w:t>
      </w:r>
      <w:r w:rsidRPr="00EE1E0C">
        <w:t xml:space="preserve">ner i stället för mål på domarna. Det skulle göra det möjligt för de flesta åklagare att ha sina egna mål. </w:t>
      </w:r>
      <w:r w:rsidRPr="00EE1E0C">
        <w:rPr>
          <w:i/>
        </w:rPr>
        <w:t xml:space="preserve">Nacka tingsrätt </w:t>
      </w:r>
      <w:r w:rsidRPr="00EE1E0C">
        <w:t>menar att åklagaren i brottmål som inte är av ett alltför komplicerat slag redan på brottsplatsen eller i nära anslutning till denna skulle kunna utfärda stämning och kalla tilltalade och eventuella målsägande och vittnen direkt till förhandling inför tingsrätten på en tid som står till åklagarens förfogande. Detta sk</w:t>
      </w:r>
      <w:r w:rsidRPr="00EE1E0C">
        <w:t xml:space="preserve">ulle enligt tingsrätten kunna påskynda handläggningen. </w:t>
      </w:r>
      <w:r w:rsidRPr="00EE1E0C">
        <w:rPr>
          <w:i/>
        </w:rPr>
        <w:t>Södra Roslags tingsrätt</w:t>
      </w:r>
      <w:r w:rsidRPr="00EE1E0C">
        <w:t xml:space="preserve"> pekar på möjli</w:t>
      </w:r>
      <w:r w:rsidRPr="00EE1E0C">
        <w:t>g</w:t>
      </w:r>
      <w:r w:rsidRPr="00EE1E0C">
        <w:t xml:space="preserve">heten att införa regler som tillåter åklagarna att själva stämma och kalla till förhandling i brottmål. </w:t>
      </w:r>
      <w:r w:rsidRPr="00EE1E0C">
        <w:rPr>
          <w:i/>
        </w:rPr>
        <w:t>Polismyndigheten i Örebro län</w:t>
      </w:r>
      <w:r w:rsidRPr="00EE1E0C">
        <w:t xml:space="preserve"> menar att en polisiär talerätt vid domstol skulle göra förundersökningsledarskapet och processa</w:t>
      </w:r>
      <w:r w:rsidRPr="00EE1E0C">
        <w:t>n</w:t>
      </w:r>
      <w:r w:rsidRPr="00EE1E0C">
        <w:t>det tydl</w:t>
      </w:r>
      <w:r w:rsidRPr="00EE1E0C">
        <w:t>i</w:t>
      </w:r>
      <w:r w:rsidRPr="00EE1E0C">
        <w:t xml:space="preserve">gare. </w:t>
      </w:r>
    </w:p>
    <w:p w:rsidR="00031A3F" w:rsidRPr="00EE1E0C" w:rsidRDefault="00031A3F">
      <w:pPr>
        <w:pStyle w:val="Rubrik3"/>
      </w:pPr>
      <w:bookmarkStart w:id="61" w:name="_Toc466264125"/>
      <w:r w:rsidRPr="00EE1E0C">
        <w:t>2.3.2  Åklagarnas arbetsformer</w:t>
      </w:r>
      <w:bookmarkEnd w:id="61"/>
    </w:p>
    <w:p w:rsidR="00031A3F" w:rsidRPr="00EE1E0C" w:rsidRDefault="00031A3F">
      <w:pPr>
        <w:pStyle w:val="Rubrik4"/>
      </w:pPr>
      <w:bookmarkStart w:id="62" w:name="_Toc465973513"/>
      <w:bookmarkStart w:id="63" w:name="_Toc466264126"/>
      <w:r w:rsidRPr="00EE1E0C">
        <w:t>Rapporten</w:t>
      </w:r>
      <w:bookmarkEnd w:id="62"/>
      <w:bookmarkEnd w:id="63"/>
    </w:p>
    <w:p w:rsidR="00031A3F" w:rsidRPr="00EE1E0C" w:rsidRDefault="00031A3F">
      <w:r w:rsidRPr="00EE1E0C">
        <w:t>I granskningen har framkommit att åklagarna mera sällan än tidigare följer sina mål till tingsrätten. En anledning till att man lämnar över mål till en annan åklagare är att antalet resor till tingsrätter som ligger utanför den ort där kammaren är placerad ska minska. I revisorernas enkätundersökning framförs synpunkten att åklagarna presterar sämre under rättegången i de mål där de inte själva varit förundersökningsledare.  Domarna menar att rätt</w:t>
      </w:r>
      <w:r w:rsidRPr="00EE1E0C">
        <w:t>e</w:t>
      </w:r>
      <w:r w:rsidRPr="00EE1E0C">
        <w:t>gångarna blir sämre genom att åklagarna inte har sina egna mål i tingsrätten. De menar också att åklagarna har dålig kännedom om förhållanden på orten. Åklagarna menar att deras arbete skulle underlättas om de följde sina egna mål till tingsrätten. Vidare anser de att resorna till olika tingsrätter tar tid från egentligt åklag</w:t>
      </w:r>
      <w:r w:rsidRPr="00EE1E0C">
        <w:t>a</w:t>
      </w:r>
      <w:r w:rsidRPr="00EE1E0C">
        <w:t>rarbete. Synpunkterna stöds av intervjuer med åklagare.</w:t>
      </w:r>
    </w:p>
    <w:p w:rsidR="00031A3F" w:rsidRPr="00EE1E0C" w:rsidRDefault="00031A3F">
      <w:pPr>
        <w:pStyle w:val="Normaltindrag"/>
      </w:pPr>
      <w:r w:rsidRPr="00EE1E0C">
        <w:t>Revisorerna menar att kritiken är så allvarlig att åklagarnas arbetsformer bör ses över. Enligt revisorerna talar mycket för a</w:t>
      </w:r>
      <w:r w:rsidRPr="00EE1E0C">
        <w:t>tt åklagarna i större u</w:t>
      </w:r>
      <w:r w:rsidRPr="00EE1E0C">
        <w:t>t</w:t>
      </w:r>
      <w:r w:rsidRPr="00EE1E0C">
        <w:t xml:space="preserve">sträckning bör ha sina egna mål i tingsrätten. Möjligheten att åklagarna i större utsträckning arbetar mot vissa tingsrätter bör också övervägas. </w:t>
      </w:r>
    </w:p>
    <w:p w:rsidR="00031A3F" w:rsidRPr="00EE1E0C" w:rsidRDefault="00031A3F">
      <w:pPr>
        <w:pStyle w:val="Rubrik4"/>
      </w:pPr>
      <w:bookmarkStart w:id="64" w:name="_Toc465973514"/>
      <w:bookmarkStart w:id="65" w:name="_Toc466264127"/>
      <w:r w:rsidRPr="00EE1E0C">
        <w:t>Remissinstanserna</w:t>
      </w:r>
      <w:bookmarkEnd w:id="64"/>
      <w:bookmarkEnd w:id="65"/>
    </w:p>
    <w:p w:rsidR="00031A3F" w:rsidRPr="00EE1E0C" w:rsidRDefault="00031A3F">
      <w:r w:rsidRPr="00EE1E0C">
        <w:rPr>
          <w:i/>
        </w:rPr>
        <w:t>Justitiedepartementet</w:t>
      </w:r>
      <w:r w:rsidRPr="00EE1E0C">
        <w:t xml:space="preserve"> framhåller att det i vissa fall kan vara ändamålsenligt att i komplicerade brottmålsärenden binda ärendet till den åklagare som varit förundersökningsledare. Det är enligt departementet Riksåklagarens uppgift att fortlöpande se över verksamheten inom åklagarväsendet och se till att resurserna används på ett effektivt sätt. </w:t>
      </w:r>
      <w:r w:rsidRPr="00EE1E0C">
        <w:rPr>
          <w:i/>
        </w:rPr>
        <w:t xml:space="preserve">Riksåklagaren </w:t>
      </w:r>
      <w:r w:rsidRPr="00EE1E0C">
        <w:t>påpekar att en översyn av åklagarnas arbetsformer i många hänseenden redan är påbörjad. Det for</w:t>
      </w:r>
      <w:r w:rsidRPr="00EE1E0C">
        <w:t>t</w:t>
      </w:r>
      <w:r w:rsidRPr="00EE1E0C">
        <w:t>satta arbetet kommer enligt riksåklagaren att bedrivas med hänsyn till revis</w:t>
      </w:r>
      <w:r w:rsidRPr="00EE1E0C">
        <w:t>o</w:t>
      </w:r>
      <w:r w:rsidRPr="00EE1E0C">
        <w:t xml:space="preserve">rernas synpunkt. </w:t>
      </w:r>
      <w:r w:rsidRPr="00EE1E0C">
        <w:rPr>
          <w:i/>
        </w:rPr>
        <w:t xml:space="preserve">Polisförbundet </w:t>
      </w:r>
      <w:r w:rsidRPr="00EE1E0C">
        <w:t>menar att samverkan mellan åklagare och polis huvudsakligen kommit till uttryck genom ökad samverkan mellan myndigheternas ledningar.</w:t>
      </w:r>
    </w:p>
    <w:p w:rsidR="00031A3F" w:rsidRPr="00EE1E0C" w:rsidRDefault="00031A3F">
      <w:pPr>
        <w:pStyle w:val="Normaltindrag"/>
      </w:pPr>
      <w:r w:rsidRPr="00EE1E0C">
        <w:rPr>
          <w:i/>
        </w:rPr>
        <w:t xml:space="preserve">Stockholms </w:t>
      </w:r>
      <w:r w:rsidRPr="00EE1E0C">
        <w:t>och</w:t>
      </w:r>
      <w:r w:rsidRPr="00EE1E0C">
        <w:rPr>
          <w:i/>
        </w:rPr>
        <w:t xml:space="preserve"> Södra Roslags tingsrätter </w:t>
      </w:r>
      <w:r w:rsidRPr="00EE1E0C">
        <w:t>menar att de möjligheter som finns för åklagarna att följa sina egna mål är tillräckliga.</w:t>
      </w:r>
      <w:r w:rsidRPr="00EE1E0C">
        <w:rPr>
          <w:i/>
        </w:rPr>
        <w:t xml:space="preserve"> Åklagarmyndigh</w:t>
      </w:r>
      <w:r w:rsidRPr="00EE1E0C">
        <w:rPr>
          <w:i/>
        </w:rPr>
        <w:t>e</w:t>
      </w:r>
      <w:r w:rsidRPr="00EE1E0C">
        <w:rPr>
          <w:i/>
        </w:rPr>
        <w:t>ten i Västerås</w:t>
      </w:r>
      <w:r w:rsidRPr="00EE1E0C">
        <w:t xml:space="preserve"> menar att vissa negativa effekter kan uppkomma om flera åklagare befattar sig med ett mål, men menar att en återgång till geografiska uppdelningar skulle minska flexibiliteten och effektiviteten. </w:t>
      </w:r>
      <w:r w:rsidRPr="00EE1E0C">
        <w:rPr>
          <w:i/>
        </w:rPr>
        <w:t>Åklagarmyndi</w:t>
      </w:r>
      <w:r w:rsidRPr="00EE1E0C">
        <w:rPr>
          <w:i/>
        </w:rPr>
        <w:t>g</w:t>
      </w:r>
      <w:r w:rsidRPr="00EE1E0C">
        <w:rPr>
          <w:i/>
        </w:rPr>
        <w:t>heterna i Malmö</w:t>
      </w:r>
      <w:r w:rsidRPr="00EE1E0C">
        <w:t xml:space="preserve"> och </w:t>
      </w:r>
      <w:r w:rsidRPr="00EE1E0C">
        <w:rPr>
          <w:i/>
        </w:rPr>
        <w:t>Göteborg</w:t>
      </w:r>
      <w:r w:rsidRPr="00EE1E0C">
        <w:t xml:space="preserve"> samt </w:t>
      </w:r>
      <w:r w:rsidRPr="00EE1E0C">
        <w:rPr>
          <w:i/>
        </w:rPr>
        <w:t>Svenska Advokatsamfundet</w:t>
      </w:r>
      <w:r w:rsidRPr="00EE1E0C">
        <w:t xml:space="preserve"> anser att det är önskvärt att åklagarna har egna mål i större utsträckning än vad som nu är fa</w:t>
      </w:r>
      <w:r w:rsidRPr="00EE1E0C">
        <w:t xml:space="preserve">llet. </w:t>
      </w:r>
      <w:r w:rsidRPr="00EE1E0C">
        <w:rPr>
          <w:i/>
        </w:rPr>
        <w:t xml:space="preserve">Åklagarmyndigheterna i Malmö </w:t>
      </w:r>
      <w:r w:rsidRPr="00EE1E0C">
        <w:t>och</w:t>
      </w:r>
      <w:r w:rsidRPr="00EE1E0C">
        <w:rPr>
          <w:i/>
        </w:rPr>
        <w:t xml:space="preserve"> Göteborg</w:t>
      </w:r>
      <w:r w:rsidRPr="00EE1E0C">
        <w:t xml:space="preserve"> menar också att sa</w:t>
      </w:r>
      <w:r w:rsidRPr="00EE1E0C">
        <w:t>m</w:t>
      </w:r>
      <w:r w:rsidRPr="00EE1E0C">
        <w:t xml:space="preserve">verkan mellan åklagare och tingsrätt är en förutsättning för att åklagarna i högre utsträckning ska kunna ha sina egna mål i tingsrätten. </w:t>
      </w:r>
      <w:r w:rsidRPr="00EE1E0C">
        <w:rPr>
          <w:i/>
        </w:rPr>
        <w:t>Södra Roslags tingsrätt, Åklagarmyndigheten i Västerås</w:t>
      </w:r>
      <w:r w:rsidRPr="00EE1E0C">
        <w:t xml:space="preserve"> och </w:t>
      </w:r>
      <w:r w:rsidRPr="00EE1E0C">
        <w:rPr>
          <w:i/>
        </w:rPr>
        <w:t>Svenska Advokatsamfundet</w:t>
      </w:r>
      <w:r w:rsidRPr="00EE1E0C">
        <w:t xml:space="preserve"> understryker att en åklagare inte alltid bör arbeta mot samma domare.</w:t>
      </w:r>
    </w:p>
    <w:p w:rsidR="00031A3F" w:rsidRPr="00EE1E0C" w:rsidRDefault="00031A3F">
      <w:pPr>
        <w:pStyle w:val="Rubrik3"/>
      </w:pPr>
      <w:bookmarkStart w:id="66" w:name="_Toc466264128"/>
      <w:r w:rsidRPr="00EE1E0C">
        <w:t>2.3.3  Revisorerna</w:t>
      </w:r>
      <w:bookmarkEnd w:id="66"/>
    </w:p>
    <w:p w:rsidR="00031A3F" w:rsidRPr="00EE1E0C" w:rsidRDefault="00031A3F">
      <w:r w:rsidRPr="00EE1E0C">
        <w:t>I granskningen har framkommit synpunkter som tyder på att det finns behov av  ökad samverkan mellan åklagarkamrarna och tingsrätterna. Det kan gälla vilka mål som ska sättas ut och hur förhandlingsdagarna ska ligga. Flertalet av de remissinstanser som kommenterat frågan anser också att ett utvidgat samarbete mellan åklagarkamrarna och tingsrätterna är önskvärt. Efter åklagarväsendets omorganisation är åklagarna placerade vid färre antal orter. Revisorerna konstaterar att avsikten när omorganisationen beslu</w:t>
      </w:r>
      <w:r w:rsidRPr="00EE1E0C">
        <w:t>tades var att också antalet tingsrätter skulle minska. Antalet orter med tingsrätt är dock i stort sett oförändrat. Detta förhållande, liksom den kritik som framkommit i granskningen och som fått stöd hos många remissinstanser, motiverar enligt revisorernas mening att formerna för samverkan mellan åklagarkamrarna och tingsrätte</w:t>
      </w:r>
      <w:r w:rsidRPr="00EE1E0C">
        <w:t>r</w:t>
      </w:r>
      <w:r w:rsidRPr="00EE1E0C">
        <w:t xml:space="preserve">na blir föremål för översyn. </w:t>
      </w:r>
    </w:p>
    <w:p w:rsidR="00031A3F" w:rsidRPr="00EE1E0C" w:rsidRDefault="00031A3F">
      <w:pPr>
        <w:pStyle w:val="Normaltindrag"/>
      </w:pPr>
      <w:r w:rsidRPr="00EE1E0C">
        <w:t>Flera av de åklagare som intervjuats under granskningen har riktat kritik mot det nya arbetssätt som följer med centraliserad verksamhet. Kritik fra</w:t>
      </w:r>
      <w:r w:rsidRPr="00EE1E0C">
        <w:t>m</w:t>
      </w:r>
      <w:r w:rsidRPr="00EE1E0C">
        <w:t>förs mot många resor och mot svårigheten att med den nya organisationen följa målen till tingsrätten. Revisorerna konstaterar att remissinstanserna har olika syn på hur åklagarkamrarna bör fördela sina mål mellan åklagarna. Det finns också olika uppfattningar om hur man ska fördela tingsrätterna mellan de olika åklagarna vid de kamrar som arbetar mot mer än en tingsrätt. Rev</w:t>
      </w:r>
      <w:r w:rsidRPr="00EE1E0C">
        <w:t>i</w:t>
      </w:r>
      <w:r w:rsidRPr="00EE1E0C">
        <w:t>sorerna menar dock att den kritik som har riktats mot åklagarnas arbetsfo</w:t>
      </w:r>
      <w:r w:rsidRPr="00EE1E0C">
        <w:t>r</w:t>
      </w:r>
      <w:r w:rsidRPr="00EE1E0C">
        <w:t>mer är allvarlig. Kritiken stöds också av vissa remissinsta</w:t>
      </w:r>
      <w:r w:rsidRPr="00EE1E0C">
        <w:t>nser. En översyn av åklagarnas arbetsformer är enligt revisorernas uppfattning därför motiv</w:t>
      </w:r>
      <w:r w:rsidRPr="00EE1E0C">
        <w:t>e</w:t>
      </w:r>
      <w:r w:rsidRPr="00EE1E0C">
        <w:t>rad.</w:t>
      </w:r>
    </w:p>
    <w:p w:rsidR="00031A3F" w:rsidRPr="00EE1E0C" w:rsidRDefault="00031A3F">
      <w:pPr>
        <w:pStyle w:val="Normaltindrag"/>
      </w:pPr>
      <w:r w:rsidRPr="00EE1E0C">
        <w:t>Revisorerna menar att frågan om åklagarnas arbetsformer hänger samman med frågan om samverkan mellan åklagarkamrar och tingsrätter. Om åkl</w:t>
      </w:r>
      <w:r w:rsidRPr="00EE1E0C">
        <w:t>a</w:t>
      </w:r>
      <w:r w:rsidRPr="00EE1E0C">
        <w:t>garnas arbetsformer ska kunna förändras kan det i många fall vara nödvä</w:t>
      </w:r>
      <w:r w:rsidRPr="00EE1E0C">
        <w:t>n</w:t>
      </w:r>
      <w:r w:rsidRPr="00EE1E0C">
        <w:t>digt att även tingsrätternas sätt att planera sitt arbete ändras. Översynen av samverkan mellan åklagarkamrar och tingsrätter bör därför också innefatta åklagarnas arbet</w:t>
      </w:r>
      <w:r w:rsidRPr="00EE1E0C">
        <w:t>s</w:t>
      </w:r>
      <w:r w:rsidRPr="00EE1E0C">
        <w:t xml:space="preserve">former. </w:t>
      </w:r>
    </w:p>
    <w:p w:rsidR="00031A3F" w:rsidRPr="00EE1E0C" w:rsidRDefault="00031A3F">
      <w:r w:rsidRPr="00EE1E0C">
        <w:t>Revisorerna föreslår</w:t>
      </w:r>
    </w:p>
    <w:p w:rsidR="00031A3F" w:rsidRPr="00EE1E0C" w:rsidRDefault="00031A3F">
      <w:pPr>
        <w:numPr>
          <w:ilvl w:val="0"/>
          <w:numId w:val="6"/>
        </w:numPr>
      </w:pPr>
      <w:r w:rsidRPr="00EE1E0C">
        <w:t xml:space="preserve">att en utredning tillsätts för att se över åklagarnas arbetsformer och åklagarkamrarnas samverkan med tingsrätterna. </w:t>
      </w:r>
    </w:p>
    <w:p w:rsidR="00031A3F" w:rsidRPr="00EE1E0C" w:rsidRDefault="00031A3F">
      <w:pPr>
        <w:pStyle w:val="Rubrik2"/>
      </w:pPr>
      <w:bookmarkStart w:id="67" w:name="_Toc466264129"/>
      <w:r w:rsidRPr="00EE1E0C">
        <w:t>2.4  Rättsväsendets ekonomi</w:t>
      </w:r>
      <w:bookmarkEnd w:id="67"/>
    </w:p>
    <w:p w:rsidR="00031A3F" w:rsidRPr="00EE1E0C" w:rsidRDefault="00031A3F">
      <w:pPr>
        <w:pStyle w:val="Rubrik3"/>
      </w:pPr>
      <w:bookmarkStart w:id="68" w:name="_Toc465973517"/>
      <w:bookmarkStart w:id="69" w:name="_Toc466264130"/>
      <w:r w:rsidRPr="00EE1E0C">
        <w:t>Rapporten</w:t>
      </w:r>
      <w:bookmarkEnd w:id="68"/>
      <w:bookmarkEnd w:id="69"/>
    </w:p>
    <w:p w:rsidR="00031A3F" w:rsidRPr="00EE1E0C" w:rsidRDefault="00031A3F">
      <w:r w:rsidRPr="00EE1E0C">
        <w:t>Varken polisens eller åklagarnas medelsförbrukning har minskat på något bestående sätt under 1990-talet. För polisens del beror det på att polisen under tider av besparingar har använt tidigare års anslagssparande och u</w:t>
      </w:r>
      <w:r w:rsidRPr="00EE1E0C">
        <w:t>t</w:t>
      </w:r>
      <w:r w:rsidRPr="00EE1E0C">
        <w:t>nyttjat anslagskrediten. Även åklagarna har utnyttjat tidigare anslagssparande och sin anslagskredit. Åklagarorganisationen har också fått särskilt tillskjutna medel som motsvarade besparingskraven. Besparingar och tillskjutna medel har därför tagit ut varandra.</w:t>
      </w:r>
    </w:p>
    <w:p w:rsidR="00031A3F" w:rsidRPr="00EE1E0C" w:rsidRDefault="00031A3F">
      <w:pPr>
        <w:pStyle w:val="Normaltindrag"/>
      </w:pPr>
      <w:r w:rsidRPr="00EE1E0C">
        <w:t>Varken polisen eller Regeringskansliet har kunnat redovisa någon tillfö</w:t>
      </w:r>
      <w:r w:rsidRPr="00EE1E0C">
        <w:t>r</w:t>
      </w:r>
      <w:r w:rsidRPr="00EE1E0C">
        <w:t>litlig sammanställning av polisens kostnader uppdelade på utgifter för inve</w:t>
      </w:r>
      <w:r w:rsidRPr="00EE1E0C">
        <w:softHyphen/>
        <w:t>steringar och lokaler före budgetåret 1993/94. Revisorerna anser att reg</w:t>
      </w:r>
      <w:r w:rsidRPr="00EE1E0C">
        <w:t>e</w:t>
      </w:r>
      <w:r w:rsidRPr="00EE1E0C">
        <w:t>ringen bör presentera längre tidsserier i budgetpropositionen för att därig</w:t>
      </w:r>
      <w:r w:rsidRPr="00EE1E0C">
        <w:t>e</w:t>
      </w:r>
      <w:r w:rsidRPr="00EE1E0C">
        <w:t>nom förbättra riksdagens möjligheter att följa kostnadsutvecklingen inom rättsv</w:t>
      </w:r>
      <w:r w:rsidRPr="00EE1E0C">
        <w:t>ä</w:t>
      </w:r>
      <w:r w:rsidRPr="00EE1E0C">
        <w:t xml:space="preserve">sendet. </w:t>
      </w:r>
    </w:p>
    <w:p w:rsidR="00031A3F" w:rsidRPr="00EE1E0C" w:rsidRDefault="00031A3F">
      <w:pPr>
        <w:pStyle w:val="Rubrik3"/>
      </w:pPr>
      <w:bookmarkStart w:id="70" w:name="_Toc465973518"/>
      <w:bookmarkStart w:id="71" w:name="_Toc466264131"/>
      <w:r w:rsidRPr="00EE1E0C">
        <w:t>Remissinstanserna</w:t>
      </w:r>
      <w:bookmarkEnd w:id="70"/>
      <w:bookmarkEnd w:id="71"/>
    </w:p>
    <w:p w:rsidR="00031A3F" w:rsidRPr="00EE1E0C" w:rsidRDefault="00031A3F">
      <w:r w:rsidRPr="00EE1E0C">
        <w:rPr>
          <w:i/>
        </w:rPr>
        <w:t>Justitiedepartementet</w:t>
      </w:r>
      <w:r w:rsidRPr="00EE1E0C">
        <w:t xml:space="preserve"> delar revisorernas uppfattning att möjligheterna att i budgetpropositionen följa rättsväsendets ekonomiska utveckling kan förbät</w:t>
      </w:r>
      <w:r w:rsidRPr="00EE1E0C">
        <w:t>t</w:t>
      </w:r>
      <w:r w:rsidRPr="00EE1E0C">
        <w:t>ras. Departementet påpekar dock att beräkningar av anslagsbelopp har fö</w:t>
      </w:r>
      <w:r w:rsidRPr="00EE1E0C">
        <w:t>r</w:t>
      </w:r>
      <w:r w:rsidRPr="00EE1E0C">
        <w:t xml:space="preserve">ändrats i flera fall. Justitiedepartementet menar att förändringarna  gör att en jämförelse längre tillbaka i tiden än 1996 är förenad med tolkningsproblem. </w:t>
      </w:r>
      <w:r w:rsidRPr="00EE1E0C">
        <w:rPr>
          <w:i/>
        </w:rPr>
        <w:t>Domstolsverket</w:t>
      </w:r>
      <w:r w:rsidRPr="00EE1E0C">
        <w:t xml:space="preserve"> menar att det för en rättvisande bild av kostnadsutvecklingen krävs en omfattande analys av olika förändringar som inträffat under den val</w:t>
      </w:r>
      <w:r w:rsidRPr="00EE1E0C">
        <w:t>da perioden. Verket anser att värdet av redovisningen måste vägas mot det arbete som det innebär att ta fram den.</w:t>
      </w:r>
      <w:r w:rsidRPr="00EE1E0C">
        <w:rPr>
          <w:i/>
        </w:rPr>
        <w:t xml:space="preserve"> Brottsförebyggande rådet</w:t>
      </w:r>
      <w:r w:rsidRPr="00EE1E0C">
        <w:t xml:space="preserve"> instämmer i uppfattningen att statsmakternas beslutsunderlag måste förbättras.   </w:t>
      </w:r>
    </w:p>
    <w:p w:rsidR="00031A3F" w:rsidRPr="00EE1E0C" w:rsidRDefault="00031A3F">
      <w:pPr>
        <w:pStyle w:val="Rubrik3"/>
      </w:pPr>
      <w:bookmarkStart w:id="72" w:name="_Toc465973519"/>
      <w:bookmarkStart w:id="73" w:name="_Toc466264132"/>
      <w:r w:rsidRPr="00EE1E0C">
        <w:t>Revisorerna</w:t>
      </w:r>
      <w:bookmarkEnd w:id="72"/>
      <w:bookmarkEnd w:id="73"/>
    </w:p>
    <w:p w:rsidR="00031A3F" w:rsidRPr="00EE1E0C" w:rsidRDefault="00031A3F">
      <w:r w:rsidRPr="00EE1E0C">
        <w:t>Av remissinstanserna får revisorerna i princip stöd för sitt krav på bättre möjligheter för riksdagen att följa kostnadsutvecklingen inom rättsväsendet. Det är enligt revisorernas mening viktigt att riksdagen förses med ett rättv</w:t>
      </w:r>
      <w:r w:rsidRPr="00EE1E0C">
        <w:t>i</w:t>
      </w:r>
      <w:r w:rsidRPr="00EE1E0C">
        <w:t>sande beslutsunderlag. Den information om den ekonomiska utvecklingen som lämnas i budgetpropositionen är enligt revisorernas uppfattning inte tillräcklig. Två remissinstanser anger att det är svårt att ge en rättvisande bild av utvecklingen. De menar att beräkningarna av anslagsbelopp har förän</w:t>
      </w:r>
      <w:r w:rsidRPr="00EE1E0C">
        <w:t>d</w:t>
      </w:r>
      <w:r w:rsidRPr="00EE1E0C">
        <w:t>rats,  vilket gör att jämförelser som ligger längre tillbaka i tiden är förenade med tolkning</w:t>
      </w:r>
      <w:r w:rsidRPr="00EE1E0C">
        <w:t>s</w:t>
      </w:r>
      <w:r w:rsidRPr="00EE1E0C">
        <w:t xml:space="preserve">problem. </w:t>
      </w:r>
    </w:p>
    <w:p w:rsidR="00031A3F" w:rsidRPr="00EE1E0C" w:rsidRDefault="00031A3F">
      <w:pPr>
        <w:pStyle w:val="Normaltindrag"/>
      </w:pPr>
      <w:r w:rsidRPr="00EE1E0C">
        <w:t>I revisorernas rapport finns en redovisning av förbrukningen för polisen, åklagarna och rättsväsendet som helh</w:t>
      </w:r>
      <w:r w:rsidRPr="00EE1E0C">
        <w:t>et under 1990-talet. Revisorerna anser att en redovisning av kostnadsutvecklingen under de senaste tio åren för rättsväsendets olika delar bör lämnas i regeringens budgetpropos</w:t>
      </w:r>
      <w:r w:rsidRPr="00EE1E0C">
        <w:t>i</w:t>
      </w:r>
      <w:r w:rsidRPr="00EE1E0C">
        <w:t>tioner.</w:t>
      </w:r>
    </w:p>
    <w:p w:rsidR="00031A3F" w:rsidRPr="00EE1E0C" w:rsidRDefault="00031A3F">
      <w:r w:rsidRPr="00EE1E0C">
        <w:t>Riksdagens revisorer föreslår</w:t>
      </w:r>
    </w:p>
    <w:p w:rsidR="00031A3F" w:rsidRPr="00EE1E0C" w:rsidRDefault="00031A3F">
      <w:pPr>
        <w:numPr>
          <w:ilvl w:val="0"/>
          <w:numId w:val="7"/>
        </w:numPr>
      </w:pPr>
      <w:r w:rsidRPr="00EE1E0C">
        <w:t>att regeringen i samband med budgetpropositionen redovisar kostnad</w:t>
      </w:r>
      <w:r w:rsidRPr="00EE1E0C">
        <w:t>s</w:t>
      </w:r>
      <w:r w:rsidRPr="00EE1E0C">
        <w:t>utvecklingen inom rättsväsendets olika delar under de senaste tio åren.</w:t>
      </w:r>
    </w:p>
    <w:p w:rsidR="00031A3F" w:rsidRPr="00EE1E0C" w:rsidRDefault="00031A3F">
      <w:pPr>
        <w:pStyle w:val="Rubrik2"/>
      </w:pPr>
      <w:bookmarkStart w:id="74" w:name="_Toc466264133"/>
      <w:r w:rsidRPr="00EE1E0C">
        <w:t>2.5 Bedömningar av effekter av organisationsförändringar</w:t>
      </w:r>
      <w:bookmarkEnd w:id="74"/>
    </w:p>
    <w:p w:rsidR="00031A3F" w:rsidRPr="00EE1E0C" w:rsidRDefault="00031A3F">
      <w:pPr>
        <w:pStyle w:val="Rubrik3"/>
      </w:pPr>
      <w:bookmarkStart w:id="75" w:name="_Toc465973521"/>
      <w:bookmarkStart w:id="76" w:name="_Toc466264134"/>
      <w:r w:rsidRPr="00EE1E0C">
        <w:t>Rapporten</w:t>
      </w:r>
      <w:bookmarkEnd w:id="75"/>
      <w:bookmarkEnd w:id="76"/>
    </w:p>
    <w:p w:rsidR="00031A3F" w:rsidRPr="00EE1E0C" w:rsidRDefault="00031A3F">
      <w:r w:rsidRPr="00EE1E0C">
        <w:t>Riksdagens revisorers granskning av nedläggningen av häktet i Östersund (1997/98:7) är en uppföljning av ett tidigare förslag till riksdagen (förs. 1996/97:RR7). I den tidigare granskningen konstaterade revisorerna att det underlag som låg till grund för regeringens beslut att lägga ned häktet i Ö</w:t>
      </w:r>
      <w:r w:rsidRPr="00EE1E0C">
        <w:t>s</w:t>
      </w:r>
      <w:r w:rsidRPr="00EE1E0C">
        <w:t>tersund var ofullständigt och missvisande då det inte täckte de samhällsek</w:t>
      </w:r>
      <w:r w:rsidRPr="00EE1E0C">
        <w:t>o</w:t>
      </w:r>
      <w:r w:rsidRPr="00EE1E0C">
        <w:t>nomiska konsekvenserna. Vidare framkom i granskningen att det var osäkert om nedläggningen av häktet i Östersund skulle vara samhällsekonomiskt lönsam.</w:t>
      </w:r>
    </w:p>
    <w:p w:rsidR="00031A3F" w:rsidRPr="00EE1E0C" w:rsidRDefault="00031A3F">
      <w:pPr>
        <w:pStyle w:val="Normaltindrag"/>
      </w:pPr>
      <w:r w:rsidRPr="00EE1E0C">
        <w:t>Sedan häktet i Östersund lagts ned förvaras de häktade främst vid häktet i Härnösand. Polisen i Östersund reser till häktet för att hålla förhör i samband med utredningar. Häktet i Härnösand transporterar den häktade till tingsrä</w:t>
      </w:r>
      <w:r w:rsidRPr="00EE1E0C">
        <w:t>t</w:t>
      </w:r>
      <w:r w:rsidRPr="00EE1E0C">
        <w:t>ten i Östersund för förhandlingar. Härnösand ligger ca 25 mil från Östersund.</w:t>
      </w:r>
    </w:p>
    <w:p w:rsidR="00031A3F" w:rsidRPr="00EE1E0C" w:rsidRDefault="00031A3F">
      <w:pPr>
        <w:pStyle w:val="Normaltindrag"/>
      </w:pPr>
      <w:r w:rsidRPr="00EE1E0C">
        <w:t>Revisorernas uppföljning visar att nedläggningen av häktet innebar en vinst för kriminalvården. Till stor del beror det på att man hade överkapacitet och höga kostnader vid häktet i Östersund samt att överkapacitet förelåg även i Härnösand. Sammantaget överensstämmer den samhällsekonomiska beräkningen förhållandevis väl med revisorernas tidigare beräkning. Jämfört med de tidigare beräkningarna har dock kostnaderna för resor blivi</w:t>
      </w:r>
      <w:r w:rsidRPr="00EE1E0C">
        <w:t>t betydligt lägre. Däremot har flera personer blivit arbetslösa eller pensionerade än vad revisorerna tidigare hade räknat med.</w:t>
      </w:r>
    </w:p>
    <w:p w:rsidR="00031A3F" w:rsidRPr="00EE1E0C" w:rsidRDefault="00031A3F">
      <w:pPr>
        <w:pStyle w:val="Normaltindrag"/>
      </w:pPr>
      <w:r w:rsidRPr="00EE1E0C">
        <w:t>Åsikterna om hur nedläggningen av häktet i Östersund påverkat verksa</w:t>
      </w:r>
      <w:r w:rsidRPr="00EE1E0C">
        <w:t>m</w:t>
      </w:r>
      <w:r w:rsidRPr="00EE1E0C">
        <w:t>heten skiljer sig åt mellan representanter för rättsväsendet i Östersund och representanter för rättsväsendet i Härnösand. Representanter för rättsväse</w:t>
      </w:r>
      <w:r w:rsidRPr="00EE1E0C">
        <w:t>n</w:t>
      </w:r>
      <w:r w:rsidRPr="00EE1E0C">
        <w:t>dets myndigheter i Östersund anser att nedläggningen av häktet har inneburit betydande försämringar för verksamheten. Man menar bl.a. att utredningarna och säkerheten blivit sämre. Vid häktet och transporttjänsten i Härnösand anser man inte att häktade från Östersundsområdet behandlas annorlunda än andra häktade. Den enda skillnaden är, enligt tjänstemän vi</w:t>
      </w:r>
      <w:r w:rsidRPr="00EE1E0C">
        <w:t>d häktet, att hä</w:t>
      </w:r>
      <w:r w:rsidRPr="00EE1E0C">
        <w:t>k</w:t>
      </w:r>
      <w:r w:rsidRPr="00EE1E0C">
        <w:t>tade från Östersundsområdet får färre besök av anhöriga.</w:t>
      </w:r>
    </w:p>
    <w:p w:rsidR="00031A3F" w:rsidRPr="00EE1E0C" w:rsidRDefault="00031A3F">
      <w:pPr>
        <w:pStyle w:val="Normaltindrag"/>
      </w:pPr>
      <w:r w:rsidRPr="00EE1E0C">
        <w:t>För polisen har nedläggningen lett till ökade kostnader för hyror, arrestb</w:t>
      </w:r>
      <w:r w:rsidRPr="00EE1E0C">
        <w:t>e</w:t>
      </w:r>
      <w:r w:rsidRPr="00EE1E0C">
        <w:t xml:space="preserve">vakning och resor, vilket har givit mindre utrymme för operativt polisarbete. Förhållandet att färre häktas har inneburit en besparing för kriminalvården till följd av häktesnedläggningen. Häktade från Östersundsområdet får inte lika ofta besök av sina anhöriga som övriga häktade. De har även sämre möjligheter att träffa sin advokat. Det finns risk för att utredningskvaliteten har försämrats efter nedläggningen. Detta innebär enligt revisorerna att vinsten för staten och samhället i övrigt kan diskuteras. </w:t>
      </w:r>
      <w:r w:rsidRPr="00EE1E0C">
        <w:t xml:space="preserve">Revisorerna anser att effekterna för utredningskvaliteten förtjänar fortsatt uppmärksamhet.  </w:t>
      </w:r>
    </w:p>
    <w:p w:rsidR="00031A3F" w:rsidRPr="00EE1E0C" w:rsidRDefault="00031A3F">
      <w:pPr>
        <w:pStyle w:val="Rubrik3"/>
      </w:pPr>
      <w:bookmarkStart w:id="77" w:name="_Toc465973522"/>
      <w:bookmarkStart w:id="78" w:name="_Toc466264135"/>
      <w:r w:rsidRPr="00EE1E0C">
        <w:t>Remissinstanserna</w:t>
      </w:r>
      <w:bookmarkEnd w:id="77"/>
      <w:bookmarkEnd w:id="78"/>
    </w:p>
    <w:p w:rsidR="00031A3F" w:rsidRPr="00EE1E0C" w:rsidRDefault="00031A3F">
      <w:r w:rsidRPr="00EE1E0C">
        <w:rPr>
          <w:i/>
        </w:rPr>
        <w:t>Rikspolisstyrelsen</w:t>
      </w:r>
      <w:r w:rsidRPr="00EE1E0C">
        <w:t xml:space="preserve"> instämmer i allt väsentligt i revisorernas slutsatser. </w:t>
      </w:r>
      <w:r w:rsidRPr="00EE1E0C">
        <w:rPr>
          <w:i/>
        </w:rPr>
        <w:t>Åkl</w:t>
      </w:r>
      <w:r w:rsidRPr="00EE1E0C">
        <w:rPr>
          <w:i/>
        </w:rPr>
        <w:t>a</w:t>
      </w:r>
      <w:r w:rsidRPr="00EE1E0C">
        <w:rPr>
          <w:i/>
        </w:rPr>
        <w:t>garkammaren i Östersund</w:t>
      </w:r>
      <w:r w:rsidRPr="00EE1E0C">
        <w:t xml:space="preserve"> och </w:t>
      </w:r>
      <w:r w:rsidRPr="00EE1E0C">
        <w:rPr>
          <w:i/>
        </w:rPr>
        <w:t xml:space="preserve">Polismyndigheten i Jämtland </w:t>
      </w:r>
      <w:r w:rsidRPr="00EE1E0C">
        <w:t>anser att ra</w:t>
      </w:r>
      <w:r w:rsidRPr="00EE1E0C">
        <w:t>p</w:t>
      </w:r>
      <w:r w:rsidRPr="00EE1E0C">
        <w:t xml:space="preserve">porten i stort ger en riktig bild av nedläggningens effekter. </w:t>
      </w:r>
      <w:r w:rsidRPr="00EE1E0C">
        <w:rPr>
          <w:i/>
        </w:rPr>
        <w:t>Åklagarmyndi</w:t>
      </w:r>
      <w:r w:rsidRPr="00EE1E0C">
        <w:rPr>
          <w:i/>
        </w:rPr>
        <w:t>g</w:t>
      </w:r>
      <w:r w:rsidRPr="00EE1E0C">
        <w:rPr>
          <w:i/>
        </w:rPr>
        <w:t xml:space="preserve">heten i Sundsvall </w:t>
      </w:r>
      <w:r w:rsidRPr="00EE1E0C">
        <w:t>menar att det är svårt att bedöma det som framförs i ra</w:t>
      </w:r>
      <w:r w:rsidRPr="00EE1E0C">
        <w:t>p</w:t>
      </w:r>
      <w:r w:rsidRPr="00EE1E0C">
        <w:t xml:space="preserve">porten vad beträffar utredningsarbetet och åklagararbetet. </w:t>
      </w:r>
    </w:p>
    <w:p w:rsidR="00031A3F" w:rsidRPr="00EE1E0C" w:rsidRDefault="00031A3F">
      <w:pPr>
        <w:pStyle w:val="Normaltindrag"/>
      </w:pPr>
      <w:r w:rsidRPr="00EE1E0C">
        <w:rPr>
          <w:i/>
        </w:rPr>
        <w:t>Rikspolisstyrelsen</w:t>
      </w:r>
      <w:r w:rsidRPr="00EE1E0C">
        <w:t xml:space="preserve"> anser att man inom polisen borde ha kunnat påvisa de totala ekonomiska konsekvenserna för polisen på ett tydligare sätt och på så sätt givit statsmakterna ett tillfredsställande beslutsunderlag. Man menar att kompetensen inom polisen att utföra ekonomiska kalkyler bör höjas. Vidare anges att revisorernas rapport är av stort intresse som metodologisk förebild. Därför kommer rapporten att spridas till samtliga myndigheter i polisväse</w:t>
      </w:r>
      <w:r w:rsidRPr="00EE1E0C">
        <w:t>n</w:t>
      </w:r>
      <w:r w:rsidRPr="00EE1E0C">
        <w:t xml:space="preserve">det. </w:t>
      </w:r>
      <w:r w:rsidRPr="00EE1E0C">
        <w:rPr>
          <w:i/>
        </w:rPr>
        <w:t>Kriminalvårdsstyrelsen</w:t>
      </w:r>
      <w:r w:rsidRPr="00EE1E0C">
        <w:t xml:space="preserve"> anser att den tveksamhet som revisorerna givit </w:t>
      </w:r>
      <w:r w:rsidRPr="00EE1E0C">
        <w:t xml:space="preserve">uttryck för i sin tidigare rapport undanröjts då rapporten redovisar ett positivt ekonomiskt utfall för staten som helhet. </w:t>
      </w:r>
      <w:r w:rsidRPr="00EE1E0C">
        <w:rPr>
          <w:i/>
        </w:rPr>
        <w:t xml:space="preserve">Länsstyrelsen i Jämtlands län </w:t>
      </w:r>
      <w:r w:rsidRPr="00EE1E0C">
        <w:t>anser att det är oacceptabelt att nedskärningar inom polisen leder till bättre ekon</w:t>
      </w:r>
      <w:r w:rsidRPr="00EE1E0C">
        <w:t>o</w:t>
      </w:r>
      <w:r w:rsidRPr="00EE1E0C">
        <w:t>mi för kriminalvården.</w:t>
      </w:r>
    </w:p>
    <w:p w:rsidR="00031A3F" w:rsidRPr="00EE1E0C" w:rsidRDefault="00031A3F">
      <w:pPr>
        <w:pStyle w:val="Normaltindrag"/>
      </w:pPr>
      <w:r w:rsidRPr="00EE1E0C">
        <w:t xml:space="preserve">Enligt </w:t>
      </w:r>
      <w:r w:rsidRPr="00EE1E0C">
        <w:rPr>
          <w:i/>
        </w:rPr>
        <w:t xml:space="preserve">Riksåklagaren </w:t>
      </w:r>
      <w:r w:rsidRPr="00EE1E0C">
        <w:t xml:space="preserve">är det en fördel om häkten  finns på de orter där åklagarverksamhet bedrivs. </w:t>
      </w:r>
      <w:r w:rsidRPr="00EE1E0C">
        <w:rPr>
          <w:i/>
        </w:rPr>
        <w:t xml:space="preserve">Kriminalvårdens regionkansli i Härnösand </w:t>
      </w:r>
      <w:r w:rsidRPr="00EE1E0C">
        <w:t>anger dock att häktesverksamheten i regionen har anpassats till de nya förhålland</w:t>
      </w:r>
      <w:r w:rsidRPr="00EE1E0C">
        <w:t>e</w:t>
      </w:r>
      <w:r w:rsidRPr="00EE1E0C">
        <w:t xml:space="preserve">na efter det att häktet lagts ned. </w:t>
      </w:r>
    </w:p>
    <w:p w:rsidR="00031A3F" w:rsidRPr="00EE1E0C" w:rsidRDefault="00031A3F">
      <w:pPr>
        <w:pStyle w:val="Normaltindrag"/>
      </w:pPr>
      <w:r w:rsidRPr="00EE1E0C">
        <w:rPr>
          <w:i/>
        </w:rPr>
        <w:t xml:space="preserve">Åklagarmyndigheten i Sundsvall </w:t>
      </w:r>
      <w:r w:rsidRPr="00EE1E0C">
        <w:t>håller med revisorerna om att utredning</w:t>
      </w:r>
      <w:r w:rsidRPr="00EE1E0C">
        <w:t>s</w:t>
      </w:r>
      <w:r w:rsidRPr="00EE1E0C">
        <w:t xml:space="preserve">kvaliteten förtjänar fortsatt uppmärksamhet. </w:t>
      </w:r>
      <w:r w:rsidRPr="00EE1E0C">
        <w:rPr>
          <w:i/>
        </w:rPr>
        <w:t xml:space="preserve">Länsstyrelsen i Jämtlands län </w:t>
      </w:r>
      <w:r w:rsidRPr="00EE1E0C">
        <w:t>anser att nedläggningen av häktet i Östersund medför en så väsentlig försä</w:t>
      </w:r>
      <w:r w:rsidRPr="00EE1E0C">
        <w:t>m</w:t>
      </w:r>
      <w:r w:rsidRPr="00EE1E0C">
        <w:t xml:space="preserve">ring av rättssäkerheten att beslutet måste omprövas. </w:t>
      </w:r>
      <w:r w:rsidRPr="00EE1E0C">
        <w:rPr>
          <w:i/>
        </w:rPr>
        <w:t>Norra avdelningen av Sveriges Advokatsamfund</w:t>
      </w:r>
      <w:r w:rsidRPr="00EE1E0C">
        <w:t xml:space="preserve"> anser att nedläggningen av häktet vid en samlad bedömning medför en oacceptabel försämring av rättsverksamheten i Jäm</w:t>
      </w:r>
      <w:r w:rsidRPr="00EE1E0C">
        <w:t>t</w:t>
      </w:r>
      <w:r w:rsidRPr="00EE1E0C">
        <w:t>lands län. Man menar att de påtalade försämringarna av utredningskvaliteten och försvararnas försämrade mö</w:t>
      </w:r>
      <w:r w:rsidRPr="00EE1E0C">
        <w:t>jligheter att träffa sina klienter är särskilt allvarliga.</w:t>
      </w:r>
    </w:p>
    <w:p w:rsidR="00031A3F" w:rsidRPr="00EE1E0C" w:rsidRDefault="00031A3F">
      <w:pPr>
        <w:pStyle w:val="Rubrik3"/>
      </w:pPr>
      <w:bookmarkStart w:id="79" w:name="_Toc465973523"/>
      <w:bookmarkStart w:id="80" w:name="_Toc466264136"/>
      <w:r w:rsidRPr="00EE1E0C">
        <w:t>Revisorerna</w:t>
      </w:r>
      <w:bookmarkEnd w:id="79"/>
      <w:bookmarkEnd w:id="80"/>
    </w:p>
    <w:p w:rsidR="00031A3F" w:rsidRPr="00EE1E0C" w:rsidRDefault="00031A3F">
      <w:r w:rsidRPr="00EE1E0C">
        <w:t>Som framgår av remissvaren finns olika uppfattningar om revisorernas slu</w:t>
      </w:r>
      <w:r w:rsidRPr="00EE1E0C">
        <w:t>t</w:t>
      </w:r>
      <w:r w:rsidRPr="00EE1E0C">
        <w:t>satser i rapporten. Dock är det tydligt att en uppföljning av det slag som den revis</w:t>
      </w:r>
      <w:r w:rsidRPr="00EE1E0C">
        <w:t>o</w:t>
      </w:r>
      <w:r w:rsidRPr="00EE1E0C">
        <w:t xml:space="preserve">rerna genomfört  är intressant för berörda parter. </w:t>
      </w:r>
    </w:p>
    <w:p w:rsidR="00031A3F" w:rsidRPr="00EE1E0C" w:rsidRDefault="00031A3F">
      <w:pPr>
        <w:pStyle w:val="Normaltindrag"/>
      </w:pPr>
      <w:r w:rsidRPr="00EE1E0C">
        <w:t>I revisorernas tidigare förslag till riksdagen (förs. 1996/97:RR7) om ek</w:t>
      </w:r>
      <w:r w:rsidRPr="00EE1E0C">
        <w:t>o</w:t>
      </w:r>
      <w:r w:rsidRPr="00EE1E0C">
        <w:t>nomiska konsekvensanalyser påpekar revisorerna att förekomsten av ekon</w:t>
      </w:r>
      <w:r w:rsidRPr="00EE1E0C">
        <w:t>o</w:t>
      </w:r>
      <w:r w:rsidRPr="00EE1E0C">
        <w:t>miska konsekvensanalyser underlättar uppföljning och utvärdering och mö</w:t>
      </w:r>
      <w:r w:rsidRPr="00EE1E0C">
        <w:t>j</w:t>
      </w:r>
      <w:r w:rsidRPr="00EE1E0C">
        <w:t xml:space="preserve">liggör ökad insyn i det offentliga beslutsfattandet. Revisorerna menar att regeringen måste ställa krav på underlag av god kvalitet inför beslut om att förändra eller ompröva statligt finansierad verksamhet. Revisorerna anser att kravet på ett beslutsunderlags innehåll och omfattning måste ställas i relation till de effekter ett beslut kan förväntas få. Det innebär </w:t>
      </w:r>
      <w:r w:rsidRPr="00EE1E0C">
        <w:t>att den som fattar beslut från fall till fall måste pröva om ekonomiska konsekvensanalyser skall ligga till grund för ett beslut. Revisorerna föreslår att regeringen för riksd</w:t>
      </w:r>
      <w:r w:rsidRPr="00EE1E0C">
        <w:t>a</w:t>
      </w:r>
      <w:r w:rsidRPr="00EE1E0C">
        <w:t>gen redovisar för vilken typ av beslut regeringen har för avsikt att fortsät</w:t>
      </w:r>
      <w:r w:rsidRPr="00EE1E0C">
        <w:t>t</w:t>
      </w:r>
      <w:r w:rsidRPr="00EE1E0C">
        <w:t xml:space="preserve">ningsvis utarbeta ekonomiska konsekvensanalyser. </w:t>
      </w:r>
    </w:p>
    <w:p w:rsidR="00031A3F" w:rsidRPr="00EE1E0C" w:rsidRDefault="00031A3F">
      <w:pPr>
        <w:pStyle w:val="Normaltindrag"/>
      </w:pPr>
      <w:r w:rsidRPr="00EE1E0C">
        <w:t>Man anger vidare att i de fall regeringen ställer krav på förkalkyler bör man även ange krav på efterkalkyler. Revisorerna föreslår att regeringen i myndigh</w:t>
      </w:r>
      <w:r w:rsidRPr="00EE1E0C">
        <w:t>e</w:t>
      </w:r>
      <w:r w:rsidRPr="00EE1E0C">
        <w:t xml:space="preserve">ternas regleringsbrev preciserar sina krav på efterkalkyler. </w:t>
      </w:r>
    </w:p>
    <w:p w:rsidR="00031A3F" w:rsidRPr="00EE1E0C" w:rsidRDefault="00031A3F">
      <w:pPr>
        <w:pStyle w:val="Normaltindrag"/>
      </w:pPr>
      <w:r w:rsidRPr="00EE1E0C">
        <w:t>Utskottet anser i sitt betänkande (bet. 1996/97:JuU14) att det inte är m</w:t>
      </w:r>
      <w:r w:rsidRPr="00EE1E0C">
        <w:t>e</w:t>
      </w:r>
      <w:r w:rsidRPr="00EE1E0C">
        <w:t>ningsfullt att ställa generella krav på ekonomiska konsekvensanalyser. U</w:t>
      </w:r>
      <w:r w:rsidRPr="00EE1E0C">
        <w:t>t</w:t>
      </w:r>
      <w:r w:rsidRPr="00EE1E0C">
        <w:t>skottet påpekar dock att värdefull erfarenhet kan tas till vara genom efterka</w:t>
      </w:r>
      <w:r w:rsidRPr="00EE1E0C">
        <w:t>l</w:t>
      </w:r>
      <w:r w:rsidRPr="00EE1E0C">
        <w:t>kyler, vilket även kan minska kostnaderna för kalkyler i framtiden. Efterka</w:t>
      </w:r>
      <w:r w:rsidRPr="00EE1E0C">
        <w:t>l</w:t>
      </w:r>
      <w:r w:rsidRPr="00EE1E0C">
        <w:t>kyler kan ge erfarenheter som bidrar till att förbättra framtida kalkyler. Även riksdagens möjligheter att följa upp och utvärdera de beslut som fattats av regeringen underlä</w:t>
      </w:r>
      <w:r w:rsidRPr="00EE1E0C">
        <w:t>t</w:t>
      </w:r>
      <w:r w:rsidRPr="00EE1E0C">
        <w:t>tas om efterkalkyler utarbetas.</w:t>
      </w:r>
    </w:p>
    <w:p w:rsidR="00031A3F" w:rsidRPr="00EE1E0C" w:rsidRDefault="00031A3F">
      <w:pPr>
        <w:pStyle w:val="Normaltindrag"/>
      </w:pPr>
    </w:p>
    <w:p w:rsidR="00031A3F" w:rsidRPr="00EE1E0C" w:rsidRDefault="00031A3F">
      <w:r w:rsidRPr="00EE1E0C">
        <w:t xml:space="preserve">Revisorerna föreslår </w:t>
      </w:r>
    </w:p>
    <w:p w:rsidR="00031A3F" w:rsidRPr="00EE1E0C" w:rsidRDefault="00031A3F">
      <w:pPr>
        <w:numPr>
          <w:ilvl w:val="0"/>
          <w:numId w:val="13"/>
        </w:numPr>
      </w:pPr>
      <w:r w:rsidRPr="00EE1E0C">
        <w:t>att regeringen före och efter större förändringar inom rättsväsendet gör så omfattande bedömningar som möjligt av vilka effekter förändringa</w:t>
      </w:r>
      <w:r w:rsidRPr="00EE1E0C">
        <w:t>r</w:t>
      </w:r>
      <w:r w:rsidRPr="00EE1E0C">
        <w:t>na får för andra myndigheter och samhället i övrigt. Regeringen bör å</w:t>
      </w:r>
      <w:r w:rsidRPr="00EE1E0C">
        <w:t>r</w:t>
      </w:r>
      <w:r w:rsidRPr="00EE1E0C">
        <w:t>ligen redovisa resultaten av dessa bedömningar till riksd</w:t>
      </w:r>
      <w:r w:rsidRPr="00EE1E0C">
        <w:t>a</w:t>
      </w:r>
      <w:r w:rsidRPr="00EE1E0C">
        <w:t xml:space="preserve">gen. </w:t>
      </w:r>
    </w:p>
    <w:p w:rsidR="00031A3F" w:rsidRPr="00EE1E0C" w:rsidRDefault="00031A3F">
      <w:pPr>
        <w:pStyle w:val="Rubrik1"/>
      </w:pPr>
      <w:r w:rsidRPr="00EE1E0C">
        <w:br w:type="page"/>
      </w:r>
      <w:bookmarkStart w:id="81" w:name="_Toc466264137"/>
      <w:r w:rsidRPr="00EE1E0C">
        <w:t>3. Revisorernas förslag</w:t>
      </w:r>
      <w:bookmarkEnd w:id="81"/>
    </w:p>
    <w:p w:rsidR="00031A3F" w:rsidRPr="00EE1E0C" w:rsidRDefault="00031A3F">
      <w:r w:rsidRPr="00EE1E0C">
        <w:t>Riksdagens revisorer föreslår</w:t>
      </w:r>
    </w:p>
    <w:p w:rsidR="00031A3F" w:rsidRPr="00EE1E0C" w:rsidRDefault="00031A3F">
      <w:r w:rsidRPr="00EE1E0C">
        <w:t>1. att riksdagen som sin mening ger regeringen till känna vad revisorerna i avsnitt 2.1 anfört om förundersökningarnas kvalitet</w:t>
      </w:r>
    </w:p>
    <w:p w:rsidR="00031A3F" w:rsidRPr="00EE1E0C" w:rsidRDefault="00031A3F">
      <w:r w:rsidRPr="00EE1E0C">
        <w:t>2. att riksdagen som sin mening ger regeringen till känna vad revisorerna i avsnitt 2.2 anfört om kvalitetshöjande åtgärder för polisens verksamhet</w:t>
      </w:r>
    </w:p>
    <w:p w:rsidR="00031A3F" w:rsidRPr="00EE1E0C" w:rsidRDefault="00031A3F">
      <w:r w:rsidRPr="00EE1E0C">
        <w:t>3. att riksdagen som sin mening ger regeringen till känna vad revisorerna i avsnitt 2.3 anfört om kvalitetshöjande åtgärder för åklagarnas verksamhet</w:t>
      </w:r>
    </w:p>
    <w:p w:rsidR="00031A3F" w:rsidRPr="00EE1E0C" w:rsidRDefault="00031A3F">
      <w:r w:rsidRPr="00EE1E0C">
        <w:t>4. att riksdagen som sin mening ger regeringen till känna vad revisorerna i avsnitt 2.4 anfört om rättsväsendet ekonomi</w:t>
      </w:r>
    </w:p>
    <w:p w:rsidR="00031A3F" w:rsidRPr="00EE1E0C" w:rsidRDefault="00031A3F">
      <w:r w:rsidRPr="00EE1E0C">
        <w:t>5. att riksdagen som sin mening ger regeringen till känna vad revisorerna i avsnitt 2.5 anfört om bedömningar av effekter av organisationsförändringar.</w:t>
      </w:r>
    </w:p>
    <w:p w:rsidR="00031A3F" w:rsidRPr="00EE1E0C" w:rsidRDefault="00031A3F">
      <w:pPr>
        <w:pStyle w:val="Normaltindrag"/>
      </w:pPr>
    </w:p>
    <w:p w:rsidR="00031A3F" w:rsidRPr="00EE1E0C" w:rsidRDefault="00031A3F">
      <w:r w:rsidRPr="00EE1E0C">
        <w:t xml:space="preserve">Detta ärende har avgjorts av revisorerna i plenum. I beslutet har deltagit revisorerna </w:t>
      </w:r>
      <w:r w:rsidRPr="00EE1E0C">
        <w:rPr>
          <w:snapToGrid w:val="0"/>
          <w:color w:val="000000"/>
          <w:lang w:eastAsia="sv-SE"/>
        </w:rPr>
        <w:t>Ingemar Josefsson (s), Anders G Högmark (m), Per Rosengren (v), Bengt Silfverstrand (s), Anita Jönsson (s), Kenneth Lantz (kd), Margit Gennser (m), Hans Stenberg (s), Karl-Gösta Svenson (m), Agneta Lundberg (s), Ann-Marie Fagerström (s), Marie En</w:t>
      </w:r>
      <w:r w:rsidRPr="00EE1E0C">
        <w:rPr>
          <w:snapToGrid w:val="0"/>
          <w:color w:val="000000"/>
          <w:lang w:eastAsia="sv-SE"/>
        </w:rPr>
        <w:t>g</w:t>
      </w:r>
      <w:r w:rsidRPr="00EE1E0C">
        <w:rPr>
          <w:snapToGrid w:val="0"/>
          <w:color w:val="000000"/>
          <w:lang w:eastAsia="sv-SE"/>
        </w:rPr>
        <w:t>ström (v).</w:t>
      </w:r>
    </w:p>
    <w:p w:rsidR="00031A3F" w:rsidRPr="00EE1E0C" w:rsidRDefault="00031A3F">
      <w:r w:rsidRPr="00EE1E0C">
        <w:t>Vid ärendets slutliga handläggning har vidare närvarit kanslichefen Åke Dahlberg, utredningschefen Karin Brunsson, revisionsdirektören Anna</w:t>
      </w:r>
      <w:r w:rsidRPr="00EE1E0C">
        <w:br/>
        <w:t>Aspe</w:t>
      </w:r>
      <w:r w:rsidRPr="00EE1E0C">
        <w:softHyphen/>
        <w:t>gren (föredragande) och byrådirektören Carin Kh</w:t>
      </w:r>
      <w:r w:rsidRPr="00EE1E0C">
        <w:t>a</w:t>
      </w:r>
      <w:r w:rsidRPr="00EE1E0C">
        <w:t>kee (föredragande).</w:t>
      </w:r>
    </w:p>
    <w:p w:rsidR="00031A3F" w:rsidRPr="00EE1E0C" w:rsidRDefault="00031A3F">
      <w:pPr>
        <w:pStyle w:val="Stockholm"/>
      </w:pPr>
      <w:bookmarkStart w:id="82" w:name="RRDeltagare"/>
      <w:bookmarkEnd w:id="82"/>
      <w:r w:rsidRPr="00EE1E0C">
        <w:t>Stockholm den 4 november 1999</w:t>
      </w:r>
    </w:p>
    <w:p w:rsidR="00031A3F" w:rsidRPr="00EE1E0C" w:rsidRDefault="00031A3F">
      <w:pPr>
        <w:pStyle w:val="Vgnar"/>
      </w:pPr>
      <w:r w:rsidRPr="00EE1E0C">
        <w:t>På Riksdagens revisorers vägnar</w:t>
      </w:r>
    </w:p>
    <w:p w:rsidR="00031A3F" w:rsidRPr="00EE1E0C" w:rsidRDefault="00031A3F"/>
    <w:p w:rsidR="00031A3F" w:rsidRPr="00EE1E0C" w:rsidRDefault="00031A3F">
      <w:pPr>
        <w:rPr>
          <w:i/>
          <w:sz w:val="22"/>
        </w:rPr>
      </w:pPr>
      <w:r w:rsidRPr="00EE1E0C">
        <w:rPr>
          <w:i/>
          <w:sz w:val="22"/>
        </w:rPr>
        <w:t>Ingemar Josefsson</w:t>
      </w:r>
    </w:p>
    <w:p w:rsidR="00031A3F" w:rsidRPr="00EE1E0C" w:rsidRDefault="00031A3F">
      <w:pPr>
        <w:pStyle w:val="Normaltindrag"/>
      </w:pPr>
    </w:p>
    <w:p w:rsidR="00031A3F" w:rsidRPr="00EE1E0C" w:rsidRDefault="00031A3F">
      <w:pPr>
        <w:pStyle w:val="Normaltindrag"/>
      </w:pPr>
      <w:r w:rsidRPr="00EE1E0C">
        <w:tab/>
      </w:r>
      <w:r w:rsidRPr="00EE1E0C">
        <w:tab/>
      </w:r>
      <w:r w:rsidRPr="00EE1E0C">
        <w:tab/>
      </w:r>
    </w:p>
    <w:p w:rsidR="00031A3F" w:rsidRPr="00EE1E0C" w:rsidRDefault="00031A3F">
      <w:pPr>
        <w:pStyle w:val="Normaltindrag"/>
        <w:rPr>
          <w:i/>
          <w:sz w:val="22"/>
        </w:rPr>
      </w:pPr>
      <w:r w:rsidRPr="00EE1E0C">
        <w:tab/>
        <w:t xml:space="preserve">             </w:t>
      </w:r>
      <w:r w:rsidRPr="00EE1E0C">
        <w:rPr>
          <w:i/>
          <w:sz w:val="22"/>
        </w:rPr>
        <w:t>Anna Aspegren                         Carin Khakee</w:t>
      </w:r>
    </w:p>
    <w:p w:rsidR="00031A3F" w:rsidRPr="00EE1E0C" w:rsidRDefault="00031A3F"/>
    <w:p w:rsidR="00031A3F" w:rsidRPr="00EE1E0C" w:rsidRDefault="00031A3F">
      <w:pPr>
        <w:pStyle w:val="Rubrik1"/>
        <w:sectPr w:rsidR="00000000" w:rsidRPr="00EE1E0C">
          <w:headerReference w:type="default" r:id="rId10"/>
          <w:footerReference w:type="default" r:id="rId11"/>
          <w:pgSz w:w="11906" w:h="16838" w:code="9"/>
          <w:pgMar w:top="567" w:right="4876" w:bottom="4508" w:left="1134" w:header="227" w:footer="227" w:gutter="0"/>
          <w:cols w:space="720"/>
        </w:sectPr>
      </w:pPr>
      <w:bookmarkStart w:id="83" w:name="Ordförande"/>
      <w:bookmarkStart w:id="84" w:name="Deltagare"/>
      <w:bookmarkStart w:id="85" w:name="Nästa_Reservation"/>
      <w:bookmarkEnd w:id="83"/>
      <w:bookmarkEnd w:id="84"/>
      <w:bookmarkEnd w:id="85"/>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EE1E0C">
        <w:tblPrEx>
          <w:tblCellMar>
            <w:top w:w="0" w:type="dxa"/>
            <w:bottom w:w="0" w:type="dxa"/>
          </w:tblCellMar>
        </w:tblPrEx>
        <w:tc>
          <w:tcPr>
            <w:tcW w:w="4323" w:type="dxa"/>
          </w:tcPr>
          <w:p w:rsidR="00031A3F" w:rsidRPr="00EE1E0C" w:rsidRDefault="00031A3F">
            <w:pPr>
              <w:pStyle w:val="Normaltindrag"/>
              <w:rPr>
                <w:sz w:val="20"/>
              </w:rPr>
            </w:pPr>
          </w:p>
          <w:p w:rsidR="00031A3F" w:rsidRPr="00EE1E0C" w:rsidRDefault="00031A3F">
            <w:pPr>
              <w:pStyle w:val="Normaltindrag"/>
              <w:rPr>
                <w:sz w:val="20"/>
              </w:rPr>
            </w:pPr>
          </w:p>
          <w:p w:rsidR="00031A3F" w:rsidRPr="00EE1E0C" w:rsidRDefault="00031A3F">
            <w:pPr>
              <w:pStyle w:val="Normaltindrag"/>
              <w:rPr>
                <w:sz w:val="20"/>
              </w:rPr>
            </w:pPr>
          </w:p>
          <w:p w:rsidR="00031A3F" w:rsidRPr="00EE1E0C" w:rsidRDefault="00031A3F">
            <w:pPr>
              <w:pStyle w:val="Normaltindrag"/>
              <w:rPr>
                <w:sz w:val="20"/>
              </w:rPr>
            </w:pPr>
          </w:p>
          <w:p w:rsidR="00031A3F" w:rsidRPr="00EE1E0C" w:rsidRDefault="00031A3F">
            <w:pPr>
              <w:pStyle w:val="Normaltindrag"/>
              <w:rPr>
                <w:sz w:val="20"/>
              </w:rPr>
            </w:pPr>
            <w:r w:rsidRPr="00EE1E0C">
              <w:rPr>
                <w:sz w:val="20"/>
              </w:rPr>
              <w:tab/>
            </w:r>
          </w:p>
          <w:p w:rsidR="00031A3F" w:rsidRPr="00EE1E0C" w:rsidRDefault="00031A3F">
            <w:pPr>
              <w:pStyle w:val="Normaltindrag"/>
              <w:spacing w:after="80"/>
              <w:ind w:firstLine="0"/>
            </w:pPr>
            <w:r w:rsidRPr="00EE1E0C">
              <w:rPr>
                <w:rFonts w:ascii="GillSans Light" w:hAnsi="GillSans Light"/>
                <w:sz w:val="28"/>
              </w:rPr>
              <w:t>Rapport 1998/99:9</w:t>
            </w:r>
            <w:r w:rsidRPr="00EE1E0C">
              <w:rPr>
                <w:sz w:val="20"/>
              </w:rPr>
              <w:tab/>
            </w:r>
          </w:p>
        </w:tc>
        <w:tc>
          <w:tcPr>
            <w:tcW w:w="1843" w:type="dxa"/>
          </w:tcPr>
          <w:p w:rsidR="00031A3F" w:rsidRPr="00EE1E0C" w:rsidRDefault="00031A3F">
            <w:pPr>
              <w:pStyle w:val="Normaltindrag"/>
            </w:pPr>
          </w:p>
          <w:p w:rsidR="00031A3F" w:rsidRPr="00EE1E0C" w:rsidRDefault="00EE1E0C">
            <w:pPr>
              <w:pStyle w:val="Normaltindrag"/>
              <w:spacing w:line="720" w:lineRule="atLeast"/>
            </w:pPr>
            <w:r w:rsidRPr="00EE1E0C">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031A3F" w:rsidRPr="00EE1E0C" w:rsidRDefault="00031A3F">
      <w:pPr>
        <w:rPr>
          <w:rFonts w:ascii="GillSans Light" w:hAnsi="GillSans Light"/>
          <w:sz w:val="28"/>
        </w:rPr>
      </w:pPr>
    </w:p>
    <w:p w:rsidR="00031A3F" w:rsidRPr="00EE1E0C" w:rsidRDefault="00031A3F">
      <w:pPr>
        <w:spacing w:line="500" w:lineRule="atLeast"/>
        <w:rPr>
          <w:sz w:val="20"/>
        </w:rPr>
      </w:pPr>
      <w:r w:rsidRPr="00EE1E0C">
        <w:rPr>
          <w:sz w:val="20"/>
        </w:rPr>
        <w:tab/>
      </w:r>
    </w:p>
    <w:p w:rsidR="00031A3F" w:rsidRPr="00EE1E0C" w:rsidRDefault="00031A3F">
      <w:pPr>
        <w:spacing w:line="500" w:lineRule="atLeast"/>
        <w:rPr>
          <w:sz w:val="20"/>
        </w:rPr>
      </w:pPr>
      <w:r w:rsidRPr="00EE1E0C">
        <w:rPr>
          <w:sz w:val="20"/>
        </w:rPr>
        <w:tab/>
      </w:r>
    </w:p>
    <w:p w:rsidR="00031A3F" w:rsidRPr="00EE1E0C" w:rsidRDefault="00031A3F">
      <w:pPr>
        <w:spacing w:line="500" w:lineRule="atLeast"/>
        <w:rPr>
          <w:sz w:val="20"/>
        </w:rPr>
      </w:pPr>
    </w:p>
    <w:p w:rsidR="00031A3F" w:rsidRPr="00EE1E0C" w:rsidRDefault="00031A3F">
      <w:pPr>
        <w:spacing w:line="500" w:lineRule="atLeast"/>
        <w:rPr>
          <w:sz w:val="20"/>
        </w:rPr>
      </w:pPr>
    </w:p>
    <w:p w:rsidR="00031A3F" w:rsidRPr="00EE1E0C" w:rsidRDefault="00031A3F"/>
    <w:p w:rsidR="00031A3F" w:rsidRPr="00EE1E0C" w:rsidRDefault="00031A3F">
      <w:pPr>
        <w:spacing w:line="600" w:lineRule="atLeast"/>
        <w:rPr>
          <w:rFonts w:ascii="GillSans Light" w:hAnsi="GillSans Light"/>
          <w:sz w:val="48"/>
        </w:rPr>
      </w:pPr>
      <w:r w:rsidRPr="00EE1E0C">
        <w:rPr>
          <w:rFonts w:ascii="GillSans Light" w:hAnsi="GillSans Light"/>
          <w:sz w:val="48"/>
        </w:rPr>
        <w:t>Organisations-</w:t>
      </w:r>
    </w:p>
    <w:p w:rsidR="00031A3F" w:rsidRPr="00EE1E0C" w:rsidRDefault="00031A3F">
      <w:pPr>
        <w:spacing w:line="600" w:lineRule="atLeast"/>
        <w:rPr>
          <w:rFonts w:ascii="GillSans Light" w:hAnsi="GillSans Light"/>
          <w:sz w:val="48"/>
        </w:rPr>
      </w:pPr>
      <w:r w:rsidRPr="00EE1E0C">
        <w:rPr>
          <w:rFonts w:ascii="GillSans Light" w:hAnsi="GillSans Light"/>
          <w:sz w:val="48"/>
        </w:rPr>
        <w:t xml:space="preserve">förändringar inom </w:t>
      </w:r>
    </w:p>
    <w:p w:rsidR="00031A3F" w:rsidRPr="00EE1E0C" w:rsidRDefault="00031A3F">
      <w:pPr>
        <w:spacing w:line="600" w:lineRule="atLeast"/>
        <w:rPr>
          <w:sz w:val="48"/>
        </w:rPr>
      </w:pPr>
      <w:r w:rsidRPr="00EE1E0C">
        <w:rPr>
          <w:rFonts w:ascii="GillSans Light" w:hAnsi="GillSans Light"/>
          <w:sz w:val="48"/>
        </w:rPr>
        <w:t>rättsväse</w:t>
      </w:r>
      <w:r w:rsidRPr="00EE1E0C">
        <w:rPr>
          <w:rFonts w:ascii="GillSans Light" w:hAnsi="GillSans Light"/>
          <w:sz w:val="48"/>
        </w:rPr>
        <w:t>n</w:t>
      </w:r>
      <w:r w:rsidRPr="00EE1E0C">
        <w:rPr>
          <w:rFonts w:ascii="GillSans Light" w:hAnsi="GillSans Light"/>
          <w:sz w:val="48"/>
        </w:rPr>
        <w:t>det</w:t>
      </w:r>
    </w:p>
    <w:p w:rsidR="00031A3F" w:rsidRPr="00EE1E0C" w:rsidRDefault="00031A3F"/>
    <w:p w:rsidR="00031A3F" w:rsidRPr="00EE1E0C" w:rsidRDefault="00031A3F"/>
    <w:p w:rsidR="00031A3F" w:rsidRPr="00EE1E0C" w:rsidRDefault="00031A3F"/>
    <w:p w:rsidR="00031A3F" w:rsidRPr="00EE1E0C" w:rsidRDefault="00031A3F">
      <w:pPr>
        <w:rPr>
          <w:rFonts w:ascii="GillSans Light" w:hAnsi="GillSans Light"/>
          <w:caps/>
          <w:spacing w:val="20"/>
          <w:sz w:val="16"/>
        </w:rPr>
      </w:pPr>
    </w:p>
    <w:p w:rsidR="00031A3F" w:rsidRPr="00EE1E0C" w:rsidRDefault="00031A3F">
      <w:pPr>
        <w:rPr>
          <w:rFonts w:ascii="GillSans Light" w:hAnsi="GillSans Light"/>
          <w:caps/>
          <w:spacing w:val="20"/>
          <w:sz w:val="16"/>
        </w:rPr>
      </w:pPr>
    </w:p>
    <w:p w:rsidR="00031A3F" w:rsidRPr="00EE1E0C" w:rsidRDefault="00031A3F">
      <w:pPr>
        <w:rPr>
          <w:rFonts w:ascii="GillSans Light" w:hAnsi="GillSans Light"/>
          <w:caps/>
          <w:spacing w:val="20"/>
          <w:sz w:val="16"/>
        </w:rPr>
      </w:pPr>
    </w:p>
    <w:p w:rsidR="00031A3F" w:rsidRPr="00EE1E0C" w:rsidRDefault="00031A3F">
      <w:pPr>
        <w:ind w:right="-200"/>
        <w:jc w:val="left"/>
        <w:rPr>
          <w:rFonts w:ascii="GillSans Light" w:hAnsi="GillSans Light"/>
          <w:caps/>
          <w:sz w:val="16"/>
        </w:rPr>
      </w:pPr>
      <w:r w:rsidRPr="00EE1E0C">
        <w:rPr>
          <w:rFonts w:ascii="GillSans Light" w:hAnsi="GillSans Light"/>
          <w:caps/>
          <w:spacing w:val="20"/>
          <w:sz w:val="16"/>
        </w:rPr>
        <w:t>Riksdagens revisorer</w:t>
      </w:r>
      <w:r w:rsidRPr="00EE1E0C">
        <w:rPr>
          <w:rFonts w:ascii="GillSans Light" w:hAnsi="GillSans Light"/>
          <w:caps/>
          <w:sz w:val="16"/>
        </w:rPr>
        <w:t xml:space="preserve"> 100 12  STOCKHOLM  TEL 08-786 40 00  fax 786 61 88</w:t>
      </w:r>
    </w:p>
    <w:p w:rsidR="00031A3F" w:rsidRPr="00EE1E0C" w:rsidRDefault="00031A3F">
      <w:pPr>
        <w:ind w:right="-200"/>
        <w:jc w:val="left"/>
      </w:pPr>
      <w:r w:rsidRPr="00EE1E0C">
        <w:rPr>
          <w:rFonts w:ascii="GillSans Light" w:hAnsi="GillSans Light"/>
          <w:caps/>
          <w:sz w:val="16"/>
        </w:rPr>
        <w:br w:type="page"/>
      </w:r>
    </w:p>
    <w:p w:rsidR="00031A3F" w:rsidRPr="00EE1E0C" w:rsidRDefault="00031A3F"/>
    <w:p w:rsidR="00031A3F" w:rsidRPr="00EE1E0C" w:rsidRDefault="00031A3F">
      <w:pPr>
        <w:sectPr w:rsidR="00000000" w:rsidRPr="00EE1E0C">
          <w:headerReference w:type="even" r:id="rId13"/>
          <w:headerReference w:type="default" r:id="rId14"/>
          <w:footerReference w:type="even" r:id="rId15"/>
          <w:footerReference w:type="default" r:id="rId16"/>
          <w:headerReference w:type="first" r:id="rId17"/>
          <w:footerReference w:type="first" r:id="rId18"/>
          <w:pgSz w:w="11906" w:h="16838" w:code="9"/>
          <w:pgMar w:top="567" w:right="4876" w:bottom="4508" w:left="1134" w:header="227" w:footer="227" w:gutter="0"/>
          <w:cols w:space="720"/>
        </w:sectPr>
      </w:pPr>
    </w:p>
    <w:p w:rsidR="00031A3F" w:rsidRPr="00EE1E0C" w:rsidRDefault="00031A3F">
      <w:r w:rsidRPr="00EE1E0C">
        <w:t>1998:39 (4)</w:t>
      </w:r>
    </w:p>
    <w:p w:rsidR="00031A3F" w:rsidRPr="00EE1E0C" w:rsidRDefault="00031A3F">
      <w:pPr>
        <w:pStyle w:val="Rubrik1"/>
      </w:pPr>
      <w:bookmarkStart w:id="86" w:name="_Toc466264138"/>
      <w:r w:rsidRPr="00EE1E0C">
        <w:t>Förord</w:t>
      </w:r>
      <w:bookmarkEnd w:id="86"/>
    </w:p>
    <w:p w:rsidR="00031A3F" w:rsidRPr="00EE1E0C" w:rsidRDefault="00031A3F">
      <w:r w:rsidRPr="00EE1E0C">
        <w:t>1999-06-16</w:t>
      </w:r>
    </w:p>
    <w:p w:rsidR="00031A3F" w:rsidRPr="00EE1E0C" w:rsidRDefault="00031A3F">
      <w:r w:rsidRPr="00EE1E0C">
        <w:t>Riksdagens revisorers granskning av organisationsförändringar inom rättsv</w:t>
      </w:r>
      <w:r w:rsidRPr="00EE1E0C">
        <w:t>ä</w:t>
      </w:r>
      <w:r w:rsidRPr="00EE1E0C">
        <w:t>sendet har initierats av justitieutskottet. Utskottet efterfrågade en granskning av förändringarna och en beskrivning av hur rättsväsendets olika myndigh</w:t>
      </w:r>
      <w:r w:rsidRPr="00EE1E0C">
        <w:t>e</w:t>
      </w:r>
      <w:r w:rsidRPr="00EE1E0C">
        <w:t>ter samverkar.</w:t>
      </w:r>
    </w:p>
    <w:p w:rsidR="00031A3F" w:rsidRPr="00EE1E0C" w:rsidRDefault="00031A3F">
      <w:pPr>
        <w:pStyle w:val="Normaltindrag"/>
      </w:pPr>
      <w:r w:rsidRPr="00EE1E0C">
        <w:t>Underlaget till granskningen utgörs bl.a. av intervjuer med företrädare för Rikspolisstyrelsen, länspolismästarna vid polismyndigheterna i Stockholms, Östergötlands och Västernorrlands län samt annan personal vid myndigh</w:t>
      </w:r>
      <w:r w:rsidRPr="00EE1E0C">
        <w:t>e</w:t>
      </w:r>
      <w:r w:rsidRPr="00EE1E0C">
        <w:t>terna. Vidare har företrädare för Riksåklagaren, åklagarmyndigheterna i Stockholm, Linköping och Sundsvall samt annan personal vid myndighete</w:t>
      </w:r>
      <w:r w:rsidRPr="00EE1E0C">
        <w:t>r</w:t>
      </w:r>
      <w:r w:rsidRPr="00EE1E0C">
        <w:t>na intervjuats. Även företrädare för Norrtäljes, Linköpings, Motalas och Sundsvalls tingsrätter har intervjuats. Granskningen omfattar också en kar</w:t>
      </w:r>
      <w:r w:rsidRPr="00EE1E0C">
        <w:t>t</w:t>
      </w:r>
      <w:r w:rsidRPr="00EE1E0C">
        <w:t>läggning av förundersökningsarbetet i de tre länen. Ett antal polisanmälnin</w:t>
      </w:r>
      <w:r w:rsidRPr="00EE1E0C">
        <w:t>g</w:t>
      </w:r>
      <w:r w:rsidRPr="00EE1E0C">
        <w:t>ar har följts genom rättsväsendet. Vidare har revisorerna genom en enkätu</w:t>
      </w:r>
      <w:r w:rsidRPr="00EE1E0C">
        <w:t>n</w:t>
      </w:r>
      <w:r w:rsidRPr="00EE1E0C">
        <w:t>dersökning kartlagt vissa yrkesgruppers uppfattningar om förundersöknin</w:t>
      </w:r>
      <w:r w:rsidRPr="00EE1E0C">
        <w:t>g</w:t>
      </w:r>
      <w:r w:rsidRPr="00EE1E0C">
        <w:t>arnas kvalitet. Genom enkäter har också undersökts hur de intagna på anstalt uppfattar bl.a. polisens och åklagarnas förundersökningsarbete. Revisorerna har därutöver diskuterat ett rapportutkast med rikspolischefen, riksåklagaren med medarbetare samt statssekreteraren på Justitiedepartementet med me</w:t>
      </w:r>
      <w:r w:rsidRPr="00EE1E0C">
        <w:t>d</w:t>
      </w:r>
      <w:r w:rsidRPr="00EE1E0C">
        <w:t>arbetare. De synpunkter som därvid framförts har beaktats i rapporten.</w:t>
      </w:r>
    </w:p>
    <w:p w:rsidR="00031A3F" w:rsidRPr="00EE1E0C" w:rsidRDefault="00031A3F">
      <w:pPr>
        <w:pStyle w:val="Normaltindrag"/>
      </w:pPr>
      <w:r w:rsidRPr="00EE1E0C">
        <w:t>En utförlig beskrivning av rättsväsendet i Stockholms, Östergötlands och Västernorrlands län kan rekvireras från revisorernas kansli.</w:t>
      </w:r>
    </w:p>
    <w:p w:rsidR="00031A3F" w:rsidRPr="00EE1E0C" w:rsidRDefault="00031A3F">
      <w:pPr>
        <w:pStyle w:val="Normaltindrag"/>
      </w:pPr>
      <w:r w:rsidRPr="00EE1E0C">
        <w:t>Föreliggande rapport har utarbetats av revisorernas tredje avdelning. I a</w:t>
      </w:r>
      <w:r w:rsidRPr="00EE1E0C">
        <w:t>v</w:t>
      </w:r>
      <w:r w:rsidRPr="00EE1E0C">
        <w:t>delningen ingår följande ledamöter och suppleanter: Anders G Högmark (m), ordförande, Anita Jönsson (s), vice ordförande, Kenneth Lantz (kd), Hans Stenberg (s), Conny Öhman (s), Ulf Kristersson (m), Ann-Kristine Johansson (s) och Rolf Olsson (v).</w:t>
      </w:r>
    </w:p>
    <w:p w:rsidR="00031A3F" w:rsidRPr="00EE1E0C" w:rsidRDefault="00031A3F">
      <w:pPr>
        <w:pStyle w:val="Normaltindrag"/>
      </w:pPr>
      <w:r w:rsidRPr="00EE1E0C">
        <w:t>Ansvariga vid revisorernas kansli har revisionsdirektör Anna Aspegren och förste byråsekreterare Carin Khakee varit. Även kanslichefen Åke Dah</w:t>
      </w:r>
      <w:r w:rsidRPr="00EE1E0C">
        <w:t>l</w:t>
      </w:r>
      <w:r w:rsidRPr="00EE1E0C">
        <w:t xml:space="preserve">berg, utredningschefen Karin Brunsson, tf. utredningschefen Allan Read och fil. stud. Johan Krabb har deltagit i arbetet. </w:t>
      </w:r>
    </w:p>
    <w:p w:rsidR="00031A3F" w:rsidRPr="00EE1E0C" w:rsidRDefault="00031A3F">
      <w:pPr>
        <w:pStyle w:val="Normaltindrag"/>
      </w:pPr>
      <w:r w:rsidRPr="00EE1E0C">
        <w:t>Rapporten sänds nu på remiss. Revisorernas slutliga ställningstaganden och förslag kommer därefter att utformas genom en skrivelse till riksdagen.</w:t>
      </w:r>
    </w:p>
    <w:p w:rsidR="00031A3F" w:rsidRPr="00EE1E0C" w:rsidRDefault="00031A3F">
      <w:pPr>
        <w:pStyle w:val="Rubrik1"/>
      </w:pPr>
      <w:r w:rsidRPr="00EE1E0C">
        <w:br w:type="page"/>
      </w:r>
      <w:bookmarkStart w:id="87" w:name="_Toc466264139"/>
      <w:r w:rsidRPr="00EE1E0C">
        <w:t>Sammanfattning</w:t>
      </w:r>
      <w:bookmarkEnd w:id="87"/>
    </w:p>
    <w:p w:rsidR="00031A3F" w:rsidRPr="00EE1E0C" w:rsidRDefault="00031A3F">
      <w:r w:rsidRPr="00EE1E0C">
        <w:t>Riksdagens revisorer har granskat hur polis- och åklagarväsendet på central, regional och lokal nivå är organiserat och hur rättsväsendets prestationer varierar mellan de län som granskats speciellt. I granskningen kartläggs sambanden mellan prestationer och organisationsform, ekonomi samt övriga förutsättningar. I granskningen ingår framför allt polis- och åklagarväsendet, men även tingsrätternas och häktenas organis</w:t>
      </w:r>
      <w:r w:rsidRPr="00EE1E0C">
        <w:t>a</w:t>
      </w:r>
      <w:r w:rsidRPr="00EE1E0C">
        <w:t>tion berörs.</w:t>
      </w:r>
    </w:p>
    <w:p w:rsidR="00031A3F" w:rsidRPr="00EE1E0C" w:rsidRDefault="00031A3F">
      <w:pPr>
        <w:pStyle w:val="Rubrik2"/>
      </w:pPr>
      <w:bookmarkStart w:id="88" w:name="_Toc466264140"/>
      <w:r w:rsidRPr="00EE1E0C">
        <w:t>Granskningen</w:t>
      </w:r>
      <w:bookmarkEnd w:id="88"/>
      <w:r w:rsidRPr="00EE1E0C">
        <w:t xml:space="preserve"> </w:t>
      </w:r>
    </w:p>
    <w:p w:rsidR="00031A3F" w:rsidRPr="00EE1E0C" w:rsidRDefault="00031A3F">
      <w:pPr>
        <w:rPr>
          <w:b/>
        </w:rPr>
      </w:pPr>
      <w:r w:rsidRPr="00EE1E0C">
        <w:t>Av granskningen framgår att medelsförbrukningen trots besparingskrav har ökat för rättsväsendet under 1980- och 1990-talen med undantag av en viss nedgång i mitten på 1990-talet. Omfördelningar inom polis- och åklagarv</w:t>
      </w:r>
      <w:r w:rsidRPr="00EE1E0C">
        <w:t>ä</w:t>
      </w:r>
      <w:r w:rsidRPr="00EE1E0C">
        <w:t>sendets anslag har genomförts. Detta har inneburit att vissa delar av ver</w:t>
      </w:r>
      <w:r w:rsidRPr="00EE1E0C">
        <w:t>k</w:t>
      </w:r>
      <w:r w:rsidRPr="00EE1E0C">
        <w:t>samheten har ålagts större besparingar än andra. Exempelvis har persona</w:t>
      </w:r>
      <w:r w:rsidRPr="00EE1E0C">
        <w:t>l</w:t>
      </w:r>
      <w:r w:rsidRPr="00EE1E0C">
        <w:t>kostnaderna inom polisen mätt i fasta priser minskat med drygt 5 procent mellan budgetåren 1993/94 och 1998. Samtidigt har kostnaderna för invest</w:t>
      </w:r>
      <w:r w:rsidRPr="00EE1E0C">
        <w:t>e</w:t>
      </w:r>
      <w:r w:rsidRPr="00EE1E0C">
        <w:t>ringar och lokaler ökat. Revisorerna konstaterar dock att det varit svårt att få en bild av den ekon</w:t>
      </w:r>
      <w:r w:rsidRPr="00EE1E0C">
        <w:t>o</w:t>
      </w:r>
      <w:r w:rsidRPr="00EE1E0C">
        <w:t>miska utvecklingen inom polis- och åklagarväsendet.</w:t>
      </w:r>
    </w:p>
    <w:p w:rsidR="00031A3F" w:rsidRPr="00EE1E0C" w:rsidRDefault="00031A3F">
      <w:pPr>
        <w:pStyle w:val="Normaltindrag"/>
      </w:pPr>
      <w:r w:rsidRPr="00EE1E0C">
        <w:t xml:space="preserve">Omorganisationerna inom polis- och åklagarväsendet har genomförts </w:t>
      </w:r>
      <w:r w:rsidRPr="00EE1E0C">
        <w:t>vid olika tidpunkter och har uppvisat olika grad av centralisering och decentral</w:t>
      </w:r>
      <w:r w:rsidRPr="00EE1E0C">
        <w:t>i</w:t>
      </w:r>
      <w:r w:rsidRPr="00EE1E0C">
        <w:t>sering. Olika län har också genomfört de nya organisationerna på olika sätt och i olika grad. I länen har man anpassat sin organisation efter bl.a. lokala förutsättningar, geografiska förhållanden, befolkning och personalsituation. I vissa fall är förändringarna i praktiken små. Ett tydligt exempel på hur länen har organiserat verksamheten på olika sätt är införandet av närpolisen. I granskningen har framkommit att det vid geno</w:t>
      </w:r>
      <w:r w:rsidRPr="00EE1E0C">
        <w:t>mförandet av närpolisrefo</w:t>
      </w:r>
      <w:r w:rsidRPr="00EE1E0C">
        <w:t>r</w:t>
      </w:r>
      <w:r w:rsidRPr="00EE1E0C">
        <w:t>men inte fanns tillräckliga riktlinjer för hur reformen skulle genomföras.</w:t>
      </w:r>
      <w:r w:rsidRPr="00EE1E0C">
        <w:rPr>
          <w:b/>
        </w:rPr>
        <w:t xml:space="preserve"> </w:t>
      </w:r>
      <w:r w:rsidRPr="00EE1E0C">
        <w:t>Revisorerna menar att det är viktigt att regeringen lämnar riktlinjer för hur en omorganisation av denna storlek skall genomföras. Inom ramen för dessa riktlinjer skall det sedan vara möjligt att anpassa organisationen till lokala förhålla</w:t>
      </w:r>
      <w:r w:rsidRPr="00EE1E0C">
        <w:t>n</w:t>
      </w:r>
      <w:r w:rsidRPr="00EE1E0C">
        <w:t xml:space="preserve">den. </w:t>
      </w:r>
    </w:p>
    <w:p w:rsidR="00031A3F" w:rsidRPr="00EE1E0C" w:rsidRDefault="00031A3F">
      <w:pPr>
        <w:pStyle w:val="Normaltindrag"/>
      </w:pPr>
      <w:r w:rsidRPr="00EE1E0C">
        <w:t>I samband med att omorganisationerna genomfördes och att besparing</w:t>
      </w:r>
      <w:r w:rsidRPr="00EE1E0C">
        <w:t>s</w:t>
      </w:r>
      <w:r w:rsidRPr="00EE1E0C">
        <w:t>krav ställdes på verksamheterna sjönk de prestationer inom polis- och åklagarväsendet som rör brottsutredningsverksamheten. Revisorerna menar dock att prestationerna borde ha återgått till den nivå som uppnåddes före reformerna eller ha förbät</w:t>
      </w:r>
      <w:r w:rsidRPr="00EE1E0C">
        <w:t>t</w:t>
      </w:r>
      <w:r w:rsidRPr="00EE1E0C">
        <w:t>rats.</w:t>
      </w:r>
    </w:p>
    <w:p w:rsidR="00031A3F" w:rsidRPr="00EE1E0C" w:rsidRDefault="00031A3F">
      <w:pPr>
        <w:pStyle w:val="Normaltindrag"/>
      </w:pPr>
      <w:r w:rsidRPr="00EE1E0C">
        <w:t>Polisens och åklagarnas prestationer mäts i stort sett uteslutande i kvant</w:t>
      </w:r>
      <w:r w:rsidRPr="00EE1E0C">
        <w:t>i</w:t>
      </w:r>
      <w:r w:rsidRPr="00EE1E0C">
        <w:t>tativa mått. Prestationsmåtten är inte entydiga och det saknas kvalitetsmått i polisens resultatredovisning. I modellen redovisas snarare polisens prestati</w:t>
      </w:r>
      <w:r w:rsidRPr="00EE1E0C">
        <w:t>o</w:t>
      </w:r>
      <w:r w:rsidRPr="00EE1E0C">
        <w:t>ner än polisens resultat. Vidare saknas mått som belyser hur det problemor</w:t>
      </w:r>
      <w:r w:rsidRPr="00EE1E0C">
        <w:t>i</w:t>
      </w:r>
      <w:r w:rsidRPr="00EE1E0C">
        <w:t xml:space="preserve">enterade arbetssättet fungerar. Revisorerna menar att det finns risk för att rättssäkerhetsfrågorna inte uppmärksammas tillräckligt eftersom kvalitativa mått i stort sett saknas.  </w:t>
      </w:r>
    </w:p>
    <w:p w:rsidR="00031A3F" w:rsidRPr="00EE1E0C" w:rsidRDefault="00031A3F">
      <w:pPr>
        <w:pStyle w:val="Normaltindrag"/>
      </w:pPr>
      <w:r w:rsidRPr="00EE1E0C">
        <w:t>I granskningen av rättsväsendet i de tre länen har det framkommit vissa skillnader när det gäller p</w:t>
      </w:r>
      <w:r w:rsidRPr="00EE1E0C">
        <w:t>restationer. Det har inte varit möjligt att härleda dessa skillnader till vilken organisation man valt i länet. En mängd andra faktorer påverkar också prestationerna och det finns därför inte någon mö</w:t>
      </w:r>
      <w:r w:rsidRPr="00EE1E0C">
        <w:t>j</w:t>
      </w:r>
      <w:r w:rsidRPr="00EE1E0C">
        <w:t xml:space="preserve">lighet att utifrån resultatet av granskningen dra slutsatsen att en bestämd organisationsform är bättre än en annan. </w:t>
      </w:r>
    </w:p>
    <w:p w:rsidR="00031A3F" w:rsidRPr="00EE1E0C" w:rsidRDefault="00031A3F">
      <w:pPr>
        <w:pStyle w:val="Normaltindrag"/>
      </w:pPr>
      <w:r w:rsidRPr="00EE1E0C">
        <w:t>Ett viktigt mått på polisens och åklagarnas arbete är förundersökningarnas kvalitet. För att få en uppfattning om huruvida kvaliteten har förändrats under 1990-talet har fyra enkätundersökninga</w:t>
      </w:r>
      <w:r w:rsidRPr="00EE1E0C">
        <w:t>r genomförts. Enkäterna har riktats till domare, offentliga försvarare, utredare vid försäkringsbolag och intagna på anstalt. Många domare, försvarare och utredare anser att förunde</w:t>
      </w:r>
      <w:r w:rsidRPr="00EE1E0C">
        <w:t>r</w:t>
      </w:r>
      <w:r w:rsidRPr="00EE1E0C">
        <w:t>sökningarnas kvalitet blivit sämre under 1990-talet medan endast ett fåtal menar att förundersökningarnas kvalitet har blivit bättre. Revisorerna ser allvarligt på den kritik mot förundersökningarnas kvalitet som framkommit i granskningen. Revisorerna har också genomfört en undersökning av han</w:t>
      </w:r>
      <w:r w:rsidRPr="00EE1E0C">
        <w:t>d</w:t>
      </w:r>
      <w:r w:rsidRPr="00EE1E0C">
        <w:t>läggningstiderna för samtliga anmäl</w:t>
      </w:r>
      <w:r w:rsidRPr="00EE1E0C">
        <w:t>ningar under 1997 avseende personer födda 1973 som är skäligen misstänkta för misshandel i Stockholms, Öste</w:t>
      </w:r>
      <w:r w:rsidRPr="00EE1E0C">
        <w:t>r</w:t>
      </w:r>
      <w:r w:rsidRPr="00EE1E0C">
        <w:t>götlands och Västernorrlands län. Av de 341 ärenden som ingick i undersö</w:t>
      </w:r>
      <w:r w:rsidRPr="00EE1E0C">
        <w:t>k</w:t>
      </w:r>
      <w:r w:rsidRPr="00EE1E0C">
        <w:t xml:space="preserve">ningen lades 57 procent ned och 24 procent handlades fortfarande av polis eller åklagare vid undersökningstillfället i augusti 1998. Undersökningen visar också att handläggningstiderna är anmärkningsvärt långa. Revisorerna menar att förundersökningsverksamheten måste ses som en helhet och att tillsynen där endast kvalitetsfrågor </w:t>
      </w:r>
      <w:r w:rsidRPr="00EE1E0C">
        <w:t>och handläggningstider beaktas inte är tillräc</w:t>
      </w:r>
      <w:r w:rsidRPr="00EE1E0C">
        <w:t>k</w:t>
      </w:r>
      <w:r w:rsidRPr="00EE1E0C">
        <w:t xml:space="preserve">lig. </w:t>
      </w:r>
    </w:p>
    <w:p w:rsidR="00031A3F" w:rsidRPr="00EE1E0C" w:rsidRDefault="00031A3F">
      <w:pPr>
        <w:pStyle w:val="Normaltindrag"/>
      </w:pPr>
      <w:r w:rsidRPr="00EE1E0C">
        <w:t>Utredningsverksamheten har decentraliserats i samband med närpolisr</w:t>
      </w:r>
      <w:r w:rsidRPr="00EE1E0C">
        <w:t>e</w:t>
      </w:r>
      <w:r w:rsidRPr="00EE1E0C">
        <w:t>formen. Specialiseringen inom närpolisområdena och utbildningen av närp</w:t>
      </w:r>
      <w:r w:rsidRPr="00EE1E0C">
        <w:t>o</w:t>
      </w:r>
      <w:r w:rsidRPr="00EE1E0C">
        <w:t>liserna varierar mellan olika polismyndigheter. Revisorerna menar att utre</w:t>
      </w:r>
      <w:r w:rsidRPr="00EE1E0C">
        <w:t>d</w:t>
      </w:r>
      <w:r w:rsidRPr="00EE1E0C">
        <w:t>ningskvaliteten skulle öka och handläggningstiderna bli kortare om en spec</w:t>
      </w:r>
      <w:r w:rsidRPr="00EE1E0C">
        <w:t>i</w:t>
      </w:r>
      <w:r w:rsidRPr="00EE1E0C">
        <w:t>alisering av utredningsverksamheten inom närpolisområdena genomfördes. En ökad satsning på utbildning av de poliser som arbetar med utredningar skulle också förbättra utredningarnas kvalitet. Granskningen har också visat att det problemorienterade arbetssättet inte fått genomslag i all po</w:t>
      </w:r>
      <w:r w:rsidRPr="00EE1E0C">
        <w:t>lisver</w:t>
      </w:r>
      <w:r w:rsidRPr="00EE1E0C">
        <w:t>k</w:t>
      </w:r>
      <w:r w:rsidRPr="00EE1E0C">
        <w:t>samhet, utan har i stort sett uteslutande kommit att förknippas med närpol</w:t>
      </w:r>
      <w:r w:rsidRPr="00EE1E0C">
        <w:t>i</w:t>
      </w:r>
      <w:r w:rsidRPr="00EE1E0C">
        <w:t>s</w:t>
      </w:r>
      <w:r w:rsidRPr="00EE1E0C">
        <w:softHyphen/>
        <w:t>verksamhet. Arbetet med att introducera arbetssättet i den övriga verksa</w:t>
      </w:r>
      <w:r w:rsidRPr="00EE1E0C">
        <w:t>m</w:t>
      </w:r>
      <w:r w:rsidRPr="00EE1E0C">
        <w:t xml:space="preserve">heten har därmed försvårats. </w:t>
      </w:r>
    </w:p>
    <w:p w:rsidR="00031A3F" w:rsidRPr="00EE1E0C" w:rsidRDefault="00031A3F">
      <w:pPr>
        <w:pStyle w:val="Normaltindrag"/>
      </w:pPr>
      <w:r w:rsidRPr="00EE1E0C">
        <w:t>I granskningen har framkommit kritik mot att åklagarna inte har sina egna mål i tingsrätten. Kritiken har framförts av domare och av åklagare. Vissa domare menar att åklagarna presterar sämre under rättegången i de mål där de inte själva har varit förundersökningsledare. Många åklagare menar att det är tidskrävande att läsa</w:t>
      </w:r>
      <w:r w:rsidRPr="00EE1E0C">
        <w:t xml:space="preserve"> in andras mål, och att de också känner sig mer oe</w:t>
      </w:r>
      <w:r w:rsidRPr="00EE1E0C">
        <w:t>n</w:t>
      </w:r>
      <w:r w:rsidRPr="00EE1E0C">
        <w:t>gagerade i rätten när de har någon annan åklagares mål. Revisorerna menar att mycket talar för att åklagarna i större utsträckning bör ha sina egna mål i tingsrätten.</w:t>
      </w:r>
    </w:p>
    <w:p w:rsidR="00031A3F" w:rsidRPr="00EE1E0C" w:rsidRDefault="00031A3F">
      <w:pPr>
        <w:pStyle w:val="Rubrik2"/>
      </w:pPr>
      <w:bookmarkStart w:id="89" w:name="_Toc466264141"/>
      <w:r w:rsidRPr="00EE1E0C">
        <w:t>Förslag</w:t>
      </w:r>
      <w:bookmarkEnd w:id="89"/>
      <w:r w:rsidRPr="00EE1E0C">
        <w:t xml:space="preserve"> </w:t>
      </w:r>
    </w:p>
    <w:p w:rsidR="00031A3F" w:rsidRPr="00EE1E0C" w:rsidRDefault="00031A3F">
      <w:r w:rsidRPr="00EE1E0C">
        <w:t xml:space="preserve">Revisorerna föreslår att regeringen i kommande budgetpropositioner redogör för hur rättsväsendets utgifter med fördelning på de olika anslagen inom utgiftsområdet utvecklats under de senaste tio åren. </w:t>
      </w:r>
    </w:p>
    <w:p w:rsidR="00031A3F" w:rsidRPr="00EE1E0C" w:rsidRDefault="00031A3F">
      <w:pPr>
        <w:pStyle w:val="Normaltindrag"/>
      </w:pPr>
      <w:r w:rsidRPr="00EE1E0C">
        <w:t>Revisorerna föreslår också att utredningsarbetet specialiseras inom närp</w:t>
      </w:r>
      <w:r w:rsidRPr="00EE1E0C">
        <w:t>o</w:t>
      </w:r>
      <w:r w:rsidRPr="00EE1E0C">
        <w:t>lisområdena. Revisorerna föreslår vidare att utbildningen av de poliser som arbetar med brottsutredningar förstärks. Revisorerna menar att det är nö</w:t>
      </w:r>
      <w:r w:rsidRPr="00EE1E0C">
        <w:t>d</w:t>
      </w:r>
      <w:r w:rsidRPr="00EE1E0C">
        <w:t>vändigt att samtliga poliser, oberoende av arbetsuppgifter och ålder, ges utbildning i det problemorienterade arbetssättet om detta skall kunna få n</w:t>
      </w:r>
      <w:r w:rsidRPr="00EE1E0C">
        <w:t>å</w:t>
      </w:r>
      <w:r w:rsidRPr="00EE1E0C">
        <w:t>gon praktisk effekt. Revisorerna föreslår också att tillsynen förstärks både över polisens förundersökningsarbete och åklagarnas förundersökningsleda</w:t>
      </w:r>
      <w:r w:rsidRPr="00EE1E0C">
        <w:t>r</w:t>
      </w:r>
      <w:r w:rsidRPr="00EE1E0C">
        <w:t xml:space="preserve">skap. </w:t>
      </w:r>
    </w:p>
    <w:p w:rsidR="00031A3F" w:rsidRPr="00EE1E0C" w:rsidRDefault="00031A3F">
      <w:pPr>
        <w:pStyle w:val="Normaltindrag"/>
      </w:pPr>
      <w:r w:rsidRPr="00EE1E0C">
        <w:t>Revisorerna menar vidare att åklagarnas arbetsformer bör</w:t>
      </w:r>
      <w:r w:rsidRPr="00EE1E0C">
        <w:t xml:space="preserve"> ses över och att en vidgad administrativ samverkan mellan åklagarkamrarna och tingsrätterna är motiverad. </w:t>
      </w:r>
    </w:p>
    <w:p w:rsidR="00031A3F" w:rsidRPr="00EE1E0C" w:rsidRDefault="00031A3F">
      <w:pPr>
        <w:pStyle w:val="Rubrik1"/>
      </w:pPr>
      <w:r w:rsidRPr="00EE1E0C">
        <w:br w:type="page"/>
      </w:r>
      <w:bookmarkStart w:id="90" w:name="_Toc466264142"/>
      <w:r w:rsidRPr="00EE1E0C">
        <w:t>Granskningens bakgrund och inriktning</w:t>
      </w:r>
      <w:bookmarkEnd w:id="90"/>
    </w:p>
    <w:p w:rsidR="00031A3F" w:rsidRPr="00EE1E0C" w:rsidRDefault="00031A3F">
      <w:bookmarkStart w:id="91" w:name="_Toc438258569"/>
      <w:r w:rsidRPr="00EE1E0C">
        <w:t>Riksdagens revisorer beslutade i mars 1998 att granska hur verksamheten hos rättsväsendets myndigheter och samverkan dem emellan har påverkats av myndigheternas organisation. Beslutet har sitt ursprung i en framställan från justitieutskottet. Utskottet uttryckte intresse för de skilda utvecklingstende</w:t>
      </w:r>
      <w:r w:rsidRPr="00EE1E0C">
        <w:t>n</w:t>
      </w:r>
      <w:r w:rsidRPr="00EE1E0C">
        <w:t>ser inom rättsväsendet som innebär att man inom samma myndighetsområde samtidigt centraliserar och decentraliserar verksamhet. Enligt utskottet har syftet med omorganisationerna varierat. I vissa fall har man angett besp</w:t>
      </w:r>
      <w:r w:rsidRPr="00EE1E0C">
        <w:t>a</w:t>
      </w:r>
      <w:r w:rsidRPr="00EE1E0C">
        <w:t>ringsbehov som motiv, medan verksamhetsbehov legat till grund för andra omorganisationer. En kombination av dessa motiv har också förekommit. Utskottet uttryckte en önskan om en granskning av förändringarna samt en beskrivning av hur rättsväsendets olika myndi</w:t>
      </w:r>
      <w:r w:rsidRPr="00EE1E0C">
        <w:t>g</w:t>
      </w:r>
      <w:r w:rsidRPr="00EE1E0C">
        <w:t>heter samverkar.</w:t>
      </w:r>
    </w:p>
    <w:p w:rsidR="00031A3F" w:rsidRPr="00EE1E0C" w:rsidRDefault="00031A3F">
      <w:pPr>
        <w:pStyle w:val="Rubrik2"/>
      </w:pPr>
      <w:bookmarkStart w:id="92" w:name="_Toc448905716"/>
      <w:bookmarkStart w:id="93" w:name="_Toc466264143"/>
      <w:r w:rsidRPr="00EE1E0C">
        <w:t>Syfte och me</w:t>
      </w:r>
      <w:r w:rsidRPr="00EE1E0C">
        <w:t>toder</w:t>
      </w:r>
      <w:bookmarkEnd w:id="92"/>
      <w:bookmarkEnd w:id="93"/>
    </w:p>
    <w:p w:rsidR="00031A3F" w:rsidRPr="00EE1E0C" w:rsidRDefault="00031A3F">
      <w:r w:rsidRPr="00EE1E0C">
        <w:t>Syftet med granskningen är att visa hur rättsväsendet på central, regional och lokal nivå är organiserat och hur rättsväsendets prestationer varierar mellan de län som granskningen omfattar. I granskningen kartläggs sambanden mellan prestationer och organisationsform, ekonomi samt övriga förutsät</w:t>
      </w:r>
      <w:r w:rsidRPr="00EE1E0C">
        <w:t>t</w:t>
      </w:r>
      <w:r w:rsidRPr="00EE1E0C">
        <w:t>ningar. I granskningen ingår framför allt polis- och åklagarväsendena, men även tingsrätternas och häktenas organisation berörs. Granskningen av polis- och åklagarväsendena centralt bygger på riksdagstryck, årsredovisningar, anslagsframställningar samt intervjuer med bl.a. företrädare för Riksåklag</w:t>
      </w:r>
      <w:r w:rsidRPr="00EE1E0C">
        <w:t>a</w:t>
      </w:r>
      <w:r w:rsidRPr="00EE1E0C">
        <w:t>ren och Rikspolisstyrelsen. Rättsväsendet i Stockholms, Östergötlands och Västernorrlands län granskas bl.a. vad avser närpolisreformens genomföra</w:t>
      </w:r>
      <w:r w:rsidRPr="00EE1E0C">
        <w:t>n</w:t>
      </w:r>
      <w:r w:rsidRPr="00EE1E0C">
        <w:t>de, åklagarnas omorganisation samt myndigheternas ekonomi och pr</w:t>
      </w:r>
      <w:r w:rsidRPr="00EE1E0C">
        <w:t>estati</w:t>
      </w:r>
      <w:r w:rsidRPr="00EE1E0C">
        <w:t>o</w:t>
      </w:r>
      <w:r w:rsidRPr="00EE1E0C">
        <w:t>ner. Granskningen av förhållandena i länen bygger på intervjuer med poliser, åklagare och domare, studiebesök samt genomgång av handlingsplaner och annat skriftligt mater</w:t>
      </w:r>
      <w:r w:rsidRPr="00EE1E0C">
        <w:t>i</w:t>
      </w:r>
      <w:r w:rsidRPr="00EE1E0C">
        <w:t xml:space="preserve">al. </w:t>
      </w:r>
    </w:p>
    <w:p w:rsidR="00031A3F" w:rsidRPr="00EE1E0C" w:rsidRDefault="00031A3F">
      <w:pPr>
        <w:pStyle w:val="Normaltindrag"/>
      </w:pPr>
      <w:r w:rsidRPr="00EE1E0C">
        <w:t>Granskningen omfattar också en kartläggning av förundersökningsarbetet i de tre länen. Ett antal polisanmälningar har följts genom rättsväsendet. Vid</w:t>
      </w:r>
      <w:r w:rsidRPr="00EE1E0C">
        <w:t>a</w:t>
      </w:r>
      <w:r w:rsidRPr="00EE1E0C">
        <w:t>re har revisorerna genom en enkätundersökning kartlagt vissa yrkesgruppers uppfattningar om förundersökningarnas kvalitet. Genom enkäter har också undersökts hur de intagna på anstalt uppfattar bl.a. polisens och åklagarnas förundersö</w:t>
      </w:r>
      <w:r w:rsidRPr="00EE1E0C">
        <w:t>k</w:t>
      </w:r>
      <w:r w:rsidRPr="00EE1E0C">
        <w:t xml:space="preserve">ningsarbete. </w:t>
      </w:r>
    </w:p>
    <w:p w:rsidR="00031A3F" w:rsidRPr="00EE1E0C" w:rsidRDefault="00031A3F">
      <w:pPr>
        <w:pStyle w:val="Rubrik2"/>
      </w:pPr>
      <w:bookmarkStart w:id="94" w:name="_Toc448905717"/>
      <w:bookmarkStart w:id="95" w:name="_Toc466264144"/>
      <w:r w:rsidRPr="00EE1E0C">
        <w:t>Avgränsningar</w:t>
      </w:r>
      <w:bookmarkEnd w:id="95"/>
    </w:p>
    <w:p w:rsidR="00031A3F" w:rsidRPr="00EE1E0C" w:rsidRDefault="00031A3F">
      <w:r w:rsidRPr="00EE1E0C">
        <w:t>Sedan den 1 januari 1999 handläggs skattebrottsutredningar av skattemy</w:t>
      </w:r>
      <w:r w:rsidRPr="00EE1E0C">
        <w:t>n</w:t>
      </w:r>
      <w:r w:rsidRPr="00EE1E0C">
        <w:t>digheterna. Skattemyndigheten överlämnar sin utredning till åklagaren som avgör huruvida åtal skall väckas eller inte. Skattebrottsmyndigheterna får också utföra förutredningar, förenklade brottsutredningar och spaning. Ekobrotten handläggs sedan den 1 juni 1998 i storstadslänen av Ekobrottsmyndigheten. För övriga län samordnar Ekobrottsmyndigheten under Riksåklagaren åklagarväsendets verksamhet som rör ekobrott. På Ekobrottsmyndigheten arbetar både poliser och åklag</w:t>
      </w:r>
      <w:r w:rsidRPr="00EE1E0C">
        <w:t>a</w:t>
      </w:r>
      <w:r w:rsidRPr="00EE1E0C">
        <w:t>re.</w:t>
      </w:r>
    </w:p>
    <w:p w:rsidR="00031A3F" w:rsidRPr="00EE1E0C" w:rsidRDefault="00031A3F">
      <w:pPr>
        <w:pStyle w:val="Normaltindrag"/>
      </w:pPr>
      <w:r w:rsidRPr="00EE1E0C">
        <w:t>Båda dessa utredningsorganisationer</w:t>
      </w:r>
      <w:r w:rsidRPr="00EE1E0C">
        <w:t xml:space="preserve"> är nya. Revisorerna anser därför att det inte har varit möjligt att granska hur kontakterna mellan polis, åklagare, Ekobrottsmyndigheten och skattemyndigheterna fungerar. Det är också för tidigt att söka bedöma effekterna för åklagarväsendet av förhållandet att Ekobrottsmyndigheten är en myndighet med en myndighetschef som när det gäller administrativa frågor har samma ställning som riksåklag</w:t>
      </w:r>
      <w:r w:rsidRPr="00EE1E0C">
        <w:t>a</w:t>
      </w:r>
      <w:r w:rsidRPr="00EE1E0C">
        <w:t>ren.</w:t>
      </w:r>
    </w:p>
    <w:p w:rsidR="00031A3F" w:rsidRPr="00EE1E0C" w:rsidRDefault="00031A3F">
      <w:pPr>
        <w:pStyle w:val="Normaltindrag"/>
      </w:pPr>
      <w:r w:rsidRPr="00EE1E0C">
        <w:t>Ett uppmärksammat problem är delgivning av stämning eller kallelse till förhandling i brottmål. Domstolsverket</w:t>
      </w:r>
      <w:r w:rsidRPr="00EE1E0C">
        <w:t xml:space="preserve"> genomförde en undersökning under april och maj 1998 av 20 tingsrätter (skrivelse till Justitiedepartementet, Dnr 267–1998). Av samtliga huvudförhandlingar ställdes 26 procent in. Av det totala antalet inställda förhandlingar ställdes drygt en tredjedel in samma dag. Av dessa ställdes 33 procent in p.g.a. att tilltalad, målsägande eller vittne inte gått att nå för delgivning. Revisorerna har för avsikt att genomföra ett informationsbesök under 1999 som avser delgivning. Frågor som rör delgivning tas därför </w:t>
      </w:r>
      <w:r w:rsidRPr="00EE1E0C">
        <w:t>inte upp i ra</w:t>
      </w:r>
      <w:r w:rsidRPr="00EE1E0C">
        <w:t>p</w:t>
      </w:r>
      <w:r w:rsidRPr="00EE1E0C">
        <w:t>porten.</w:t>
      </w:r>
      <w:r w:rsidRPr="00EE1E0C">
        <w:rPr>
          <w:rStyle w:val="Fotnotsreferens"/>
        </w:rPr>
        <w:footnoteReference w:id="1"/>
      </w:r>
    </w:p>
    <w:p w:rsidR="00031A3F" w:rsidRPr="00EE1E0C" w:rsidRDefault="00031A3F">
      <w:pPr>
        <w:pStyle w:val="Rubrik2"/>
      </w:pPr>
      <w:bookmarkStart w:id="96" w:name="_Toc466264145"/>
      <w:r w:rsidRPr="00EE1E0C">
        <w:t>Rapportens uppläggning</w:t>
      </w:r>
      <w:bookmarkEnd w:id="94"/>
      <w:bookmarkEnd w:id="96"/>
    </w:p>
    <w:p w:rsidR="00031A3F" w:rsidRPr="00EE1E0C" w:rsidRDefault="00031A3F">
      <w:r w:rsidRPr="00EE1E0C">
        <w:t>I rapportens första del redogör revisorerna för polis- och åklagarväsendena vad avser mål, personal, organisation, ekonomi och prestationer. Vad gäller tingsrätterna och häktena omfattar beskrivningen främst deras geografiska placering och organisation. När det gäller tingsrätterna behandlas också frågan hur verksamheten påverkats av omorganisationerna av polis- och åklagarväse</w:t>
      </w:r>
      <w:r w:rsidRPr="00EE1E0C">
        <w:t>n</w:t>
      </w:r>
      <w:r w:rsidRPr="00EE1E0C">
        <w:t xml:space="preserve">dena. </w:t>
      </w:r>
    </w:p>
    <w:p w:rsidR="00031A3F" w:rsidRPr="00EE1E0C" w:rsidRDefault="00031A3F">
      <w:pPr>
        <w:pStyle w:val="Normaltindrag"/>
      </w:pPr>
      <w:r w:rsidRPr="00EE1E0C">
        <w:t>I rapportens andra del presenteras en sammanfattning av granskningsr</w:t>
      </w:r>
      <w:r w:rsidRPr="00EE1E0C">
        <w:t>e</w:t>
      </w:r>
      <w:r w:rsidRPr="00EE1E0C">
        <w:t>sultatet av verksamheterna i Stockholms,  Östergötlands och Västernorrlands län. För varje län beskrivs framför allt hur polis- och åklagarverksamheterna är organiserade, deras ekonomi och prestationer, men också vissa förhålla</w:t>
      </w:r>
      <w:r w:rsidRPr="00EE1E0C">
        <w:t>n</w:t>
      </w:r>
      <w:r w:rsidRPr="00EE1E0C">
        <w:t>den vad gäller tingsrätter och häkten i länen. Samarbetet mellan polis, åkl</w:t>
      </w:r>
      <w:r w:rsidRPr="00EE1E0C">
        <w:t>a</w:t>
      </w:r>
      <w:r w:rsidRPr="00EE1E0C">
        <w:t>gare och tingsrätt beskrivs också. Hela granskningsresultatet från länen kan rekvireras från revisorernas kansli.</w:t>
      </w:r>
    </w:p>
    <w:p w:rsidR="00031A3F" w:rsidRPr="00EE1E0C" w:rsidRDefault="00031A3F">
      <w:pPr>
        <w:pStyle w:val="Normaltindrag"/>
      </w:pPr>
      <w:r w:rsidRPr="00EE1E0C">
        <w:t>I rapportens tredje del behandlas polisens och åklagarnas prestationer, framför allt i de tre</w:t>
      </w:r>
      <w:r w:rsidRPr="00EE1E0C">
        <w:t xml:space="preserve"> länen. Förundersökningarnas kvalitet ägnas särskild uppmärksamhet. Här presenteras också resultatet av kartläggningen av fö</w:t>
      </w:r>
      <w:r w:rsidRPr="00EE1E0C">
        <w:t>r</w:t>
      </w:r>
      <w:r w:rsidRPr="00EE1E0C">
        <w:t>undersökningsarbetet och de fyra enkätundersökningar som genomförts. Revisorernas överväganden och förslag återfinns i rapportens fjärde d</w:t>
      </w:r>
      <w:r w:rsidRPr="00EE1E0C">
        <w:t>e</w:t>
      </w:r>
      <w:r w:rsidRPr="00EE1E0C">
        <w:t xml:space="preserve">l. </w:t>
      </w:r>
    </w:p>
    <w:p w:rsidR="00031A3F" w:rsidRPr="00EE1E0C" w:rsidRDefault="00031A3F">
      <w:pPr>
        <w:pStyle w:val="Normaltindrag"/>
      </w:pPr>
    </w:p>
    <w:p w:rsidR="00031A3F" w:rsidRPr="00EE1E0C" w:rsidRDefault="00031A3F">
      <w:pPr>
        <w:pStyle w:val="Rubrik1"/>
      </w:pPr>
      <w:r w:rsidRPr="00EE1E0C">
        <w:br w:type="page"/>
      </w:r>
      <w:bookmarkStart w:id="97" w:name="_Toc448905718"/>
      <w:bookmarkStart w:id="98" w:name="_Toc466264146"/>
      <w:r w:rsidRPr="00EE1E0C">
        <w:t>Del 1  Rättsväsendet</w:t>
      </w:r>
      <w:bookmarkEnd w:id="97"/>
      <w:r w:rsidRPr="00EE1E0C">
        <w:t xml:space="preserve"> i reformer och siffror</w:t>
      </w:r>
      <w:bookmarkEnd w:id="98"/>
    </w:p>
    <w:p w:rsidR="00031A3F" w:rsidRPr="00EE1E0C" w:rsidRDefault="00031A3F">
      <w:r w:rsidRPr="00EE1E0C">
        <w:t>Med begreppet rättsväsendet avser revisorerna i denna rapport polis- och åklagarväsendena (inklusive Ekobrottsmyndigheten), domstolsväsendet och kriminalvården. Polisväsendet, åklagarväsendet, domstolsväsendet och kr</w:t>
      </w:r>
      <w:r w:rsidRPr="00EE1E0C">
        <w:t>i</w:t>
      </w:r>
      <w:r w:rsidRPr="00EE1E0C">
        <w:t>minalvården går ibland under benämningen rättskedjan. Riksrevisionsverket har i en rapport motiverat  förekomsten av begreppet med att det är dessa myndighetsområden som är direkt inblandade i handläggningen av ärenden från brottsanmälan till kriminalvårdspåföljd (RRV 1996). Verket menar att ansvaret för att beivra brott på ett snabbt och rättssäkert sätt skapar ett ber</w:t>
      </w:r>
      <w:r w:rsidRPr="00EE1E0C">
        <w:t>o</w:t>
      </w:r>
      <w:r w:rsidRPr="00EE1E0C">
        <w:t xml:space="preserve">ende mellan myndigheterna. I och med att myndigheterna ansvarar för olika delar av brottsbekämpningen förutsätts informationsutbyte, viss </w:t>
      </w:r>
      <w:r w:rsidRPr="00EE1E0C">
        <w:t>gemensam planering och samarbete. Kritiker till rättskedjebegreppet menar att dom</w:t>
      </w:r>
      <w:r w:rsidRPr="00EE1E0C">
        <w:softHyphen/>
        <w:t>stols</w:t>
      </w:r>
      <w:r w:rsidRPr="00EE1E0C">
        <w:softHyphen/>
      </w:r>
      <w:r w:rsidRPr="00EE1E0C">
        <w:softHyphen/>
      </w:r>
      <w:r w:rsidRPr="00EE1E0C">
        <w:softHyphen/>
      </w:r>
      <w:r w:rsidRPr="00EE1E0C">
        <w:softHyphen/>
        <w:t>väsendet inte bör räknas in i rättskedjan. Domstolarnas uppgift är inte att beivra brott, utan att lösa tvister. I tvisten är den tilltalade och åklagaren jämbördiga parter inför domstolen. Domstolens uppgift är inte att fälla den tilltal</w:t>
      </w:r>
      <w:r w:rsidRPr="00EE1E0C">
        <w:t>a</w:t>
      </w:r>
      <w:r w:rsidRPr="00EE1E0C">
        <w:t xml:space="preserve">de. </w:t>
      </w:r>
    </w:p>
    <w:p w:rsidR="00031A3F" w:rsidRPr="00EE1E0C" w:rsidRDefault="00031A3F">
      <w:pPr>
        <w:pStyle w:val="Normaltindrag"/>
      </w:pPr>
      <w:r w:rsidRPr="00EE1E0C">
        <w:t>Andra definitioner av rättsväsendet är möjliga. En vidare definition inn</w:t>
      </w:r>
      <w:r w:rsidRPr="00EE1E0C">
        <w:t>e</w:t>
      </w:r>
      <w:r w:rsidRPr="00EE1E0C">
        <w:t>bär att samtliga de myndigheter som lyder under Justitiedepartementet, dvs. också bl.a. Justitiekanslern, Datainspektionen, Brottsförebyggande rådet och Brottsoffermyndigheten innefattas i rättsväsendet. En tredje möjlighet är att till rättsväsendet hänföra de verksamheter som hör till utgiftsområde 4 enligt indelningen av statsbudgets utgifter i utgiftsområden. Utgiftsområde 4 o</w:t>
      </w:r>
      <w:r w:rsidRPr="00EE1E0C">
        <w:t>m</w:t>
      </w:r>
      <w:r w:rsidRPr="00EE1E0C">
        <w:t>fattar polisväsendet, åklagarväsendet, domstolsväsendet, kriminalvården, rättshjälpen, kronofogdemyndigheterna, Brottsförebyggan</w:t>
      </w:r>
      <w:r w:rsidRPr="00EE1E0C">
        <w:t>de rådet, Rättsm</w:t>
      </w:r>
      <w:r w:rsidRPr="00EE1E0C">
        <w:t>e</w:t>
      </w:r>
      <w:r w:rsidRPr="00EE1E0C">
        <w:t>dicinalverket, Gentekniknämnden, Brottsoffermyndigheten och de allmänna advokatbyr</w:t>
      </w:r>
      <w:r w:rsidRPr="00EE1E0C">
        <w:t>å</w:t>
      </w:r>
      <w:r w:rsidRPr="00EE1E0C">
        <w:t xml:space="preserve">erna. </w:t>
      </w:r>
    </w:p>
    <w:p w:rsidR="00031A3F" w:rsidRPr="00EE1E0C" w:rsidRDefault="00031A3F">
      <w:pPr>
        <w:pStyle w:val="Rubrik2"/>
      </w:pPr>
      <w:bookmarkStart w:id="99" w:name="_Toc448905719"/>
      <w:bookmarkStart w:id="100" w:name="_Toc466264147"/>
      <w:r w:rsidRPr="00EE1E0C">
        <w:t>Är rättsväsendet en enhet?</w:t>
      </w:r>
      <w:bookmarkEnd w:id="99"/>
      <w:bookmarkEnd w:id="100"/>
    </w:p>
    <w:p w:rsidR="00031A3F" w:rsidRPr="00EE1E0C" w:rsidRDefault="00031A3F">
      <w:r w:rsidRPr="00EE1E0C">
        <w:t>Rättsväsendet har sedan 1997 ett gemensamt övergripande mål och ett öve</w:t>
      </w:r>
      <w:r w:rsidRPr="00EE1E0C">
        <w:t>r</w:t>
      </w:r>
      <w:r w:rsidRPr="00EE1E0C">
        <w:t>ordnat kriminalpolitiskt mål. Rättsväsendets övergripande mål är den enski</w:t>
      </w:r>
      <w:r w:rsidRPr="00EE1E0C">
        <w:t>l</w:t>
      </w:r>
      <w:r w:rsidRPr="00EE1E0C">
        <w:t>des rättstrygghet och rättssäkerhet. Det kriminalpolitiska målet är att minska brottsligheten och öka människornas trygghet (prop. 1998/99:1, bet. 1998/99:JuU1, rskr. 1998/99:80). Vissa gemensamma uppgifter och priorit</w:t>
      </w:r>
      <w:r w:rsidRPr="00EE1E0C">
        <w:t>e</w:t>
      </w:r>
      <w:r w:rsidRPr="00EE1E0C">
        <w:t>ringar förekommer också inom rättsväsendet, framför allt för polisväsendet och åklagarväsendet. Exempelvis skall polisen och åklagarna i samarbete höja förundersökningarnas kvalitet och man skall prioritera kampen mot</w:t>
      </w:r>
      <w:r w:rsidRPr="00EE1E0C">
        <w:t xml:space="preserve"> våld</w:t>
      </w:r>
      <w:r w:rsidRPr="00EE1E0C">
        <w:t>s</w:t>
      </w:r>
      <w:r w:rsidRPr="00EE1E0C">
        <w:t>brott, narkotikabrott och ekonomisk brottslighet.</w:t>
      </w:r>
    </w:p>
    <w:p w:rsidR="00031A3F" w:rsidRPr="00EE1E0C" w:rsidRDefault="00031A3F">
      <w:pPr>
        <w:pStyle w:val="Normaltindrag"/>
      </w:pPr>
      <w:r w:rsidRPr="00EE1E0C">
        <w:t xml:space="preserve">Omorganisationerna inom rättsväsendets område har dock inte präglats av enhetlighet. Som framgår nedan har dessa genomförts utan samordning vad gäller tid eller regional och lokal indelning. </w:t>
      </w:r>
    </w:p>
    <w:p w:rsidR="00031A3F" w:rsidRPr="00EE1E0C" w:rsidRDefault="00031A3F">
      <w:pPr>
        <w:pStyle w:val="Rubrik2"/>
      </w:pPr>
      <w:bookmarkStart w:id="101" w:name="_Toc448905720"/>
      <w:bookmarkStart w:id="102" w:name="_Toc466264148"/>
      <w:r w:rsidRPr="00EE1E0C">
        <w:t>Omorganisationer inom rättsväsendet</w:t>
      </w:r>
      <w:bookmarkEnd w:id="101"/>
      <w:bookmarkEnd w:id="102"/>
    </w:p>
    <w:p w:rsidR="00031A3F" w:rsidRPr="00EE1E0C" w:rsidRDefault="00031A3F">
      <w:r w:rsidRPr="00EE1E0C">
        <w:t>1965 förstatligades åklagar-, polis- och exekutionsväsendet. I huvudsak innebar detta att verksamheten centraliserades. Antalet distrikt minskade kraftigt och man strävade efter att rationalisera verksamheten. Polisens och åklagarnas distriktsindelning överensstämde inte vare sig före eller efter förstatligandet. År 1965 övertog staten också huvudmannaskapet för rådhu</w:t>
      </w:r>
      <w:r w:rsidRPr="00EE1E0C">
        <w:t>s</w:t>
      </w:r>
      <w:r w:rsidRPr="00EE1E0C">
        <w:t xml:space="preserve">rätterna. År 1969 beslutade riksdagen om en ny enhetlig organisation för de allmänna underrätterna. </w:t>
      </w:r>
    </w:p>
    <w:p w:rsidR="00031A3F" w:rsidRPr="00EE1E0C" w:rsidRDefault="00031A3F">
      <w:pPr>
        <w:pStyle w:val="Normaltindrag"/>
      </w:pPr>
      <w:r w:rsidRPr="00EE1E0C">
        <w:t>Sedan förstatligandet av polisväsendet 1965 har polisen omorganiserats vid ett flertal tillfällen. Under 1990-talet har antalet polismyndigheter min</w:t>
      </w:r>
      <w:r w:rsidRPr="00EE1E0C">
        <w:softHyphen/>
        <w:t>skat kraftigt och delar av verksamheten har i och med detta centraliserats till länsmyndigheterna. Vidare har det probl</w:t>
      </w:r>
      <w:r w:rsidRPr="00EE1E0C">
        <w:t>e</w:t>
      </w:r>
      <w:r w:rsidRPr="00EE1E0C">
        <w:t>morienterade arbetssättet införts.</w:t>
      </w:r>
    </w:p>
    <w:p w:rsidR="00031A3F" w:rsidRPr="00EE1E0C" w:rsidRDefault="00031A3F">
      <w:pPr>
        <w:pStyle w:val="Normaltindrag"/>
      </w:pPr>
      <w:r w:rsidRPr="00EE1E0C">
        <w:t>Vid förstatligandet 1965 minskade antalet åklagardistrikt från 383 till 90. Sedan 1965 har ytterligare två omorganisationer genomförts. År 1985 min</w:t>
      </w:r>
      <w:r w:rsidRPr="00EE1E0C">
        <w:t>s</w:t>
      </w:r>
      <w:r w:rsidRPr="00EE1E0C">
        <w:t>kades antalet regionala myndigheter och år 1996 minskades såväl antalet regionala som antalet lokala myndigheter. Avsikten med 1996 års omorgan</w:t>
      </w:r>
      <w:r w:rsidRPr="00EE1E0C">
        <w:t>i</w:t>
      </w:r>
      <w:r w:rsidRPr="00EE1E0C">
        <w:t>sation var bl.a. att beslut som rör den brottsbeivrande verksamheten skulle decentraliseras medan andra beslut skulle centr</w:t>
      </w:r>
      <w:r w:rsidRPr="00EE1E0C">
        <w:t>a</w:t>
      </w:r>
      <w:r w:rsidRPr="00EE1E0C">
        <w:t>liseras.</w:t>
      </w:r>
    </w:p>
    <w:p w:rsidR="00031A3F" w:rsidRPr="00EE1E0C" w:rsidRDefault="00031A3F">
      <w:pPr>
        <w:pStyle w:val="Normaltindrag"/>
      </w:pPr>
      <w:r w:rsidRPr="00EE1E0C">
        <w:t>Förändringarna på tingsrätternas område har främst rört domstolarnas a</w:t>
      </w:r>
      <w:r w:rsidRPr="00EE1E0C">
        <w:t>r</w:t>
      </w:r>
      <w:r w:rsidRPr="00EE1E0C">
        <w:t xml:space="preserve">betsformer. År 1995 tillsattes Domstolskommittén med uppdrag att förändra bl.a. tingsrätternas geografiska placering. Något förslag till ny organisation lämnades dock inte av kommittén.  </w:t>
      </w:r>
    </w:p>
    <w:p w:rsidR="00031A3F" w:rsidRPr="00EE1E0C" w:rsidRDefault="00031A3F">
      <w:pPr>
        <w:pStyle w:val="Normaltindrag"/>
      </w:pPr>
      <w:r w:rsidRPr="00EE1E0C">
        <w:t>Kriminalvården omorganiserades den 1 januari 1998 då antalet myndi</w:t>
      </w:r>
      <w:r w:rsidRPr="00EE1E0C">
        <w:t>g</w:t>
      </w:r>
      <w:r w:rsidRPr="00EE1E0C">
        <w:t>heter minskade. Den nya organisationen innebär att häktes-, anstalts- och frivårdsver</w:t>
      </w:r>
      <w:r w:rsidRPr="00EE1E0C">
        <w:t>k</w:t>
      </w:r>
      <w:r w:rsidRPr="00EE1E0C">
        <w:t>samhet skall bedrivas inom samma lokala myndigheter.</w:t>
      </w:r>
    </w:p>
    <w:p w:rsidR="00031A3F" w:rsidRPr="00EE1E0C" w:rsidRDefault="00031A3F">
      <w:pPr>
        <w:pStyle w:val="Rubrik2"/>
      </w:pPr>
      <w:bookmarkStart w:id="103" w:name="_Toc442690108"/>
      <w:bookmarkStart w:id="104" w:name="_Toc448905721"/>
      <w:bookmarkStart w:id="105" w:name="_Toc466264149"/>
      <w:r w:rsidRPr="00EE1E0C">
        <w:t>Rättsväsendets ekonomi</w:t>
      </w:r>
      <w:bookmarkEnd w:id="103"/>
      <w:bookmarkEnd w:id="104"/>
      <w:bookmarkEnd w:id="105"/>
    </w:p>
    <w:p w:rsidR="00031A3F" w:rsidRPr="00EE1E0C" w:rsidRDefault="00031A3F">
      <w:r w:rsidRPr="00EE1E0C">
        <w:t>Fördelningen av anslagen under Justitiedepartementet för budgetåret 1999 framgår av nedanstående tabell</w:t>
      </w:r>
      <w:r w:rsidRPr="00EE1E0C">
        <w:rPr>
          <w:b/>
          <w:i/>
        </w:rPr>
        <w:t xml:space="preserve"> </w:t>
      </w:r>
      <w:r w:rsidRPr="00EE1E0C">
        <w:t>(prop. 1998/99:1, bet. 1998/99:JuU1, rskr. 1998/99:81). Rättsväsendet kostar närmare 22 miljarder kronor under ett år vilket motsvarar 60 miljoner kronor per dag. Varje person betalar 2 500 kronor och varje hushåll 5 700 kronor per år för de verksamheter som b</w:t>
      </w:r>
      <w:r w:rsidRPr="00EE1E0C">
        <w:t>e</w:t>
      </w:r>
      <w:r w:rsidRPr="00EE1E0C">
        <w:t xml:space="preserve">drivs inom rättsväsendet. </w:t>
      </w:r>
    </w:p>
    <w:p w:rsidR="00031A3F" w:rsidRPr="00EE1E0C" w:rsidRDefault="00031A3F">
      <w:pPr>
        <w:pStyle w:val="Normaltindrag"/>
      </w:pPr>
    </w:p>
    <w:p w:rsidR="00031A3F" w:rsidRPr="00EE1E0C" w:rsidRDefault="00031A3F">
      <w:pPr>
        <w:pStyle w:val="Tabellrubrik"/>
      </w:pPr>
      <w:r w:rsidRPr="00EE1E0C">
        <w:t>Tabell 1.1 Fördelning av anslag inom rättsväsendet år 1999</w:t>
      </w:r>
    </w:p>
    <w:p w:rsidR="00031A3F" w:rsidRPr="00EE1E0C" w:rsidRDefault="00031A3F">
      <w:pPr>
        <w:pStyle w:val="Tabellrubrik"/>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134"/>
        <w:gridCol w:w="992"/>
      </w:tblGrid>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Verksamhetsområde</w:t>
            </w:r>
          </w:p>
        </w:tc>
        <w:tc>
          <w:tcPr>
            <w:tcW w:w="1134" w:type="dxa"/>
          </w:tcPr>
          <w:p w:rsidR="00031A3F" w:rsidRPr="00EE1E0C" w:rsidRDefault="00031A3F">
            <w:pPr>
              <w:pStyle w:val="Normaltindrag"/>
              <w:ind w:firstLine="0"/>
              <w:jc w:val="right"/>
            </w:pPr>
            <w:r w:rsidRPr="00EE1E0C">
              <w:t>Milj. kr.</w:t>
            </w:r>
          </w:p>
        </w:tc>
        <w:tc>
          <w:tcPr>
            <w:tcW w:w="992" w:type="dxa"/>
          </w:tcPr>
          <w:p w:rsidR="00031A3F" w:rsidRPr="00EE1E0C" w:rsidRDefault="00031A3F">
            <w:pPr>
              <w:pStyle w:val="Normaltindrag"/>
              <w:ind w:firstLine="0"/>
              <w:jc w:val="right"/>
            </w:pPr>
            <w:r w:rsidRPr="00EE1E0C">
              <w:t>Procent</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Polisväsendet</w:t>
            </w:r>
          </w:p>
        </w:tc>
        <w:tc>
          <w:tcPr>
            <w:tcW w:w="1134" w:type="dxa"/>
          </w:tcPr>
          <w:p w:rsidR="00031A3F" w:rsidRPr="00EE1E0C" w:rsidRDefault="00031A3F">
            <w:pPr>
              <w:pStyle w:val="Normaltindrag"/>
              <w:ind w:firstLine="0"/>
              <w:jc w:val="right"/>
            </w:pPr>
            <w:r w:rsidRPr="00EE1E0C">
              <w:t>11 974</w:t>
            </w:r>
          </w:p>
        </w:tc>
        <w:tc>
          <w:tcPr>
            <w:tcW w:w="992" w:type="dxa"/>
          </w:tcPr>
          <w:p w:rsidR="00031A3F" w:rsidRPr="00EE1E0C" w:rsidRDefault="00031A3F">
            <w:pPr>
              <w:pStyle w:val="Normaltindrag"/>
              <w:ind w:firstLine="0"/>
              <w:jc w:val="right"/>
            </w:pPr>
            <w:r w:rsidRPr="00EE1E0C">
              <w:t>55 %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Åklagarväsendet</w:t>
            </w:r>
          </w:p>
        </w:tc>
        <w:tc>
          <w:tcPr>
            <w:tcW w:w="1134" w:type="dxa"/>
          </w:tcPr>
          <w:p w:rsidR="00031A3F" w:rsidRPr="00EE1E0C" w:rsidRDefault="00031A3F">
            <w:pPr>
              <w:pStyle w:val="Normaltindrag"/>
              <w:ind w:firstLine="0"/>
              <w:jc w:val="right"/>
            </w:pPr>
            <w:r w:rsidRPr="00EE1E0C">
              <w:t>620</w:t>
            </w:r>
          </w:p>
        </w:tc>
        <w:tc>
          <w:tcPr>
            <w:tcW w:w="992" w:type="dxa"/>
          </w:tcPr>
          <w:p w:rsidR="00031A3F" w:rsidRPr="00EE1E0C" w:rsidRDefault="00031A3F">
            <w:pPr>
              <w:pStyle w:val="Normaltindrag"/>
              <w:ind w:firstLine="0"/>
              <w:jc w:val="right"/>
            </w:pPr>
            <w:r w:rsidRPr="00EE1E0C">
              <w:t>3 %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Ekobrottsmyndigh</w:t>
            </w:r>
            <w:r w:rsidRPr="00EE1E0C">
              <w:t>e</w:t>
            </w:r>
            <w:r w:rsidRPr="00EE1E0C">
              <w:t>ten</w:t>
            </w:r>
          </w:p>
        </w:tc>
        <w:tc>
          <w:tcPr>
            <w:tcW w:w="1134" w:type="dxa"/>
          </w:tcPr>
          <w:p w:rsidR="00031A3F" w:rsidRPr="00EE1E0C" w:rsidRDefault="00031A3F">
            <w:pPr>
              <w:pStyle w:val="Normaltindrag"/>
              <w:ind w:firstLine="0"/>
              <w:jc w:val="right"/>
            </w:pPr>
            <w:r w:rsidRPr="00EE1E0C">
              <w:t>199</w:t>
            </w:r>
          </w:p>
        </w:tc>
        <w:tc>
          <w:tcPr>
            <w:tcW w:w="992" w:type="dxa"/>
          </w:tcPr>
          <w:p w:rsidR="00031A3F" w:rsidRPr="00EE1E0C" w:rsidRDefault="00031A3F">
            <w:pPr>
              <w:pStyle w:val="Normaltindrag"/>
              <w:ind w:firstLine="0"/>
              <w:jc w:val="right"/>
            </w:pPr>
            <w:r w:rsidRPr="00EE1E0C">
              <w:t>1 %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Domstolsväsendet m.m.</w:t>
            </w:r>
          </w:p>
        </w:tc>
        <w:tc>
          <w:tcPr>
            <w:tcW w:w="1134" w:type="dxa"/>
          </w:tcPr>
          <w:p w:rsidR="00031A3F" w:rsidRPr="00EE1E0C" w:rsidRDefault="00031A3F">
            <w:pPr>
              <w:pStyle w:val="Normaltindrag"/>
              <w:ind w:firstLine="0"/>
              <w:jc w:val="right"/>
            </w:pPr>
            <w:r w:rsidRPr="00EE1E0C">
              <w:t>3 057</w:t>
            </w:r>
          </w:p>
        </w:tc>
        <w:tc>
          <w:tcPr>
            <w:tcW w:w="992" w:type="dxa"/>
          </w:tcPr>
          <w:p w:rsidR="00031A3F" w:rsidRPr="00EE1E0C" w:rsidRDefault="00031A3F">
            <w:pPr>
              <w:pStyle w:val="Normaltindrag"/>
              <w:ind w:firstLine="0"/>
              <w:jc w:val="right"/>
            </w:pPr>
            <w:r w:rsidRPr="00EE1E0C">
              <w:t>14 %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Kriminalvården</w:t>
            </w:r>
          </w:p>
        </w:tc>
        <w:tc>
          <w:tcPr>
            <w:tcW w:w="1134" w:type="dxa"/>
          </w:tcPr>
          <w:p w:rsidR="00031A3F" w:rsidRPr="00EE1E0C" w:rsidRDefault="00031A3F">
            <w:pPr>
              <w:pStyle w:val="Normaltindrag"/>
              <w:ind w:firstLine="0"/>
              <w:jc w:val="right"/>
            </w:pPr>
            <w:r w:rsidRPr="00EE1E0C">
              <w:t>3 639</w:t>
            </w:r>
          </w:p>
        </w:tc>
        <w:tc>
          <w:tcPr>
            <w:tcW w:w="992" w:type="dxa"/>
          </w:tcPr>
          <w:p w:rsidR="00031A3F" w:rsidRPr="00EE1E0C" w:rsidRDefault="00031A3F">
            <w:pPr>
              <w:pStyle w:val="Normaltindrag"/>
              <w:ind w:firstLine="0"/>
              <w:jc w:val="right"/>
            </w:pPr>
            <w:r w:rsidRPr="00EE1E0C">
              <w:t>16 %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Övrigt*</w:t>
            </w:r>
          </w:p>
        </w:tc>
        <w:tc>
          <w:tcPr>
            <w:tcW w:w="1134" w:type="dxa"/>
          </w:tcPr>
          <w:p w:rsidR="00031A3F" w:rsidRPr="00EE1E0C" w:rsidRDefault="00031A3F">
            <w:pPr>
              <w:pStyle w:val="Normaltindrag"/>
              <w:ind w:firstLine="0"/>
              <w:jc w:val="right"/>
            </w:pPr>
            <w:r w:rsidRPr="00EE1E0C">
              <w:t>2 430</w:t>
            </w:r>
          </w:p>
        </w:tc>
        <w:tc>
          <w:tcPr>
            <w:tcW w:w="992" w:type="dxa"/>
          </w:tcPr>
          <w:p w:rsidR="00031A3F" w:rsidRPr="00EE1E0C" w:rsidRDefault="00031A3F">
            <w:pPr>
              <w:pStyle w:val="Normaltindrag"/>
              <w:ind w:firstLine="0"/>
              <w:jc w:val="right"/>
            </w:pPr>
            <w:r w:rsidRPr="00EE1E0C">
              <w:t>11 %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Totalt</w:t>
            </w:r>
          </w:p>
        </w:tc>
        <w:tc>
          <w:tcPr>
            <w:tcW w:w="1134" w:type="dxa"/>
          </w:tcPr>
          <w:p w:rsidR="00031A3F" w:rsidRPr="00EE1E0C" w:rsidRDefault="00031A3F">
            <w:pPr>
              <w:pStyle w:val="Normaltindrag"/>
              <w:ind w:firstLine="0"/>
              <w:jc w:val="right"/>
            </w:pPr>
            <w:r w:rsidRPr="00EE1E0C">
              <w:t>21 919</w:t>
            </w:r>
          </w:p>
        </w:tc>
        <w:tc>
          <w:tcPr>
            <w:tcW w:w="992" w:type="dxa"/>
          </w:tcPr>
          <w:p w:rsidR="00031A3F" w:rsidRPr="00EE1E0C" w:rsidRDefault="00031A3F">
            <w:pPr>
              <w:pStyle w:val="Normaltindrag"/>
              <w:ind w:firstLine="0"/>
              <w:jc w:val="right"/>
            </w:pPr>
            <w:r w:rsidRPr="00EE1E0C">
              <w:t>100 %</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 xml:space="preserve">Källa: Prop. 1998/99:1. *Under posten övrigt ingår </w:t>
      </w:r>
    </w:p>
    <w:p w:rsidR="00031A3F" w:rsidRPr="00EE1E0C" w:rsidRDefault="00031A3F">
      <w:pPr>
        <w:pStyle w:val="Tabellrubrik"/>
        <w:rPr>
          <w:b w:val="0"/>
          <w:i/>
        </w:rPr>
      </w:pPr>
      <w:r w:rsidRPr="00EE1E0C">
        <w:rPr>
          <w:b w:val="0"/>
          <w:i/>
        </w:rPr>
        <w:t>anslag till bl.a. Kronofogdemy</w:t>
      </w:r>
      <w:r w:rsidRPr="00EE1E0C">
        <w:rPr>
          <w:b w:val="0"/>
          <w:i/>
        </w:rPr>
        <w:t>n</w:t>
      </w:r>
      <w:r w:rsidRPr="00EE1E0C">
        <w:rPr>
          <w:b w:val="0"/>
          <w:i/>
        </w:rPr>
        <w:t>digheterna, Rätts-</w:t>
      </w:r>
    </w:p>
    <w:p w:rsidR="00031A3F" w:rsidRPr="00EE1E0C" w:rsidRDefault="00031A3F">
      <w:pPr>
        <w:pStyle w:val="Tabellrubrik"/>
        <w:rPr>
          <w:b w:val="0"/>
          <w:i/>
        </w:rPr>
      </w:pPr>
      <w:r w:rsidRPr="00EE1E0C">
        <w:rPr>
          <w:b w:val="0"/>
          <w:i/>
        </w:rPr>
        <w:t>medicinalverket och ersättning för skador på grund av brott.</w:t>
      </w:r>
    </w:p>
    <w:p w:rsidR="00031A3F" w:rsidRPr="00EE1E0C" w:rsidRDefault="00031A3F">
      <w:r w:rsidRPr="00EE1E0C">
        <w:t>Av diagrammet nedan kan utläsas att medelsförbrukningen inom rättsväse</w:t>
      </w:r>
      <w:r w:rsidRPr="00EE1E0C">
        <w:t>n</w:t>
      </w:r>
      <w:r w:rsidRPr="00EE1E0C">
        <w:t>det sammantaget har ökat under 1990-talet. Förbrukningen ökade i början av 1990-talet, sjönk år 1993 men ökade därefter. Fastprisberäkningen är gjord med hjälp av konsumentprisindex. Budgetåret 1995/96 var 18 månader men har här räknats om så att förbrukningen beräknas motsvara genomsnittsfö</w:t>
      </w:r>
      <w:r w:rsidRPr="00EE1E0C">
        <w:t>r</w:t>
      </w:r>
      <w:r w:rsidRPr="00EE1E0C">
        <w:t>brukningen under 12 mån</w:t>
      </w:r>
      <w:r w:rsidRPr="00EE1E0C">
        <w:t>a</w:t>
      </w:r>
      <w:r w:rsidRPr="00EE1E0C">
        <w:t xml:space="preserve">der. </w:t>
      </w:r>
    </w:p>
    <w:p w:rsidR="00031A3F" w:rsidRPr="00EE1E0C" w:rsidRDefault="00031A3F">
      <w:pPr>
        <w:pStyle w:val="Tabellrubrik"/>
        <w:rPr>
          <w:b w:val="0"/>
          <w:i/>
        </w:rPr>
      </w:pPr>
      <w:r w:rsidRPr="00EE1E0C">
        <w:object w:dxaOrig="2887" w:dyaOrig="2923">
          <v:shape id="_x0000_s1091" type="#_x0000_t75" style="position:absolute;left:0;text-align:left;margin-left:-6.3pt;margin-top:6.9pt;width:338.4pt;height:246.4pt;z-index:251680256;mso-position-horizontal:absolute;mso-position-horizontal-relative:text;mso-position-vertical:absolute;mso-position-vertical-relative:text" o:allowincell="f">
            <v:imagedata r:id="rId19" o:title=""/>
            <w10:wrap type="topAndBottom"/>
          </v:shape>
          <o:OLEObject Type="Embed" ProgID="Excel.Sheet.8" ShapeID="_x0000_s1091" DrawAspect="Content" ObjectID="_1827346932" r:id="rId20"/>
        </w:object>
      </w:r>
      <w:r w:rsidRPr="00EE1E0C">
        <w:rPr>
          <w:b w:val="0"/>
          <w:i/>
        </w:rPr>
        <w:t>* Budgetåret 1995/96 är beräknat på 12 månader</w:t>
      </w:r>
    </w:p>
    <w:p w:rsidR="00031A3F" w:rsidRPr="00EE1E0C" w:rsidRDefault="00031A3F">
      <w:pPr>
        <w:pStyle w:val="Tabellrubrik"/>
        <w:rPr>
          <w:b w:val="0"/>
          <w:i/>
        </w:rPr>
      </w:pPr>
      <w:r w:rsidRPr="00EE1E0C">
        <w:rPr>
          <w:b w:val="0"/>
          <w:i/>
        </w:rPr>
        <w:t>Källa: Statsbudgetens utfall 1980/81-1997 och Ekonomistyrningsverket. Egen bea</w:t>
      </w:r>
      <w:r w:rsidRPr="00EE1E0C">
        <w:rPr>
          <w:b w:val="0"/>
          <w:i/>
        </w:rPr>
        <w:t>r</w:t>
      </w:r>
      <w:r w:rsidRPr="00EE1E0C">
        <w:rPr>
          <w:b w:val="0"/>
          <w:i/>
        </w:rPr>
        <w:t xml:space="preserve">betning. </w:t>
      </w:r>
    </w:p>
    <w:p w:rsidR="00031A3F" w:rsidRPr="00EE1E0C" w:rsidRDefault="00031A3F">
      <w:r w:rsidRPr="00EE1E0C">
        <w:t>Nedanstående tabell anger rättsväsendets medelsförbrukning per invånare och år under åren 1980/81–1998. Av tabellen framgår att förbrukningen har ökat. År 1998 uppgick beloppet till det högsta under den undersökta peri</w:t>
      </w:r>
      <w:r w:rsidRPr="00EE1E0C">
        <w:t>o</w:t>
      </w:r>
      <w:r w:rsidRPr="00EE1E0C">
        <w:t xml:space="preserve">den. Enligt anslaget för 1999 skulle förbrukningen per person öka ytterligare för år 1999. </w:t>
      </w:r>
    </w:p>
    <w:p w:rsidR="00031A3F" w:rsidRPr="00EE1E0C" w:rsidRDefault="00031A3F">
      <w:pPr>
        <w:pStyle w:val="Normaltindrag"/>
      </w:pPr>
    </w:p>
    <w:p w:rsidR="00031A3F" w:rsidRPr="00EE1E0C" w:rsidRDefault="00031A3F">
      <w:pPr>
        <w:pStyle w:val="Tabellrubrik"/>
      </w:pPr>
      <w:r w:rsidRPr="00EE1E0C">
        <w:t xml:space="preserve">Tabell 1.2 Rättsväsendets förbrukning per invånare, </w:t>
      </w:r>
    </w:p>
    <w:p w:rsidR="00031A3F" w:rsidRPr="00EE1E0C" w:rsidRDefault="00031A3F">
      <w:pPr>
        <w:pStyle w:val="Tabellrubrik"/>
      </w:pPr>
      <w:r w:rsidRPr="00EE1E0C">
        <w:t>1998 års priser, åren 1980/81-1997</w:t>
      </w:r>
    </w:p>
    <w:p w:rsidR="00031A3F" w:rsidRPr="00EE1E0C" w:rsidRDefault="00031A3F">
      <w:pPr>
        <w:pStyle w:val="Tabellrubrik"/>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559"/>
        <w:gridCol w:w="851"/>
        <w:gridCol w:w="992"/>
      </w:tblGrid>
      <w:tr w:rsidR="00000000" w:rsidRPr="00EE1E0C">
        <w:tblPrEx>
          <w:tblCellMar>
            <w:top w:w="0" w:type="dxa"/>
            <w:bottom w:w="0" w:type="dxa"/>
          </w:tblCellMar>
        </w:tblPrEx>
        <w:tc>
          <w:tcPr>
            <w:tcW w:w="921" w:type="dxa"/>
          </w:tcPr>
          <w:p w:rsidR="00031A3F" w:rsidRPr="00EE1E0C" w:rsidRDefault="00031A3F">
            <w:pPr>
              <w:pStyle w:val="Normaltindrag"/>
              <w:ind w:firstLine="0"/>
              <w:jc w:val="center"/>
            </w:pPr>
            <w:r w:rsidRPr="00EE1E0C">
              <w:t>År</w:t>
            </w:r>
          </w:p>
        </w:tc>
        <w:tc>
          <w:tcPr>
            <w:tcW w:w="1559" w:type="dxa"/>
          </w:tcPr>
          <w:p w:rsidR="00031A3F" w:rsidRPr="00EE1E0C" w:rsidRDefault="00031A3F">
            <w:pPr>
              <w:pStyle w:val="Normaltindrag"/>
              <w:ind w:firstLine="0"/>
              <w:jc w:val="center"/>
            </w:pPr>
            <w:r w:rsidRPr="00EE1E0C">
              <w:t>Förbru</w:t>
            </w:r>
            <w:r w:rsidRPr="00EE1E0C">
              <w:t>k</w:t>
            </w:r>
            <w:r w:rsidRPr="00EE1E0C">
              <w:t>ning/pers</w:t>
            </w:r>
          </w:p>
        </w:tc>
        <w:tc>
          <w:tcPr>
            <w:tcW w:w="851" w:type="dxa"/>
          </w:tcPr>
          <w:p w:rsidR="00031A3F" w:rsidRPr="00EE1E0C" w:rsidRDefault="00031A3F">
            <w:pPr>
              <w:pStyle w:val="Normaltindrag"/>
              <w:ind w:firstLine="0"/>
              <w:jc w:val="right"/>
            </w:pPr>
            <w:r w:rsidRPr="00EE1E0C">
              <w:t>1989/90</w:t>
            </w:r>
          </w:p>
        </w:tc>
        <w:tc>
          <w:tcPr>
            <w:tcW w:w="992" w:type="dxa"/>
          </w:tcPr>
          <w:p w:rsidR="00031A3F" w:rsidRPr="00EE1E0C" w:rsidRDefault="00031A3F">
            <w:pPr>
              <w:pStyle w:val="Normaltindrag"/>
              <w:ind w:firstLine="0"/>
              <w:jc w:val="right"/>
            </w:pPr>
            <w:r w:rsidRPr="00EE1E0C">
              <w:t>2 279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1980/81</w:t>
            </w:r>
          </w:p>
        </w:tc>
        <w:tc>
          <w:tcPr>
            <w:tcW w:w="1559" w:type="dxa"/>
          </w:tcPr>
          <w:p w:rsidR="00031A3F" w:rsidRPr="00EE1E0C" w:rsidRDefault="00031A3F">
            <w:pPr>
              <w:pStyle w:val="Normaltindrag"/>
              <w:ind w:firstLine="0"/>
              <w:jc w:val="right"/>
            </w:pPr>
            <w:r w:rsidRPr="00EE1E0C">
              <w:t>2 069 kr</w:t>
            </w:r>
          </w:p>
        </w:tc>
        <w:tc>
          <w:tcPr>
            <w:tcW w:w="851" w:type="dxa"/>
          </w:tcPr>
          <w:p w:rsidR="00031A3F" w:rsidRPr="00EE1E0C" w:rsidRDefault="00031A3F">
            <w:pPr>
              <w:pStyle w:val="Normaltindrag"/>
              <w:ind w:firstLine="0"/>
              <w:jc w:val="right"/>
            </w:pPr>
            <w:r w:rsidRPr="00EE1E0C">
              <w:t>1990/91</w:t>
            </w:r>
          </w:p>
        </w:tc>
        <w:tc>
          <w:tcPr>
            <w:tcW w:w="992" w:type="dxa"/>
          </w:tcPr>
          <w:p w:rsidR="00031A3F" w:rsidRPr="00EE1E0C" w:rsidRDefault="00031A3F">
            <w:pPr>
              <w:pStyle w:val="Normaltindrag"/>
              <w:ind w:firstLine="0"/>
              <w:jc w:val="right"/>
            </w:pPr>
            <w:r w:rsidRPr="00EE1E0C">
              <w:t>2 347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1981/82</w:t>
            </w:r>
          </w:p>
        </w:tc>
        <w:tc>
          <w:tcPr>
            <w:tcW w:w="1559" w:type="dxa"/>
          </w:tcPr>
          <w:p w:rsidR="00031A3F" w:rsidRPr="00EE1E0C" w:rsidRDefault="00031A3F">
            <w:pPr>
              <w:pStyle w:val="Normaltindrag"/>
              <w:ind w:firstLine="0"/>
              <w:jc w:val="right"/>
            </w:pPr>
            <w:r w:rsidRPr="00EE1E0C">
              <w:t>2 038 kr</w:t>
            </w:r>
          </w:p>
        </w:tc>
        <w:tc>
          <w:tcPr>
            <w:tcW w:w="851" w:type="dxa"/>
          </w:tcPr>
          <w:p w:rsidR="00031A3F" w:rsidRPr="00EE1E0C" w:rsidRDefault="00031A3F">
            <w:pPr>
              <w:pStyle w:val="Normaltindrag"/>
              <w:ind w:firstLine="0"/>
              <w:jc w:val="right"/>
            </w:pPr>
            <w:r w:rsidRPr="00EE1E0C">
              <w:t>1991/92</w:t>
            </w:r>
          </w:p>
        </w:tc>
        <w:tc>
          <w:tcPr>
            <w:tcW w:w="992" w:type="dxa"/>
          </w:tcPr>
          <w:p w:rsidR="00031A3F" w:rsidRPr="00EE1E0C" w:rsidRDefault="00031A3F">
            <w:pPr>
              <w:pStyle w:val="Normaltindrag"/>
              <w:ind w:firstLine="0"/>
              <w:jc w:val="right"/>
            </w:pPr>
            <w:r w:rsidRPr="00EE1E0C">
              <w:t>2 302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1982/83</w:t>
            </w:r>
          </w:p>
        </w:tc>
        <w:tc>
          <w:tcPr>
            <w:tcW w:w="1559" w:type="dxa"/>
          </w:tcPr>
          <w:p w:rsidR="00031A3F" w:rsidRPr="00EE1E0C" w:rsidRDefault="00031A3F">
            <w:pPr>
              <w:pStyle w:val="Normaltindrag"/>
              <w:ind w:firstLine="0"/>
              <w:jc w:val="right"/>
            </w:pPr>
            <w:r w:rsidRPr="00EE1E0C">
              <w:t>2 055 kr</w:t>
            </w:r>
          </w:p>
        </w:tc>
        <w:tc>
          <w:tcPr>
            <w:tcW w:w="851" w:type="dxa"/>
          </w:tcPr>
          <w:p w:rsidR="00031A3F" w:rsidRPr="00EE1E0C" w:rsidRDefault="00031A3F">
            <w:pPr>
              <w:pStyle w:val="Normaltindrag"/>
              <w:ind w:firstLine="0"/>
              <w:jc w:val="right"/>
            </w:pPr>
            <w:r w:rsidRPr="00EE1E0C">
              <w:t>1992/93</w:t>
            </w:r>
          </w:p>
        </w:tc>
        <w:tc>
          <w:tcPr>
            <w:tcW w:w="992" w:type="dxa"/>
          </w:tcPr>
          <w:p w:rsidR="00031A3F" w:rsidRPr="00EE1E0C" w:rsidRDefault="00031A3F">
            <w:pPr>
              <w:pStyle w:val="Normaltindrag"/>
              <w:ind w:firstLine="0"/>
              <w:jc w:val="right"/>
            </w:pPr>
            <w:r w:rsidRPr="00EE1E0C">
              <w:t>2 305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1983/84</w:t>
            </w:r>
          </w:p>
        </w:tc>
        <w:tc>
          <w:tcPr>
            <w:tcW w:w="1559" w:type="dxa"/>
          </w:tcPr>
          <w:p w:rsidR="00031A3F" w:rsidRPr="00EE1E0C" w:rsidRDefault="00031A3F">
            <w:pPr>
              <w:pStyle w:val="Normaltindrag"/>
              <w:ind w:firstLine="0"/>
              <w:jc w:val="right"/>
            </w:pPr>
            <w:r w:rsidRPr="00EE1E0C">
              <w:t>2 031 kr</w:t>
            </w:r>
          </w:p>
        </w:tc>
        <w:tc>
          <w:tcPr>
            <w:tcW w:w="851" w:type="dxa"/>
          </w:tcPr>
          <w:p w:rsidR="00031A3F" w:rsidRPr="00EE1E0C" w:rsidRDefault="00031A3F">
            <w:pPr>
              <w:pStyle w:val="Normaltindrag"/>
              <w:ind w:firstLine="0"/>
              <w:jc w:val="right"/>
            </w:pPr>
            <w:r w:rsidRPr="00EE1E0C">
              <w:t>1993/94</w:t>
            </w:r>
          </w:p>
        </w:tc>
        <w:tc>
          <w:tcPr>
            <w:tcW w:w="992" w:type="dxa"/>
          </w:tcPr>
          <w:p w:rsidR="00031A3F" w:rsidRPr="00EE1E0C" w:rsidRDefault="00031A3F">
            <w:pPr>
              <w:pStyle w:val="Normaltindrag"/>
              <w:ind w:firstLine="0"/>
              <w:jc w:val="right"/>
            </w:pPr>
            <w:r w:rsidRPr="00EE1E0C">
              <w:t>2 158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1984/85</w:t>
            </w:r>
          </w:p>
        </w:tc>
        <w:tc>
          <w:tcPr>
            <w:tcW w:w="1559" w:type="dxa"/>
          </w:tcPr>
          <w:p w:rsidR="00031A3F" w:rsidRPr="00EE1E0C" w:rsidRDefault="00031A3F">
            <w:pPr>
              <w:pStyle w:val="Normaltindrag"/>
              <w:ind w:firstLine="0"/>
              <w:jc w:val="right"/>
            </w:pPr>
            <w:r w:rsidRPr="00EE1E0C">
              <w:t>1 994 kr</w:t>
            </w:r>
          </w:p>
        </w:tc>
        <w:tc>
          <w:tcPr>
            <w:tcW w:w="851" w:type="dxa"/>
          </w:tcPr>
          <w:p w:rsidR="00031A3F" w:rsidRPr="00EE1E0C" w:rsidRDefault="00031A3F">
            <w:pPr>
              <w:pStyle w:val="Normaltindrag"/>
              <w:ind w:firstLine="0"/>
              <w:jc w:val="right"/>
            </w:pPr>
            <w:r w:rsidRPr="00EE1E0C">
              <w:t>1994/95</w:t>
            </w:r>
          </w:p>
        </w:tc>
        <w:tc>
          <w:tcPr>
            <w:tcW w:w="992" w:type="dxa"/>
          </w:tcPr>
          <w:p w:rsidR="00031A3F" w:rsidRPr="00EE1E0C" w:rsidRDefault="00031A3F">
            <w:pPr>
              <w:pStyle w:val="Normaltindrag"/>
              <w:ind w:firstLine="0"/>
              <w:jc w:val="right"/>
            </w:pPr>
            <w:r w:rsidRPr="00EE1E0C">
              <w:t>2 244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1985/86</w:t>
            </w:r>
          </w:p>
        </w:tc>
        <w:tc>
          <w:tcPr>
            <w:tcW w:w="1559" w:type="dxa"/>
          </w:tcPr>
          <w:p w:rsidR="00031A3F" w:rsidRPr="00EE1E0C" w:rsidRDefault="00031A3F">
            <w:pPr>
              <w:pStyle w:val="Normaltindrag"/>
              <w:ind w:firstLine="0"/>
              <w:jc w:val="right"/>
            </w:pPr>
            <w:r w:rsidRPr="00EE1E0C">
              <w:t>2 008 kr</w:t>
            </w:r>
          </w:p>
        </w:tc>
        <w:tc>
          <w:tcPr>
            <w:tcW w:w="851" w:type="dxa"/>
          </w:tcPr>
          <w:p w:rsidR="00031A3F" w:rsidRPr="00EE1E0C" w:rsidRDefault="00031A3F">
            <w:pPr>
              <w:pStyle w:val="Normaltindrag"/>
              <w:ind w:firstLine="0"/>
              <w:jc w:val="right"/>
            </w:pPr>
            <w:r w:rsidRPr="00EE1E0C">
              <w:t>1995/96</w:t>
            </w:r>
          </w:p>
        </w:tc>
        <w:tc>
          <w:tcPr>
            <w:tcW w:w="992" w:type="dxa"/>
          </w:tcPr>
          <w:p w:rsidR="00031A3F" w:rsidRPr="00EE1E0C" w:rsidRDefault="00031A3F">
            <w:pPr>
              <w:pStyle w:val="Normaltindrag"/>
              <w:ind w:firstLine="0"/>
              <w:jc w:val="right"/>
            </w:pPr>
            <w:r w:rsidRPr="00EE1E0C">
              <w:t>2 227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1986/87</w:t>
            </w:r>
          </w:p>
        </w:tc>
        <w:tc>
          <w:tcPr>
            <w:tcW w:w="1559" w:type="dxa"/>
          </w:tcPr>
          <w:p w:rsidR="00031A3F" w:rsidRPr="00EE1E0C" w:rsidRDefault="00031A3F">
            <w:pPr>
              <w:pStyle w:val="Normaltindrag"/>
              <w:ind w:firstLine="0"/>
              <w:jc w:val="right"/>
            </w:pPr>
            <w:r w:rsidRPr="00EE1E0C">
              <w:t>2 037 kr</w:t>
            </w:r>
          </w:p>
        </w:tc>
        <w:tc>
          <w:tcPr>
            <w:tcW w:w="851" w:type="dxa"/>
          </w:tcPr>
          <w:p w:rsidR="00031A3F" w:rsidRPr="00EE1E0C" w:rsidRDefault="00031A3F">
            <w:pPr>
              <w:pStyle w:val="Normaltindrag"/>
              <w:ind w:firstLine="0"/>
              <w:jc w:val="right"/>
            </w:pPr>
            <w:r w:rsidRPr="00EE1E0C">
              <w:t>1997</w:t>
            </w:r>
          </w:p>
        </w:tc>
        <w:tc>
          <w:tcPr>
            <w:tcW w:w="992" w:type="dxa"/>
          </w:tcPr>
          <w:p w:rsidR="00031A3F" w:rsidRPr="00EE1E0C" w:rsidRDefault="00031A3F">
            <w:pPr>
              <w:pStyle w:val="Normaltindrag"/>
              <w:ind w:firstLine="0"/>
              <w:jc w:val="right"/>
            </w:pPr>
            <w:r w:rsidRPr="00EE1E0C">
              <w:t>2 389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1987/88</w:t>
            </w:r>
          </w:p>
        </w:tc>
        <w:tc>
          <w:tcPr>
            <w:tcW w:w="1559" w:type="dxa"/>
          </w:tcPr>
          <w:p w:rsidR="00031A3F" w:rsidRPr="00EE1E0C" w:rsidRDefault="00031A3F">
            <w:pPr>
              <w:pStyle w:val="Normaltindrag"/>
              <w:ind w:firstLine="0"/>
              <w:jc w:val="right"/>
            </w:pPr>
            <w:r w:rsidRPr="00EE1E0C">
              <w:t>2 033 kr</w:t>
            </w:r>
          </w:p>
        </w:tc>
        <w:tc>
          <w:tcPr>
            <w:tcW w:w="851" w:type="dxa"/>
          </w:tcPr>
          <w:p w:rsidR="00031A3F" w:rsidRPr="00EE1E0C" w:rsidRDefault="00031A3F">
            <w:pPr>
              <w:pStyle w:val="Normaltindrag"/>
              <w:ind w:firstLine="0"/>
              <w:jc w:val="right"/>
            </w:pPr>
            <w:r w:rsidRPr="00EE1E0C">
              <w:t>1998</w:t>
            </w:r>
          </w:p>
        </w:tc>
        <w:tc>
          <w:tcPr>
            <w:tcW w:w="992" w:type="dxa"/>
          </w:tcPr>
          <w:p w:rsidR="00031A3F" w:rsidRPr="00EE1E0C" w:rsidRDefault="00031A3F">
            <w:pPr>
              <w:pStyle w:val="Normaltindrag"/>
              <w:ind w:firstLine="0"/>
              <w:jc w:val="right"/>
            </w:pPr>
            <w:r w:rsidRPr="00EE1E0C">
              <w:t>2 427 kr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right"/>
            </w:pPr>
            <w:r w:rsidRPr="00EE1E0C">
              <w:t>1988/89</w:t>
            </w:r>
          </w:p>
        </w:tc>
        <w:tc>
          <w:tcPr>
            <w:tcW w:w="1559" w:type="dxa"/>
          </w:tcPr>
          <w:p w:rsidR="00031A3F" w:rsidRPr="00EE1E0C" w:rsidRDefault="00031A3F">
            <w:pPr>
              <w:pStyle w:val="Normaltindrag"/>
              <w:ind w:firstLine="0"/>
              <w:jc w:val="right"/>
            </w:pPr>
            <w:r w:rsidRPr="00EE1E0C">
              <w:t>2 073 kr</w:t>
            </w:r>
          </w:p>
        </w:tc>
        <w:tc>
          <w:tcPr>
            <w:tcW w:w="851" w:type="dxa"/>
          </w:tcPr>
          <w:p w:rsidR="00031A3F" w:rsidRPr="00EE1E0C" w:rsidRDefault="00031A3F">
            <w:pPr>
              <w:pStyle w:val="Normaltindrag"/>
              <w:ind w:firstLine="0"/>
              <w:jc w:val="right"/>
            </w:pPr>
            <w:r w:rsidRPr="00EE1E0C">
              <w:t>*1999</w:t>
            </w:r>
          </w:p>
        </w:tc>
        <w:tc>
          <w:tcPr>
            <w:tcW w:w="992" w:type="dxa"/>
          </w:tcPr>
          <w:p w:rsidR="00031A3F" w:rsidRPr="00EE1E0C" w:rsidRDefault="00031A3F">
            <w:pPr>
              <w:pStyle w:val="Normaltindrag"/>
              <w:ind w:firstLine="0"/>
              <w:jc w:val="right"/>
            </w:pPr>
            <w:r w:rsidRPr="00EE1E0C">
              <w:t>2 476 kr</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 xml:space="preserve">Källa: Statsbudgetens utfall. Egen bearbetning. </w:t>
      </w:r>
    </w:p>
    <w:p w:rsidR="00031A3F" w:rsidRPr="00EE1E0C" w:rsidRDefault="00031A3F">
      <w:pPr>
        <w:pStyle w:val="Tabellrubrik"/>
        <w:rPr>
          <w:b w:val="0"/>
          <w:i/>
        </w:rPr>
      </w:pPr>
      <w:r w:rsidRPr="00EE1E0C">
        <w:rPr>
          <w:b w:val="0"/>
          <w:i/>
        </w:rPr>
        <w:t>Fastprisberäkningen är gjord med hjälp av konsumentprisindex.</w:t>
      </w:r>
    </w:p>
    <w:p w:rsidR="00031A3F" w:rsidRPr="00EE1E0C" w:rsidRDefault="00031A3F">
      <w:pPr>
        <w:pStyle w:val="Tabell"/>
      </w:pPr>
      <w:r w:rsidRPr="00EE1E0C">
        <w:t>*Enligt anslagna medel för budgetåret 1999</w:t>
      </w:r>
    </w:p>
    <w:p w:rsidR="00031A3F" w:rsidRPr="00EE1E0C" w:rsidRDefault="00031A3F">
      <w:r w:rsidRPr="00EE1E0C">
        <w:t>En liknande undersökning gjordes av Dagens Nyheter och Statistiska cen</w:t>
      </w:r>
      <w:r w:rsidRPr="00EE1E0C">
        <w:softHyphen/>
        <w:t>tralbyrån i september 1998. Undersökningen visade att polisens och krim</w:t>
      </w:r>
      <w:r w:rsidRPr="00EE1E0C">
        <w:t>i</w:t>
      </w:r>
      <w:r w:rsidRPr="00EE1E0C">
        <w:t>nalvårdens resurser beräknade per invånare ökade mellan åren 1985 och 1996. Tidningen påpekade att den offentliga bilden är den motsatta. Polisen klagar på bristande resurser och allmänheten har kritiserat långa utredning</w:t>
      </w:r>
      <w:r w:rsidRPr="00EE1E0C">
        <w:t>s</w:t>
      </w:r>
      <w:r w:rsidRPr="00EE1E0C">
        <w:t xml:space="preserve">tider och nattstängda polisstationer (Dagens Nyheter 980917). </w:t>
      </w:r>
    </w:p>
    <w:p w:rsidR="00031A3F" w:rsidRPr="00EE1E0C" w:rsidRDefault="00031A3F">
      <w:pPr>
        <w:pStyle w:val="Rubrik2"/>
      </w:pPr>
      <w:bookmarkStart w:id="106" w:name="_Toc442690109"/>
      <w:bookmarkStart w:id="107" w:name="_Toc448030718"/>
      <w:bookmarkStart w:id="108" w:name="_Toc466264150"/>
      <w:r w:rsidRPr="00EE1E0C">
        <w:t>Något om rättsväsendets produktivi</w:t>
      </w:r>
      <w:bookmarkEnd w:id="106"/>
      <w:r w:rsidRPr="00EE1E0C">
        <w:t>tet</w:t>
      </w:r>
      <w:bookmarkEnd w:id="107"/>
      <w:bookmarkEnd w:id="108"/>
    </w:p>
    <w:p w:rsidR="00031A3F" w:rsidRPr="00EE1E0C" w:rsidRDefault="00031A3F">
      <w:r w:rsidRPr="00EE1E0C">
        <w:t xml:space="preserve">Statskontoret anger i sin rapport </w:t>
      </w:r>
      <w:r w:rsidRPr="00EE1E0C">
        <w:rPr>
          <w:i/>
        </w:rPr>
        <w:t>Produktivitetsutvecklingen inom statsfö</w:t>
      </w:r>
      <w:r w:rsidRPr="00EE1E0C">
        <w:rPr>
          <w:i/>
        </w:rPr>
        <w:t>r</w:t>
      </w:r>
      <w:r w:rsidRPr="00EE1E0C">
        <w:rPr>
          <w:i/>
        </w:rPr>
        <w:t xml:space="preserve">valtningen 1990-1997 </w:t>
      </w:r>
      <w:r w:rsidRPr="00EE1E0C">
        <w:t>(Statskontoret 1998) att produktiviteten i den civila statsförvaltningen har ökat med totalt 5,8 procent mellan åren 1990 och 1997. Statskontoret menar att produktiviteten är ett uttryck för hur effektivt en organisation kan omvandla produktionsresurserna till prestationer. Pr</w:t>
      </w:r>
      <w:r w:rsidRPr="00EE1E0C">
        <w:t>o</w:t>
      </w:r>
      <w:r w:rsidRPr="00EE1E0C">
        <w:t>dukt</w:t>
      </w:r>
      <w:r w:rsidRPr="00EE1E0C">
        <w:t>i</w:t>
      </w:r>
      <w:r w:rsidRPr="00EE1E0C">
        <w:t xml:space="preserve">vitet mäts som kvoten mellan prestationer och resurser. </w:t>
      </w:r>
    </w:p>
    <w:p w:rsidR="00031A3F" w:rsidRPr="00EE1E0C" w:rsidRDefault="00031A3F">
      <w:pPr>
        <w:pStyle w:val="Normaltindrag"/>
      </w:pPr>
      <w:r w:rsidRPr="00EE1E0C">
        <w:t xml:space="preserve">Polisväsendet tillhör enligt Statskontoret gruppen myndigheter med positiv produktivitetsutveckling. Mätningen </w:t>
      </w:r>
      <w:r w:rsidRPr="00EE1E0C">
        <w:t xml:space="preserve">bygger på några av de prestationer som anges i polisens egen resultatstyrningsmodell. Prestationerna avser andel förundersökningsprotokoll som redovisas till åklagare, antal rapporter med anledning av trafikövervakningen, antal ingripanden med prioritet 1 (ärenden med prioritet 1 är ett ärende som prioriteras framför alla andra, exempelvis en rapportering om ett pågående brott) samt antal polismyndighetsärenden. Enligt undersökningen har polisens produktivitet ökat med 8 procent mellan åren 1990 och 1997. </w:t>
      </w:r>
    </w:p>
    <w:p w:rsidR="00031A3F" w:rsidRPr="00EE1E0C" w:rsidRDefault="00031A3F">
      <w:pPr>
        <w:pStyle w:val="Normaltindrag"/>
      </w:pPr>
      <w:r w:rsidRPr="00EE1E0C">
        <w:t>Åklagarväsendet tillhör gruppen myndigheter med negativ produktivitet</w:t>
      </w:r>
      <w:r w:rsidRPr="00EE1E0C">
        <w:t>s</w:t>
      </w:r>
      <w:r w:rsidRPr="00EE1E0C">
        <w:t>utveckling. De prestationer som redovisas är misstänkta i fyra olika typer av mål, anhållanden samt häktningsframställningar. 1990-talets första fyra år innebar en produktivitetsförbättring med 17 procent. Åklagarväsendets pr</w:t>
      </w:r>
      <w:r w:rsidRPr="00EE1E0C">
        <w:t>o</w:t>
      </w:r>
      <w:r w:rsidRPr="00EE1E0C">
        <w:t>duktivitet sjönk kraftigt under år 1996. Enligt undersökningen beror försä</w:t>
      </w:r>
      <w:r w:rsidRPr="00EE1E0C">
        <w:t>m</w:t>
      </w:r>
      <w:r w:rsidRPr="00EE1E0C">
        <w:t>ringen år 1996 på den stora omorganisationen. Sammanfattningsvis har g</w:t>
      </w:r>
      <w:r w:rsidRPr="00EE1E0C">
        <w:t>e</w:t>
      </w:r>
      <w:r w:rsidRPr="00EE1E0C">
        <w:t>nomströmningstiderna för åklagarväsendet förbättrats.</w:t>
      </w:r>
    </w:p>
    <w:p w:rsidR="00031A3F" w:rsidRPr="00EE1E0C" w:rsidRDefault="00031A3F">
      <w:pPr>
        <w:pStyle w:val="Normaltindrag"/>
      </w:pPr>
      <w:r w:rsidRPr="00EE1E0C">
        <w:t>Revisorernas har använt andra prestationsmått än Statskontoret. Grans</w:t>
      </w:r>
      <w:r w:rsidRPr="00EE1E0C">
        <w:t>k</w:t>
      </w:r>
      <w:r w:rsidRPr="00EE1E0C">
        <w:t>ningen tar sin utgångspunkt i polisens och åklagarnas förundersökningsa</w:t>
      </w:r>
      <w:r w:rsidRPr="00EE1E0C">
        <w:t>r</w:t>
      </w:r>
      <w:r w:rsidRPr="00EE1E0C">
        <w:t>bete. De prestationsmått som revisorerna valt är bl.a. handläggningstider, antal ärenden överlämnade till åklagare samt ärendens genomströmningstid genom hela rättsväsendet. Vissa enskilda resultatmått i Statskontorets unde</w:t>
      </w:r>
      <w:r w:rsidRPr="00EE1E0C">
        <w:t>r</w:t>
      </w:r>
      <w:r w:rsidRPr="00EE1E0C">
        <w:t xml:space="preserve">sökning överensstämmer med de mått som använts i revisorernas granskning. </w:t>
      </w:r>
    </w:p>
    <w:p w:rsidR="00031A3F" w:rsidRPr="00EE1E0C" w:rsidRDefault="00031A3F">
      <w:pPr>
        <w:pStyle w:val="Rubrik1"/>
      </w:pPr>
      <w:bookmarkStart w:id="109" w:name="_Toc443275825"/>
      <w:bookmarkStart w:id="110" w:name="_Toc448905722"/>
      <w:bookmarkStart w:id="111" w:name="_Toc466264151"/>
      <w:r w:rsidRPr="00EE1E0C">
        <w:t>Polisväsendet</w:t>
      </w:r>
      <w:bookmarkEnd w:id="109"/>
      <w:bookmarkEnd w:id="110"/>
      <w:bookmarkEnd w:id="111"/>
    </w:p>
    <w:p w:rsidR="00031A3F" w:rsidRPr="00EE1E0C" w:rsidRDefault="00031A3F">
      <w:pPr>
        <w:rPr>
          <w:i/>
        </w:rPr>
      </w:pPr>
      <w:r w:rsidRPr="00EE1E0C">
        <w:rPr>
          <w:i/>
        </w:rPr>
        <w:t>Polisens arbete regleras i lag och styrs till stor del av regeringens priorit</w:t>
      </w:r>
      <w:r w:rsidRPr="00EE1E0C">
        <w:rPr>
          <w:i/>
        </w:rPr>
        <w:t>e</w:t>
      </w:r>
      <w:r w:rsidRPr="00EE1E0C">
        <w:rPr>
          <w:i/>
        </w:rPr>
        <w:t>ringar. Under 1990-talet har antalet polismyndigheter reducerats från 119 till 21. Varje polismyndighet motsvarar ett län. Centralt vid myndigheterna finns länsövergripande funktioner såsom länskriminalpolis, administration samt i vissa fall utryckningsverksamhet och trafikpolis. Myndigheten kan antingen vara organiserad i polisområden och närpolisområden, enbart närpolisområden och i något enstaka fall enbart polisområden. Vidare har polisen fått nya arbetssätt genom att närpolisverksamhet och det pro</w:t>
      </w:r>
      <w:r w:rsidRPr="00EE1E0C">
        <w:rPr>
          <w:i/>
        </w:rPr>
        <w:softHyphen/>
        <w:t>ble</w:t>
      </w:r>
      <w:r w:rsidRPr="00EE1E0C">
        <w:rPr>
          <w:i/>
        </w:rPr>
        <w:t>morienterade arbetssättet införts. Polisen har ålagts besparingar. A</w:t>
      </w:r>
      <w:r w:rsidRPr="00EE1E0C">
        <w:rPr>
          <w:i/>
        </w:rPr>
        <w:t>n</w:t>
      </w:r>
      <w:r w:rsidRPr="00EE1E0C">
        <w:rPr>
          <w:i/>
        </w:rPr>
        <w:t>ställda har sagts upp eller pensionerats och polisens personalkostnader har minskat med ca 5 procent. Polisens förbrukning har dock inte minskat och polisens kos</w:t>
      </w:r>
      <w:r w:rsidRPr="00EE1E0C">
        <w:rPr>
          <w:i/>
        </w:rPr>
        <w:t>t</w:t>
      </w:r>
      <w:r w:rsidRPr="00EE1E0C">
        <w:rPr>
          <w:i/>
        </w:rPr>
        <w:t xml:space="preserve">nader för lokaler och investeringar har ökat. </w:t>
      </w:r>
    </w:p>
    <w:p w:rsidR="00031A3F" w:rsidRPr="00EE1E0C" w:rsidRDefault="00031A3F">
      <w:pPr>
        <w:pStyle w:val="Rubrik2"/>
      </w:pPr>
      <w:bookmarkStart w:id="112" w:name="_Toc443275826"/>
      <w:bookmarkStart w:id="113" w:name="_Toc448905723"/>
      <w:bookmarkStart w:id="114" w:name="_Toc466264152"/>
      <w:r w:rsidRPr="00EE1E0C">
        <w:t>Polisens mål</w:t>
      </w:r>
      <w:bookmarkEnd w:id="112"/>
      <w:bookmarkEnd w:id="113"/>
      <w:bookmarkEnd w:id="114"/>
    </w:p>
    <w:p w:rsidR="00031A3F" w:rsidRPr="00EE1E0C" w:rsidRDefault="00031A3F">
      <w:r w:rsidRPr="00EE1E0C">
        <w:t>I regleringsbrevet för år 1999 anges att effektmålen för polisväsendets ver</w:t>
      </w:r>
      <w:r w:rsidRPr="00EE1E0C">
        <w:t>k</w:t>
      </w:r>
      <w:r w:rsidRPr="00EE1E0C">
        <w:t xml:space="preserve">samhet är att </w:t>
      </w:r>
    </w:p>
    <w:p w:rsidR="00031A3F" w:rsidRPr="00EE1E0C" w:rsidRDefault="00031A3F">
      <w:pPr>
        <w:pStyle w:val="Normaltindrag"/>
        <w:numPr>
          <w:ilvl w:val="0"/>
          <w:numId w:val="110"/>
        </w:numPr>
        <w:ind w:left="530"/>
      </w:pPr>
      <w:r w:rsidRPr="00EE1E0C">
        <w:t>tillförsäkra den enskilde rättstrygghet och rättssäkerhet</w:t>
      </w:r>
    </w:p>
    <w:p w:rsidR="00031A3F" w:rsidRPr="00EE1E0C" w:rsidRDefault="00031A3F">
      <w:pPr>
        <w:pStyle w:val="Normaltindrag"/>
        <w:numPr>
          <w:ilvl w:val="0"/>
          <w:numId w:val="110"/>
        </w:numPr>
        <w:ind w:left="530"/>
      </w:pPr>
      <w:r w:rsidRPr="00EE1E0C">
        <w:t>förebygga och upptäcka brott</w:t>
      </w:r>
    </w:p>
    <w:p w:rsidR="00031A3F" w:rsidRPr="00EE1E0C" w:rsidRDefault="00031A3F">
      <w:pPr>
        <w:pStyle w:val="Normaltindrag"/>
        <w:numPr>
          <w:ilvl w:val="0"/>
          <w:numId w:val="110"/>
        </w:numPr>
        <w:ind w:left="530"/>
      </w:pPr>
      <w:r w:rsidRPr="00EE1E0C">
        <w:t>se till att den som har begått brott identifieras och lagförs.</w:t>
      </w:r>
    </w:p>
    <w:p w:rsidR="00031A3F" w:rsidRPr="00EE1E0C" w:rsidRDefault="00031A3F">
      <w:r w:rsidRPr="00EE1E0C">
        <w:t>Polisen skall enligt regleringsbrevet för 1999 prioritera kampen mot våld</w:t>
      </w:r>
      <w:r w:rsidRPr="00EE1E0C">
        <w:t>s</w:t>
      </w:r>
      <w:r w:rsidRPr="00EE1E0C">
        <w:t>brott, narkotikabrott och ekonomisk brottslighet (inklusive miljöbrott). Sä</w:t>
      </w:r>
      <w:r w:rsidRPr="00EE1E0C">
        <w:t>r</w:t>
      </w:r>
      <w:r w:rsidRPr="00EE1E0C">
        <w:t>skild uppmärksamhet skall ägnas den grova gränsöverskridande brottsligh</w:t>
      </w:r>
      <w:r w:rsidRPr="00EE1E0C">
        <w:t>e</w:t>
      </w:r>
      <w:r w:rsidRPr="00EE1E0C">
        <w:t>ten, den mc-relaterade brottsligheten och brott med rasistiska inslag, våld mot kvinnor samt övergrepp mot barn. Enligt regleringsbrevet skall också insatserna mot vardagsbrottsligheten öka. Vidare skall</w:t>
      </w:r>
    </w:p>
    <w:p w:rsidR="00031A3F" w:rsidRPr="00EE1E0C" w:rsidRDefault="00031A3F">
      <w:pPr>
        <w:pStyle w:val="Normaltindrag"/>
        <w:numPr>
          <w:ilvl w:val="0"/>
          <w:numId w:val="111"/>
        </w:numPr>
        <w:ind w:left="530"/>
      </w:pPr>
      <w:r w:rsidRPr="00EE1E0C">
        <w:t>det brottsförebyggande arbetet utvecklas och förbättras</w:t>
      </w:r>
    </w:p>
    <w:p w:rsidR="00031A3F" w:rsidRPr="00EE1E0C" w:rsidRDefault="00031A3F">
      <w:pPr>
        <w:pStyle w:val="Normaltindrag"/>
        <w:numPr>
          <w:ilvl w:val="0"/>
          <w:numId w:val="111"/>
        </w:numPr>
        <w:ind w:left="530"/>
      </w:pPr>
      <w:r w:rsidRPr="00EE1E0C">
        <w:t>brottsutredningsverksamheten bli effektivare och produktiviteten och kvaliteten i utredningsverksamheten öka</w:t>
      </w:r>
    </w:p>
    <w:p w:rsidR="00031A3F" w:rsidRPr="00EE1E0C" w:rsidRDefault="00031A3F">
      <w:pPr>
        <w:pStyle w:val="Normaltindrag"/>
        <w:numPr>
          <w:ilvl w:val="0"/>
          <w:numId w:val="111"/>
        </w:numPr>
        <w:ind w:left="530"/>
      </w:pPr>
      <w:r w:rsidRPr="00EE1E0C">
        <w:t>utryckningsresurserna anpassas till normala variationer i behovet samt till ver</w:t>
      </w:r>
      <w:r w:rsidRPr="00EE1E0C">
        <w:t>k</w:t>
      </w:r>
      <w:r w:rsidRPr="00EE1E0C">
        <w:t>samheten i övrigt</w:t>
      </w:r>
    </w:p>
    <w:p w:rsidR="00031A3F" w:rsidRPr="00EE1E0C" w:rsidRDefault="00031A3F">
      <w:pPr>
        <w:pStyle w:val="Normaltindrag"/>
        <w:numPr>
          <w:ilvl w:val="0"/>
          <w:numId w:val="111"/>
        </w:numPr>
        <w:ind w:left="530"/>
      </w:pPr>
      <w:r w:rsidRPr="00EE1E0C">
        <w:t>polisens stöd till brottsoffer förbättras</w:t>
      </w:r>
    </w:p>
    <w:p w:rsidR="00031A3F" w:rsidRPr="00EE1E0C" w:rsidRDefault="00031A3F">
      <w:pPr>
        <w:pStyle w:val="Normaltindrag"/>
        <w:numPr>
          <w:ilvl w:val="0"/>
          <w:numId w:val="111"/>
        </w:numPr>
        <w:ind w:left="530"/>
      </w:pPr>
      <w:r w:rsidRPr="00EE1E0C">
        <w:t>gränskontrollen förstärkas och effektiviseras</w:t>
      </w:r>
    </w:p>
    <w:p w:rsidR="00031A3F" w:rsidRPr="00EE1E0C" w:rsidRDefault="00031A3F">
      <w:pPr>
        <w:pStyle w:val="Normaltindrag"/>
        <w:numPr>
          <w:ilvl w:val="0"/>
          <w:numId w:val="111"/>
        </w:numPr>
        <w:ind w:left="530"/>
      </w:pPr>
      <w:r w:rsidRPr="00EE1E0C">
        <w:t>polisen medverka till att uppnå de nationella trafiksäkerhetsmålen om färre sk</w:t>
      </w:r>
      <w:r w:rsidRPr="00EE1E0C">
        <w:t>a</w:t>
      </w:r>
      <w:r w:rsidRPr="00EE1E0C">
        <w:t>dade och dödade i trafiken.</w:t>
      </w:r>
    </w:p>
    <w:p w:rsidR="00031A3F" w:rsidRPr="00EE1E0C" w:rsidRDefault="00031A3F">
      <w:r w:rsidRPr="00EE1E0C">
        <w:t>Prioriteringarna i regeringens regleringsbrev återfinns i polismyndigheternas handlingsplaner och i närpolisområdenas handlingsplaner, som dock kan vara anpassade till det egna området.</w:t>
      </w:r>
    </w:p>
    <w:p w:rsidR="00031A3F" w:rsidRPr="00EE1E0C" w:rsidRDefault="00031A3F">
      <w:pPr>
        <w:pStyle w:val="Rubrik2"/>
      </w:pPr>
      <w:bookmarkStart w:id="115" w:name="_Toc443275827"/>
      <w:bookmarkStart w:id="116" w:name="_Toc448905724"/>
      <w:bookmarkStart w:id="117" w:name="_Toc466264153"/>
      <w:r w:rsidRPr="00EE1E0C">
        <w:t>Poliserna och de civilanställda</w:t>
      </w:r>
      <w:bookmarkEnd w:id="115"/>
      <w:bookmarkEnd w:id="116"/>
      <w:bookmarkEnd w:id="117"/>
    </w:p>
    <w:p w:rsidR="00031A3F" w:rsidRPr="00EE1E0C" w:rsidRDefault="00031A3F">
      <w:r w:rsidRPr="00EE1E0C">
        <w:t>Polisens arbete regleras i polislagen (1984:387). Där anges att polisverksa</w:t>
      </w:r>
      <w:r w:rsidRPr="00EE1E0C">
        <w:t>m</w:t>
      </w:r>
      <w:r w:rsidRPr="00EE1E0C">
        <w:t>hetens ändamål är att främja rättvisa och trygghet. Polisens arbete skall syfta till att upprätthålla allmän ordning och säkerhet samt att i övrigt tillförsäkra allmänheten skydd och annan hjälp (1984:387,1 §). Till polisens uppgifter hör bl.a. att förebygga brott, övervaka den allmänna ordningen, bedriva spaning och utredning i fråga om brott som hör under allmänt åtal.</w:t>
      </w:r>
    </w:p>
    <w:p w:rsidR="00031A3F" w:rsidRPr="00EE1E0C" w:rsidRDefault="00031A3F">
      <w:pPr>
        <w:pStyle w:val="Normaltindrag"/>
      </w:pPr>
      <w:r w:rsidRPr="00EE1E0C">
        <w:t>Enligt Polisförbundets register år 1997 var medelåldern för svenska poliser 44 år. Samma år var 17 procent av poliserna och 14 procent av</w:t>
      </w:r>
      <w:r w:rsidRPr="00EE1E0C">
        <w:t xml:space="preserve"> polischeferna kvinnor. Av de civilanställda var 76 procent kvinnor. Med civilanställda avses anställda inom polisorganisationen som inte har polis- eller polischef</w:t>
      </w:r>
      <w:r w:rsidRPr="00EE1E0C">
        <w:t>s</w:t>
      </w:r>
      <w:r w:rsidRPr="00EE1E0C">
        <w:t>utbildning. En tredjedel av poliserna har fullmaktsanställningar vilket bl.a. innebär att de inte kan sägas upp p.g.a. arbetsbrist. Det innebär att arbetsg</w:t>
      </w:r>
      <w:r w:rsidRPr="00EE1E0C">
        <w:t>i</w:t>
      </w:r>
      <w:r w:rsidRPr="00EE1E0C">
        <w:t>varen inte kan åberopa arbetsbrist eller ekonomiska orsaker för uppsägning. Enligt uppgift från Rikspolisstyrelsen uppgick medellönen för polismän 1997 till 19 752 kronor i månaden.</w:t>
      </w:r>
    </w:p>
    <w:p w:rsidR="00031A3F" w:rsidRPr="00EE1E0C" w:rsidRDefault="00031A3F">
      <w:pPr>
        <w:pStyle w:val="Normaltindrag"/>
      </w:pPr>
      <w:r w:rsidRPr="00EE1E0C">
        <w:t>Riksdagen</w:t>
      </w:r>
      <w:r w:rsidRPr="00EE1E0C">
        <w:t xml:space="preserve"> beslutade efter förslag i budgetpropositionen att antalet utbild</w:t>
      </w:r>
      <w:r w:rsidRPr="00EE1E0C">
        <w:t>a</w:t>
      </w:r>
      <w:r w:rsidRPr="00EE1E0C">
        <w:t>de polismän i riket skulle vara 16 700 (prop. 1992/93:100, bet. 1992/93:JuU21, rskr. 1992/93:232). Som framgår av tabellen nedan har antalet poliser under 1990-talet varit omkring 16 700. År 1998 var antalet poliser dock drygt 16 400. Antalet poliser blev färre dels till följd av förtida pensioneringar, dels till följd av att antagningen till Polishögskolan upphörde hösten 1995. Antagningen återupptogs våren 1998 då 68 poliselever antogs till</w:t>
      </w:r>
      <w:r w:rsidRPr="00EE1E0C">
        <w:t xml:space="preserve"> utbildningen, och i september 1998 började ytterligare 185 elever sin utbildning. Under uppehållet fattades beslut om att lägga om polisutbildnin</w:t>
      </w:r>
      <w:r w:rsidRPr="00EE1E0C">
        <w:t>g</w:t>
      </w:r>
      <w:r w:rsidRPr="00EE1E0C">
        <w:t>en.</w:t>
      </w:r>
    </w:p>
    <w:p w:rsidR="00031A3F" w:rsidRPr="00EE1E0C" w:rsidRDefault="00031A3F">
      <w:pPr>
        <w:pStyle w:val="Normaltindrag"/>
      </w:pPr>
    </w:p>
    <w:p w:rsidR="00031A3F" w:rsidRPr="00EE1E0C" w:rsidRDefault="00031A3F">
      <w:pPr>
        <w:pStyle w:val="Tabellrubrik"/>
      </w:pPr>
      <w:r w:rsidRPr="00EE1E0C">
        <w:t>Tabell 1.3 Antal anställda poliser åren 1991–1998</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261"/>
      </w:tblGrid>
      <w:tr w:rsidR="00000000" w:rsidRPr="00EE1E0C">
        <w:tblPrEx>
          <w:tblCellMar>
            <w:top w:w="0" w:type="dxa"/>
            <w:bottom w:w="0" w:type="dxa"/>
          </w:tblCellMar>
        </w:tblPrEx>
        <w:tc>
          <w:tcPr>
            <w:tcW w:w="637" w:type="dxa"/>
          </w:tcPr>
          <w:p w:rsidR="00031A3F" w:rsidRPr="00EE1E0C" w:rsidRDefault="00031A3F">
            <w:pPr>
              <w:pStyle w:val="Normaltindrag"/>
              <w:ind w:firstLine="0"/>
            </w:pPr>
            <w:r w:rsidRPr="00EE1E0C">
              <w:t>År</w:t>
            </w:r>
          </w:p>
        </w:tc>
        <w:tc>
          <w:tcPr>
            <w:tcW w:w="3261" w:type="dxa"/>
          </w:tcPr>
          <w:p w:rsidR="00031A3F" w:rsidRPr="00EE1E0C" w:rsidRDefault="00031A3F">
            <w:pPr>
              <w:pStyle w:val="Normaltindrag"/>
              <w:ind w:firstLine="0"/>
            </w:pPr>
            <w:r w:rsidRPr="00EE1E0C">
              <w:t>Antal poliser, exklusive polisasp</w:t>
            </w:r>
            <w:r w:rsidRPr="00EE1E0C">
              <w:t>i</w:t>
            </w:r>
            <w:r w:rsidRPr="00EE1E0C">
              <w:t>ranter</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1991</w:t>
            </w:r>
          </w:p>
        </w:tc>
        <w:tc>
          <w:tcPr>
            <w:tcW w:w="3261" w:type="dxa"/>
          </w:tcPr>
          <w:p w:rsidR="00031A3F" w:rsidRPr="00EE1E0C" w:rsidRDefault="00031A3F">
            <w:pPr>
              <w:pStyle w:val="Normaltindrag"/>
              <w:ind w:firstLine="0"/>
              <w:jc w:val="right"/>
            </w:pPr>
            <w:r w:rsidRPr="00EE1E0C">
              <w:t>16 419</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1992</w:t>
            </w:r>
          </w:p>
        </w:tc>
        <w:tc>
          <w:tcPr>
            <w:tcW w:w="3261" w:type="dxa"/>
          </w:tcPr>
          <w:p w:rsidR="00031A3F" w:rsidRPr="00EE1E0C" w:rsidRDefault="00031A3F">
            <w:pPr>
              <w:pStyle w:val="Normaltindrag"/>
              <w:ind w:firstLine="0"/>
              <w:jc w:val="right"/>
            </w:pPr>
            <w:r w:rsidRPr="00EE1E0C">
              <w:t>16 714</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1993</w:t>
            </w:r>
          </w:p>
        </w:tc>
        <w:tc>
          <w:tcPr>
            <w:tcW w:w="3261" w:type="dxa"/>
          </w:tcPr>
          <w:p w:rsidR="00031A3F" w:rsidRPr="00EE1E0C" w:rsidRDefault="00031A3F">
            <w:pPr>
              <w:pStyle w:val="Normaltindrag"/>
              <w:ind w:firstLine="0"/>
              <w:jc w:val="right"/>
            </w:pPr>
            <w:r w:rsidRPr="00EE1E0C">
              <w:t>16 646</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1994</w:t>
            </w:r>
          </w:p>
        </w:tc>
        <w:tc>
          <w:tcPr>
            <w:tcW w:w="3261" w:type="dxa"/>
          </w:tcPr>
          <w:p w:rsidR="00031A3F" w:rsidRPr="00EE1E0C" w:rsidRDefault="00031A3F">
            <w:pPr>
              <w:pStyle w:val="Normaltindrag"/>
              <w:ind w:firstLine="0"/>
              <w:jc w:val="right"/>
            </w:pPr>
            <w:r w:rsidRPr="00EE1E0C">
              <w:t>16 758</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1995</w:t>
            </w:r>
          </w:p>
        </w:tc>
        <w:tc>
          <w:tcPr>
            <w:tcW w:w="3261" w:type="dxa"/>
          </w:tcPr>
          <w:p w:rsidR="00031A3F" w:rsidRPr="00EE1E0C" w:rsidRDefault="00031A3F">
            <w:pPr>
              <w:pStyle w:val="Normaltindrag"/>
              <w:ind w:firstLine="0"/>
              <w:jc w:val="right"/>
            </w:pPr>
            <w:r w:rsidRPr="00EE1E0C">
              <w:t>16 752</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1996</w:t>
            </w:r>
          </w:p>
        </w:tc>
        <w:tc>
          <w:tcPr>
            <w:tcW w:w="3261" w:type="dxa"/>
          </w:tcPr>
          <w:p w:rsidR="00031A3F" w:rsidRPr="00EE1E0C" w:rsidRDefault="00031A3F">
            <w:pPr>
              <w:pStyle w:val="Normaltindrag"/>
              <w:ind w:firstLine="0"/>
              <w:jc w:val="right"/>
            </w:pPr>
            <w:r w:rsidRPr="00EE1E0C">
              <w:t>16 723</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1997</w:t>
            </w:r>
          </w:p>
        </w:tc>
        <w:tc>
          <w:tcPr>
            <w:tcW w:w="3261" w:type="dxa"/>
          </w:tcPr>
          <w:p w:rsidR="00031A3F" w:rsidRPr="00EE1E0C" w:rsidRDefault="00031A3F">
            <w:pPr>
              <w:pStyle w:val="Normaltindrag"/>
              <w:ind w:firstLine="0"/>
              <w:jc w:val="right"/>
            </w:pPr>
            <w:r w:rsidRPr="00EE1E0C">
              <w:t>16 783</w:t>
            </w:r>
          </w:p>
        </w:tc>
      </w:tr>
      <w:tr w:rsidR="00000000" w:rsidRPr="00EE1E0C">
        <w:tblPrEx>
          <w:tblCellMar>
            <w:top w:w="0" w:type="dxa"/>
            <w:bottom w:w="0" w:type="dxa"/>
          </w:tblCellMar>
        </w:tblPrEx>
        <w:tc>
          <w:tcPr>
            <w:tcW w:w="637" w:type="dxa"/>
          </w:tcPr>
          <w:p w:rsidR="00031A3F" w:rsidRPr="00EE1E0C" w:rsidRDefault="00031A3F">
            <w:pPr>
              <w:pStyle w:val="Normaltindrag"/>
              <w:ind w:firstLine="0"/>
              <w:jc w:val="right"/>
            </w:pPr>
            <w:r w:rsidRPr="00EE1E0C">
              <w:t>1998</w:t>
            </w:r>
          </w:p>
        </w:tc>
        <w:tc>
          <w:tcPr>
            <w:tcW w:w="3261" w:type="dxa"/>
          </w:tcPr>
          <w:p w:rsidR="00031A3F" w:rsidRPr="00EE1E0C" w:rsidRDefault="00031A3F">
            <w:pPr>
              <w:pStyle w:val="Normaltindrag"/>
              <w:ind w:firstLine="0"/>
              <w:jc w:val="right"/>
            </w:pPr>
            <w:r w:rsidRPr="00EE1E0C">
              <w:t>16 429</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Justitiedepartementet</w:t>
      </w:r>
    </w:p>
    <w:p w:rsidR="00031A3F" w:rsidRPr="00EE1E0C" w:rsidRDefault="00031A3F">
      <w:r w:rsidRPr="00EE1E0C">
        <w:t>Enligt Rikspolisstyrelsen uppgår kostnader för löner till ca 80 procent en polismyndighets totala budget. När polisen i början av 1990-talet ålades besparingar vidtogs därför åtgärder med syfte att minska lönekostnaderna. Inga poliser har sagts upp. Under samma period har antalet civilanställda enligt uppgift från Trygghetsstiftelsen minskat med omkring 2 900. Av dessa har 1 700 sagts upp. Antalet civilanställda uppgick 1998 till 5 522.</w:t>
      </w:r>
    </w:p>
    <w:p w:rsidR="00031A3F" w:rsidRPr="00EE1E0C" w:rsidRDefault="00031A3F">
      <w:pPr>
        <w:pStyle w:val="Normaltindrag"/>
      </w:pPr>
      <w:r w:rsidRPr="00EE1E0C">
        <w:t>Polisens personalkostnader har minskat under 1990-talet. Personalkostn</w:t>
      </w:r>
      <w:r w:rsidRPr="00EE1E0C">
        <w:t>a</w:t>
      </w:r>
      <w:r w:rsidRPr="00EE1E0C">
        <w:t xml:space="preserve">derna i fasta priser exklusive framtida pensionskostnader minskade med 5,3 procent mellan budgetåren 1993/94 och 1998. </w:t>
      </w:r>
    </w:p>
    <w:p w:rsidR="00031A3F" w:rsidRPr="00EE1E0C" w:rsidRDefault="00031A3F">
      <w:pPr>
        <w:pStyle w:val="Normaltindrag"/>
      </w:pPr>
      <w:r w:rsidRPr="00EE1E0C">
        <w:t>Mellan åren 1995 och 1997 erbjöds poliser som var 58 år eller äldre avta</w:t>
      </w:r>
      <w:r w:rsidRPr="00EE1E0C">
        <w:t>l</w:t>
      </w:r>
      <w:r w:rsidRPr="00EE1E0C">
        <w:t>s</w:t>
      </w:r>
      <w:r w:rsidRPr="00EE1E0C">
        <w:softHyphen/>
        <w:t>pension. Ca 1 200 poliser antog erbjudandet. Pensionerna utbetalas som om de i förtid pensionerade varit 65 år. Polisens lönekostnader för dessa pers</w:t>
      </w:r>
      <w:r w:rsidRPr="00EE1E0C">
        <w:t>o</w:t>
      </w:r>
      <w:r w:rsidRPr="00EE1E0C">
        <w:t>ner beräknas ha minskat med en tredjedel. Därutöver sparar man utgifter för lokaler och övrigt som följer med anställd personal. Polisens utgifter för utbetalda pensionsutgifter till följd av ovan nämnda avtal om framtida pe</w:t>
      </w:r>
      <w:r w:rsidRPr="00EE1E0C">
        <w:t>n</w:t>
      </w:r>
      <w:r w:rsidRPr="00EE1E0C">
        <w:t>sioner framgår av nedanst</w:t>
      </w:r>
      <w:r w:rsidRPr="00EE1E0C">
        <w:t>å</w:t>
      </w:r>
      <w:r w:rsidRPr="00EE1E0C">
        <w:t>ende tabell.</w:t>
      </w:r>
    </w:p>
    <w:p w:rsidR="00031A3F" w:rsidRPr="00EE1E0C" w:rsidRDefault="00031A3F">
      <w:pPr>
        <w:pStyle w:val="Tabellrubrik"/>
      </w:pPr>
    </w:p>
    <w:p w:rsidR="00031A3F" w:rsidRPr="00EE1E0C" w:rsidRDefault="00031A3F">
      <w:pPr>
        <w:pStyle w:val="Tabellrubrik"/>
      </w:pPr>
      <w:r w:rsidRPr="00EE1E0C">
        <w:br w:type="page"/>
        <w:t>Tabell 1.4 Utbetalda pensionsersättningar 1995/96 – 1998, miljoner kronor</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559"/>
        <w:gridCol w:w="856"/>
        <w:gridCol w:w="857"/>
      </w:tblGrid>
      <w:tr w:rsidR="00000000" w:rsidRPr="00EE1E0C">
        <w:tblPrEx>
          <w:tblCellMar>
            <w:top w:w="0" w:type="dxa"/>
            <w:bottom w:w="0" w:type="dxa"/>
          </w:tblCellMar>
        </w:tblPrEx>
        <w:tc>
          <w:tcPr>
            <w:tcW w:w="2764" w:type="dxa"/>
          </w:tcPr>
          <w:p w:rsidR="00031A3F" w:rsidRPr="00EE1E0C" w:rsidRDefault="00031A3F">
            <w:pPr>
              <w:pStyle w:val="Normaltindrag"/>
              <w:ind w:firstLine="0"/>
            </w:pPr>
            <w:r w:rsidRPr="00EE1E0C">
              <w:t>År</w:t>
            </w:r>
          </w:p>
        </w:tc>
        <w:tc>
          <w:tcPr>
            <w:tcW w:w="1559" w:type="dxa"/>
          </w:tcPr>
          <w:p w:rsidR="00031A3F" w:rsidRPr="00EE1E0C" w:rsidRDefault="00031A3F">
            <w:pPr>
              <w:pStyle w:val="Normaltindrag"/>
              <w:ind w:firstLine="0"/>
              <w:jc w:val="center"/>
            </w:pPr>
            <w:r w:rsidRPr="00EE1E0C">
              <w:t>1995/96 (18 mån)</w:t>
            </w:r>
          </w:p>
        </w:tc>
        <w:tc>
          <w:tcPr>
            <w:tcW w:w="856" w:type="dxa"/>
          </w:tcPr>
          <w:p w:rsidR="00031A3F" w:rsidRPr="00EE1E0C" w:rsidRDefault="00031A3F">
            <w:pPr>
              <w:pStyle w:val="Normaltindrag"/>
              <w:ind w:firstLine="0"/>
              <w:jc w:val="center"/>
            </w:pPr>
            <w:r w:rsidRPr="00EE1E0C">
              <w:t>1997</w:t>
            </w:r>
          </w:p>
        </w:tc>
        <w:tc>
          <w:tcPr>
            <w:tcW w:w="857" w:type="dxa"/>
          </w:tcPr>
          <w:p w:rsidR="00031A3F" w:rsidRPr="00EE1E0C" w:rsidRDefault="00031A3F">
            <w:pPr>
              <w:pStyle w:val="Normaltindrag"/>
              <w:ind w:firstLine="0"/>
              <w:jc w:val="center"/>
            </w:pPr>
            <w:r w:rsidRPr="00EE1E0C">
              <w:t>1998</w:t>
            </w:r>
          </w:p>
        </w:tc>
      </w:tr>
      <w:tr w:rsidR="00000000" w:rsidRPr="00EE1E0C">
        <w:tblPrEx>
          <w:tblCellMar>
            <w:top w:w="0" w:type="dxa"/>
            <w:bottom w:w="0" w:type="dxa"/>
          </w:tblCellMar>
        </w:tblPrEx>
        <w:tc>
          <w:tcPr>
            <w:tcW w:w="2764" w:type="dxa"/>
          </w:tcPr>
          <w:p w:rsidR="00031A3F" w:rsidRPr="00EE1E0C" w:rsidRDefault="00031A3F">
            <w:pPr>
              <w:pStyle w:val="Normaltindrag"/>
              <w:ind w:firstLine="0"/>
            </w:pPr>
            <w:r w:rsidRPr="00EE1E0C">
              <w:t>Utbetalda pe</w:t>
            </w:r>
            <w:r w:rsidRPr="00EE1E0C">
              <w:t>n</w:t>
            </w:r>
            <w:r w:rsidRPr="00EE1E0C">
              <w:t>sionsersättningar</w:t>
            </w:r>
          </w:p>
        </w:tc>
        <w:tc>
          <w:tcPr>
            <w:tcW w:w="1559" w:type="dxa"/>
          </w:tcPr>
          <w:p w:rsidR="00031A3F" w:rsidRPr="00EE1E0C" w:rsidRDefault="00031A3F">
            <w:pPr>
              <w:pStyle w:val="Normaltindrag"/>
              <w:ind w:firstLine="0"/>
              <w:jc w:val="right"/>
            </w:pPr>
            <w:r w:rsidRPr="00EE1E0C">
              <w:t>232</w:t>
            </w:r>
          </w:p>
        </w:tc>
        <w:tc>
          <w:tcPr>
            <w:tcW w:w="856" w:type="dxa"/>
          </w:tcPr>
          <w:p w:rsidR="00031A3F" w:rsidRPr="00EE1E0C" w:rsidRDefault="00031A3F">
            <w:pPr>
              <w:pStyle w:val="Normaltindrag"/>
              <w:ind w:firstLine="0"/>
              <w:jc w:val="right"/>
            </w:pPr>
            <w:r w:rsidRPr="00EE1E0C">
              <w:t>*253</w:t>
            </w:r>
          </w:p>
        </w:tc>
        <w:tc>
          <w:tcPr>
            <w:tcW w:w="857" w:type="dxa"/>
          </w:tcPr>
          <w:p w:rsidR="00031A3F" w:rsidRPr="00EE1E0C" w:rsidRDefault="00031A3F">
            <w:pPr>
              <w:pStyle w:val="Normaltindrag"/>
              <w:ind w:firstLine="0"/>
              <w:jc w:val="right"/>
            </w:pPr>
            <w:r w:rsidRPr="00EE1E0C">
              <w:t>**245</w:t>
            </w:r>
          </w:p>
        </w:tc>
      </w:tr>
    </w:tbl>
    <w:p w:rsidR="00031A3F" w:rsidRPr="00EE1E0C" w:rsidRDefault="00031A3F">
      <w:pPr>
        <w:pStyle w:val="Tabellrubrik"/>
        <w:rPr>
          <w:b w:val="0"/>
        </w:rPr>
      </w:pPr>
    </w:p>
    <w:p w:rsidR="00031A3F" w:rsidRPr="00EE1E0C" w:rsidRDefault="00031A3F">
      <w:pPr>
        <w:pStyle w:val="Tabellrubrik"/>
        <w:rPr>
          <w:b w:val="0"/>
          <w:i/>
        </w:rPr>
      </w:pPr>
      <w:r w:rsidRPr="00EE1E0C">
        <w:rPr>
          <w:b w:val="0"/>
          <w:i/>
        </w:rPr>
        <w:t>* Avsåg 1 282 personer varav 957 poliser ** Avsåg 1 241 personer varav 912 poliser Källa: Rikspolisstyrelsen</w:t>
      </w:r>
    </w:p>
    <w:p w:rsidR="00031A3F" w:rsidRPr="00EE1E0C" w:rsidRDefault="00031A3F">
      <w:r w:rsidRPr="00EE1E0C">
        <w:t>Rikspolisstyrelsen anger att man genom pensioneringarna förlorat kompetens tidigare än beräknat, men samtidigt ökat möjligheterna att förnya organis</w:t>
      </w:r>
      <w:r w:rsidRPr="00EE1E0C">
        <w:t>a</w:t>
      </w:r>
      <w:r w:rsidRPr="00EE1E0C">
        <w:t>tionen och avveckla chefspersonal på ett positivt sätt.</w:t>
      </w:r>
    </w:p>
    <w:p w:rsidR="00031A3F" w:rsidRPr="00EE1E0C" w:rsidRDefault="00031A3F">
      <w:pPr>
        <w:pStyle w:val="Normaltindrag"/>
      </w:pPr>
      <w:r w:rsidRPr="00EE1E0C">
        <w:t>Sägs poliser upp av ekonomiska skäl innebär det att de yngsta poliserna får lämna verksamheten. Detta skulle enligt Rikspolisstyrelsen vara en stor förlust inte minst för utryckningsverksamheten. Man befarar även att detta skulle göra det svårare att rekrytera poliser. Samtidigt som man pensionerat poliser för att spara pengar har polisernas löner höjts. Polisernas löneöknin</w:t>
      </w:r>
      <w:r w:rsidRPr="00EE1E0C">
        <w:t>g</w:t>
      </w:r>
      <w:r w:rsidRPr="00EE1E0C">
        <w:t xml:space="preserve">ar behandlas i ekonomiavsnittet nedan. </w:t>
      </w:r>
    </w:p>
    <w:p w:rsidR="00031A3F" w:rsidRPr="00EE1E0C" w:rsidRDefault="00031A3F">
      <w:pPr>
        <w:pStyle w:val="Normaltindrag"/>
      </w:pPr>
      <w:r w:rsidRPr="00EE1E0C">
        <w:t>Representanter för Rikspolisstyrelsen anger att man under senare år haft svårigheter att rekrytera poliser till Norrlandslänen. Genomsnittsåldern för poliser i glesbygden är hög, och få poliser söker arbete där. Detta har man försökt åtgärda bl.a. genom att i samband med rekryteringen till Polishö</w:t>
      </w:r>
      <w:r w:rsidRPr="00EE1E0C">
        <w:t>g</w:t>
      </w:r>
      <w:r w:rsidRPr="00EE1E0C">
        <w:t>skolan annonsera i lokaltidningarna i de aktuella länen. Vidare finns planer att på hösten 2000 starta en polisutbildning i Umeå med mellan 60 och 100 poliselever i en första omgång. Från Rikspolisstyrelsens sida vidtar man nu åtgärder för att förhindra en framtida polisbrist genom att öka antalet stud</w:t>
      </w:r>
      <w:r w:rsidRPr="00EE1E0C">
        <w:t>e</w:t>
      </w:r>
      <w:r w:rsidRPr="00EE1E0C">
        <w:t>rande vid Polishögskolan. Vid Polishögskolan i Solna räknar man med att kunna anta 400–500 poliser varje år, beroende på anslagens storlek. Man har inga problem att få behöriga sökande till polisutbil</w:t>
      </w:r>
      <w:r w:rsidRPr="00EE1E0C">
        <w:t>d</w:t>
      </w:r>
      <w:r w:rsidRPr="00EE1E0C">
        <w:t>ningen</w:t>
      </w:r>
      <w:r w:rsidRPr="00EE1E0C">
        <w:t>.</w:t>
      </w:r>
    </w:p>
    <w:p w:rsidR="00031A3F" w:rsidRPr="00EE1E0C" w:rsidRDefault="00031A3F">
      <w:pPr>
        <w:pStyle w:val="Normaltindrag"/>
      </w:pPr>
      <w:r w:rsidRPr="00EE1E0C">
        <w:t>Rikspolisstyrelsen redovisar i årsredovisningen för 1998 en prognos över personalläget t.o.m. år 2003. Man har beräknat såväl antalet framtida pe</w:t>
      </w:r>
      <w:r w:rsidRPr="00EE1E0C">
        <w:t>n</w:t>
      </w:r>
      <w:r w:rsidRPr="00EE1E0C">
        <w:t>sionsavgångar som behovet av nyrekrytering av polischefspersonal, poliser och civilanställda. Enligt polismyndigheternas önskemål och bedömningar kommer det att finnas ett behov av nyrekrytering av sammanlagt 1 012 pol</w:t>
      </w:r>
      <w:r w:rsidRPr="00EE1E0C">
        <w:t>i</w:t>
      </w:r>
      <w:r w:rsidRPr="00EE1E0C">
        <w:t xml:space="preserve">ser och polischefer och av 245 civilanställda mellan åren 1999 och 2003. </w:t>
      </w:r>
    </w:p>
    <w:p w:rsidR="00031A3F" w:rsidRPr="00EE1E0C" w:rsidRDefault="00031A3F">
      <w:pPr>
        <w:pStyle w:val="Normaltindrag"/>
      </w:pPr>
      <w:r w:rsidRPr="00EE1E0C">
        <w:t>Riksdagen fattade i slutet av mars 1999 beslut om chefsförsörjningen inom polisen. Beslutet innebar att kravet på juridisk examen för polischefer a</w:t>
      </w:r>
      <w:r w:rsidRPr="00EE1E0C">
        <w:t>v</w:t>
      </w:r>
      <w:r w:rsidRPr="00EE1E0C">
        <w:t>skaffades. Regeringen angav i propositionen att polisen genom den nya ordningen skulle kunna rekrytera polischefer med specialkompetens inom exempelvis det ekonomiska, tekniska eller personaladministrativa området (prop. 1998/99:47, bet. 1998/99: JuU18, rskr. 1998/99:169).</w:t>
      </w:r>
    </w:p>
    <w:p w:rsidR="00031A3F" w:rsidRPr="00EE1E0C" w:rsidRDefault="00031A3F">
      <w:pPr>
        <w:pStyle w:val="Rubrik3"/>
      </w:pPr>
      <w:bookmarkStart w:id="118" w:name="_Toc454180207"/>
      <w:bookmarkStart w:id="119" w:name="_Toc466264154"/>
      <w:r w:rsidRPr="00EE1E0C">
        <w:t>Polisens utbildning</w:t>
      </w:r>
      <w:bookmarkEnd w:id="118"/>
      <w:bookmarkEnd w:id="119"/>
    </w:p>
    <w:p w:rsidR="00031A3F" w:rsidRPr="00EE1E0C" w:rsidRDefault="00031A3F">
      <w:r w:rsidRPr="00EE1E0C">
        <w:t>Vid Polishögskolan i Solna bedrivs såväl grundutbildning som vidareutbil</w:t>
      </w:r>
      <w:r w:rsidRPr="00EE1E0C">
        <w:t>d</w:t>
      </w:r>
      <w:r w:rsidRPr="00EE1E0C">
        <w:t>ning av poliser.</w:t>
      </w:r>
    </w:p>
    <w:p w:rsidR="00031A3F" w:rsidRPr="00EE1E0C" w:rsidRDefault="00031A3F">
      <w:pPr>
        <w:pStyle w:val="Rubrik4"/>
      </w:pPr>
      <w:bookmarkStart w:id="120" w:name="_Toc466264155"/>
      <w:r w:rsidRPr="00EE1E0C">
        <w:t>Grundutbildning</w:t>
      </w:r>
      <w:bookmarkEnd w:id="120"/>
    </w:p>
    <w:p w:rsidR="00031A3F" w:rsidRPr="00EE1E0C" w:rsidRDefault="00031A3F">
      <w:r w:rsidRPr="00EE1E0C">
        <w:t>Regeringen beslutade i december 1996 att uppdra åt Rikspolisstyrelsen att detaljplanera en ny grundutbildning för poliser med utgångspunkt i utre</w:t>
      </w:r>
      <w:r w:rsidRPr="00EE1E0C">
        <w:t>d</w:t>
      </w:r>
      <w:r w:rsidRPr="00EE1E0C">
        <w:t xml:space="preserve">ningen </w:t>
      </w:r>
      <w:r w:rsidRPr="00EE1E0C">
        <w:rPr>
          <w:i/>
        </w:rPr>
        <w:t>Rekrytering och grundutbildning av poliser</w:t>
      </w:r>
      <w:r w:rsidRPr="00EE1E0C">
        <w:t xml:space="preserve"> (Ds 1996:11) och remis</w:t>
      </w:r>
      <w:r w:rsidRPr="00EE1E0C">
        <w:t>s</w:t>
      </w:r>
      <w:r w:rsidRPr="00EE1E0C">
        <w:t xml:space="preserve">yttrandena med anledning av denna. Motiven att förnya polisutbildningen var flera, bl.a. de förändringar polisorganisationen genomgått under 1990-talet, brottsutvecklingen och införandet av närpolisorganisationen. </w:t>
      </w:r>
    </w:p>
    <w:p w:rsidR="00031A3F" w:rsidRPr="00EE1E0C" w:rsidRDefault="00031A3F">
      <w:pPr>
        <w:pStyle w:val="Normaltindrag"/>
      </w:pPr>
      <w:r w:rsidRPr="00EE1E0C">
        <w:t>Polisprogrammet omfattar två års heltidsstudier vid Polishögskolan. Efter avlagd polisexamen har han eller hon rätt att söka betald praktiktjänstgöring vid en polismyndighet. Efter sex månaders godkänd tjänstgöring erhåller</w:t>
      </w:r>
      <w:r w:rsidRPr="00EE1E0C">
        <w:t xml:space="preserve"> man anställning som polis. Enligt en representant för Polishögskolan består de huvudsakliga förändringarna av polisutbildningen av att man satsat på bättre utbildning i brottsutredningsverksamhet och i det problemorienterade arbetssä</w:t>
      </w:r>
      <w:r w:rsidRPr="00EE1E0C">
        <w:t>t</w:t>
      </w:r>
      <w:r w:rsidRPr="00EE1E0C">
        <w:t>tet.</w:t>
      </w:r>
    </w:p>
    <w:p w:rsidR="00031A3F" w:rsidRPr="00EE1E0C" w:rsidRDefault="00031A3F">
      <w:pPr>
        <w:pStyle w:val="Normaltindrag"/>
      </w:pPr>
      <w:r w:rsidRPr="00EE1E0C">
        <w:t>Man har även infört ett nytt rekryteringssystem till polisutbildningen. Den länsvisa rekryteringen har ersatts av en central rekrytering  bl.a. för att uppnå en jämn könsfördelning och för att rekrytera personer med varierande ba</w:t>
      </w:r>
      <w:r w:rsidRPr="00EE1E0C">
        <w:t>k</w:t>
      </w:r>
      <w:r w:rsidRPr="00EE1E0C">
        <w:t>grund när det gäller sociala, etniska och andra faktorer. Utbildningen är studiemedel</w:t>
      </w:r>
      <w:r w:rsidRPr="00EE1E0C">
        <w:t>s</w:t>
      </w:r>
      <w:r w:rsidRPr="00EE1E0C">
        <w:t xml:space="preserve">finansierad. </w:t>
      </w:r>
    </w:p>
    <w:p w:rsidR="00031A3F" w:rsidRPr="00EE1E0C" w:rsidRDefault="00031A3F">
      <w:pPr>
        <w:pStyle w:val="Rubrik4"/>
      </w:pPr>
      <w:bookmarkStart w:id="121" w:name="_Toc466264156"/>
      <w:r w:rsidRPr="00EE1E0C">
        <w:t>Vidareutbildning</w:t>
      </w:r>
      <w:bookmarkEnd w:id="121"/>
    </w:p>
    <w:p w:rsidR="00031A3F" w:rsidRPr="00EE1E0C" w:rsidRDefault="00031A3F">
      <w:r w:rsidRPr="00EE1E0C">
        <w:t>I en utredning om vidareutbildning av poliser (Ds 1997:5) lämnades förslag till förändringar i fråga om vidareutbildning av poliser, rekrytering och u</w:t>
      </w:r>
      <w:r w:rsidRPr="00EE1E0C">
        <w:t>t</w:t>
      </w:r>
      <w:r w:rsidRPr="00EE1E0C">
        <w:t>bildning av polisiära chefer samt Polishögskolans organisation och framtida uppgifter. Där angavs bl.a. att man för att upprätthålla och öka kompetensen inom polisväsendet måste vidareutbilda personalen med viss regelbundenhet. Särskilda utbildningsinsatser bör ske i bl.a. närpolisverksamhet, kvalificerad kriminalpolisverksamhet och ekobrottsbekämpning. Regeringen har i regl</w:t>
      </w:r>
      <w:r w:rsidRPr="00EE1E0C">
        <w:t>e</w:t>
      </w:r>
      <w:r w:rsidRPr="00EE1E0C">
        <w:t>ringsbreven de senaste åren ålagt polisen att vidta åtgärder för att höja ko</w:t>
      </w:r>
      <w:r w:rsidRPr="00EE1E0C">
        <w:t>m</w:t>
      </w:r>
      <w:r w:rsidRPr="00EE1E0C">
        <w:t>pete</w:t>
      </w:r>
      <w:r w:rsidRPr="00EE1E0C">
        <w:t>n</w:t>
      </w:r>
      <w:r w:rsidRPr="00EE1E0C">
        <w:t>sen inom polisväsendet.</w:t>
      </w:r>
    </w:p>
    <w:p w:rsidR="00031A3F" w:rsidRPr="00EE1E0C" w:rsidRDefault="00031A3F">
      <w:pPr>
        <w:pStyle w:val="Normaltindrag"/>
      </w:pPr>
      <w:r w:rsidRPr="00EE1E0C">
        <w:t xml:space="preserve">Polisen har haft särskilda </w:t>
      </w:r>
      <w:r w:rsidRPr="00EE1E0C">
        <w:t>behov av utbildning i samband med organis</w:t>
      </w:r>
      <w:r w:rsidRPr="00EE1E0C">
        <w:t>a</w:t>
      </w:r>
      <w:r w:rsidRPr="00EE1E0C">
        <w:t>tionsförändringarna inom polisväsendet. Revisorerna har sänt en enkät till samtliga 21 polismyndigheter och svar har inkommit från samtliga. I enkäten ombads myndigheten bl.a. att redogöra för vilka utbildningsinsatser som gjorts i samband med genomförandet av närpolisreformen och det probl</w:t>
      </w:r>
      <w:r w:rsidRPr="00EE1E0C">
        <w:t>e</w:t>
      </w:r>
      <w:r w:rsidRPr="00EE1E0C">
        <w:t>morienterade arbet</w:t>
      </w:r>
      <w:r w:rsidRPr="00EE1E0C">
        <w:t>s</w:t>
      </w:r>
      <w:r w:rsidRPr="00EE1E0C">
        <w:t>sättet. Av svaren framgår följande.</w:t>
      </w:r>
    </w:p>
    <w:p w:rsidR="00031A3F" w:rsidRPr="00EE1E0C" w:rsidRDefault="00031A3F">
      <w:pPr>
        <w:pStyle w:val="Normaltindrag"/>
        <w:numPr>
          <w:ilvl w:val="0"/>
          <w:numId w:val="299"/>
        </w:numPr>
        <w:ind w:left="530"/>
      </w:pPr>
      <w:r w:rsidRPr="00EE1E0C">
        <w:t>Vid 19 polismyndigheter har mellan 90 procent och 100 procent av nä</w:t>
      </w:r>
      <w:r w:rsidRPr="00EE1E0C">
        <w:t>r</w:t>
      </w:r>
      <w:r w:rsidRPr="00EE1E0C">
        <w:t>poliserna fått utbildning i närpolisverksamhet. Vid de två övriga my</w:t>
      </w:r>
      <w:r w:rsidRPr="00EE1E0C">
        <w:t>n</w:t>
      </w:r>
      <w:r w:rsidRPr="00EE1E0C">
        <w:t>digheterna har mellan 80 procent och 90 procent fått utbildning i nä</w:t>
      </w:r>
      <w:r w:rsidRPr="00EE1E0C">
        <w:t>r</w:t>
      </w:r>
      <w:r w:rsidRPr="00EE1E0C">
        <w:t>polisverksamhet. Utbildningens omfattning varierar dock. Med u</w:t>
      </w:r>
      <w:r w:rsidRPr="00EE1E0C">
        <w:t>t</w:t>
      </w:r>
      <w:r w:rsidRPr="00EE1E0C">
        <w:t>bildning har i enkätsvaren avsetts allt mellan tre dagars utbildning och 12–13 veckors utbil</w:t>
      </w:r>
      <w:r w:rsidRPr="00EE1E0C">
        <w:t>d</w:t>
      </w:r>
      <w:r w:rsidRPr="00EE1E0C">
        <w:t>ning.</w:t>
      </w:r>
    </w:p>
    <w:p w:rsidR="00031A3F" w:rsidRPr="00EE1E0C" w:rsidRDefault="00031A3F">
      <w:pPr>
        <w:pStyle w:val="Normaltindrag"/>
        <w:numPr>
          <w:ilvl w:val="0"/>
          <w:numId w:val="299"/>
        </w:numPr>
        <w:ind w:left="530"/>
      </w:pPr>
      <w:r w:rsidRPr="00EE1E0C">
        <w:t>Vad beträffar det problemorienterade arbetssättet varierar andelen pol</w:t>
      </w:r>
      <w:r w:rsidRPr="00EE1E0C">
        <w:t>i</w:t>
      </w:r>
      <w:r w:rsidRPr="00EE1E0C">
        <w:t>ser som har fått utbildning. I 13 myndigheter har mellan 90 procent och 100 procent fått utbildning i det problemorienterade arbetssättet. Vid fem myndigheter har mellan 70 procent och 90 procent fått u</w:t>
      </w:r>
      <w:r w:rsidRPr="00EE1E0C">
        <w:t>t</w:t>
      </w:r>
      <w:r w:rsidRPr="00EE1E0C">
        <w:t>bildning och vid tre polismyndigheter har färre än 70 procent av pol</w:t>
      </w:r>
      <w:r w:rsidRPr="00EE1E0C">
        <w:t>i</w:t>
      </w:r>
      <w:r w:rsidRPr="00EE1E0C">
        <w:t>serna fått utbildning. I ett av länen har endast 25 procent av samtliga poliser fått utbildning i det problemorienterade arbetssättet. Omfat</w:t>
      </w:r>
      <w:r w:rsidRPr="00EE1E0C">
        <w:t>t</w:t>
      </w:r>
      <w:r w:rsidRPr="00EE1E0C">
        <w:t>ningen av utbildningen i det problemorienterade arbetssättet varierar. Till utbildning räknas såvä</w:t>
      </w:r>
      <w:r w:rsidRPr="00EE1E0C">
        <w:t>l generell information som mer omfattande utbildning. Enligt enkätsvaren har den mer omfattande utbildningen givits i samband med specialutbildning i exempelvis närpolisver</w:t>
      </w:r>
      <w:r w:rsidRPr="00EE1E0C">
        <w:t>k</w:t>
      </w:r>
      <w:r w:rsidRPr="00EE1E0C">
        <w:t>samhet eller utredningsverksamhet. Vanligtvis har utbildningsinsa</w:t>
      </w:r>
      <w:r w:rsidRPr="00EE1E0C">
        <w:t>t</w:t>
      </w:r>
      <w:r w:rsidRPr="00EE1E0C">
        <w:t>serna beträffande problemorienterat arbete koncentrerats till närpol</w:t>
      </w:r>
      <w:r w:rsidRPr="00EE1E0C">
        <w:t>i</w:t>
      </w:r>
      <w:r w:rsidRPr="00EE1E0C">
        <w:t xml:space="preserve">serna. </w:t>
      </w:r>
    </w:p>
    <w:p w:rsidR="00031A3F" w:rsidRPr="00EE1E0C" w:rsidRDefault="00031A3F">
      <w:r w:rsidRPr="00EE1E0C">
        <w:t>Beslut om utbildning fattas lokalt i varje polismyndighet. År 1994 utsågs en kontaktperson i varje län. Kontaktpersonen har till uppgift att utbilda koll</w:t>
      </w:r>
      <w:r w:rsidRPr="00EE1E0C">
        <w:t>e</w:t>
      </w:r>
      <w:r w:rsidRPr="00EE1E0C">
        <w:t>gerna i den egna polismyndigheten i hur det problemorienterade arbetssättet skall tillämpas. Hur stort mandat dessa kontaktmän har vid respektive poli</w:t>
      </w:r>
      <w:r w:rsidRPr="00EE1E0C">
        <w:t>s</w:t>
      </w:r>
      <w:r w:rsidRPr="00EE1E0C">
        <w:t>myndighet varierar mellan länen och beror enligt Rikspolisstyrelsen på län</w:t>
      </w:r>
      <w:r w:rsidRPr="00EE1E0C">
        <w:t>s</w:t>
      </w:r>
      <w:r w:rsidRPr="00EE1E0C">
        <w:t>polismästarens inställning till närpolisverksamheten och det problemorient</w:t>
      </w:r>
      <w:r w:rsidRPr="00EE1E0C">
        <w:t>e</w:t>
      </w:r>
      <w:r w:rsidRPr="00EE1E0C">
        <w:t xml:space="preserve">rade arbetssättet. </w:t>
      </w:r>
    </w:p>
    <w:p w:rsidR="00031A3F" w:rsidRPr="00EE1E0C" w:rsidRDefault="00031A3F">
      <w:pPr>
        <w:pStyle w:val="Normaltindrag"/>
      </w:pPr>
      <w:r w:rsidRPr="00EE1E0C">
        <w:t>I Rikspolisstyrelsens protokoll över inspektionerna av närpolisverksamh</w:t>
      </w:r>
      <w:r w:rsidRPr="00EE1E0C">
        <w:t>e</w:t>
      </w:r>
      <w:r w:rsidRPr="00EE1E0C">
        <w:t>ten i länen som pågick mellan 1995 och 1998 ansåg inspektörerna bl.a. att trots att ambitiösa utbildningsprogram genomförts hade det problemorient</w:t>
      </w:r>
      <w:r w:rsidRPr="00EE1E0C">
        <w:t>e</w:t>
      </w:r>
      <w:r w:rsidRPr="00EE1E0C">
        <w:t>rade arbetssättet inte fått särskilt stor genomslagskraft längst ut i polisorgan</w:t>
      </w:r>
      <w:r w:rsidRPr="00EE1E0C">
        <w:t>i</w:t>
      </w:r>
      <w:r w:rsidRPr="00EE1E0C">
        <w:t>sationen. Vidare ansågs utbildningen i det problemorienterade arbetssättet ha varit marginell i vissa län. Inspektörerna betonade vikten av att kontinuerlig fortbil</w:t>
      </w:r>
      <w:r w:rsidRPr="00EE1E0C">
        <w:t>d</w:t>
      </w:r>
      <w:r w:rsidRPr="00EE1E0C">
        <w:t>ning sker.</w:t>
      </w:r>
    </w:p>
    <w:p w:rsidR="00031A3F" w:rsidRPr="00EE1E0C" w:rsidRDefault="00031A3F">
      <w:pPr>
        <w:pStyle w:val="Normaltindrag"/>
      </w:pPr>
      <w:r w:rsidRPr="00EE1E0C">
        <w:t>Vid Rikspolisstyrelsen säger man sig vara medveten om att utbildningsi</w:t>
      </w:r>
      <w:r w:rsidRPr="00EE1E0C">
        <w:t>n</w:t>
      </w:r>
      <w:r w:rsidRPr="00EE1E0C">
        <w:t>satserna varit olika stora vid polismyndigheterna och att alla poliser inte fått lika mycket utbildning i närpolisverksamhet och det problemorienterade arbetssättet. Därför pågår vid Rikspolisstyrelsen en inventering av utbil</w:t>
      </w:r>
      <w:r w:rsidRPr="00EE1E0C">
        <w:t>d</w:t>
      </w:r>
      <w:r w:rsidRPr="00EE1E0C">
        <w:t>ningsinsatserna som skall ligga till grund för vidareutbildningen under ko</w:t>
      </w:r>
      <w:r w:rsidRPr="00EE1E0C">
        <w:t>m</w:t>
      </w:r>
      <w:r w:rsidRPr="00EE1E0C">
        <w:t>mande år. Man har bedrivit speciella utbildningar exempelvis för närpoliser som blivit förundersökningledare trots att de saknar utredningserfarenhet. Vid Rikspolisstyrelsen anser man att denna utbildning har f</w:t>
      </w:r>
      <w:r w:rsidRPr="00EE1E0C">
        <w:t>ått stor geno</w:t>
      </w:r>
      <w:r w:rsidRPr="00EE1E0C">
        <w:t>m</w:t>
      </w:r>
      <w:r w:rsidRPr="00EE1E0C">
        <w:t>slag</w:t>
      </w:r>
      <w:r w:rsidRPr="00EE1E0C">
        <w:t>s</w:t>
      </w:r>
      <w:r w:rsidRPr="00EE1E0C">
        <w:t>kraft.</w:t>
      </w:r>
    </w:p>
    <w:p w:rsidR="00031A3F" w:rsidRPr="00EE1E0C" w:rsidRDefault="00031A3F">
      <w:pPr>
        <w:pStyle w:val="Normaltindrag"/>
      </w:pPr>
      <w:r w:rsidRPr="00EE1E0C">
        <w:t>Representanter för Polishögskolan anger att kunskapen om det pro</w:t>
      </w:r>
      <w:r w:rsidRPr="00EE1E0C">
        <w:softHyphen/>
        <w:t>blem</w:t>
      </w:r>
      <w:r w:rsidRPr="00EE1E0C">
        <w:softHyphen/>
        <w:t>orienterade arbetssättet är begränsad och att många har satt och fortfarande sätter likhetstecken mellan närpolisverksamhet och det problemorienterade arbet</w:t>
      </w:r>
      <w:r w:rsidRPr="00EE1E0C">
        <w:t>s</w:t>
      </w:r>
      <w:r w:rsidRPr="00EE1E0C">
        <w:t>sättet.</w:t>
      </w:r>
    </w:p>
    <w:p w:rsidR="00031A3F" w:rsidRPr="00EE1E0C" w:rsidRDefault="00031A3F">
      <w:pPr>
        <w:pStyle w:val="Normaltindrag"/>
      </w:pPr>
      <w:r w:rsidRPr="00EE1E0C">
        <w:t>Tjänstemän i Justitiedepartementet uppger att Rikspolisstyrelsen arbetar med ett förslag om polisens vidareutbildning.</w:t>
      </w:r>
    </w:p>
    <w:p w:rsidR="00031A3F" w:rsidRPr="00EE1E0C" w:rsidRDefault="00031A3F">
      <w:pPr>
        <w:pStyle w:val="Rubrik3"/>
      </w:pPr>
      <w:bookmarkStart w:id="122" w:name="_Toc443275828"/>
      <w:bookmarkStart w:id="123" w:name="_Toc448905725"/>
      <w:bookmarkStart w:id="124" w:name="_Toc454180208"/>
      <w:bookmarkStart w:id="125" w:name="_Toc466264157"/>
      <w:r w:rsidRPr="00EE1E0C">
        <w:t>Diskussionen om polisens arbetsuppgifter</w:t>
      </w:r>
      <w:bookmarkEnd w:id="122"/>
      <w:bookmarkEnd w:id="123"/>
      <w:bookmarkEnd w:id="124"/>
      <w:bookmarkEnd w:id="125"/>
    </w:p>
    <w:p w:rsidR="00031A3F" w:rsidRPr="00EE1E0C" w:rsidRDefault="00031A3F">
      <w:r w:rsidRPr="00EE1E0C">
        <w:t xml:space="preserve">År 1998 tillsattes i Stockholms län ROPA-gruppen (Ren Odlat Polis Arbete) med uppgift att göra en översyn av de polisiära arbetsuppgifterna med syfte att effektivisera verksamheten inom polisen. Arbetsgruppen identifierade arbetsuppgifter som enligt dess mening borde ifrågasättas. Man föreslog bl.a. att polisen skall upphöra med </w:t>
      </w:r>
    </w:p>
    <w:p w:rsidR="00031A3F" w:rsidRPr="00EE1E0C" w:rsidRDefault="00031A3F">
      <w:pPr>
        <w:numPr>
          <w:ilvl w:val="0"/>
          <w:numId w:val="291"/>
        </w:numPr>
      </w:pPr>
      <w:r w:rsidRPr="00EE1E0C">
        <w:t>uppgifter hänförliga till social brottsprevention, exempelvis polisens undervisning i lag och rätt i skolan</w:t>
      </w:r>
    </w:p>
    <w:p w:rsidR="00031A3F" w:rsidRPr="00EE1E0C" w:rsidRDefault="00031A3F">
      <w:pPr>
        <w:numPr>
          <w:ilvl w:val="0"/>
          <w:numId w:val="291"/>
        </w:numPr>
      </w:pPr>
      <w:r w:rsidRPr="00EE1E0C">
        <w:t>uppgifter som kommunala organ bär ansvar för enligt socialtjänstl</w:t>
      </w:r>
      <w:r w:rsidRPr="00EE1E0C">
        <w:t>a</w:t>
      </w:r>
      <w:r w:rsidRPr="00EE1E0C">
        <w:t xml:space="preserve">gen </w:t>
      </w:r>
    </w:p>
    <w:p w:rsidR="00031A3F" w:rsidRPr="00EE1E0C" w:rsidRDefault="00031A3F">
      <w:pPr>
        <w:numPr>
          <w:ilvl w:val="0"/>
          <w:numId w:val="291"/>
        </w:numPr>
      </w:pPr>
      <w:r w:rsidRPr="00EE1E0C">
        <w:t>uppgifter som regleras i ordningslagen, exempelvis bevakningen av offentliga tillstäl</w:t>
      </w:r>
      <w:r w:rsidRPr="00EE1E0C">
        <w:t>l</w:t>
      </w:r>
      <w:r w:rsidRPr="00EE1E0C">
        <w:t>ningar</w:t>
      </w:r>
    </w:p>
    <w:p w:rsidR="00031A3F" w:rsidRPr="00EE1E0C" w:rsidRDefault="00031A3F">
      <w:pPr>
        <w:numPr>
          <w:ilvl w:val="0"/>
          <w:numId w:val="291"/>
        </w:numPr>
      </w:pPr>
      <w:r w:rsidRPr="00EE1E0C">
        <w:t>polismäns arbetsuppgifter avseende intern verksamhet, exempelvis att frakta post, personaladministration och bevakning av intagna.</w:t>
      </w:r>
    </w:p>
    <w:p w:rsidR="00031A3F" w:rsidRPr="00EE1E0C" w:rsidRDefault="00031A3F">
      <w:r w:rsidRPr="00EE1E0C">
        <w:t>Vidare föreslog man i rapporten att en översyn av de arbetsuppgifter som är reglerade i Föreskrifter och allmänna råd för polisen (FAP) borde göras och förslag till förändringar lämnas. ROPA-gruppen föreslog även att en statlig utredning skulle ges i uppdrag att göra en total översyn av vilka arbetsup</w:t>
      </w:r>
      <w:r w:rsidRPr="00EE1E0C">
        <w:t>p</w:t>
      </w:r>
      <w:r w:rsidRPr="00EE1E0C">
        <w:t>gifter polisen bör ha.</w:t>
      </w:r>
    </w:p>
    <w:p w:rsidR="00031A3F" w:rsidRPr="00EE1E0C" w:rsidRDefault="00031A3F">
      <w:pPr>
        <w:pStyle w:val="Normaltindrag"/>
      </w:pPr>
      <w:r w:rsidRPr="00EE1E0C">
        <w:t xml:space="preserve">RRV angav (1996) att för lite enmanstjänstgöring inom polisen förhindrar ett effektivare resursutnyttjande. Rikspolisstyrelsen har tillsatt en grupp som ser över möjligheterna till enmanstjänstgöring i större utsträckning. </w:t>
      </w:r>
    </w:p>
    <w:p w:rsidR="00031A3F" w:rsidRPr="00EE1E0C" w:rsidRDefault="00031A3F">
      <w:pPr>
        <w:pStyle w:val="Rubrik4"/>
      </w:pPr>
      <w:bookmarkStart w:id="126" w:name="_Toc466264158"/>
      <w:r w:rsidRPr="00EE1E0C">
        <w:t>Skattebrottsutredningar</w:t>
      </w:r>
      <w:bookmarkEnd w:id="126"/>
    </w:p>
    <w:p w:rsidR="00031A3F" w:rsidRPr="00EE1E0C" w:rsidRDefault="00031A3F">
      <w:r w:rsidRPr="00EE1E0C">
        <w:t>Riksdagen beslutade i november 1997 att utredningar om skattebrott i no</w:t>
      </w:r>
      <w:r w:rsidRPr="00EE1E0C">
        <w:t>r</w:t>
      </w:r>
      <w:r w:rsidRPr="00EE1E0C">
        <w:t>malfallet skall handläggas av skattemyndigheterna (prop. 1997/98:10, bet. 1997/98:SkU10, 1997/98:JuU2y, rskr. 1997/98:70). Den nya organisationen började fungera den 1 januari 1999. I praktiken hade utredningarna geno</w:t>
      </w:r>
      <w:r w:rsidRPr="00EE1E0C">
        <w:t>m</w:t>
      </w:r>
      <w:r w:rsidRPr="00EE1E0C">
        <w:t>förts av skattemyndigheterna även tidigare eftersom myndigheternas utre</w:t>
      </w:r>
      <w:r w:rsidRPr="00EE1E0C">
        <w:t>d</w:t>
      </w:r>
      <w:r w:rsidRPr="00EE1E0C">
        <w:t>ning legat till grund för polisens. I propositionen anförde regeringen att b</w:t>
      </w:r>
      <w:r w:rsidRPr="00EE1E0C">
        <w:t>a</w:t>
      </w:r>
      <w:r w:rsidRPr="00EE1E0C">
        <w:t>lanssituationen hos polisen gjorde att det kunde ta mycket lång tid innan utredningen slutfördes vilket utgjorde en risk för att skattebrottet h</w:t>
      </w:r>
      <w:r w:rsidRPr="00EE1E0C">
        <w:t>ann pr</w:t>
      </w:r>
      <w:r w:rsidRPr="00EE1E0C">
        <w:t>e</w:t>
      </w:r>
      <w:r w:rsidRPr="00EE1E0C">
        <w:t>skriberas innan åtal kunde väckas. Regeringen menade att resurserna för bekämpning av skattebrott skulle komma att användas effektivare om äre</w:t>
      </w:r>
      <w:r w:rsidRPr="00EE1E0C">
        <w:t>n</w:t>
      </w:r>
      <w:r w:rsidRPr="00EE1E0C">
        <w:t>dena handlades av skattemyndigheterna och inte av polisen. Utskottet men</w:t>
      </w:r>
      <w:r w:rsidRPr="00EE1E0C">
        <w:t>a</w:t>
      </w:r>
      <w:r w:rsidRPr="00EE1E0C">
        <w:t>de att den nya organisationen medför vissa nackdelar eftersom ekonomisk brottslighet kommer att utredas av flera myndigheter, nämligen polisen, skattemyndigheten, åklagarmyndigheten och Ekobrottsmyndigheten. U</w:t>
      </w:r>
      <w:r w:rsidRPr="00EE1E0C">
        <w:t>t</w:t>
      </w:r>
      <w:r w:rsidRPr="00EE1E0C">
        <w:t>skottet förutsatte att de berörda myndigheterna upprättar gemensamma rut</w:t>
      </w:r>
      <w:r w:rsidRPr="00EE1E0C">
        <w:t>i</w:t>
      </w:r>
      <w:r w:rsidRPr="00EE1E0C">
        <w:t>ner fö</w:t>
      </w:r>
      <w:r w:rsidRPr="00EE1E0C">
        <w:t>r t.ex. samråd och informationsutbyte.</w:t>
      </w:r>
    </w:p>
    <w:p w:rsidR="00031A3F" w:rsidRPr="00EE1E0C" w:rsidRDefault="00031A3F">
      <w:pPr>
        <w:pStyle w:val="Rubrik2"/>
      </w:pPr>
      <w:bookmarkStart w:id="127" w:name="_Toc443275829"/>
      <w:bookmarkStart w:id="128" w:name="_Toc448905726"/>
      <w:bookmarkStart w:id="129" w:name="_Toc466264159"/>
      <w:r w:rsidRPr="00EE1E0C">
        <w:t>Organisation</w:t>
      </w:r>
      <w:bookmarkEnd w:id="127"/>
      <w:bookmarkEnd w:id="128"/>
      <w:bookmarkEnd w:id="129"/>
    </w:p>
    <w:p w:rsidR="00031A3F" w:rsidRPr="00EE1E0C" w:rsidRDefault="00031A3F">
      <w:r w:rsidRPr="00EE1E0C">
        <w:t>Den svenska polisen förstatligades år 1965. Polisen organiserades då i 119 polisdistrikt med en myndighet i varje distrikt. Distrikten byggdes upp kring en större huvudort. I varje polisdistrikt fanns en polismyndighet med ansvar för polisverksamheten i distriktet. Därefter har polisens organisation inte förändrats på något genomgripande sätt förrän på 1990-talet då länsmyndi</w:t>
      </w:r>
      <w:r w:rsidRPr="00EE1E0C">
        <w:t>g</w:t>
      </w:r>
      <w:r w:rsidRPr="00EE1E0C">
        <w:t>hetsreformen genomfördes och närpolisverksamhet och problemorienterat polisa</w:t>
      </w:r>
      <w:r w:rsidRPr="00EE1E0C">
        <w:t>r</w:t>
      </w:r>
      <w:r w:rsidRPr="00EE1E0C">
        <w:t xml:space="preserve">bete infördes. </w:t>
      </w:r>
    </w:p>
    <w:p w:rsidR="00031A3F" w:rsidRPr="00EE1E0C" w:rsidRDefault="00031A3F">
      <w:pPr>
        <w:pStyle w:val="Normaltindrag"/>
      </w:pPr>
      <w:r w:rsidRPr="00EE1E0C">
        <w:t>Sedan den 1 juni 1998 finns 21 polismyndigheter i landet. Det finns en p</w:t>
      </w:r>
      <w:r w:rsidRPr="00EE1E0C">
        <w:t>o</w:t>
      </w:r>
      <w:r w:rsidRPr="00EE1E0C">
        <w:t>lismyndighet i varje län. Den 1 februari 1999 var sammanlagt åtta polismy</w:t>
      </w:r>
      <w:r w:rsidRPr="00EE1E0C">
        <w:t>n</w:t>
      </w:r>
      <w:r w:rsidRPr="00EE1E0C">
        <w:t>digheter indelade i både polisområden och närpolisområden. Enbart närpol</w:t>
      </w:r>
      <w:r w:rsidRPr="00EE1E0C">
        <w:t>i</w:t>
      </w:r>
      <w:r w:rsidRPr="00EE1E0C">
        <w:t>s</w:t>
      </w:r>
      <w:r w:rsidRPr="00EE1E0C">
        <w:softHyphen/>
        <w:t>områden utöver de länsövergripande funktionerna hade tolv polismyndigh</w:t>
      </w:r>
      <w:r w:rsidRPr="00EE1E0C">
        <w:t>e</w:t>
      </w:r>
      <w:r w:rsidRPr="00EE1E0C">
        <w:t>ter. En myndighet hade enbart polisområden. Enligt beslut av polisstyrelsen i Östergötlands län kommer organisationen att förändras. Polisområdena kommer att tas bort och man kommer enbart att ha närpolisområden under länspolismästarnivån.</w:t>
      </w:r>
    </w:p>
    <w:p w:rsidR="00031A3F" w:rsidRPr="00EE1E0C" w:rsidRDefault="00031A3F">
      <w:pPr>
        <w:pStyle w:val="Normaltindrag"/>
      </w:pPr>
      <w:r w:rsidRPr="00EE1E0C">
        <w:t xml:space="preserve">RRV framförde (1996) att samtliga polismyndigheter </w:t>
      </w:r>
      <w:r w:rsidRPr="00EE1E0C">
        <w:t>borde kunna utnyttja resurserna bättre genom att använda sig av en enda kommunikationscentral och färre vakthavande befäl. Vid polisens kommunikationscentral fördelas uppdrag som kommer in till polisen genom telefonsamtal från allmänheten.  Sammanlagt 14 av de 21 länsmyndigheterna hade enbart en kommunik</w:t>
      </w:r>
      <w:r w:rsidRPr="00EE1E0C">
        <w:t>a</w:t>
      </w:r>
      <w:r w:rsidRPr="00EE1E0C">
        <w:t>tionscentral den 1 februari 1999. Vid flera av de myndigheter som har fler än en kommunikationscentral uppger man att man arbetar med en utredning eller ett förslag om att ha enbart en kommunikationscentral</w:t>
      </w:r>
      <w:r w:rsidRPr="00EE1E0C">
        <w:t xml:space="preserve"> i myndi</w:t>
      </w:r>
      <w:r w:rsidRPr="00EE1E0C">
        <w:t>g</w:t>
      </w:r>
      <w:r w:rsidRPr="00EE1E0C">
        <w:t xml:space="preserve">heten. </w:t>
      </w:r>
    </w:p>
    <w:p w:rsidR="00031A3F" w:rsidRPr="00EE1E0C" w:rsidRDefault="00031A3F">
      <w:pPr>
        <w:pStyle w:val="Normaltindrag"/>
      </w:pP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15744" behindDoc="0" locked="0" layoutInCell="0" allowOverlap="1">
                <wp:simplePos x="0" y="0"/>
                <wp:positionH relativeFrom="column">
                  <wp:posOffset>1291590</wp:posOffset>
                </wp:positionH>
                <wp:positionV relativeFrom="paragraph">
                  <wp:posOffset>123190</wp:posOffset>
                </wp:positionV>
                <wp:extent cx="822960" cy="365760"/>
                <wp:effectExtent l="0" t="0" r="0" b="0"/>
                <wp:wrapNone/>
                <wp:docPr id="1880196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Polisst</w:t>
                            </w:r>
                            <w:r w:rsidRPr="00EE1E0C">
                              <w:t>y</w:t>
                            </w:r>
                            <w:r w:rsidRPr="00EE1E0C">
                              <w:t>relse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01.7pt;margin-top:9.7pt;width:64.8pt;height:28.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" o:allowincell="f">
                <v:textbox>
                  <w:txbxContent>
                    <w:p w:rsidR="00031A3F" w:rsidRPr="00EE1E0C" w:rsidRDefault="00031A3F">
                      <w:r w:rsidRPr="00EE1E0C">
                        <w:t>Polisst</w:t>
                      </w:r>
                      <w:r w:rsidRPr="00EE1E0C">
                        <w:t>y</w:t>
                      </w:r>
                      <w:r w:rsidRPr="00EE1E0C">
                        <w:t>relse</w:t>
                      </w:r>
                    </w:p>
                  </w:txbxContent>
                </v:textbox>
              </v:shape>
            </w:pict>
          </mc:Fallback>
        </mc:AlternateContent>
      </w:r>
      <w:r w:rsidR="00031A3F" w:rsidRPr="00EE1E0C">
        <w:tab/>
      </w:r>
      <w:r w:rsidR="00031A3F" w:rsidRPr="00EE1E0C">
        <w:tab/>
      </w:r>
    </w:p>
    <w:p w:rsidR="00031A3F" w:rsidRPr="00EE1E0C" w:rsidRDefault="00031A3F">
      <w:pPr>
        <w:pStyle w:val="Normaltindrag"/>
      </w:pPr>
    </w:p>
    <w:p w:rsidR="00031A3F" w:rsidRPr="00EE1E0C" w:rsidRDefault="00031A3F">
      <w:pPr>
        <w:pStyle w:val="Normaltindrag"/>
        <w:ind w:firstLine="0"/>
        <w:rPr>
          <w:b/>
        </w:rPr>
      </w:pPr>
      <w:r w:rsidRPr="00EE1E0C">
        <w:rPr>
          <w:b/>
        </w:rPr>
        <w:t xml:space="preserve">Polismyndigheternas </w:t>
      </w:r>
    </w:p>
    <w:p w:rsidR="00031A3F" w:rsidRPr="00EE1E0C" w:rsidRDefault="00031A3F">
      <w:pPr>
        <w:pStyle w:val="Normaltindrag"/>
        <w:ind w:firstLine="0"/>
      </w:pPr>
      <w:r w:rsidRPr="00EE1E0C">
        <w:rPr>
          <w:b/>
        </w:rPr>
        <w:t>organisation</w:t>
      </w:r>
      <w:r w:rsidRPr="00EE1E0C">
        <w:t xml:space="preserve"> </w:t>
      </w:r>
      <w:r w:rsidRPr="00EE1E0C">
        <w:rPr>
          <w:b/>
        </w:rPr>
        <w:t>(990201)</w:t>
      </w:r>
      <w:r w:rsidRPr="00EE1E0C">
        <w:rPr>
          <w:b/>
        </w:rPr>
        <w:tab/>
      </w:r>
    </w:p>
    <w:p w:rsidR="00031A3F" w:rsidRPr="00EE1E0C" w:rsidRDefault="00EE1E0C">
      <w:pPr>
        <w:pStyle w:val="Normaltindrag"/>
        <w:ind w:firstLine="0"/>
      </w:pPr>
      <w:r w:rsidRPr="00EE1E0C">
        <w:rPr>
          <w:noProof/>
        </w:rPr>
        <mc:AlternateContent>
          <mc:Choice Requires="wps">
            <w:drawing>
              <wp:anchor distT="0" distB="0" distL="114300" distR="114300" simplePos="0" relativeHeight="251624960" behindDoc="0" locked="0" layoutInCell="0" allowOverlap="1">
                <wp:simplePos x="0" y="0"/>
                <wp:positionH relativeFrom="column">
                  <wp:posOffset>1657350</wp:posOffset>
                </wp:positionH>
                <wp:positionV relativeFrom="paragraph">
                  <wp:posOffset>22225</wp:posOffset>
                </wp:positionV>
                <wp:extent cx="0" cy="274320"/>
                <wp:effectExtent l="0" t="0" r="0" b="0"/>
                <wp:wrapNone/>
                <wp:docPr id="4777819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39E4" id="Line 1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75pt" to="13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" o:allowincell="f"/>
            </w:pict>
          </mc:Fallback>
        </mc:AlternateContent>
      </w:r>
      <w:r w:rsidR="00031A3F" w:rsidRPr="00EE1E0C">
        <w:t>(</w:t>
      </w:r>
      <w:r w:rsidR="00031A3F" w:rsidRPr="00EE1E0C">
        <w:rPr>
          <w:i/>
          <w:sz w:val="17"/>
        </w:rPr>
        <w:t>Källa: Rikspolisstyrelsen</w:t>
      </w:r>
      <w:r w:rsidR="00031A3F" w:rsidRPr="00EE1E0C">
        <w:t>)</w:t>
      </w:r>
      <w:r w:rsidR="00031A3F" w:rsidRPr="00EE1E0C">
        <w:tab/>
      </w:r>
      <w:r w:rsidR="00031A3F" w:rsidRPr="00EE1E0C">
        <w:tab/>
      </w:r>
      <w:r w:rsidR="00031A3F" w:rsidRPr="00EE1E0C">
        <w:tab/>
      </w:r>
      <w:r w:rsidR="00031A3F" w:rsidRPr="00EE1E0C">
        <w:tab/>
      </w: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14720" behindDoc="0" locked="0" layoutInCell="0" allowOverlap="1">
                <wp:simplePos x="0" y="0"/>
                <wp:positionH relativeFrom="column">
                  <wp:posOffset>833755</wp:posOffset>
                </wp:positionH>
                <wp:positionV relativeFrom="paragraph">
                  <wp:posOffset>15240</wp:posOffset>
                </wp:positionV>
                <wp:extent cx="1645920" cy="731520"/>
                <wp:effectExtent l="0" t="0" r="0" b="0"/>
                <wp:wrapNone/>
                <wp:docPr id="659942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Polismyndigheter, 21 st</w:t>
                            </w:r>
                          </w:p>
                          <w:p w:rsidR="00031A3F" w:rsidRPr="00EE1E0C" w:rsidRDefault="00031A3F">
                            <w:r w:rsidRPr="00EE1E0C">
                              <w:t>Länspolismästare</w:t>
                            </w:r>
                          </w:p>
                          <w:p w:rsidR="00031A3F" w:rsidRPr="00EE1E0C" w:rsidRDefault="00031A3F">
                            <w:pPr>
                              <w:pStyle w:val="Normaltindra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5.65pt;margin-top:1.2pt;width:129.6pt;height:57.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" o:allowincell="f">
                <v:textbox>
                  <w:txbxContent>
                    <w:p w:rsidR="00031A3F" w:rsidRPr="00EE1E0C" w:rsidRDefault="00031A3F">
                      <w:r w:rsidRPr="00EE1E0C">
                        <w:t>Polismyndigheter, 21 st</w:t>
                      </w:r>
                    </w:p>
                    <w:p w:rsidR="00031A3F" w:rsidRPr="00EE1E0C" w:rsidRDefault="00031A3F">
                      <w:r w:rsidRPr="00EE1E0C">
                        <w:t>Länspolismästare</w:t>
                      </w:r>
                    </w:p>
                    <w:p w:rsidR="00031A3F" w:rsidRPr="00EE1E0C" w:rsidRDefault="00031A3F">
                      <w:pPr>
                        <w:pStyle w:val="Normaltindrag"/>
                      </w:pP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20864" behindDoc="0" locked="0" layoutInCell="0" allowOverlap="1">
                <wp:simplePos x="0" y="0"/>
                <wp:positionH relativeFrom="column">
                  <wp:posOffset>1656715</wp:posOffset>
                </wp:positionH>
                <wp:positionV relativeFrom="paragraph">
                  <wp:posOffset>125095</wp:posOffset>
                </wp:positionV>
                <wp:extent cx="0" cy="365760"/>
                <wp:effectExtent l="0" t="0" r="0" b="0"/>
                <wp:wrapNone/>
                <wp:docPr id="73389417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FF60" id="Line 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5pt,9.85pt" to="130.4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" o:allowincell="f"/>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22912" behindDoc="0" locked="0" layoutInCell="0" allowOverlap="1">
                <wp:simplePos x="0" y="0"/>
                <wp:positionH relativeFrom="column">
                  <wp:posOffset>10795</wp:posOffset>
                </wp:positionH>
                <wp:positionV relativeFrom="paragraph">
                  <wp:posOffset>24130</wp:posOffset>
                </wp:positionV>
                <wp:extent cx="1645920" cy="0"/>
                <wp:effectExtent l="0" t="0" r="0" b="0"/>
                <wp:wrapNone/>
                <wp:docPr id="90475120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A4CD5" id="Line 11" o:spid="_x0000_s1026" style="position:absolute;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9pt" to="13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" o:allowincell="f"/>
            </w:pict>
          </mc:Fallback>
        </mc:AlternateContent>
      </w:r>
      <w:r w:rsidRPr="00EE1E0C">
        <w:rPr>
          <w:noProof/>
        </w:rPr>
        <mc:AlternateContent>
          <mc:Choice Requires="wps">
            <w:drawing>
              <wp:anchor distT="0" distB="0" distL="114300" distR="114300" simplePos="0" relativeHeight="251621888" behindDoc="0" locked="0" layoutInCell="0" allowOverlap="1">
                <wp:simplePos x="0" y="0"/>
                <wp:positionH relativeFrom="column">
                  <wp:posOffset>1656715</wp:posOffset>
                </wp:positionH>
                <wp:positionV relativeFrom="paragraph">
                  <wp:posOffset>24130</wp:posOffset>
                </wp:positionV>
                <wp:extent cx="1645920" cy="0"/>
                <wp:effectExtent l="0" t="0" r="0" b="0"/>
                <wp:wrapNone/>
                <wp:docPr id="87483564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631E4" id="Line 1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5pt,1.9pt" to="26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" o:allowincell="f"/>
            </w:pict>
          </mc:Fallback>
        </mc:AlternateContent>
      </w:r>
      <w:r w:rsidR="00031A3F" w:rsidRPr="00EE1E0C">
        <w:t>12 myndigheter</w:t>
      </w:r>
      <w:r w:rsidR="00031A3F" w:rsidRPr="00EE1E0C">
        <w:tab/>
        <w:t xml:space="preserve">          8 myndigheter</w:t>
      </w:r>
      <w:r w:rsidR="00031A3F" w:rsidRPr="00EE1E0C">
        <w:tab/>
        <w:t xml:space="preserve">       1 myndighet</w:t>
      </w:r>
      <w:r w:rsidR="00031A3F" w:rsidRPr="00EE1E0C">
        <w:tab/>
      </w:r>
    </w:p>
    <w:p w:rsidR="00031A3F" w:rsidRPr="00EE1E0C" w:rsidRDefault="00EE1E0C">
      <w:pPr>
        <w:pStyle w:val="Normaltindrag"/>
      </w:pPr>
      <w:r w:rsidRPr="00EE1E0C">
        <w:rPr>
          <w:noProof/>
        </w:rPr>
        <mc:AlternateContent>
          <mc:Choice Requires="wps">
            <w:drawing>
              <wp:anchor distT="0" distB="0" distL="114300" distR="114300" simplePos="0" relativeHeight="251623936" behindDoc="0" locked="0" layoutInCell="0" allowOverlap="1">
                <wp:simplePos x="0" y="0"/>
                <wp:positionH relativeFrom="column">
                  <wp:posOffset>1565275</wp:posOffset>
                </wp:positionH>
                <wp:positionV relativeFrom="paragraph">
                  <wp:posOffset>692150</wp:posOffset>
                </wp:positionV>
                <wp:extent cx="0" cy="182880"/>
                <wp:effectExtent l="0" t="0" r="0" b="0"/>
                <wp:wrapNone/>
                <wp:docPr id="36684996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6F349" id="Line 1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25pt,54.5pt" to="123.2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" o:allowincell="f"/>
            </w:pict>
          </mc:Fallback>
        </mc:AlternateContent>
      </w:r>
      <w:r w:rsidRPr="00EE1E0C">
        <w:rPr>
          <w:noProof/>
        </w:rPr>
        <mc:AlternateContent>
          <mc:Choice Requires="wps">
            <w:drawing>
              <wp:anchor distT="0" distB="0" distL="114300" distR="114300" simplePos="0" relativeHeight="251616768" behindDoc="0" locked="0" layoutInCell="0" allowOverlap="1">
                <wp:simplePos x="0" y="0"/>
                <wp:positionH relativeFrom="column">
                  <wp:posOffset>10795</wp:posOffset>
                </wp:positionH>
                <wp:positionV relativeFrom="paragraph">
                  <wp:posOffset>52070</wp:posOffset>
                </wp:positionV>
                <wp:extent cx="1005840" cy="640080"/>
                <wp:effectExtent l="0" t="0" r="0" b="0"/>
                <wp:wrapNone/>
                <wp:docPr id="1559392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Närpoliso</w:t>
                            </w:r>
                            <w:r w:rsidRPr="00EE1E0C">
                              <w:t>m</w:t>
                            </w:r>
                            <w:r w:rsidRPr="00EE1E0C">
                              <w:t>råde</w:t>
                            </w:r>
                          </w:p>
                          <w:p w:rsidR="00031A3F" w:rsidRPr="00EE1E0C" w:rsidRDefault="00031A3F">
                            <w:r w:rsidRPr="00EE1E0C">
                              <w:t>Närpolischef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85pt;margin-top:4.1pt;width:79.2pt;height:50.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VZGAIAADIEAAAOAAAAZHJzL2Uyb0RvYy54bWysU1Fv0zAQfkfiP1h+p0mrdnR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" o:allowincell="f">
                <v:textbox>
                  <w:txbxContent>
                    <w:p w:rsidR="00031A3F" w:rsidRPr="00EE1E0C" w:rsidRDefault="00031A3F">
                      <w:r w:rsidRPr="00EE1E0C">
                        <w:t>Närpoliso</w:t>
                      </w:r>
                      <w:r w:rsidRPr="00EE1E0C">
                        <w:t>m</w:t>
                      </w:r>
                      <w:r w:rsidRPr="00EE1E0C">
                        <w:t>råde</w:t>
                      </w:r>
                    </w:p>
                    <w:p w:rsidR="00031A3F" w:rsidRPr="00EE1E0C" w:rsidRDefault="00031A3F">
                      <w:r w:rsidRPr="00EE1E0C">
                        <w:t>Närpolischef</w:t>
                      </w:r>
                    </w:p>
                  </w:txbxContent>
                </v:textbox>
              </v:shape>
            </w:pict>
          </mc:Fallback>
        </mc:AlternateContent>
      </w:r>
      <w:r w:rsidRPr="00EE1E0C">
        <w:rPr>
          <w:noProof/>
        </w:rPr>
        <mc:AlternateContent>
          <mc:Choice Requires="wps">
            <w:drawing>
              <wp:anchor distT="0" distB="0" distL="114300" distR="114300" simplePos="0" relativeHeight="251618816" behindDoc="0" locked="0" layoutInCell="0" allowOverlap="1">
                <wp:simplePos x="0" y="0"/>
                <wp:positionH relativeFrom="column">
                  <wp:posOffset>1108075</wp:posOffset>
                </wp:positionH>
                <wp:positionV relativeFrom="paragraph">
                  <wp:posOffset>52070</wp:posOffset>
                </wp:positionV>
                <wp:extent cx="1005840" cy="640080"/>
                <wp:effectExtent l="0" t="0" r="0" b="0"/>
                <wp:wrapNone/>
                <wp:docPr id="291313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Polisområde</w:t>
                            </w:r>
                          </w:p>
                          <w:p w:rsidR="00031A3F" w:rsidRPr="00EE1E0C" w:rsidRDefault="00031A3F">
                            <w:r w:rsidRPr="00EE1E0C">
                              <w:t>Polismästare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87.25pt;margin-top:4.1pt;width:79.2pt;height:50.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C1GQIAADI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" o:allowincell="f">
                <v:textbox>
                  <w:txbxContent>
                    <w:p w:rsidR="00031A3F" w:rsidRPr="00EE1E0C" w:rsidRDefault="00031A3F">
                      <w:r w:rsidRPr="00EE1E0C">
                        <w:t>Polisområde</w:t>
                      </w:r>
                    </w:p>
                    <w:p w:rsidR="00031A3F" w:rsidRPr="00EE1E0C" w:rsidRDefault="00031A3F">
                      <w:r w:rsidRPr="00EE1E0C">
                        <w:t>Polismästare</w:t>
                      </w:r>
                    </w:p>
                  </w:txbxContent>
                </v:textbox>
              </v:shape>
            </w:pict>
          </mc:Fallback>
        </mc:AlternateContent>
      </w:r>
      <w:r w:rsidRPr="00EE1E0C">
        <w:rPr>
          <w:noProof/>
        </w:rPr>
        <mc:AlternateContent>
          <mc:Choice Requires="wps">
            <w:drawing>
              <wp:anchor distT="0" distB="0" distL="114300" distR="114300" simplePos="0" relativeHeight="251619840" behindDoc="0" locked="0" layoutInCell="0" allowOverlap="1">
                <wp:simplePos x="0" y="0"/>
                <wp:positionH relativeFrom="column">
                  <wp:posOffset>2296795</wp:posOffset>
                </wp:positionH>
                <wp:positionV relativeFrom="paragraph">
                  <wp:posOffset>52070</wp:posOffset>
                </wp:positionV>
                <wp:extent cx="1005840" cy="640080"/>
                <wp:effectExtent l="0" t="0" r="0" b="0"/>
                <wp:wrapNone/>
                <wp:docPr id="1212509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Polisområde</w:t>
                            </w:r>
                          </w:p>
                          <w:p w:rsidR="00031A3F" w:rsidRPr="00EE1E0C" w:rsidRDefault="00031A3F">
                            <w:r w:rsidRPr="00EE1E0C">
                              <w:t>Polismästare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80.85pt;margin-top:4.1pt;width:79.2pt;height:50.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dUGAIAADIEAAAOAAAAZHJzL2Uyb0RvYy54bWysU1Fv0zAQfkfiP1h+p0mrdnR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" o:allowincell="f">
                <v:textbox>
                  <w:txbxContent>
                    <w:p w:rsidR="00031A3F" w:rsidRPr="00EE1E0C" w:rsidRDefault="00031A3F">
                      <w:r w:rsidRPr="00EE1E0C">
                        <w:t>Polisområde</w:t>
                      </w:r>
                    </w:p>
                    <w:p w:rsidR="00031A3F" w:rsidRPr="00EE1E0C" w:rsidRDefault="00031A3F">
                      <w:r w:rsidRPr="00EE1E0C">
                        <w:t>Polismästare</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17792" behindDoc="0" locked="0" layoutInCell="0" allowOverlap="1">
                <wp:simplePos x="0" y="0"/>
                <wp:positionH relativeFrom="column">
                  <wp:posOffset>1108075</wp:posOffset>
                </wp:positionH>
                <wp:positionV relativeFrom="paragraph">
                  <wp:posOffset>97790</wp:posOffset>
                </wp:positionV>
                <wp:extent cx="1005840" cy="640080"/>
                <wp:effectExtent l="0" t="0" r="0" b="0"/>
                <wp:wrapNone/>
                <wp:docPr id="1006586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Närpoliso</w:t>
                            </w:r>
                            <w:r w:rsidRPr="00EE1E0C">
                              <w:t>m</w:t>
                            </w:r>
                            <w:r w:rsidRPr="00EE1E0C">
                              <w:t>råde</w:t>
                            </w:r>
                          </w:p>
                          <w:p w:rsidR="00031A3F" w:rsidRPr="00EE1E0C" w:rsidRDefault="00031A3F">
                            <w:r w:rsidRPr="00EE1E0C">
                              <w:t>Närpolischef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87.25pt;margin-top:7.7pt;width:79.2pt;height:50.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" o:allowincell="f">
                <v:textbox>
                  <w:txbxContent>
                    <w:p w:rsidR="00031A3F" w:rsidRPr="00EE1E0C" w:rsidRDefault="00031A3F">
                      <w:r w:rsidRPr="00EE1E0C">
                        <w:t>Närpoliso</w:t>
                      </w:r>
                      <w:r w:rsidRPr="00EE1E0C">
                        <w:t>m</w:t>
                      </w:r>
                      <w:r w:rsidRPr="00EE1E0C">
                        <w:t>råde</w:t>
                      </w:r>
                    </w:p>
                    <w:p w:rsidR="00031A3F" w:rsidRPr="00EE1E0C" w:rsidRDefault="00031A3F">
                      <w:r w:rsidRPr="00EE1E0C">
                        <w:t>Närpolischef</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031A3F"/>
    <w:p w:rsidR="00031A3F" w:rsidRPr="00EE1E0C" w:rsidRDefault="00031A3F">
      <w:pPr>
        <w:pStyle w:val="Normaltindrag"/>
      </w:pPr>
    </w:p>
    <w:p w:rsidR="00031A3F" w:rsidRPr="00EE1E0C" w:rsidRDefault="00031A3F">
      <w:r w:rsidRPr="00EE1E0C">
        <w:t>Länspolismästarreformen har införts successivt sedan mitten av 1980-talet. Efter ett beslut av riksdagen (prop. 1991/92:52, bet. 1991/92:JuU9, rskr. 1991/92:124) leds i dag samtliga länsmyndigheter av en länspolismästare som är tjänsteman vid polismyndigheten. År 1993 ändrades polisförordnin</w:t>
      </w:r>
      <w:r w:rsidRPr="00EE1E0C">
        <w:t>g</w:t>
      </w:r>
      <w:r w:rsidRPr="00EE1E0C">
        <w:t xml:space="preserve">en (1994:730, omtryckt 1993:993). Rätten att besluta om länets indelning i polisdistrikt flyttades då från regeringen till länsstyrelsen. </w:t>
      </w:r>
    </w:p>
    <w:p w:rsidR="00031A3F" w:rsidRPr="00EE1E0C" w:rsidRDefault="00031A3F">
      <w:pPr>
        <w:pStyle w:val="Normaltindrag"/>
      </w:pPr>
      <w:r w:rsidRPr="00EE1E0C">
        <w:t>Före den 1 januari 1999 fanns som mest fyra nivåer för styrning under riksdagen och regeringen. Dessa var Rikspolisstyrelsens styrelse, länsstyre</w:t>
      </w:r>
      <w:r w:rsidRPr="00EE1E0C">
        <w:t>l</w:t>
      </w:r>
      <w:r w:rsidRPr="00EE1E0C">
        <w:t>sens styrelse, polisstyrelsen och polisnämnden. Dessutom fanns även i vissa län närpolisråd. Eftersom samtliga polismyndigheter sammanfaller med länen från och med den 1 juni 1998 innebar det att länsstyrelsens styrelse och polisstyrelsen i princip hade samma beslutsområde. Sedan den 1 januari 1999 har länsstyrelserna inte längre ansvar för eller utövar tillsyn över den ver</w:t>
      </w:r>
      <w:r w:rsidRPr="00EE1E0C">
        <w:t>k</w:t>
      </w:r>
      <w:r w:rsidRPr="00EE1E0C">
        <w:t xml:space="preserve">samhet som bedrivs av polismyndigheterna (prop.1998/99:1, bet. 1998/99: JuU5, rskr. 1998/99:36). </w:t>
      </w:r>
    </w:p>
    <w:p w:rsidR="00031A3F" w:rsidRPr="00EE1E0C" w:rsidRDefault="00031A3F">
      <w:pPr>
        <w:pStyle w:val="Normaltindrag"/>
      </w:pPr>
      <w:r w:rsidRPr="00EE1E0C">
        <w:t>Den 1 januari 1999 blev polisstyrels</w:t>
      </w:r>
      <w:r w:rsidRPr="00EE1E0C">
        <w:t>er styrelser för polismyndigheterna. För att stödja polisstyrelserna i deras arbete har Justitiedepartementet samlat samtliga polisstyrelseordförande till samtal. Även Rikspolischefen har haft sammanträden med polisstyrelserna. Rikspolischefen har betonat vikten av att polisstyrelserna följer upp myndigheternas verksamhet och ställer krav på myndigheterna. Polisnämnder finns i de polismyndigheter som delats in i polisområden. Enligt riksdagens beslut bör närpolisråd enbart inrättas där kommunen inte inrätta</w:t>
      </w:r>
      <w:r w:rsidRPr="00EE1E0C">
        <w:t>t ett lokalt brottsförebyggande råd. Rikspolisstyrelsen skall ensam ha ansvaret för tillsynen av polisverksamheten. Rikspolisstyre</w:t>
      </w:r>
      <w:r w:rsidRPr="00EE1E0C">
        <w:t>l</w:t>
      </w:r>
      <w:r w:rsidRPr="00EE1E0C">
        <w:t>sen har rätt att utfärda föreskrifter för polisorganisationens medelsanvän</w:t>
      </w:r>
      <w:r w:rsidRPr="00EE1E0C">
        <w:t>d</w:t>
      </w:r>
      <w:r w:rsidRPr="00EE1E0C">
        <w:t>ning för att säkerställa att verksamheten inriktas på de mål som statsmakterna angivit för polisverksa</w:t>
      </w:r>
      <w:r w:rsidRPr="00EE1E0C">
        <w:t>m</w:t>
      </w:r>
      <w:r w:rsidRPr="00EE1E0C">
        <w:t>heten.</w:t>
      </w:r>
    </w:p>
    <w:p w:rsidR="00031A3F" w:rsidRPr="00EE1E0C" w:rsidRDefault="00031A3F">
      <w:pPr>
        <w:pStyle w:val="Rubrik3"/>
      </w:pPr>
      <w:bookmarkStart w:id="130" w:name="_Toc443275830"/>
      <w:bookmarkStart w:id="131" w:name="_Toc448905727"/>
      <w:bookmarkStart w:id="132" w:name="_Toc454180210"/>
      <w:bookmarkStart w:id="133" w:name="_Toc466264160"/>
      <w:r w:rsidRPr="00EE1E0C">
        <w:t>Närpolisreformen</w:t>
      </w:r>
      <w:bookmarkEnd w:id="130"/>
      <w:bookmarkEnd w:id="131"/>
      <w:bookmarkEnd w:id="132"/>
      <w:bookmarkEnd w:id="133"/>
    </w:p>
    <w:p w:rsidR="00031A3F" w:rsidRPr="00EE1E0C" w:rsidRDefault="00031A3F">
      <w:r w:rsidRPr="00EE1E0C">
        <w:t>Tankarna bakom närpolisverksamhet formulerades 1989 i den s.k. förnye</w:t>
      </w:r>
      <w:r w:rsidRPr="00EE1E0C">
        <w:t>l</w:t>
      </w:r>
      <w:r w:rsidRPr="00EE1E0C">
        <w:t>sepropositionen (prop. 1989/90:155, bet. 1990/91:JuU1, rskr. 1990/91:1). Ett av förslagen i denna proposition var att polisens arbete skulle decentraliseras och inriktas mera på att förebygga och förhindra brott. Enligt propositionen skulle en ökad tonvikt på det brottsförebyggande arbetet leda till ett förändrat arbetssätt för polisen. I propositionen betonades också vikten av ordningsp</w:t>
      </w:r>
      <w:r w:rsidRPr="00EE1E0C">
        <w:t>o</w:t>
      </w:r>
      <w:r w:rsidRPr="00EE1E0C">
        <w:t>lisens och kriminalpolisens samarb</w:t>
      </w:r>
      <w:r w:rsidRPr="00EE1E0C">
        <w:t>e</w:t>
      </w:r>
      <w:r w:rsidRPr="00EE1E0C">
        <w:t xml:space="preserve">te.  </w:t>
      </w:r>
    </w:p>
    <w:p w:rsidR="00031A3F" w:rsidRPr="00EE1E0C" w:rsidRDefault="00031A3F">
      <w:pPr>
        <w:pStyle w:val="Normaltindrag"/>
      </w:pPr>
      <w:r w:rsidRPr="00EE1E0C">
        <w:t>Närpolisbegreppet utvecklades i en rapport från Länsstyrelsen i Stoc</w:t>
      </w:r>
      <w:r w:rsidRPr="00EE1E0C">
        <w:t>k</w:t>
      </w:r>
      <w:r w:rsidRPr="00EE1E0C">
        <w:t>holms län 1993. I rapporten föreslogs att närpolisreformen skulle genomföras i Stockholms län och i resten av landet. Polisen i Stockholms län var i behov av att rationalisera sin verksamhet för att spara pengar. Utredaren menade att det förslag som presenterades i rapporten skulle resultera i en effektivare polis. Kostnaderna för polisen i Stockholms län skulle minska med 150 mi</w:t>
      </w:r>
      <w:r w:rsidRPr="00EE1E0C">
        <w:t>l</w:t>
      </w:r>
      <w:r w:rsidRPr="00EE1E0C">
        <w:t>joner kronor vilket motsvarade det sparbeting man ålagts. Sparbetinget skulle uppnås utan några uppsägningar. I rapporten presen</w:t>
      </w:r>
      <w:r w:rsidRPr="00EE1E0C">
        <w:t>terades även förslag till ny verksamhetsinriktning samt förslag till lokal organisation för att unde</w:t>
      </w:r>
      <w:r w:rsidRPr="00EE1E0C">
        <w:t>r</w:t>
      </w:r>
      <w:r w:rsidRPr="00EE1E0C">
        <w:t>lätta det problemorienterade a</w:t>
      </w:r>
      <w:r w:rsidRPr="00EE1E0C">
        <w:t>r</w:t>
      </w:r>
      <w:r w:rsidRPr="00EE1E0C">
        <w:t xml:space="preserve">betssättet. </w:t>
      </w:r>
    </w:p>
    <w:p w:rsidR="00031A3F" w:rsidRPr="00EE1E0C" w:rsidRDefault="00031A3F">
      <w:pPr>
        <w:pStyle w:val="Normaltindrag"/>
      </w:pPr>
      <w:r w:rsidRPr="00EE1E0C">
        <w:t>Utredaren hänvisade till kvarterspoliserna och beskrev närpoliserna som kvarterspoliser men med mer långtgående arbetsuppgifter. I Stockholms län skulle det finnas 1 500 närpoliser. I varje närpolisområde skulle ca 30 poliser arbeta i egna lokaler. Ett område skulle omfatta 30 000 invånare och rik</w:t>
      </w:r>
      <w:r w:rsidRPr="00EE1E0C">
        <w:t>t</w:t>
      </w:r>
      <w:r w:rsidRPr="00EE1E0C">
        <w:t>märket skulle vara en polis per tusen invån</w:t>
      </w:r>
      <w:r w:rsidRPr="00EE1E0C">
        <w:t>a</w:t>
      </w:r>
      <w:r w:rsidRPr="00EE1E0C">
        <w:t>re. Enligt utredaren skulle</w:t>
      </w:r>
    </w:p>
    <w:p w:rsidR="00031A3F" w:rsidRPr="00EE1E0C" w:rsidRDefault="00031A3F">
      <w:pPr>
        <w:numPr>
          <w:ilvl w:val="0"/>
          <w:numId w:val="116"/>
        </w:numPr>
      </w:pPr>
      <w:r w:rsidRPr="00EE1E0C">
        <w:t xml:space="preserve">närpolisområdena ha en större verksamhetsbas än kvarterspolisen </w:t>
      </w:r>
    </w:p>
    <w:p w:rsidR="00031A3F" w:rsidRPr="00EE1E0C" w:rsidRDefault="00031A3F">
      <w:pPr>
        <w:numPr>
          <w:ilvl w:val="0"/>
          <w:numId w:val="116"/>
        </w:numPr>
      </w:pPr>
      <w:r w:rsidRPr="00EE1E0C">
        <w:t>närpoliserna i allt väsentligt klara alla normala polisiära uppgifter i området samt ha det territoriella ansvaret för närpol</w:t>
      </w:r>
      <w:r w:rsidRPr="00EE1E0C">
        <w:t>i</w:t>
      </w:r>
      <w:r w:rsidRPr="00EE1E0C">
        <w:t xml:space="preserve">sområdet </w:t>
      </w:r>
    </w:p>
    <w:p w:rsidR="00031A3F" w:rsidRPr="00EE1E0C" w:rsidRDefault="00031A3F">
      <w:pPr>
        <w:numPr>
          <w:ilvl w:val="0"/>
          <w:numId w:val="116"/>
        </w:numPr>
      </w:pPr>
      <w:r w:rsidRPr="00EE1E0C">
        <w:t>riktmärket för hela riket vara en polis per tusen invånare</w:t>
      </w:r>
    </w:p>
    <w:p w:rsidR="00031A3F" w:rsidRPr="00EE1E0C" w:rsidRDefault="00031A3F">
      <w:pPr>
        <w:numPr>
          <w:ilvl w:val="0"/>
          <w:numId w:val="116"/>
        </w:numPr>
      </w:pPr>
      <w:r w:rsidRPr="00EE1E0C">
        <w:t>ett närpol</w:t>
      </w:r>
      <w:r w:rsidRPr="00EE1E0C">
        <w:t>i</w:t>
      </w:r>
      <w:r w:rsidRPr="00EE1E0C">
        <w:t>sområde omfatta cirka 30 000 invånare</w:t>
      </w:r>
    </w:p>
    <w:p w:rsidR="00031A3F" w:rsidRPr="00EE1E0C" w:rsidRDefault="00031A3F">
      <w:pPr>
        <w:numPr>
          <w:ilvl w:val="0"/>
          <w:numId w:val="116"/>
        </w:numPr>
      </w:pPr>
      <w:r w:rsidRPr="00EE1E0C">
        <w:t>det problemorienterade arbetssättet genomsyra närpolisverksamheten vilket förutsatte att en stor del av verksamheten i området var plan</w:t>
      </w:r>
      <w:r w:rsidRPr="00EE1E0C">
        <w:t>e</w:t>
      </w:r>
      <w:r w:rsidRPr="00EE1E0C">
        <w:t>rad</w:t>
      </w:r>
    </w:p>
    <w:p w:rsidR="00031A3F" w:rsidRPr="00EE1E0C" w:rsidRDefault="00031A3F">
      <w:pPr>
        <w:numPr>
          <w:ilvl w:val="0"/>
          <w:numId w:val="117"/>
        </w:numPr>
      </w:pPr>
      <w:r w:rsidRPr="00EE1E0C">
        <w:t>närpoliserna ha god kunskap om det egna området</w:t>
      </w:r>
    </w:p>
    <w:p w:rsidR="00031A3F" w:rsidRPr="00EE1E0C" w:rsidRDefault="00031A3F">
      <w:pPr>
        <w:numPr>
          <w:ilvl w:val="0"/>
          <w:numId w:val="117"/>
        </w:numPr>
      </w:pPr>
      <w:r w:rsidRPr="00EE1E0C">
        <w:t>man vid fördelningen av resurser inom länet ta hänsyn till den faktiska arbetsb</w:t>
      </w:r>
      <w:r w:rsidRPr="00EE1E0C">
        <w:t>e</w:t>
      </w:r>
      <w:r w:rsidRPr="00EE1E0C">
        <w:t xml:space="preserve">lastningen likväl som befolkningstal. </w:t>
      </w:r>
    </w:p>
    <w:p w:rsidR="00031A3F" w:rsidRPr="00EE1E0C" w:rsidRDefault="00031A3F">
      <w:r w:rsidRPr="00EE1E0C">
        <w:t>I länen skulle trafikövervakning, sjöpolis, hundverksamhet, länskommunik</w:t>
      </w:r>
      <w:r w:rsidRPr="00EE1E0C">
        <w:t>a</w:t>
      </w:r>
      <w:r w:rsidRPr="00EE1E0C">
        <w:t>tionscentral, polisrytteri, piket, nationell insatsstyrka, försvarsplanering, kriminalpolisverksamhet, förvaltningsuppgifter, delgivningsverksamhet och interna utredningar finnas. Utredaren föreslog att utryckningsverksamheten skulle renodlas samtidigt som kriminalpolisarbetet integrerades med pol</w:t>
      </w:r>
      <w:r w:rsidRPr="00EE1E0C">
        <w:t>i</w:t>
      </w:r>
      <w:r w:rsidRPr="00EE1E0C">
        <w:t>s</w:t>
      </w:r>
      <w:r w:rsidRPr="00EE1E0C">
        <w:softHyphen/>
        <w:t>verksamheten i övrigt. Man ville luckra upp den skarpa gränsen mellan or</w:t>
      </w:r>
      <w:r w:rsidRPr="00EE1E0C">
        <w:t>d</w:t>
      </w:r>
      <w:r w:rsidRPr="00EE1E0C">
        <w:t>ningspolis och kriminalpolis genom att den polisoperativa verksamheten förenades i en avdelning med gemensam ledning på distriktsnivå. De</w:t>
      </w:r>
      <w:r w:rsidRPr="00EE1E0C">
        <w:t>n regi</w:t>
      </w:r>
      <w:r w:rsidRPr="00EE1E0C">
        <w:t>o</w:t>
      </w:r>
      <w:r w:rsidRPr="00EE1E0C">
        <w:t>nala kriminalpolisverksamheten skulle inriktas på uppgifter av kvalificerad och specialiserad art, särskilt underrättelseverksamhet och spaning. Utre</w:t>
      </w:r>
      <w:r w:rsidRPr="00EE1E0C">
        <w:t>d</w:t>
      </w:r>
      <w:r w:rsidRPr="00EE1E0C">
        <w:t>ningar skulle utföras av närpolisen och i dis</w:t>
      </w:r>
      <w:r w:rsidRPr="00EE1E0C">
        <w:t>t</w:t>
      </w:r>
      <w:r w:rsidRPr="00EE1E0C">
        <w:t xml:space="preserve">rikten. </w:t>
      </w:r>
    </w:p>
    <w:p w:rsidR="00031A3F" w:rsidRPr="00EE1E0C" w:rsidRDefault="00031A3F">
      <w:pPr>
        <w:pStyle w:val="Normaltindrag"/>
      </w:pPr>
      <w:r w:rsidRPr="00EE1E0C">
        <w:t xml:space="preserve">För övervakningsverksamheten föreslogs ett arbetssätt med långtgående förstahandsåtgärder. Det innebär att så många åtgärder som möjligt vidtas i ett tidigt skede för att man på så sätt skall spara tid och resurser längre fram i utredningen. Utredaren menade att utryckningsverksamheten skulle kunna </w:t>
      </w:r>
      <w:r w:rsidRPr="00EE1E0C">
        <w:t>rationaliseras genom bättre planerad verksamhet. Vidare föreslogs att u</w:t>
      </w:r>
      <w:r w:rsidRPr="00EE1E0C">
        <w:t>t</w:t>
      </w:r>
      <w:r w:rsidRPr="00EE1E0C">
        <w:t>ryckningsverksamheten skulle samlas i ett större geografiskt verksamhetso</w:t>
      </w:r>
      <w:r w:rsidRPr="00EE1E0C">
        <w:t>m</w:t>
      </w:r>
      <w:r w:rsidRPr="00EE1E0C">
        <w:t>råde.</w:t>
      </w:r>
    </w:p>
    <w:p w:rsidR="00031A3F" w:rsidRPr="00EE1E0C" w:rsidRDefault="00031A3F">
      <w:pPr>
        <w:pStyle w:val="Normaltindrag"/>
      </w:pPr>
      <w:r w:rsidRPr="00EE1E0C">
        <w:t>I budgetpropositionen för budgetåret 1992/93 anges att polisverksamheten i ökad utsträckning skall inriktas mot brottsförebyggande åtgärder. I budge</w:t>
      </w:r>
      <w:r w:rsidRPr="00EE1E0C">
        <w:t>t</w:t>
      </w:r>
      <w:r w:rsidRPr="00EE1E0C">
        <w:t>propositionen för år 1993/94 nämns begreppet närpolis för första gången i en proposition. I propositionen beskrevs också problemorienterat polisarbete. Det exemplifierades med det projekt som genomfördes i Stockholmsförorten Akalla år 1987. Polisen samarbetade med boende i området, andra offentliga organ och företag för att minska antalet inbrott i området. Antalet inbrott minskade kraftigt efter projektets genomförande. Arbetsmetoden fick stor uppmär</w:t>
      </w:r>
      <w:r w:rsidRPr="00EE1E0C">
        <w:t>k</w:t>
      </w:r>
      <w:r w:rsidRPr="00EE1E0C">
        <w:t xml:space="preserve">samhet av politiker och vid polismyndigheterna runt om </w:t>
      </w:r>
      <w:r w:rsidRPr="00EE1E0C">
        <w:t xml:space="preserve">i landet. </w:t>
      </w:r>
    </w:p>
    <w:p w:rsidR="00031A3F" w:rsidRPr="00EE1E0C" w:rsidRDefault="00031A3F">
      <w:pPr>
        <w:pStyle w:val="Normaltindrag"/>
      </w:pPr>
      <w:r w:rsidRPr="00EE1E0C">
        <w:t>Regeringen ansåg att tiden var mogen att införa närpolisverksamhet i stö</w:t>
      </w:r>
      <w:r w:rsidRPr="00EE1E0C">
        <w:t>r</w:t>
      </w:r>
      <w:r w:rsidRPr="00EE1E0C">
        <w:t>re skala. Dock konstaterade man att förutsättningarna för genomförandet av närpolisreformen varierade i landet. I storstadsområden och andra områden med omfattande och kvalificerad brottslighet krävdes en större organisation för utryckning och kvalificerade brottsutredningar. Utskottet påpekade att Trygghetsutredningens arbete med frågor om kommuners och enskildas roll i det lokala trygghetsskapande arbetet och om samverkan mellan polisen och samhället i övrigt ligger i linje med tankarna om närpolisverksa</w:t>
      </w:r>
      <w:r w:rsidRPr="00EE1E0C">
        <w:t>mhet (prop. 1993/94:100, bet. 1993/94: JuU19, rskr. 1993/94:229). I planeringsdirektiven för polisväsendet budgetåret 1994/95 angavs att av anvisade medel för den lokala polisorganisationen skulle 20 miljoner kronor användas för utvec</w:t>
      </w:r>
      <w:r w:rsidRPr="00EE1E0C">
        <w:t>k</w:t>
      </w:r>
      <w:r w:rsidRPr="00EE1E0C">
        <w:t>lingsinsatser i fråga om närpolisver</w:t>
      </w:r>
      <w:r w:rsidRPr="00EE1E0C">
        <w:t>k</w:t>
      </w:r>
      <w:r w:rsidRPr="00EE1E0C">
        <w:t xml:space="preserve">samhet. </w:t>
      </w:r>
    </w:p>
    <w:p w:rsidR="00031A3F" w:rsidRPr="00EE1E0C" w:rsidRDefault="00031A3F">
      <w:pPr>
        <w:pStyle w:val="Normaltindrag"/>
      </w:pPr>
      <w:r w:rsidRPr="00EE1E0C">
        <w:t>Närpolisverksamheten har organiserats på olika sätt i olika delar av landet. I vissa myndigheter har man närpolisområden som lyder direkt under länsmyndigheten. Andra myndigheter har polisområden mellan länsmyndi</w:t>
      </w:r>
      <w:r w:rsidRPr="00EE1E0C">
        <w:t>g</w:t>
      </w:r>
      <w:r w:rsidRPr="00EE1E0C">
        <w:t>het och närpolisområde. I de flesta län är målet att 30 procent av poliserna skall arbeta som närpoliser. Dock har man i vissa län som mål att 70 procent av poliserna skall arbeta som närpoliser. Det innebär att antalet närpoliser per invånare skiljer sig åt i olika delar av landet. I december 1997 utgjorde a</w:t>
      </w:r>
      <w:r w:rsidRPr="00EE1E0C">
        <w:t>n</w:t>
      </w:r>
      <w:r w:rsidRPr="00EE1E0C">
        <w:t>delen närpoliser 36 procent  av poliskåren. Detta motsvarade en närpolis per 1 400 invånare. Därmed hade den organisatoriska utbyggnaden av närpolisen nått det up</w:t>
      </w:r>
      <w:r w:rsidRPr="00EE1E0C">
        <w:t>p</w:t>
      </w:r>
      <w:r w:rsidRPr="00EE1E0C">
        <w:t>satta målet i landet (Rikspolisstyrel</w:t>
      </w:r>
      <w:r w:rsidRPr="00EE1E0C">
        <w:t xml:space="preserve">sens årsredovisning 1997). </w:t>
      </w:r>
    </w:p>
    <w:p w:rsidR="00031A3F" w:rsidRPr="00EE1E0C" w:rsidRDefault="00031A3F">
      <w:pPr>
        <w:pStyle w:val="Normaltindrag"/>
      </w:pPr>
      <w:r w:rsidRPr="00EE1E0C">
        <w:t>Rikspolisstyrelsen har defin</w:t>
      </w:r>
      <w:r w:rsidRPr="00EE1E0C">
        <w:t>i</w:t>
      </w:r>
      <w:r w:rsidRPr="00EE1E0C">
        <w:t>erat närpolisverksamheten på följande sätt.</w:t>
      </w:r>
    </w:p>
    <w:p w:rsidR="00031A3F" w:rsidRPr="00EE1E0C" w:rsidRDefault="00031A3F">
      <w:pPr>
        <w:numPr>
          <w:ilvl w:val="0"/>
          <w:numId w:val="118"/>
        </w:numPr>
      </w:pPr>
      <w:r w:rsidRPr="00EE1E0C">
        <w:t>Verksamheten skall bedrivas problemorienterat i nära samverkan med dem som bor och verkar i området.</w:t>
      </w:r>
    </w:p>
    <w:p w:rsidR="00031A3F" w:rsidRPr="00EE1E0C" w:rsidRDefault="00031A3F">
      <w:pPr>
        <w:numPr>
          <w:ilvl w:val="0"/>
          <w:numId w:val="118"/>
        </w:numPr>
      </w:pPr>
      <w:r w:rsidRPr="00EE1E0C">
        <w:t>Verksamheten skall organisatoriskt bedrivas inom ett geografiskt a</w:t>
      </w:r>
      <w:r w:rsidRPr="00EE1E0C">
        <w:t>v</w:t>
      </w:r>
      <w:r w:rsidRPr="00EE1E0C">
        <w:t>gränsat område inom polisdistriktet (närpolisområde).</w:t>
      </w:r>
    </w:p>
    <w:p w:rsidR="00031A3F" w:rsidRPr="00EE1E0C" w:rsidRDefault="00031A3F">
      <w:pPr>
        <w:numPr>
          <w:ilvl w:val="0"/>
          <w:numId w:val="118"/>
        </w:numPr>
      </w:pPr>
      <w:r w:rsidRPr="00EE1E0C">
        <w:t>De poliser som arbetar i närpolisområdet skall arbeta mot brotts- och trygghetsrelaterade mål. Varje polis skall tilldelas ett personligt ansva</w:t>
      </w:r>
      <w:r w:rsidRPr="00EE1E0C">
        <w:t>r</w:t>
      </w:r>
      <w:r w:rsidRPr="00EE1E0C">
        <w:t>s</w:t>
      </w:r>
      <w:r w:rsidRPr="00EE1E0C">
        <w:softHyphen/>
        <w:t>område; ett sådant ansvarsområde kan vara geografiskt eller funkti</w:t>
      </w:r>
      <w:r w:rsidRPr="00EE1E0C">
        <w:t>o</w:t>
      </w:r>
      <w:r w:rsidRPr="00EE1E0C">
        <w:t>nellt.</w:t>
      </w:r>
    </w:p>
    <w:p w:rsidR="00031A3F" w:rsidRPr="00EE1E0C" w:rsidRDefault="00031A3F">
      <w:pPr>
        <w:numPr>
          <w:ilvl w:val="0"/>
          <w:numId w:val="118"/>
        </w:numPr>
      </w:pPr>
      <w:r w:rsidRPr="00EE1E0C">
        <w:t>Arbetet skall inriktas mot vardagsbrottsligheten inom närpolisområdet och mot de där förekommande ordningsproblemen; ungdomsbrotten skall så långt det är möjligt handhas av närpoliser; de prioriterade omr</w:t>
      </w:r>
      <w:r w:rsidRPr="00EE1E0C">
        <w:t>å</w:t>
      </w:r>
      <w:r w:rsidRPr="00EE1E0C">
        <w:t>dena våldsbrott och narkotikabrottslighet skall särskilt beaktas; detsa</w:t>
      </w:r>
      <w:r w:rsidRPr="00EE1E0C">
        <w:t>m</w:t>
      </w:r>
      <w:r w:rsidRPr="00EE1E0C">
        <w:t>ma gäller brott med rasi</w:t>
      </w:r>
      <w:r w:rsidRPr="00EE1E0C">
        <w:t>s</w:t>
      </w:r>
      <w:r w:rsidRPr="00EE1E0C">
        <w:t>tiska inslag.</w:t>
      </w:r>
    </w:p>
    <w:p w:rsidR="00031A3F" w:rsidRPr="00EE1E0C" w:rsidRDefault="00031A3F">
      <w:pPr>
        <w:numPr>
          <w:ilvl w:val="0"/>
          <w:numId w:val="118"/>
        </w:numPr>
      </w:pPr>
      <w:r w:rsidRPr="00EE1E0C">
        <w:t>Ansvaret för utryckningsverksamheten skall vara begränsat; närpolise</w:t>
      </w:r>
      <w:r w:rsidRPr="00EE1E0C">
        <w:t>r</w:t>
      </w:r>
      <w:r w:rsidRPr="00EE1E0C">
        <w:t>nas medverkan i utryckningsverksamheten skall organiseras så att plan</w:t>
      </w:r>
      <w:r w:rsidRPr="00EE1E0C">
        <w:t>e</w:t>
      </w:r>
      <w:r w:rsidRPr="00EE1E0C">
        <w:t>rade aktiviteter kan genomföras på ett effektivt sätt.</w:t>
      </w:r>
    </w:p>
    <w:p w:rsidR="00031A3F" w:rsidRPr="00EE1E0C" w:rsidRDefault="00031A3F">
      <w:pPr>
        <w:pStyle w:val="Rubrik3"/>
      </w:pPr>
      <w:bookmarkStart w:id="134" w:name="_Toc443275831"/>
      <w:bookmarkStart w:id="135" w:name="_Toc448905728"/>
      <w:bookmarkStart w:id="136" w:name="_Toc454180211"/>
      <w:bookmarkStart w:id="137" w:name="_Toc466264161"/>
      <w:r w:rsidRPr="00EE1E0C">
        <w:t>Problemorienterat polisarbete</w:t>
      </w:r>
      <w:bookmarkEnd w:id="134"/>
      <w:bookmarkEnd w:id="135"/>
      <w:bookmarkEnd w:id="136"/>
      <w:bookmarkEnd w:id="137"/>
      <w:r w:rsidRPr="00EE1E0C">
        <w:t xml:space="preserve">  </w:t>
      </w:r>
    </w:p>
    <w:p w:rsidR="00031A3F" w:rsidRPr="00EE1E0C" w:rsidRDefault="00031A3F">
      <w:r w:rsidRPr="00EE1E0C">
        <w:t>I utredningen om polisen i Stockholms län angavs att det problemorienterade arbetssättet skulle prioriteras i alla verksamhetsgrenar och på alla nivåer inom länets polis. Alla anställda skulle ges utbildning i ett  problemorienterat arbetssätt. Ett problemorienterat arbetssätt innebär att polisen skall försöka identifiera bakomliggande orsaker till brott. Det innebär att polisen måste</w:t>
      </w:r>
    </w:p>
    <w:p w:rsidR="00031A3F" w:rsidRPr="00EE1E0C" w:rsidRDefault="00031A3F">
      <w:pPr>
        <w:numPr>
          <w:ilvl w:val="0"/>
          <w:numId w:val="119"/>
        </w:numPr>
      </w:pPr>
      <w:r w:rsidRPr="00EE1E0C">
        <w:t>kartlägga och analysera brottslighetens mönster med avseende på tid och rum och händelsernas samband med andra aktiviteter</w:t>
      </w:r>
    </w:p>
    <w:p w:rsidR="00031A3F" w:rsidRPr="00EE1E0C" w:rsidRDefault="00031A3F">
      <w:pPr>
        <w:numPr>
          <w:ilvl w:val="0"/>
          <w:numId w:val="119"/>
        </w:numPr>
      </w:pPr>
      <w:r w:rsidRPr="00EE1E0C">
        <w:t>utnyttja befintlig kunskap om brottslighetens orsaker, men även söka ny kunskap för att kunna förstå och åtgärda de problem som framkommit i analysen</w:t>
      </w:r>
    </w:p>
    <w:p w:rsidR="00031A3F" w:rsidRPr="00EE1E0C" w:rsidRDefault="00031A3F">
      <w:pPr>
        <w:numPr>
          <w:ilvl w:val="0"/>
          <w:numId w:val="119"/>
        </w:numPr>
      </w:pPr>
      <w:r w:rsidRPr="00EE1E0C">
        <w:t>angripa bakomliggande förhållanden som orsakar brott av ett visst slag</w:t>
      </w:r>
    </w:p>
    <w:p w:rsidR="00031A3F" w:rsidRPr="00EE1E0C" w:rsidRDefault="00031A3F">
      <w:pPr>
        <w:numPr>
          <w:ilvl w:val="0"/>
          <w:numId w:val="119"/>
        </w:numPr>
      </w:pPr>
      <w:r w:rsidRPr="00EE1E0C">
        <w:t>anpassa resursanvändandet och utveckla långsiktiga strategier</w:t>
      </w:r>
    </w:p>
    <w:p w:rsidR="00031A3F" w:rsidRPr="00EE1E0C" w:rsidRDefault="00031A3F">
      <w:pPr>
        <w:numPr>
          <w:ilvl w:val="0"/>
          <w:numId w:val="119"/>
        </w:numPr>
      </w:pPr>
      <w:r w:rsidRPr="00EE1E0C">
        <w:t>kontinuerligt följa upp och utvärdera de metoder och strategier som tillä</w:t>
      </w:r>
      <w:r w:rsidRPr="00EE1E0C">
        <w:t>m</w:t>
      </w:r>
      <w:r w:rsidRPr="00EE1E0C">
        <w:t>pas.</w:t>
      </w:r>
    </w:p>
    <w:p w:rsidR="00031A3F" w:rsidRPr="00EE1E0C" w:rsidRDefault="00031A3F">
      <w:r w:rsidRPr="00EE1E0C">
        <w:t>Det problemorienterade arbetssättet skall användas generellt för all pol</w:t>
      </w:r>
      <w:r w:rsidRPr="00EE1E0C">
        <w:t>i</w:t>
      </w:r>
      <w:r w:rsidRPr="00EE1E0C">
        <w:t>s</w:t>
      </w:r>
      <w:r w:rsidRPr="00EE1E0C">
        <w:softHyphen/>
        <w:t xml:space="preserve">verksamhet. Dessutom skall kartläggnings- och analysarbetet bedrivas både systematiskt, kontinuerligt och långsiktigt. </w:t>
      </w:r>
    </w:p>
    <w:p w:rsidR="00031A3F" w:rsidRPr="00EE1E0C" w:rsidRDefault="00031A3F">
      <w:pPr>
        <w:pStyle w:val="Normaltindrag"/>
      </w:pPr>
      <w:r w:rsidRPr="00EE1E0C">
        <w:t>Inte alla poliser har utbildats i det problemorienterade arbetssättet. Vid p</w:t>
      </w:r>
      <w:r w:rsidRPr="00EE1E0C">
        <w:t>o</w:t>
      </w:r>
      <w:r w:rsidRPr="00EE1E0C">
        <w:t>lishögskolan genomsyrar dock det problemorienterade arbetssättet en stor del av utbildningen. Från polisens sida har man menat att när dessa poliselever börjar arbeta som poliser kommer deras kunskaper och arbetssätt att påverka även äldre poliser. Vidare hänvisas till andra länder vars polis infört det problemorienterade arbetssättet. Man menar att det tar tid innan resultat av det problemorienterade arbetssättet resulterar i minskad brott</w:t>
      </w:r>
      <w:r w:rsidRPr="00EE1E0C">
        <w:t>s</w:t>
      </w:r>
      <w:r w:rsidRPr="00EE1E0C">
        <w:t>lighet.</w:t>
      </w:r>
    </w:p>
    <w:p w:rsidR="00031A3F" w:rsidRPr="00EE1E0C" w:rsidRDefault="00031A3F">
      <w:pPr>
        <w:pStyle w:val="Rubrik3"/>
        <w:spacing w:before="320"/>
      </w:pPr>
      <w:bookmarkStart w:id="138" w:name="_Toc443275832"/>
      <w:bookmarkStart w:id="139" w:name="_Toc448905729"/>
      <w:bookmarkStart w:id="140" w:name="_Toc454180212"/>
      <w:bookmarkStart w:id="141" w:name="_Toc466264162"/>
      <w:r w:rsidRPr="00EE1E0C">
        <w:t>Polisens arbetstider</w:t>
      </w:r>
      <w:bookmarkEnd w:id="138"/>
      <w:bookmarkEnd w:id="139"/>
      <w:bookmarkEnd w:id="140"/>
      <w:bookmarkEnd w:id="141"/>
    </w:p>
    <w:p w:rsidR="00031A3F" w:rsidRPr="00EE1E0C" w:rsidRDefault="00031A3F">
      <w:r w:rsidRPr="00EE1E0C">
        <w:t>I 1989 års avtal infördes en möjlighet till periodplanerad arbetstid. Perio</w:t>
      </w:r>
      <w:r w:rsidRPr="00EE1E0C">
        <w:t>d</w:t>
      </w:r>
      <w:r w:rsidRPr="00EE1E0C">
        <w:t>planerad arbetstid innebär att polisernas arbetstider planeras efter i förväg kända händelser som man vet kommer att innebära ett ökat personalbehov. Genom att planera personalens arbetstider undviker arbetsgivaren kostnader i form av övertidstillägg. Periodplanerad arbetstid tillämpas framför allt inom närpolisorganisationen. Den 31 december 1997 hade 17 procent av poliserna periodplanerad arbet</w:t>
      </w:r>
      <w:r w:rsidRPr="00EE1E0C">
        <w:t>s</w:t>
      </w:r>
      <w:r w:rsidRPr="00EE1E0C">
        <w:t>tid.</w:t>
      </w:r>
    </w:p>
    <w:p w:rsidR="00031A3F" w:rsidRPr="00EE1E0C" w:rsidRDefault="00031A3F">
      <w:pPr>
        <w:pStyle w:val="Normaltindrag"/>
      </w:pPr>
      <w:r w:rsidRPr="00EE1E0C">
        <w:t>Polisens arbetstider har varit föremål för studier de senaste tre åren. Rik</w:t>
      </w:r>
      <w:r w:rsidRPr="00EE1E0C">
        <w:t>s</w:t>
      </w:r>
      <w:r w:rsidRPr="00EE1E0C">
        <w:t xml:space="preserve">polisstyrelsens arbetsgrupp mot våld har under åren 1995–1999 kartlagt polisens insatser en helg i mars. Nedan redovisas resultatet för de län som hade högst respektive lägst bemanning under de fyra redovisade åren. Som framgår av tabellen är skillnaderna mellan de som har högst bemanning respektive lägst bemanning skiftande mellan åren. Den genomsnittliga tjänstgöringen av poliser under helgnätter har ökat under åren 1995 till 1997 och därefter minskat något. </w:t>
      </w:r>
    </w:p>
    <w:p w:rsidR="00031A3F" w:rsidRPr="00EE1E0C" w:rsidRDefault="00031A3F">
      <w:pPr>
        <w:pStyle w:val="Tabellrubrik"/>
      </w:pPr>
    </w:p>
    <w:p w:rsidR="00031A3F" w:rsidRPr="00EE1E0C" w:rsidRDefault="00031A3F">
      <w:pPr>
        <w:pStyle w:val="Tabellrubrik"/>
      </w:pPr>
      <w:r w:rsidRPr="00EE1E0C">
        <w:t>Tabell 1.5 Andel poliser i tjänst av det totala antalet poliser i län med</w:t>
      </w:r>
    </w:p>
    <w:p w:rsidR="00031A3F" w:rsidRPr="00EE1E0C" w:rsidRDefault="00031A3F">
      <w:pPr>
        <w:pStyle w:val="Tabellrubrik"/>
      </w:pPr>
      <w:r w:rsidRPr="00EE1E0C">
        <w:t>högst respektive lägst bemanning samt genomsnittet för landet åren 1995–1999</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09"/>
        <w:gridCol w:w="709"/>
        <w:gridCol w:w="709"/>
        <w:gridCol w:w="708"/>
        <w:gridCol w:w="851"/>
        <w:gridCol w:w="709"/>
      </w:tblGrid>
      <w:tr w:rsidR="00000000" w:rsidRPr="00EE1E0C">
        <w:tblPrEx>
          <w:tblCellMar>
            <w:top w:w="0" w:type="dxa"/>
            <w:bottom w:w="0" w:type="dxa"/>
          </w:tblCellMar>
        </w:tblPrEx>
        <w:tc>
          <w:tcPr>
            <w:tcW w:w="1204" w:type="dxa"/>
          </w:tcPr>
          <w:p w:rsidR="00031A3F" w:rsidRPr="00EE1E0C" w:rsidRDefault="00031A3F">
            <w:pPr>
              <w:pStyle w:val="Normaltindrag"/>
              <w:ind w:firstLine="0"/>
              <w:jc w:val="center"/>
            </w:pPr>
            <w:r w:rsidRPr="00EE1E0C">
              <w:t>Andel</w:t>
            </w:r>
          </w:p>
        </w:tc>
        <w:tc>
          <w:tcPr>
            <w:tcW w:w="1418" w:type="dxa"/>
            <w:gridSpan w:val="2"/>
          </w:tcPr>
          <w:p w:rsidR="00031A3F" w:rsidRPr="00EE1E0C" w:rsidRDefault="00031A3F">
            <w:pPr>
              <w:pStyle w:val="Normaltindrag"/>
              <w:ind w:firstLine="0"/>
              <w:jc w:val="center"/>
            </w:pPr>
            <w:r w:rsidRPr="00EE1E0C">
              <w:t>Högst</w:t>
            </w:r>
          </w:p>
        </w:tc>
        <w:tc>
          <w:tcPr>
            <w:tcW w:w="1417" w:type="dxa"/>
            <w:gridSpan w:val="2"/>
          </w:tcPr>
          <w:p w:rsidR="00031A3F" w:rsidRPr="00EE1E0C" w:rsidRDefault="00031A3F">
            <w:pPr>
              <w:pStyle w:val="Normaltindrag"/>
              <w:ind w:firstLine="0"/>
              <w:jc w:val="center"/>
            </w:pPr>
            <w:r w:rsidRPr="00EE1E0C">
              <w:t>Lägst</w:t>
            </w:r>
          </w:p>
        </w:tc>
        <w:tc>
          <w:tcPr>
            <w:tcW w:w="1560" w:type="dxa"/>
            <w:gridSpan w:val="2"/>
          </w:tcPr>
          <w:p w:rsidR="00031A3F" w:rsidRPr="00EE1E0C" w:rsidRDefault="00031A3F">
            <w:pPr>
              <w:pStyle w:val="Normaltindrag"/>
              <w:ind w:firstLine="0"/>
              <w:jc w:val="center"/>
            </w:pPr>
            <w:r w:rsidRPr="00EE1E0C">
              <w:t>Genomsnitt</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Natten mot</w:t>
            </w:r>
          </w:p>
        </w:tc>
        <w:tc>
          <w:tcPr>
            <w:tcW w:w="709" w:type="dxa"/>
          </w:tcPr>
          <w:p w:rsidR="00031A3F" w:rsidRPr="00EE1E0C" w:rsidRDefault="00031A3F">
            <w:pPr>
              <w:pStyle w:val="Normaltindrag"/>
              <w:ind w:firstLine="0"/>
            </w:pPr>
            <w:r w:rsidRPr="00EE1E0C">
              <w:t>lördag</w:t>
            </w:r>
          </w:p>
        </w:tc>
        <w:tc>
          <w:tcPr>
            <w:tcW w:w="709" w:type="dxa"/>
          </w:tcPr>
          <w:p w:rsidR="00031A3F" w:rsidRPr="00EE1E0C" w:rsidRDefault="00031A3F">
            <w:pPr>
              <w:pStyle w:val="Normaltindrag"/>
              <w:ind w:firstLine="0"/>
            </w:pPr>
            <w:r w:rsidRPr="00EE1E0C">
              <w:t>sö</w:t>
            </w:r>
            <w:r w:rsidRPr="00EE1E0C">
              <w:t>n</w:t>
            </w:r>
            <w:r w:rsidRPr="00EE1E0C">
              <w:t>dag</w:t>
            </w:r>
          </w:p>
        </w:tc>
        <w:tc>
          <w:tcPr>
            <w:tcW w:w="709" w:type="dxa"/>
          </w:tcPr>
          <w:p w:rsidR="00031A3F" w:rsidRPr="00EE1E0C" w:rsidRDefault="00031A3F">
            <w:pPr>
              <w:pStyle w:val="Normaltindrag"/>
              <w:ind w:firstLine="0"/>
            </w:pPr>
            <w:r w:rsidRPr="00EE1E0C">
              <w:t>lördag</w:t>
            </w:r>
          </w:p>
        </w:tc>
        <w:tc>
          <w:tcPr>
            <w:tcW w:w="708" w:type="dxa"/>
          </w:tcPr>
          <w:p w:rsidR="00031A3F" w:rsidRPr="00EE1E0C" w:rsidRDefault="00031A3F">
            <w:pPr>
              <w:pStyle w:val="Normaltindrag"/>
              <w:ind w:firstLine="0"/>
              <w:jc w:val="left"/>
            </w:pPr>
            <w:r w:rsidRPr="00EE1E0C">
              <w:t>sö</w:t>
            </w:r>
            <w:r w:rsidRPr="00EE1E0C">
              <w:t>n</w:t>
            </w:r>
            <w:r w:rsidRPr="00EE1E0C">
              <w:t>dag</w:t>
            </w:r>
          </w:p>
        </w:tc>
        <w:tc>
          <w:tcPr>
            <w:tcW w:w="851" w:type="dxa"/>
          </w:tcPr>
          <w:p w:rsidR="00031A3F" w:rsidRPr="00EE1E0C" w:rsidRDefault="00031A3F">
            <w:pPr>
              <w:pStyle w:val="Normaltindrag"/>
              <w:ind w:firstLine="0"/>
              <w:jc w:val="left"/>
            </w:pPr>
            <w:r w:rsidRPr="00EE1E0C">
              <w:t>lördag</w:t>
            </w:r>
          </w:p>
        </w:tc>
        <w:tc>
          <w:tcPr>
            <w:tcW w:w="709" w:type="dxa"/>
          </w:tcPr>
          <w:p w:rsidR="00031A3F" w:rsidRPr="00EE1E0C" w:rsidRDefault="00031A3F">
            <w:pPr>
              <w:pStyle w:val="Normaltindrag"/>
              <w:ind w:firstLine="0"/>
              <w:jc w:val="left"/>
            </w:pPr>
            <w:r w:rsidRPr="00EE1E0C">
              <w:t>sö</w:t>
            </w:r>
            <w:r w:rsidRPr="00EE1E0C">
              <w:t>n</w:t>
            </w:r>
            <w:r w:rsidRPr="00EE1E0C">
              <w:t>dag</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År 1995</w:t>
            </w:r>
          </w:p>
        </w:tc>
        <w:tc>
          <w:tcPr>
            <w:tcW w:w="709" w:type="dxa"/>
          </w:tcPr>
          <w:p w:rsidR="00031A3F" w:rsidRPr="00EE1E0C" w:rsidRDefault="00031A3F">
            <w:pPr>
              <w:pStyle w:val="Normaltindrag"/>
              <w:ind w:firstLine="0"/>
              <w:jc w:val="right"/>
            </w:pPr>
            <w:r w:rsidRPr="00EE1E0C">
              <w:t>13,7 %</w:t>
            </w:r>
          </w:p>
        </w:tc>
        <w:tc>
          <w:tcPr>
            <w:tcW w:w="709" w:type="dxa"/>
          </w:tcPr>
          <w:p w:rsidR="00031A3F" w:rsidRPr="00EE1E0C" w:rsidRDefault="00031A3F">
            <w:pPr>
              <w:pStyle w:val="Normaltindrag"/>
              <w:ind w:firstLine="0"/>
              <w:jc w:val="right"/>
            </w:pPr>
            <w:r w:rsidRPr="00EE1E0C">
              <w:t>11,6 %</w:t>
            </w:r>
          </w:p>
        </w:tc>
        <w:tc>
          <w:tcPr>
            <w:tcW w:w="709" w:type="dxa"/>
          </w:tcPr>
          <w:p w:rsidR="00031A3F" w:rsidRPr="00EE1E0C" w:rsidRDefault="00031A3F">
            <w:pPr>
              <w:pStyle w:val="Normaltindrag"/>
              <w:ind w:firstLine="0"/>
              <w:jc w:val="right"/>
            </w:pPr>
            <w:r w:rsidRPr="00EE1E0C">
              <w:t>5,0 %</w:t>
            </w:r>
          </w:p>
        </w:tc>
        <w:tc>
          <w:tcPr>
            <w:tcW w:w="708" w:type="dxa"/>
          </w:tcPr>
          <w:p w:rsidR="00031A3F" w:rsidRPr="00EE1E0C" w:rsidRDefault="00031A3F">
            <w:pPr>
              <w:pStyle w:val="Normaltindrag"/>
              <w:ind w:firstLine="0"/>
              <w:jc w:val="right"/>
            </w:pPr>
            <w:r w:rsidRPr="00EE1E0C">
              <w:t>3,9 %</w:t>
            </w:r>
          </w:p>
        </w:tc>
        <w:tc>
          <w:tcPr>
            <w:tcW w:w="851" w:type="dxa"/>
          </w:tcPr>
          <w:p w:rsidR="00031A3F" w:rsidRPr="00EE1E0C" w:rsidRDefault="00031A3F">
            <w:pPr>
              <w:pStyle w:val="Normaltindrag"/>
              <w:ind w:firstLine="0"/>
              <w:jc w:val="right"/>
            </w:pPr>
            <w:r w:rsidRPr="00EE1E0C">
              <w:t>9,4 %</w:t>
            </w:r>
          </w:p>
        </w:tc>
        <w:tc>
          <w:tcPr>
            <w:tcW w:w="709" w:type="dxa"/>
          </w:tcPr>
          <w:p w:rsidR="00031A3F" w:rsidRPr="00EE1E0C" w:rsidRDefault="00031A3F">
            <w:pPr>
              <w:pStyle w:val="Normaltindrag"/>
              <w:ind w:firstLine="0"/>
              <w:jc w:val="right"/>
            </w:pPr>
            <w:r w:rsidRPr="00EE1E0C">
              <w:t>6,1 %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År 1996</w:t>
            </w:r>
          </w:p>
        </w:tc>
        <w:tc>
          <w:tcPr>
            <w:tcW w:w="709" w:type="dxa"/>
          </w:tcPr>
          <w:p w:rsidR="00031A3F" w:rsidRPr="00EE1E0C" w:rsidRDefault="00031A3F">
            <w:pPr>
              <w:pStyle w:val="Normaltindrag"/>
              <w:ind w:firstLine="0"/>
              <w:jc w:val="right"/>
            </w:pPr>
            <w:r w:rsidRPr="00EE1E0C">
              <w:t>13,7 %</w:t>
            </w:r>
          </w:p>
        </w:tc>
        <w:tc>
          <w:tcPr>
            <w:tcW w:w="709" w:type="dxa"/>
          </w:tcPr>
          <w:p w:rsidR="00031A3F" w:rsidRPr="00EE1E0C" w:rsidRDefault="00031A3F">
            <w:pPr>
              <w:pStyle w:val="Normaltindrag"/>
              <w:ind w:firstLine="0"/>
              <w:jc w:val="right"/>
            </w:pPr>
            <w:r w:rsidRPr="00EE1E0C">
              <w:t>14,0 %</w:t>
            </w:r>
          </w:p>
        </w:tc>
        <w:tc>
          <w:tcPr>
            <w:tcW w:w="709" w:type="dxa"/>
          </w:tcPr>
          <w:p w:rsidR="00031A3F" w:rsidRPr="00EE1E0C" w:rsidRDefault="00031A3F">
            <w:pPr>
              <w:pStyle w:val="Normaltindrag"/>
              <w:ind w:firstLine="0"/>
              <w:jc w:val="right"/>
            </w:pPr>
            <w:r w:rsidRPr="00EE1E0C">
              <w:t>8,2 %</w:t>
            </w:r>
          </w:p>
        </w:tc>
        <w:tc>
          <w:tcPr>
            <w:tcW w:w="708" w:type="dxa"/>
          </w:tcPr>
          <w:p w:rsidR="00031A3F" w:rsidRPr="00EE1E0C" w:rsidRDefault="00031A3F">
            <w:pPr>
              <w:pStyle w:val="Normaltindrag"/>
              <w:ind w:firstLine="0"/>
              <w:jc w:val="right"/>
            </w:pPr>
            <w:r w:rsidRPr="00EE1E0C">
              <w:t>7,5 %</w:t>
            </w:r>
          </w:p>
        </w:tc>
        <w:tc>
          <w:tcPr>
            <w:tcW w:w="851" w:type="dxa"/>
          </w:tcPr>
          <w:p w:rsidR="00031A3F" w:rsidRPr="00EE1E0C" w:rsidRDefault="00031A3F">
            <w:pPr>
              <w:pStyle w:val="Normaltindrag"/>
              <w:ind w:firstLine="0"/>
              <w:jc w:val="right"/>
            </w:pPr>
            <w:r w:rsidRPr="00EE1E0C">
              <w:t>11,2 %</w:t>
            </w:r>
          </w:p>
        </w:tc>
        <w:tc>
          <w:tcPr>
            <w:tcW w:w="709" w:type="dxa"/>
          </w:tcPr>
          <w:p w:rsidR="00031A3F" w:rsidRPr="00EE1E0C" w:rsidRDefault="00031A3F">
            <w:pPr>
              <w:pStyle w:val="Normaltindrag"/>
              <w:ind w:firstLine="0"/>
              <w:jc w:val="right"/>
            </w:pPr>
            <w:r w:rsidRPr="00EE1E0C">
              <w:t>10,0 %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År 1997</w:t>
            </w:r>
          </w:p>
        </w:tc>
        <w:tc>
          <w:tcPr>
            <w:tcW w:w="709" w:type="dxa"/>
          </w:tcPr>
          <w:p w:rsidR="00031A3F" w:rsidRPr="00EE1E0C" w:rsidRDefault="00031A3F">
            <w:pPr>
              <w:pStyle w:val="Normaltindrag"/>
              <w:ind w:firstLine="0"/>
              <w:jc w:val="right"/>
            </w:pPr>
            <w:r w:rsidRPr="00EE1E0C">
              <w:t>16,2 %</w:t>
            </w:r>
          </w:p>
        </w:tc>
        <w:tc>
          <w:tcPr>
            <w:tcW w:w="709" w:type="dxa"/>
          </w:tcPr>
          <w:p w:rsidR="00031A3F" w:rsidRPr="00EE1E0C" w:rsidRDefault="00031A3F">
            <w:pPr>
              <w:pStyle w:val="Normaltindrag"/>
              <w:ind w:firstLine="0"/>
              <w:jc w:val="right"/>
            </w:pPr>
            <w:r w:rsidRPr="00EE1E0C">
              <w:t>21,0 %</w:t>
            </w:r>
          </w:p>
        </w:tc>
        <w:tc>
          <w:tcPr>
            <w:tcW w:w="709" w:type="dxa"/>
          </w:tcPr>
          <w:p w:rsidR="00031A3F" w:rsidRPr="00EE1E0C" w:rsidRDefault="00031A3F">
            <w:pPr>
              <w:pStyle w:val="Normaltindrag"/>
              <w:ind w:firstLine="0"/>
              <w:jc w:val="right"/>
            </w:pPr>
            <w:r w:rsidRPr="00EE1E0C">
              <w:t>8,9 %</w:t>
            </w:r>
          </w:p>
        </w:tc>
        <w:tc>
          <w:tcPr>
            <w:tcW w:w="708" w:type="dxa"/>
          </w:tcPr>
          <w:p w:rsidR="00031A3F" w:rsidRPr="00EE1E0C" w:rsidRDefault="00031A3F">
            <w:pPr>
              <w:pStyle w:val="Normaltindrag"/>
              <w:ind w:firstLine="0"/>
              <w:jc w:val="right"/>
            </w:pPr>
            <w:r w:rsidRPr="00EE1E0C">
              <w:t>6,7 %</w:t>
            </w:r>
          </w:p>
        </w:tc>
        <w:tc>
          <w:tcPr>
            <w:tcW w:w="851" w:type="dxa"/>
          </w:tcPr>
          <w:p w:rsidR="00031A3F" w:rsidRPr="00EE1E0C" w:rsidRDefault="00031A3F">
            <w:pPr>
              <w:pStyle w:val="Normaltindrag"/>
              <w:ind w:firstLine="0"/>
              <w:jc w:val="right"/>
            </w:pPr>
            <w:r w:rsidRPr="00EE1E0C">
              <w:t>11,5 %</w:t>
            </w:r>
          </w:p>
        </w:tc>
        <w:tc>
          <w:tcPr>
            <w:tcW w:w="709" w:type="dxa"/>
          </w:tcPr>
          <w:p w:rsidR="00031A3F" w:rsidRPr="00EE1E0C" w:rsidRDefault="00031A3F">
            <w:pPr>
              <w:pStyle w:val="Normaltindrag"/>
              <w:ind w:firstLine="0"/>
              <w:jc w:val="right"/>
            </w:pPr>
            <w:r w:rsidRPr="00EE1E0C">
              <w:t>10,4 %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År 1998</w:t>
            </w:r>
          </w:p>
        </w:tc>
        <w:tc>
          <w:tcPr>
            <w:tcW w:w="709" w:type="dxa"/>
          </w:tcPr>
          <w:p w:rsidR="00031A3F" w:rsidRPr="00EE1E0C" w:rsidRDefault="00031A3F">
            <w:pPr>
              <w:pStyle w:val="Normaltindrag"/>
              <w:ind w:firstLine="0"/>
              <w:jc w:val="right"/>
            </w:pPr>
            <w:r w:rsidRPr="00EE1E0C">
              <w:t>19,8 %</w:t>
            </w:r>
          </w:p>
        </w:tc>
        <w:tc>
          <w:tcPr>
            <w:tcW w:w="709" w:type="dxa"/>
          </w:tcPr>
          <w:p w:rsidR="00031A3F" w:rsidRPr="00EE1E0C" w:rsidRDefault="00031A3F">
            <w:pPr>
              <w:pStyle w:val="Normaltindrag"/>
              <w:ind w:firstLine="0"/>
              <w:jc w:val="right"/>
            </w:pPr>
            <w:r w:rsidRPr="00EE1E0C">
              <w:t>13,5 %</w:t>
            </w:r>
          </w:p>
        </w:tc>
        <w:tc>
          <w:tcPr>
            <w:tcW w:w="709" w:type="dxa"/>
          </w:tcPr>
          <w:p w:rsidR="00031A3F" w:rsidRPr="00EE1E0C" w:rsidRDefault="00031A3F">
            <w:pPr>
              <w:pStyle w:val="Normaltindrag"/>
              <w:ind w:firstLine="0"/>
              <w:jc w:val="right"/>
            </w:pPr>
            <w:r w:rsidRPr="00EE1E0C">
              <w:t>6,6 %</w:t>
            </w:r>
          </w:p>
        </w:tc>
        <w:tc>
          <w:tcPr>
            <w:tcW w:w="708" w:type="dxa"/>
          </w:tcPr>
          <w:p w:rsidR="00031A3F" w:rsidRPr="00EE1E0C" w:rsidRDefault="00031A3F">
            <w:pPr>
              <w:pStyle w:val="Normaltindrag"/>
              <w:ind w:firstLine="0"/>
              <w:jc w:val="right"/>
            </w:pPr>
            <w:r w:rsidRPr="00EE1E0C">
              <w:t>5,5 %</w:t>
            </w:r>
          </w:p>
        </w:tc>
        <w:tc>
          <w:tcPr>
            <w:tcW w:w="851" w:type="dxa"/>
          </w:tcPr>
          <w:p w:rsidR="00031A3F" w:rsidRPr="00EE1E0C" w:rsidRDefault="00031A3F">
            <w:pPr>
              <w:pStyle w:val="Normaltindrag"/>
              <w:ind w:firstLine="0"/>
              <w:jc w:val="right"/>
            </w:pPr>
            <w:r w:rsidRPr="00EE1E0C">
              <w:t>11,0 %</w:t>
            </w:r>
          </w:p>
        </w:tc>
        <w:tc>
          <w:tcPr>
            <w:tcW w:w="709" w:type="dxa"/>
          </w:tcPr>
          <w:p w:rsidR="00031A3F" w:rsidRPr="00EE1E0C" w:rsidRDefault="00031A3F">
            <w:pPr>
              <w:pStyle w:val="Normaltindrag"/>
              <w:ind w:firstLine="0"/>
              <w:jc w:val="right"/>
            </w:pPr>
            <w:r w:rsidRPr="00EE1E0C">
              <w:t>9,2 %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År 1999</w:t>
            </w:r>
          </w:p>
        </w:tc>
        <w:tc>
          <w:tcPr>
            <w:tcW w:w="709" w:type="dxa"/>
          </w:tcPr>
          <w:p w:rsidR="00031A3F" w:rsidRPr="00EE1E0C" w:rsidRDefault="00031A3F">
            <w:pPr>
              <w:pStyle w:val="Normaltindrag"/>
              <w:ind w:firstLine="0"/>
              <w:jc w:val="right"/>
            </w:pPr>
            <w:r w:rsidRPr="00EE1E0C">
              <w:t>16,0 %</w:t>
            </w:r>
          </w:p>
        </w:tc>
        <w:tc>
          <w:tcPr>
            <w:tcW w:w="709" w:type="dxa"/>
          </w:tcPr>
          <w:p w:rsidR="00031A3F" w:rsidRPr="00EE1E0C" w:rsidRDefault="00031A3F">
            <w:pPr>
              <w:pStyle w:val="Normaltindrag"/>
              <w:ind w:firstLine="0"/>
              <w:jc w:val="right"/>
            </w:pPr>
            <w:r w:rsidRPr="00EE1E0C">
              <w:t>14,8 %</w:t>
            </w:r>
          </w:p>
        </w:tc>
        <w:tc>
          <w:tcPr>
            <w:tcW w:w="709" w:type="dxa"/>
          </w:tcPr>
          <w:p w:rsidR="00031A3F" w:rsidRPr="00EE1E0C" w:rsidRDefault="00031A3F">
            <w:pPr>
              <w:pStyle w:val="Normaltindrag"/>
              <w:ind w:firstLine="0"/>
              <w:jc w:val="right"/>
            </w:pPr>
            <w:r w:rsidRPr="00EE1E0C">
              <w:t>8,7 %</w:t>
            </w:r>
          </w:p>
        </w:tc>
        <w:tc>
          <w:tcPr>
            <w:tcW w:w="708" w:type="dxa"/>
          </w:tcPr>
          <w:p w:rsidR="00031A3F" w:rsidRPr="00EE1E0C" w:rsidRDefault="00031A3F">
            <w:pPr>
              <w:pStyle w:val="Normaltindrag"/>
              <w:ind w:firstLine="0"/>
              <w:jc w:val="right"/>
            </w:pPr>
            <w:r w:rsidRPr="00EE1E0C">
              <w:t>7,2 %</w:t>
            </w:r>
          </w:p>
        </w:tc>
        <w:tc>
          <w:tcPr>
            <w:tcW w:w="851" w:type="dxa"/>
          </w:tcPr>
          <w:p w:rsidR="00031A3F" w:rsidRPr="00EE1E0C" w:rsidRDefault="00031A3F">
            <w:pPr>
              <w:pStyle w:val="Normaltindrag"/>
              <w:ind w:firstLine="0"/>
              <w:jc w:val="right"/>
            </w:pPr>
            <w:r w:rsidRPr="00EE1E0C">
              <w:t>10,4 %</w:t>
            </w:r>
          </w:p>
        </w:tc>
        <w:tc>
          <w:tcPr>
            <w:tcW w:w="709" w:type="dxa"/>
          </w:tcPr>
          <w:p w:rsidR="00031A3F" w:rsidRPr="00EE1E0C" w:rsidRDefault="00031A3F">
            <w:pPr>
              <w:pStyle w:val="Normaltindrag"/>
              <w:ind w:firstLine="0"/>
              <w:jc w:val="right"/>
            </w:pPr>
            <w:r w:rsidRPr="00EE1E0C">
              <w:t>9,1 %</w:t>
            </w:r>
          </w:p>
        </w:tc>
      </w:tr>
    </w:tbl>
    <w:p w:rsidR="00031A3F" w:rsidRPr="00EE1E0C" w:rsidRDefault="00031A3F">
      <w:pPr>
        <w:pStyle w:val="Tabellrubrik"/>
        <w:spacing w:before="120"/>
        <w:rPr>
          <w:b w:val="0"/>
          <w:i/>
        </w:rPr>
      </w:pPr>
      <w:r w:rsidRPr="00EE1E0C">
        <w:rPr>
          <w:b w:val="0"/>
          <w:i/>
        </w:rPr>
        <w:t>Källa: Rikspolisstyrelsens arbetsgrupp mot våld</w:t>
      </w:r>
    </w:p>
    <w:p w:rsidR="00031A3F" w:rsidRPr="00EE1E0C" w:rsidRDefault="00031A3F">
      <w:r w:rsidRPr="00EE1E0C">
        <w:t>Resultatet av undersökningarna i de län som revisorerna granskar särskilt redovisas i nedanstående tabell. Den visar att tjänstgöringen under helgnä</w:t>
      </w:r>
      <w:r w:rsidRPr="00EE1E0C">
        <w:t>t</w:t>
      </w:r>
      <w:r w:rsidRPr="00EE1E0C">
        <w:t>terna i genomsnitt ökat mellan åren 1995 och 1999. I Västernorrlands län har dock andelen poliser i tjänst under natten mot lördag och söndag minskat 1999. Enligt Rikspolisstyrelsens arbetsgrupp bör varje polismyndighet med en rationell personalplanering kunna se till att 15–16 procent av poliserna i länet tjänstgör under nätterna mot lördag och söndag.</w:t>
      </w:r>
    </w:p>
    <w:p w:rsidR="00031A3F" w:rsidRPr="00EE1E0C" w:rsidRDefault="00031A3F">
      <w:pPr>
        <w:pStyle w:val="Tabellrubrik"/>
      </w:pPr>
    </w:p>
    <w:p w:rsidR="00031A3F" w:rsidRPr="00EE1E0C" w:rsidRDefault="00031A3F">
      <w:pPr>
        <w:pStyle w:val="Tabellrubrik"/>
      </w:pPr>
      <w:r w:rsidRPr="00EE1E0C">
        <w:t xml:space="preserve">Tabell 1.6 Andel poliser i tjänst av det totala antalet poliser i respektive </w:t>
      </w:r>
    </w:p>
    <w:p w:rsidR="00031A3F" w:rsidRPr="00EE1E0C" w:rsidRDefault="00031A3F">
      <w:pPr>
        <w:pStyle w:val="Tabellrubrik"/>
      </w:pPr>
      <w:r w:rsidRPr="00EE1E0C">
        <w:t>län, åren 1995–1999</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08"/>
        <w:gridCol w:w="709"/>
        <w:gridCol w:w="709"/>
        <w:gridCol w:w="709"/>
        <w:gridCol w:w="708"/>
        <w:gridCol w:w="709"/>
      </w:tblGrid>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Polismy</w:t>
            </w:r>
            <w:r w:rsidRPr="00EE1E0C">
              <w:t>n</w:t>
            </w:r>
            <w:r w:rsidRPr="00EE1E0C">
              <w:t>digheten i</w:t>
            </w:r>
          </w:p>
        </w:tc>
        <w:tc>
          <w:tcPr>
            <w:tcW w:w="1417" w:type="dxa"/>
            <w:gridSpan w:val="2"/>
          </w:tcPr>
          <w:p w:rsidR="00031A3F" w:rsidRPr="00EE1E0C" w:rsidRDefault="00031A3F">
            <w:pPr>
              <w:pStyle w:val="Normaltindrag"/>
              <w:ind w:firstLine="0"/>
            </w:pPr>
            <w:r w:rsidRPr="00EE1E0C">
              <w:t xml:space="preserve">Stockholms län </w:t>
            </w:r>
          </w:p>
        </w:tc>
        <w:tc>
          <w:tcPr>
            <w:tcW w:w="1418" w:type="dxa"/>
            <w:gridSpan w:val="2"/>
          </w:tcPr>
          <w:p w:rsidR="00031A3F" w:rsidRPr="00EE1E0C" w:rsidRDefault="00031A3F">
            <w:pPr>
              <w:pStyle w:val="Normaltindrag"/>
              <w:ind w:firstLine="0"/>
            </w:pPr>
            <w:r w:rsidRPr="00EE1E0C">
              <w:t>Östergötlands län</w:t>
            </w:r>
          </w:p>
        </w:tc>
        <w:tc>
          <w:tcPr>
            <w:tcW w:w="1417" w:type="dxa"/>
            <w:gridSpan w:val="2"/>
          </w:tcPr>
          <w:p w:rsidR="00031A3F" w:rsidRPr="00EE1E0C" w:rsidRDefault="00031A3F">
            <w:pPr>
              <w:pStyle w:val="Normaltindrag"/>
              <w:ind w:firstLine="0"/>
            </w:pPr>
            <w:r w:rsidRPr="00EE1E0C">
              <w:t>Västernorrlands län</w:t>
            </w:r>
          </w:p>
        </w:tc>
      </w:tr>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Natten mot</w:t>
            </w:r>
          </w:p>
        </w:tc>
        <w:tc>
          <w:tcPr>
            <w:tcW w:w="708" w:type="dxa"/>
          </w:tcPr>
          <w:p w:rsidR="00031A3F" w:rsidRPr="00EE1E0C" w:rsidRDefault="00031A3F">
            <w:pPr>
              <w:pStyle w:val="Normaltindrag"/>
              <w:ind w:firstLine="0"/>
              <w:jc w:val="center"/>
            </w:pPr>
            <w:r w:rsidRPr="00EE1E0C">
              <w:t>lördag</w:t>
            </w:r>
          </w:p>
        </w:tc>
        <w:tc>
          <w:tcPr>
            <w:tcW w:w="709" w:type="dxa"/>
          </w:tcPr>
          <w:p w:rsidR="00031A3F" w:rsidRPr="00EE1E0C" w:rsidRDefault="00031A3F">
            <w:pPr>
              <w:pStyle w:val="Normaltindrag"/>
              <w:ind w:firstLine="0"/>
              <w:jc w:val="center"/>
            </w:pPr>
            <w:r w:rsidRPr="00EE1E0C">
              <w:t>sö</w:t>
            </w:r>
            <w:r w:rsidRPr="00EE1E0C">
              <w:t>n</w:t>
            </w:r>
            <w:r w:rsidRPr="00EE1E0C">
              <w:t>dag</w:t>
            </w:r>
          </w:p>
        </w:tc>
        <w:tc>
          <w:tcPr>
            <w:tcW w:w="709" w:type="dxa"/>
          </w:tcPr>
          <w:p w:rsidR="00031A3F" w:rsidRPr="00EE1E0C" w:rsidRDefault="00031A3F">
            <w:pPr>
              <w:pStyle w:val="Normaltindrag"/>
              <w:ind w:firstLine="0"/>
              <w:jc w:val="center"/>
            </w:pPr>
            <w:r w:rsidRPr="00EE1E0C">
              <w:t>lördag</w:t>
            </w:r>
          </w:p>
        </w:tc>
        <w:tc>
          <w:tcPr>
            <w:tcW w:w="709" w:type="dxa"/>
          </w:tcPr>
          <w:p w:rsidR="00031A3F" w:rsidRPr="00EE1E0C" w:rsidRDefault="00031A3F">
            <w:pPr>
              <w:pStyle w:val="Normaltindrag"/>
              <w:ind w:firstLine="0"/>
              <w:jc w:val="center"/>
            </w:pPr>
            <w:r w:rsidRPr="00EE1E0C">
              <w:t>sö</w:t>
            </w:r>
            <w:r w:rsidRPr="00EE1E0C">
              <w:t>n</w:t>
            </w:r>
            <w:r w:rsidRPr="00EE1E0C">
              <w:t>dag</w:t>
            </w:r>
          </w:p>
        </w:tc>
        <w:tc>
          <w:tcPr>
            <w:tcW w:w="708" w:type="dxa"/>
          </w:tcPr>
          <w:p w:rsidR="00031A3F" w:rsidRPr="00EE1E0C" w:rsidRDefault="00031A3F">
            <w:pPr>
              <w:pStyle w:val="Normaltindrag"/>
              <w:ind w:firstLine="0"/>
              <w:jc w:val="center"/>
            </w:pPr>
            <w:r w:rsidRPr="00EE1E0C">
              <w:t>lördag</w:t>
            </w:r>
          </w:p>
        </w:tc>
        <w:tc>
          <w:tcPr>
            <w:tcW w:w="709" w:type="dxa"/>
          </w:tcPr>
          <w:p w:rsidR="00031A3F" w:rsidRPr="00EE1E0C" w:rsidRDefault="00031A3F">
            <w:pPr>
              <w:pStyle w:val="Normaltindrag"/>
              <w:ind w:firstLine="0"/>
              <w:jc w:val="center"/>
            </w:pPr>
            <w:r w:rsidRPr="00EE1E0C">
              <w:t>sö</w:t>
            </w:r>
            <w:r w:rsidRPr="00EE1E0C">
              <w:t>n</w:t>
            </w:r>
            <w:r w:rsidRPr="00EE1E0C">
              <w:t>dag</w:t>
            </w:r>
          </w:p>
        </w:tc>
      </w:tr>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År 1995</w:t>
            </w:r>
          </w:p>
        </w:tc>
        <w:tc>
          <w:tcPr>
            <w:tcW w:w="708" w:type="dxa"/>
          </w:tcPr>
          <w:p w:rsidR="00031A3F" w:rsidRPr="00EE1E0C" w:rsidRDefault="00031A3F">
            <w:pPr>
              <w:pStyle w:val="Normaltindrag"/>
              <w:ind w:firstLine="0"/>
              <w:jc w:val="right"/>
            </w:pPr>
            <w:r w:rsidRPr="00EE1E0C">
              <w:t>7,9 %</w:t>
            </w:r>
          </w:p>
        </w:tc>
        <w:tc>
          <w:tcPr>
            <w:tcW w:w="709" w:type="dxa"/>
          </w:tcPr>
          <w:p w:rsidR="00031A3F" w:rsidRPr="00EE1E0C" w:rsidRDefault="00031A3F">
            <w:pPr>
              <w:pStyle w:val="Normaltindrag"/>
              <w:ind w:firstLine="0"/>
              <w:jc w:val="right"/>
            </w:pPr>
            <w:r w:rsidRPr="00EE1E0C">
              <w:t>5,3 %</w:t>
            </w:r>
          </w:p>
        </w:tc>
        <w:tc>
          <w:tcPr>
            <w:tcW w:w="709" w:type="dxa"/>
          </w:tcPr>
          <w:p w:rsidR="00031A3F" w:rsidRPr="00EE1E0C" w:rsidRDefault="00031A3F">
            <w:pPr>
              <w:pStyle w:val="Normaltindrag"/>
              <w:ind w:firstLine="0"/>
              <w:jc w:val="right"/>
            </w:pPr>
            <w:r w:rsidRPr="00EE1E0C">
              <w:t>10,5 %</w:t>
            </w:r>
          </w:p>
        </w:tc>
        <w:tc>
          <w:tcPr>
            <w:tcW w:w="709" w:type="dxa"/>
          </w:tcPr>
          <w:p w:rsidR="00031A3F" w:rsidRPr="00EE1E0C" w:rsidRDefault="00031A3F">
            <w:pPr>
              <w:pStyle w:val="Normaltindrag"/>
              <w:ind w:firstLine="0"/>
              <w:jc w:val="right"/>
            </w:pPr>
            <w:r w:rsidRPr="00EE1E0C">
              <w:t>7,0 %</w:t>
            </w:r>
          </w:p>
        </w:tc>
        <w:tc>
          <w:tcPr>
            <w:tcW w:w="708" w:type="dxa"/>
          </w:tcPr>
          <w:p w:rsidR="00031A3F" w:rsidRPr="00EE1E0C" w:rsidRDefault="00031A3F">
            <w:pPr>
              <w:pStyle w:val="Normaltindrag"/>
              <w:ind w:firstLine="0"/>
              <w:jc w:val="right"/>
            </w:pPr>
            <w:r w:rsidRPr="00EE1E0C">
              <w:t>7,0 %</w:t>
            </w:r>
          </w:p>
        </w:tc>
        <w:tc>
          <w:tcPr>
            <w:tcW w:w="709" w:type="dxa"/>
          </w:tcPr>
          <w:p w:rsidR="00031A3F" w:rsidRPr="00EE1E0C" w:rsidRDefault="00031A3F">
            <w:pPr>
              <w:pStyle w:val="Normaltindrag"/>
              <w:ind w:firstLine="0"/>
              <w:jc w:val="right"/>
            </w:pPr>
            <w:r w:rsidRPr="00EE1E0C">
              <w:t>5,0 %</w:t>
            </w:r>
          </w:p>
        </w:tc>
      </w:tr>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År 1996</w:t>
            </w:r>
          </w:p>
        </w:tc>
        <w:tc>
          <w:tcPr>
            <w:tcW w:w="708" w:type="dxa"/>
          </w:tcPr>
          <w:p w:rsidR="00031A3F" w:rsidRPr="00EE1E0C" w:rsidRDefault="00031A3F">
            <w:pPr>
              <w:pStyle w:val="Normaltindrag"/>
              <w:ind w:firstLine="0"/>
              <w:jc w:val="right"/>
            </w:pPr>
            <w:r w:rsidRPr="00EE1E0C">
              <w:t>11,1 %</w:t>
            </w:r>
          </w:p>
        </w:tc>
        <w:tc>
          <w:tcPr>
            <w:tcW w:w="709" w:type="dxa"/>
          </w:tcPr>
          <w:p w:rsidR="00031A3F" w:rsidRPr="00EE1E0C" w:rsidRDefault="00031A3F">
            <w:pPr>
              <w:pStyle w:val="Normaltindrag"/>
              <w:ind w:firstLine="0"/>
              <w:jc w:val="right"/>
            </w:pPr>
            <w:r w:rsidRPr="00EE1E0C">
              <w:t>9,8 %</w:t>
            </w:r>
          </w:p>
        </w:tc>
        <w:tc>
          <w:tcPr>
            <w:tcW w:w="709" w:type="dxa"/>
          </w:tcPr>
          <w:p w:rsidR="00031A3F" w:rsidRPr="00EE1E0C" w:rsidRDefault="00031A3F">
            <w:pPr>
              <w:pStyle w:val="Normaltindrag"/>
              <w:ind w:firstLine="0"/>
              <w:jc w:val="right"/>
            </w:pPr>
            <w:r w:rsidRPr="00EE1E0C">
              <w:t>11,5 %</w:t>
            </w:r>
          </w:p>
        </w:tc>
        <w:tc>
          <w:tcPr>
            <w:tcW w:w="709" w:type="dxa"/>
          </w:tcPr>
          <w:p w:rsidR="00031A3F" w:rsidRPr="00EE1E0C" w:rsidRDefault="00031A3F">
            <w:pPr>
              <w:pStyle w:val="Normaltindrag"/>
              <w:ind w:firstLine="0"/>
              <w:jc w:val="right"/>
            </w:pPr>
            <w:r w:rsidRPr="00EE1E0C">
              <w:t>9,8 %</w:t>
            </w:r>
          </w:p>
        </w:tc>
        <w:tc>
          <w:tcPr>
            <w:tcW w:w="708" w:type="dxa"/>
          </w:tcPr>
          <w:p w:rsidR="00031A3F" w:rsidRPr="00EE1E0C" w:rsidRDefault="00031A3F">
            <w:pPr>
              <w:pStyle w:val="Normaltindrag"/>
              <w:ind w:firstLine="0"/>
              <w:jc w:val="right"/>
            </w:pPr>
            <w:r w:rsidRPr="00EE1E0C">
              <w:t>8,9 %</w:t>
            </w:r>
          </w:p>
        </w:tc>
        <w:tc>
          <w:tcPr>
            <w:tcW w:w="709" w:type="dxa"/>
          </w:tcPr>
          <w:p w:rsidR="00031A3F" w:rsidRPr="00EE1E0C" w:rsidRDefault="00031A3F">
            <w:pPr>
              <w:pStyle w:val="Normaltindrag"/>
              <w:ind w:firstLine="0"/>
              <w:jc w:val="right"/>
            </w:pPr>
            <w:r w:rsidRPr="00EE1E0C">
              <w:t>9,0 %</w:t>
            </w:r>
          </w:p>
        </w:tc>
      </w:tr>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År 1997</w:t>
            </w:r>
          </w:p>
        </w:tc>
        <w:tc>
          <w:tcPr>
            <w:tcW w:w="708" w:type="dxa"/>
          </w:tcPr>
          <w:p w:rsidR="00031A3F" w:rsidRPr="00EE1E0C" w:rsidRDefault="00031A3F">
            <w:pPr>
              <w:pStyle w:val="Normaltindrag"/>
              <w:ind w:firstLine="0"/>
              <w:jc w:val="right"/>
            </w:pPr>
            <w:r w:rsidRPr="00EE1E0C">
              <w:t>9,9 %</w:t>
            </w:r>
          </w:p>
        </w:tc>
        <w:tc>
          <w:tcPr>
            <w:tcW w:w="709" w:type="dxa"/>
          </w:tcPr>
          <w:p w:rsidR="00031A3F" w:rsidRPr="00EE1E0C" w:rsidRDefault="00031A3F">
            <w:pPr>
              <w:pStyle w:val="Normaltindrag"/>
              <w:ind w:firstLine="0"/>
              <w:jc w:val="right"/>
            </w:pPr>
            <w:r w:rsidRPr="00EE1E0C">
              <w:t>8,4 %</w:t>
            </w:r>
          </w:p>
        </w:tc>
        <w:tc>
          <w:tcPr>
            <w:tcW w:w="709" w:type="dxa"/>
          </w:tcPr>
          <w:p w:rsidR="00031A3F" w:rsidRPr="00EE1E0C" w:rsidRDefault="00031A3F">
            <w:pPr>
              <w:pStyle w:val="Normaltindrag"/>
              <w:ind w:firstLine="0"/>
              <w:jc w:val="right"/>
            </w:pPr>
            <w:r w:rsidRPr="00EE1E0C">
              <w:t>10,7 %</w:t>
            </w:r>
          </w:p>
        </w:tc>
        <w:tc>
          <w:tcPr>
            <w:tcW w:w="709" w:type="dxa"/>
          </w:tcPr>
          <w:p w:rsidR="00031A3F" w:rsidRPr="00EE1E0C" w:rsidRDefault="00031A3F">
            <w:pPr>
              <w:pStyle w:val="Normaltindrag"/>
              <w:ind w:firstLine="0"/>
              <w:jc w:val="right"/>
            </w:pPr>
            <w:r w:rsidRPr="00EE1E0C">
              <w:t>10,0 %</w:t>
            </w:r>
          </w:p>
        </w:tc>
        <w:tc>
          <w:tcPr>
            <w:tcW w:w="708" w:type="dxa"/>
          </w:tcPr>
          <w:p w:rsidR="00031A3F" w:rsidRPr="00EE1E0C" w:rsidRDefault="00031A3F">
            <w:pPr>
              <w:pStyle w:val="Normaltindrag"/>
              <w:ind w:firstLine="0"/>
              <w:jc w:val="right"/>
            </w:pPr>
            <w:r w:rsidRPr="00EE1E0C">
              <w:t>10,7 %</w:t>
            </w:r>
          </w:p>
        </w:tc>
        <w:tc>
          <w:tcPr>
            <w:tcW w:w="709" w:type="dxa"/>
          </w:tcPr>
          <w:p w:rsidR="00031A3F" w:rsidRPr="00EE1E0C" w:rsidRDefault="00031A3F">
            <w:pPr>
              <w:pStyle w:val="Normaltindrag"/>
              <w:ind w:firstLine="0"/>
              <w:jc w:val="right"/>
            </w:pPr>
            <w:r w:rsidRPr="00EE1E0C">
              <w:t>9,2 %</w:t>
            </w:r>
          </w:p>
        </w:tc>
      </w:tr>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År 1998</w:t>
            </w:r>
          </w:p>
        </w:tc>
        <w:tc>
          <w:tcPr>
            <w:tcW w:w="708" w:type="dxa"/>
          </w:tcPr>
          <w:p w:rsidR="00031A3F" w:rsidRPr="00EE1E0C" w:rsidRDefault="00031A3F">
            <w:pPr>
              <w:pStyle w:val="Normaltindrag"/>
              <w:ind w:firstLine="0"/>
              <w:jc w:val="right"/>
            </w:pPr>
            <w:r w:rsidRPr="00EE1E0C">
              <w:t>9,0 %</w:t>
            </w:r>
          </w:p>
        </w:tc>
        <w:tc>
          <w:tcPr>
            <w:tcW w:w="709" w:type="dxa"/>
          </w:tcPr>
          <w:p w:rsidR="00031A3F" w:rsidRPr="00EE1E0C" w:rsidRDefault="00031A3F">
            <w:pPr>
              <w:pStyle w:val="Normaltindrag"/>
              <w:ind w:firstLine="0"/>
              <w:jc w:val="right"/>
            </w:pPr>
            <w:r w:rsidRPr="00EE1E0C">
              <w:t>7,0 %</w:t>
            </w:r>
          </w:p>
        </w:tc>
        <w:tc>
          <w:tcPr>
            <w:tcW w:w="709" w:type="dxa"/>
          </w:tcPr>
          <w:p w:rsidR="00031A3F" w:rsidRPr="00EE1E0C" w:rsidRDefault="00031A3F">
            <w:pPr>
              <w:pStyle w:val="Normaltindrag"/>
              <w:ind w:firstLine="0"/>
              <w:jc w:val="right"/>
            </w:pPr>
            <w:r w:rsidRPr="00EE1E0C">
              <w:t>11,3 %</w:t>
            </w:r>
          </w:p>
        </w:tc>
        <w:tc>
          <w:tcPr>
            <w:tcW w:w="709" w:type="dxa"/>
          </w:tcPr>
          <w:p w:rsidR="00031A3F" w:rsidRPr="00EE1E0C" w:rsidRDefault="00031A3F">
            <w:pPr>
              <w:pStyle w:val="Normaltindrag"/>
              <w:ind w:firstLine="0"/>
              <w:jc w:val="right"/>
            </w:pPr>
            <w:r w:rsidRPr="00EE1E0C">
              <w:t>9,5 %</w:t>
            </w:r>
          </w:p>
        </w:tc>
        <w:tc>
          <w:tcPr>
            <w:tcW w:w="708" w:type="dxa"/>
          </w:tcPr>
          <w:p w:rsidR="00031A3F" w:rsidRPr="00EE1E0C" w:rsidRDefault="00031A3F">
            <w:pPr>
              <w:pStyle w:val="Normaltindrag"/>
              <w:ind w:firstLine="0"/>
              <w:jc w:val="right"/>
            </w:pPr>
            <w:r w:rsidRPr="00EE1E0C">
              <w:t>11,2 %</w:t>
            </w:r>
          </w:p>
        </w:tc>
        <w:tc>
          <w:tcPr>
            <w:tcW w:w="709" w:type="dxa"/>
          </w:tcPr>
          <w:p w:rsidR="00031A3F" w:rsidRPr="00EE1E0C" w:rsidRDefault="00031A3F">
            <w:pPr>
              <w:pStyle w:val="Normaltindrag"/>
              <w:ind w:firstLine="0"/>
              <w:jc w:val="right"/>
            </w:pPr>
            <w:r w:rsidRPr="00EE1E0C">
              <w:t>9,9 %</w:t>
            </w:r>
          </w:p>
        </w:tc>
      </w:tr>
      <w:tr w:rsidR="00000000" w:rsidRPr="00EE1E0C">
        <w:tblPrEx>
          <w:tblCellMar>
            <w:top w:w="0" w:type="dxa"/>
            <w:bottom w:w="0" w:type="dxa"/>
          </w:tblCellMar>
        </w:tblPrEx>
        <w:tc>
          <w:tcPr>
            <w:tcW w:w="1063" w:type="dxa"/>
          </w:tcPr>
          <w:p w:rsidR="00031A3F" w:rsidRPr="00EE1E0C" w:rsidRDefault="00031A3F">
            <w:pPr>
              <w:pStyle w:val="Normaltindrag"/>
              <w:ind w:firstLine="0"/>
            </w:pPr>
            <w:r w:rsidRPr="00EE1E0C">
              <w:t>År 1999</w:t>
            </w:r>
          </w:p>
        </w:tc>
        <w:tc>
          <w:tcPr>
            <w:tcW w:w="708" w:type="dxa"/>
          </w:tcPr>
          <w:p w:rsidR="00031A3F" w:rsidRPr="00EE1E0C" w:rsidRDefault="00031A3F">
            <w:pPr>
              <w:pStyle w:val="Normaltindrag"/>
              <w:ind w:firstLine="0"/>
              <w:jc w:val="right"/>
            </w:pPr>
            <w:r w:rsidRPr="00EE1E0C">
              <w:t>8,7 %</w:t>
            </w:r>
          </w:p>
        </w:tc>
        <w:tc>
          <w:tcPr>
            <w:tcW w:w="709" w:type="dxa"/>
          </w:tcPr>
          <w:p w:rsidR="00031A3F" w:rsidRPr="00EE1E0C" w:rsidRDefault="00031A3F">
            <w:pPr>
              <w:pStyle w:val="Normaltindrag"/>
              <w:ind w:firstLine="0"/>
              <w:jc w:val="right"/>
            </w:pPr>
            <w:r w:rsidRPr="00EE1E0C">
              <w:t>7,3 %</w:t>
            </w:r>
          </w:p>
        </w:tc>
        <w:tc>
          <w:tcPr>
            <w:tcW w:w="709" w:type="dxa"/>
          </w:tcPr>
          <w:p w:rsidR="00031A3F" w:rsidRPr="00EE1E0C" w:rsidRDefault="00031A3F">
            <w:pPr>
              <w:pStyle w:val="Normaltindrag"/>
              <w:ind w:firstLine="0"/>
              <w:jc w:val="right"/>
            </w:pPr>
            <w:r w:rsidRPr="00EE1E0C">
              <w:t>13,2 %</w:t>
            </w:r>
          </w:p>
        </w:tc>
        <w:tc>
          <w:tcPr>
            <w:tcW w:w="709" w:type="dxa"/>
          </w:tcPr>
          <w:p w:rsidR="00031A3F" w:rsidRPr="00EE1E0C" w:rsidRDefault="00031A3F">
            <w:pPr>
              <w:pStyle w:val="Normaltindrag"/>
              <w:ind w:firstLine="0"/>
              <w:jc w:val="right"/>
            </w:pPr>
            <w:r w:rsidRPr="00EE1E0C">
              <w:t>12,2 %</w:t>
            </w:r>
          </w:p>
        </w:tc>
        <w:tc>
          <w:tcPr>
            <w:tcW w:w="708" w:type="dxa"/>
          </w:tcPr>
          <w:p w:rsidR="00031A3F" w:rsidRPr="00EE1E0C" w:rsidRDefault="00031A3F">
            <w:pPr>
              <w:pStyle w:val="Normaltindrag"/>
              <w:ind w:firstLine="0"/>
              <w:jc w:val="right"/>
            </w:pPr>
            <w:r w:rsidRPr="00EE1E0C">
              <w:t>11,0 %</w:t>
            </w:r>
          </w:p>
        </w:tc>
        <w:tc>
          <w:tcPr>
            <w:tcW w:w="709" w:type="dxa"/>
          </w:tcPr>
          <w:p w:rsidR="00031A3F" w:rsidRPr="00EE1E0C" w:rsidRDefault="00031A3F">
            <w:pPr>
              <w:pStyle w:val="Normaltindrag"/>
              <w:ind w:firstLine="0"/>
              <w:jc w:val="right"/>
            </w:pPr>
            <w:r w:rsidRPr="00EE1E0C">
              <w:t>8,2 %</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Rikspolisstyrelsens arbetsgrupp mot våld</w:t>
      </w:r>
    </w:p>
    <w:p w:rsidR="00031A3F" w:rsidRPr="00EE1E0C" w:rsidRDefault="00031A3F">
      <w:r w:rsidRPr="00EE1E0C">
        <w:t>Riksrevisionsverket konstaterar i en rapport (1998) att ordningspolisen i högre grad skulle behöva planera sin arbetstid utifrån variationer i verksa</w:t>
      </w:r>
      <w:r w:rsidRPr="00EE1E0C">
        <w:t>m</w:t>
      </w:r>
      <w:r w:rsidRPr="00EE1E0C">
        <w:t>heten. RRV påpekar bl.a. att</w:t>
      </w:r>
    </w:p>
    <w:p w:rsidR="00031A3F" w:rsidRPr="00EE1E0C" w:rsidRDefault="00031A3F">
      <w:pPr>
        <w:numPr>
          <w:ilvl w:val="0"/>
          <w:numId w:val="290"/>
        </w:numPr>
      </w:pPr>
      <w:r w:rsidRPr="00EE1E0C">
        <w:t>resurserna för utryckning inte anpassas till det varierande behovet delvis till följd av att utryckningsstyrkornas turlag har en arbetstidsförläggning som försvårar denna anpassning</w:t>
      </w:r>
    </w:p>
    <w:p w:rsidR="00031A3F" w:rsidRPr="00EE1E0C" w:rsidRDefault="00031A3F">
      <w:pPr>
        <w:numPr>
          <w:ilvl w:val="0"/>
          <w:numId w:val="290"/>
        </w:numPr>
      </w:pPr>
      <w:r w:rsidRPr="00EE1E0C">
        <w:t>det inte är tillräckligt preciserat vad utryckningsstyrkorna skall göra och inte göra</w:t>
      </w:r>
    </w:p>
    <w:p w:rsidR="00031A3F" w:rsidRPr="00EE1E0C" w:rsidRDefault="00031A3F">
      <w:pPr>
        <w:numPr>
          <w:ilvl w:val="0"/>
          <w:numId w:val="290"/>
        </w:numPr>
      </w:pPr>
      <w:r w:rsidRPr="00EE1E0C">
        <w:t>samordningen mellan utryckningsstyrka och närpolis inte är tillräckligt väl utvecklad. Närpolisen får ofta rycka in och förstärka utryckningen. Utryckningen deltar däremot mer sällan i närpolisens a</w:t>
      </w:r>
      <w:r w:rsidRPr="00EE1E0C">
        <w:t>r</w:t>
      </w:r>
      <w:r w:rsidRPr="00EE1E0C">
        <w:t>bete.</w:t>
      </w:r>
    </w:p>
    <w:p w:rsidR="00031A3F" w:rsidRPr="00EE1E0C" w:rsidRDefault="00031A3F">
      <w:pPr>
        <w:pStyle w:val="Rubrik2"/>
      </w:pPr>
      <w:bookmarkStart w:id="142" w:name="_Toc443275833"/>
      <w:bookmarkStart w:id="143" w:name="_Toc448905730"/>
      <w:bookmarkStart w:id="144" w:name="_Toc466264163"/>
      <w:r w:rsidRPr="00EE1E0C">
        <w:t>Polisens ekonomi</w:t>
      </w:r>
      <w:bookmarkEnd w:id="142"/>
      <w:bookmarkEnd w:id="143"/>
      <w:r w:rsidRPr="00EE1E0C">
        <w:rPr>
          <w:rStyle w:val="Fotnotsreferens"/>
        </w:rPr>
        <w:footnoteReference w:id="2"/>
      </w:r>
      <w:bookmarkEnd w:id="144"/>
    </w:p>
    <w:p w:rsidR="00031A3F" w:rsidRPr="00EE1E0C" w:rsidRDefault="00031A3F">
      <w:r w:rsidRPr="00EE1E0C">
        <w:t>Polisorganisationen har för år 1999 tilldelats närmare 11,5 miljarder kronor. Jämfört med 1998 har anslaget höjts med närmare 500 miljoner kronor. Polisväsendet har ålagts en rad besparingar under 1990-talet. Justitieutskottet angav 1996 att polisen under en treårsperiod (1993/94–1995/96) ålagts b</w:t>
      </w:r>
      <w:r w:rsidRPr="00EE1E0C">
        <w:t>e</w:t>
      </w:r>
      <w:r w:rsidRPr="00EE1E0C">
        <w:t xml:space="preserve">sparingar på sammanlagt 790 miljoner kronor (bet. 1996/97:JuU1). </w:t>
      </w:r>
    </w:p>
    <w:p w:rsidR="00031A3F" w:rsidRPr="00EE1E0C" w:rsidRDefault="00031A3F">
      <w:pPr>
        <w:pStyle w:val="Normaltindrag"/>
      </w:pPr>
      <w:r w:rsidRPr="00EE1E0C">
        <w:t>Under budgetåren  1992/93–1994/95 redovisade polisen ett sammanlagt anslagssparande på drygt 860 miljoner kronor. Vid utgången av budgetåret 1995/96 uppgick anslagssparandet till 167 miljoner kronor. Polisens förbu</w:t>
      </w:r>
      <w:r w:rsidRPr="00EE1E0C">
        <w:t>k</w:t>
      </w:r>
      <w:r w:rsidRPr="00EE1E0C">
        <w:t>ning översteg det året kraftigt vad som anslagits för verksamheten. Under 1997 förbrukade polisen 389 miljoner kronor mer än vad som anslagits åt verksamheten och vid budgetårets utgång hade man utnyttjat anslagskrediten med 221 miljoner kronor. Vid utgången av budgetåret 1998 uppvisade pol</w:t>
      </w:r>
      <w:r w:rsidRPr="00EE1E0C">
        <w:t>i</w:t>
      </w:r>
      <w:r w:rsidRPr="00EE1E0C">
        <w:t>sen åter ett anslagssparande på ca 35 miljoner kronor. Rikspolisstyrelsen får låna upp till 1,5 miljarder kronor i Riksgäldskontoret. I december år 1998 hade man utnyttjat 930 miljoner kronor för lån till anläggningstil</w:t>
      </w:r>
      <w:r w:rsidRPr="00EE1E0C">
        <w:t>l</w:t>
      </w:r>
      <w:r w:rsidRPr="00EE1E0C">
        <w:t>gångar.</w:t>
      </w:r>
    </w:p>
    <w:p w:rsidR="00031A3F" w:rsidRPr="00EE1E0C" w:rsidRDefault="00031A3F">
      <w:pPr>
        <w:pStyle w:val="Normaltindrag"/>
      </w:pPr>
      <w:r w:rsidRPr="00EE1E0C">
        <w:t>Riksdagen beslutade att polisen skulle tillföras 862 miljoner kronor under åren 1998–2000 för reformeringen av polisen. Budgetåret 1998 tilldelades polisen 430 miljoner kronor. Polisen tilldelades för år 1999 ytterligare 200 miljoner kronor för särskilda förstärkningar i de särskilt belastade storstad</w:t>
      </w:r>
      <w:r w:rsidRPr="00EE1E0C">
        <w:t>s</w:t>
      </w:r>
      <w:r w:rsidRPr="00EE1E0C">
        <w:t>områdena.</w:t>
      </w:r>
    </w:p>
    <w:p w:rsidR="00031A3F" w:rsidRPr="00EE1E0C" w:rsidRDefault="00031A3F">
      <w:pPr>
        <w:pStyle w:val="Normaltindrag"/>
      </w:pPr>
      <w:r w:rsidRPr="00EE1E0C">
        <w:object w:dxaOrig="2887" w:dyaOrig="2923">
          <v:shape id="_x0000_s1092" type="#_x0000_t75" style="position:absolute;left:0;text-align:left;margin-left:-6.3pt;margin-top:67.75pt;width:381.6pt;height:235.75pt;z-index:251681280;mso-position-horizontal:absolute;mso-position-horizontal-relative:text;mso-position-vertical:absolute;mso-position-vertical-relative:text" o:allowincell="f">
            <v:imagedata r:id="rId21" o:title=""/>
            <w10:wrap type="topAndBottom"/>
          </v:shape>
          <o:OLEObject Type="Embed" ProgID="Excel.Sheet.8" ShapeID="_x0000_s1092" DrawAspect="Content" ObjectID="_1827346933" r:id="rId22"/>
        </w:object>
      </w:r>
      <w:r w:rsidRPr="00EE1E0C">
        <w:t>I nedanstående diagram illustreras polisens medelsförbrukning budgetåren 1980/81–1998. Fastprisberäkningen är gjord med hjälp av konsumentprisi</w:t>
      </w:r>
      <w:r w:rsidRPr="00EE1E0C">
        <w:t>n</w:t>
      </w:r>
      <w:r w:rsidRPr="00EE1E0C">
        <w:t xml:space="preserve">dex. Av diagrammet framgår att medelsförbrukningen ökade i början av 1990-talet för att sedan vara i stort sett oförändrad och minska något under mitten av 1990-talet. </w:t>
      </w:r>
      <w:r w:rsidRPr="00EE1E0C">
        <w:rPr>
          <w:rStyle w:val="Fotnotsreferens"/>
        </w:rPr>
        <w:footnoteReference w:id="3"/>
      </w:r>
    </w:p>
    <w:p w:rsidR="00031A3F" w:rsidRPr="00EE1E0C" w:rsidRDefault="00031A3F">
      <w:pPr>
        <w:pStyle w:val="Normaltindrag"/>
      </w:pPr>
    </w:p>
    <w:p w:rsidR="00031A3F" w:rsidRPr="00EE1E0C" w:rsidRDefault="00031A3F">
      <w:pPr>
        <w:pStyle w:val="Tabellrubrik"/>
        <w:rPr>
          <w:b w:val="0"/>
          <w:i/>
        </w:rPr>
      </w:pPr>
      <w:r w:rsidRPr="00EE1E0C">
        <w:rPr>
          <w:b w:val="0"/>
          <w:i/>
        </w:rPr>
        <w:t>* Budgetåret 1995/96 är beräknat på 12 månader.</w:t>
      </w:r>
    </w:p>
    <w:p w:rsidR="00031A3F" w:rsidRPr="00EE1E0C" w:rsidRDefault="00031A3F">
      <w:pPr>
        <w:pStyle w:val="Tabellrubrik"/>
        <w:rPr>
          <w:b w:val="0"/>
          <w:i/>
        </w:rPr>
      </w:pPr>
      <w:r w:rsidRPr="00EE1E0C">
        <w:rPr>
          <w:b w:val="0"/>
          <w:i/>
        </w:rPr>
        <w:t>Källa: Statsbudgetens utfall 1980/81–1997 och Ekonomistyrningsverket. Egen bea</w:t>
      </w:r>
      <w:r w:rsidRPr="00EE1E0C">
        <w:rPr>
          <w:b w:val="0"/>
          <w:i/>
        </w:rPr>
        <w:t>r</w:t>
      </w:r>
      <w:r w:rsidRPr="00EE1E0C">
        <w:rPr>
          <w:b w:val="0"/>
          <w:i/>
        </w:rPr>
        <w:t>be</w:t>
      </w:r>
      <w:r w:rsidRPr="00EE1E0C">
        <w:rPr>
          <w:b w:val="0"/>
          <w:i/>
        </w:rPr>
        <w:t>t</w:t>
      </w:r>
      <w:r w:rsidRPr="00EE1E0C">
        <w:rPr>
          <w:b w:val="0"/>
          <w:i/>
        </w:rPr>
        <w:t>ning.</w:t>
      </w:r>
    </w:p>
    <w:p w:rsidR="00031A3F" w:rsidRPr="00EE1E0C" w:rsidRDefault="00031A3F">
      <w:r w:rsidRPr="00EE1E0C">
        <w:t xml:space="preserve">Polisen övergick till mål- och resultatorienterad styrning (prop. 1989/90:155 samt prop. 1990/91:100 bil. 5) under budgetåret 1992/93. Reformen innebar att kraven på uppföljning och utvärdering ökade. Det nya systemet innebar en långtgående delegering och stor frihet för distriktsledningar och operativa chefer att bestämma hur anvisade medel skulle användas.   </w:t>
      </w:r>
    </w:p>
    <w:p w:rsidR="00031A3F" w:rsidRPr="00EE1E0C" w:rsidRDefault="00031A3F">
      <w:pPr>
        <w:pStyle w:val="Normaltindrag"/>
      </w:pPr>
      <w:r w:rsidRPr="00EE1E0C">
        <w:t>Nedan redovisas polisens kostnader uppdelade på utgifter för lokaler, i</w:t>
      </w:r>
      <w:r w:rsidRPr="00EE1E0C">
        <w:t>n</w:t>
      </w:r>
      <w:r w:rsidRPr="00EE1E0C">
        <w:t>vesteringar och personal. Uppgifterna för åren fram till budgetåret 1992/93 saknas eller är osäkra då redovisningsprinciperna ändrats. Enligt uppgifter från Justitiedepartementet började polisen först budgetåret 1993/94 tillämpa de nya redovisningsreglerna för statliga myndigheter. En tillförlitlig sa</w:t>
      </w:r>
      <w:r w:rsidRPr="00EE1E0C">
        <w:t>m</w:t>
      </w:r>
      <w:r w:rsidRPr="00EE1E0C">
        <w:t>manställning över utvecklingen av dessa kostn</w:t>
      </w:r>
      <w:r w:rsidRPr="00EE1E0C">
        <w:t>a</w:t>
      </w:r>
      <w:r w:rsidRPr="00EE1E0C">
        <w:t>der saknas.</w:t>
      </w:r>
    </w:p>
    <w:p w:rsidR="00031A3F" w:rsidRPr="00EE1E0C" w:rsidRDefault="00031A3F">
      <w:pPr>
        <w:pStyle w:val="Tabellrubrik"/>
      </w:pPr>
    </w:p>
    <w:p w:rsidR="00031A3F" w:rsidRPr="00EE1E0C" w:rsidRDefault="00031A3F">
      <w:pPr>
        <w:pStyle w:val="Tabellrubrik"/>
      </w:pPr>
      <w:r w:rsidRPr="00EE1E0C">
        <w:t>Tabell 1.7 Kostnader för lokaler, investeringsutgifter samt kostnader för pers</w:t>
      </w:r>
      <w:r w:rsidRPr="00EE1E0C">
        <w:t>o</w:t>
      </w:r>
      <w:r w:rsidRPr="00EE1E0C">
        <w:t>nal inom polisen, åren 1991–1997, miljoner kronor</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92"/>
        <w:gridCol w:w="709"/>
        <w:gridCol w:w="992"/>
        <w:gridCol w:w="709"/>
        <w:gridCol w:w="992"/>
        <w:gridCol w:w="709"/>
      </w:tblGrid>
      <w:tr w:rsidR="00000000" w:rsidRPr="00EE1E0C">
        <w:tblPrEx>
          <w:tblCellMar>
            <w:top w:w="0" w:type="dxa"/>
            <w:bottom w:w="0" w:type="dxa"/>
          </w:tblCellMar>
        </w:tblPrEx>
        <w:trPr>
          <w:cantSplit/>
        </w:trPr>
        <w:tc>
          <w:tcPr>
            <w:tcW w:w="921" w:type="dxa"/>
          </w:tcPr>
          <w:p w:rsidR="00031A3F" w:rsidRPr="00EE1E0C" w:rsidRDefault="00031A3F">
            <w:pPr>
              <w:pStyle w:val="Normaltindrag"/>
              <w:ind w:firstLine="0"/>
              <w:jc w:val="left"/>
            </w:pPr>
          </w:p>
        </w:tc>
        <w:tc>
          <w:tcPr>
            <w:tcW w:w="1701" w:type="dxa"/>
            <w:gridSpan w:val="2"/>
          </w:tcPr>
          <w:p w:rsidR="00031A3F" w:rsidRPr="00EE1E0C" w:rsidRDefault="00031A3F">
            <w:pPr>
              <w:pStyle w:val="Normaltindrag"/>
              <w:ind w:firstLine="0"/>
              <w:jc w:val="center"/>
            </w:pPr>
            <w:r w:rsidRPr="00EE1E0C">
              <w:t>Lokaler</w:t>
            </w:r>
          </w:p>
        </w:tc>
        <w:tc>
          <w:tcPr>
            <w:tcW w:w="1701" w:type="dxa"/>
            <w:gridSpan w:val="2"/>
          </w:tcPr>
          <w:p w:rsidR="00031A3F" w:rsidRPr="00EE1E0C" w:rsidRDefault="00031A3F">
            <w:pPr>
              <w:pStyle w:val="Normaltindrag"/>
              <w:ind w:firstLine="0"/>
              <w:jc w:val="center"/>
            </w:pPr>
            <w:r w:rsidRPr="00EE1E0C">
              <w:t>Invest</w:t>
            </w:r>
            <w:r w:rsidRPr="00EE1E0C">
              <w:t>e</w:t>
            </w:r>
            <w:r w:rsidRPr="00EE1E0C">
              <w:t>ringar</w:t>
            </w:r>
          </w:p>
        </w:tc>
        <w:tc>
          <w:tcPr>
            <w:tcW w:w="1701" w:type="dxa"/>
            <w:gridSpan w:val="2"/>
          </w:tcPr>
          <w:p w:rsidR="00031A3F" w:rsidRPr="00EE1E0C" w:rsidRDefault="00031A3F">
            <w:pPr>
              <w:pStyle w:val="Normaltindrag"/>
              <w:ind w:firstLine="0"/>
              <w:jc w:val="center"/>
            </w:pPr>
            <w:r w:rsidRPr="00EE1E0C">
              <w:t>Personal*</w:t>
            </w:r>
          </w:p>
        </w:tc>
      </w:tr>
      <w:tr w:rsidR="00000000" w:rsidRPr="00EE1E0C">
        <w:tblPrEx>
          <w:tblCellMar>
            <w:top w:w="0" w:type="dxa"/>
            <w:bottom w:w="0" w:type="dxa"/>
          </w:tblCellMar>
        </w:tblPrEx>
        <w:trPr>
          <w:cantSplit/>
        </w:trPr>
        <w:tc>
          <w:tcPr>
            <w:tcW w:w="921" w:type="dxa"/>
          </w:tcPr>
          <w:p w:rsidR="00031A3F" w:rsidRPr="00EE1E0C" w:rsidRDefault="00031A3F">
            <w:pPr>
              <w:pStyle w:val="Normaltindrag"/>
              <w:ind w:firstLine="0"/>
              <w:jc w:val="left"/>
            </w:pPr>
          </w:p>
          <w:p w:rsidR="00031A3F" w:rsidRPr="00EE1E0C" w:rsidRDefault="00031A3F">
            <w:pPr>
              <w:pStyle w:val="Normaltindrag"/>
              <w:ind w:firstLine="0"/>
              <w:jc w:val="left"/>
            </w:pPr>
          </w:p>
          <w:p w:rsidR="00031A3F" w:rsidRPr="00EE1E0C" w:rsidRDefault="00031A3F">
            <w:pPr>
              <w:pStyle w:val="Normaltindrag"/>
              <w:ind w:firstLine="0"/>
              <w:jc w:val="left"/>
            </w:pPr>
            <w:r w:rsidRPr="00EE1E0C">
              <w:t>Budge</w:t>
            </w:r>
            <w:r w:rsidRPr="00EE1E0C">
              <w:t>t</w:t>
            </w:r>
            <w:r w:rsidRPr="00EE1E0C">
              <w:t>år</w:t>
            </w:r>
          </w:p>
        </w:tc>
        <w:tc>
          <w:tcPr>
            <w:tcW w:w="992" w:type="dxa"/>
          </w:tcPr>
          <w:p w:rsidR="00031A3F" w:rsidRPr="00EE1E0C" w:rsidRDefault="00031A3F">
            <w:pPr>
              <w:pStyle w:val="Normaltindrag"/>
              <w:ind w:firstLine="0"/>
              <w:jc w:val="center"/>
            </w:pPr>
          </w:p>
          <w:p w:rsidR="00031A3F" w:rsidRPr="00EE1E0C" w:rsidRDefault="00031A3F">
            <w:pPr>
              <w:pStyle w:val="Normaltindrag"/>
              <w:ind w:firstLine="0"/>
              <w:jc w:val="center"/>
            </w:pPr>
          </w:p>
          <w:p w:rsidR="00031A3F" w:rsidRPr="00EE1E0C" w:rsidRDefault="00031A3F">
            <w:pPr>
              <w:pStyle w:val="Normaltindrag"/>
              <w:ind w:firstLine="0"/>
              <w:jc w:val="center"/>
            </w:pPr>
            <w:r w:rsidRPr="00EE1E0C">
              <w:t>Kostn</w:t>
            </w:r>
            <w:r w:rsidRPr="00EE1E0C">
              <w:t>a</w:t>
            </w:r>
            <w:r w:rsidRPr="00EE1E0C">
              <w:t>der</w:t>
            </w:r>
          </w:p>
        </w:tc>
        <w:tc>
          <w:tcPr>
            <w:tcW w:w="709" w:type="dxa"/>
          </w:tcPr>
          <w:p w:rsidR="00031A3F" w:rsidRPr="00EE1E0C" w:rsidRDefault="00031A3F">
            <w:pPr>
              <w:pStyle w:val="Normaltindrag"/>
              <w:ind w:firstLine="0"/>
              <w:jc w:val="center"/>
            </w:pPr>
            <w:r w:rsidRPr="00EE1E0C">
              <w:t>1998 års priser</w:t>
            </w:r>
          </w:p>
        </w:tc>
        <w:tc>
          <w:tcPr>
            <w:tcW w:w="992" w:type="dxa"/>
          </w:tcPr>
          <w:p w:rsidR="00031A3F" w:rsidRPr="00EE1E0C" w:rsidRDefault="00031A3F">
            <w:pPr>
              <w:pStyle w:val="Normaltindrag"/>
              <w:ind w:firstLine="0"/>
              <w:jc w:val="center"/>
            </w:pPr>
          </w:p>
          <w:p w:rsidR="00031A3F" w:rsidRPr="00EE1E0C" w:rsidRDefault="00031A3F">
            <w:pPr>
              <w:pStyle w:val="Normaltindrag"/>
              <w:ind w:firstLine="0"/>
              <w:jc w:val="center"/>
            </w:pPr>
          </w:p>
          <w:p w:rsidR="00031A3F" w:rsidRPr="00EE1E0C" w:rsidRDefault="00031A3F">
            <w:pPr>
              <w:pStyle w:val="Normaltindrag"/>
              <w:ind w:firstLine="0"/>
              <w:jc w:val="center"/>
            </w:pPr>
            <w:r w:rsidRPr="00EE1E0C">
              <w:t>Kostn</w:t>
            </w:r>
            <w:r w:rsidRPr="00EE1E0C">
              <w:t>a</w:t>
            </w:r>
            <w:r w:rsidRPr="00EE1E0C">
              <w:t>der</w:t>
            </w:r>
          </w:p>
        </w:tc>
        <w:tc>
          <w:tcPr>
            <w:tcW w:w="709" w:type="dxa"/>
          </w:tcPr>
          <w:p w:rsidR="00031A3F" w:rsidRPr="00EE1E0C" w:rsidRDefault="00031A3F">
            <w:pPr>
              <w:pStyle w:val="Normaltindrag"/>
              <w:ind w:firstLine="0"/>
              <w:jc w:val="center"/>
            </w:pPr>
            <w:r w:rsidRPr="00EE1E0C">
              <w:t>1998 års priser</w:t>
            </w:r>
          </w:p>
        </w:tc>
        <w:tc>
          <w:tcPr>
            <w:tcW w:w="992" w:type="dxa"/>
          </w:tcPr>
          <w:p w:rsidR="00031A3F" w:rsidRPr="00EE1E0C" w:rsidRDefault="00031A3F">
            <w:pPr>
              <w:pStyle w:val="Normaltindrag"/>
              <w:ind w:firstLine="0"/>
              <w:jc w:val="center"/>
            </w:pPr>
          </w:p>
          <w:p w:rsidR="00031A3F" w:rsidRPr="00EE1E0C" w:rsidRDefault="00031A3F">
            <w:pPr>
              <w:pStyle w:val="Normaltindrag"/>
              <w:ind w:firstLine="0"/>
              <w:jc w:val="center"/>
            </w:pPr>
          </w:p>
          <w:p w:rsidR="00031A3F" w:rsidRPr="00EE1E0C" w:rsidRDefault="00031A3F">
            <w:pPr>
              <w:pStyle w:val="Normaltindrag"/>
              <w:ind w:firstLine="0"/>
              <w:jc w:val="center"/>
            </w:pPr>
            <w:r w:rsidRPr="00EE1E0C">
              <w:t>Kostn</w:t>
            </w:r>
            <w:r w:rsidRPr="00EE1E0C">
              <w:t>a</w:t>
            </w:r>
            <w:r w:rsidRPr="00EE1E0C">
              <w:t>der</w:t>
            </w:r>
          </w:p>
        </w:tc>
        <w:tc>
          <w:tcPr>
            <w:tcW w:w="709" w:type="dxa"/>
          </w:tcPr>
          <w:p w:rsidR="00031A3F" w:rsidRPr="00EE1E0C" w:rsidRDefault="00031A3F">
            <w:pPr>
              <w:pStyle w:val="Normaltindrag"/>
              <w:ind w:firstLine="0"/>
              <w:jc w:val="center"/>
            </w:pPr>
            <w:r w:rsidRPr="00EE1E0C">
              <w:t>1998 års priser</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left"/>
            </w:pPr>
            <w:r w:rsidRPr="00EE1E0C">
              <w:t>1993/94</w:t>
            </w:r>
          </w:p>
        </w:tc>
        <w:tc>
          <w:tcPr>
            <w:tcW w:w="992" w:type="dxa"/>
          </w:tcPr>
          <w:p w:rsidR="00031A3F" w:rsidRPr="00EE1E0C" w:rsidRDefault="00031A3F">
            <w:pPr>
              <w:pStyle w:val="Normaltindrag"/>
              <w:ind w:firstLine="0"/>
              <w:jc w:val="right"/>
            </w:pPr>
            <w:r w:rsidRPr="00EE1E0C">
              <w:t>1 040</w:t>
            </w:r>
          </w:p>
        </w:tc>
        <w:tc>
          <w:tcPr>
            <w:tcW w:w="709" w:type="dxa"/>
          </w:tcPr>
          <w:p w:rsidR="00031A3F" w:rsidRPr="00EE1E0C" w:rsidRDefault="00031A3F">
            <w:pPr>
              <w:pStyle w:val="Normaltindrag"/>
              <w:ind w:firstLine="0"/>
              <w:jc w:val="right"/>
            </w:pPr>
            <w:r w:rsidRPr="00EE1E0C">
              <w:t>1 087</w:t>
            </w:r>
          </w:p>
        </w:tc>
        <w:tc>
          <w:tcPr>
            <w:tcW w:w="992" w:type="dxa"/>
          </w:tcPr>
          <w:p w:rsidR="00031A3F" w:rsidRPr="00EE1E0C" w:rsidRDefault="00031A3F">
            <w:pPr>
              <w:pStyle w:val="Normaltindrag"/>
              <w:ind w:firstLine="0"/>
              <w:jc w:val="right"/>
            </w:pPr>
            <w:r w:rsidRPr="00EE1E0C">
              <w:t>490</w:t>
            </w:r>
          </w:p>
        </w:tc>
        <w:tc>
          <w:tcPr>
            <w:tcW w:w="709" w:type="dxa"/>
          </w:tcPr>
          <w:p w:rsidR="00031A3F" w:rsidRPr="00EE1E0C" w:rsidRDefault="00031A3F">
            <w:pPr>
              <w:pStyle w:val="Normaltindrag"/>
              <w:ind w:firstLine="0"/>
              <w:jc w:val="right"/>
            </w:pPr>
            <w:r w:rsidRPr="00EE1E0C">
              <w:t>512</w:t>
            </w:r>
          </w:p>
        </w:tc>
        <w:tc>
          <w:tcPr>
            <w:tcW w:w="992" w:type="dxa"/>
          </w:tcPr>
          <w:p w:rsidR="00031A3F" w:rsidRPr="00EE1E0C" w:rsidRDefault="00031A3F">
            <w:pPr>
              <w:pStyle w:val="Normaltindrag"/>
              <w:ind w:firstLine="0"/>
              <w:jc w:val="right"/>
            </w:pPr>
            <w:r w:rsidRPr="00EE1E0C">
              <w:t>8 397</w:t>
            </w:r>
          </w:p>
        </w:tc>
        <w:tc>
          <w:tcPr>
            <w:tcW w:w="709" w:type="dxa"/>
          </w:tcPr>
          <w:p w:rsidR="00031A3F" w:rsidRPr="00EE1E0C" w:rsidRDefault="00031A3F">
            <w:pPr>
              <w:pStyle w:val="Normaltindrag"/>
              <w:ind w:firstLine="0"/>
              <w:jc w:val="right"/>
            </w:pPr>
            <w:r w:rsidRPr="00EE1E0C">
              <w:t>8 778</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left"/>
            </w:pPr>
            <w:r w:rsidRPr="00EE1E0C">
              <w:t>1994/95</w:t>
            </w:r>
          </w:p>
        </w:tc>
        <w:tc>
          <w:tcPr>
            <w:tcW w:w="992" w:type="dxa"/>
          </w:tcPr>
          <w:p w:rsidR="00031A3F" w:rsidRPr="00EE1E0C" w:rsidRDefault="00031A3F">
            <w:pPr>
              <w:pStyle w:val="Normaltindrag"/>
              <w:ind w:firstLine="0"/>
              <w:jc w:val="right"/>
            </w:pPr>
            <w:r w:rsidRPr="00EE1E0C">
              <w:t>1 073</w:t>
            </w:r>
          </w:p>
        </w:tc>
        <w:tc>
          <w:tcPr>
            <w:tcW w:w="709" w:type="dxa"/>
          </w:tcPr>
          <w:p w:rsidR="00031A3F" w:rsidRPr="00EE1E0C" w:rsidRDefault="00031A3F">
            <w:pPr>
              <w:pStyle w:val="Normaltindrag"/>
              <w:ind w:firstLine="0"/>
              <w:jc w:val="right"/>
            </w:pPr>
            <w:r w:rsidRPr="00EE1E0C">
              <w:t>1 096</w:t>
            </w:r>
          </w:p>
        </w:tc>
        <w:tc>
          <w:tcPr>
            <w:tcW w:w="992" w:type="dxa"/>
          </w:tcPr>
          <w:p w:rsidR="00031A3F" w:rsidRPr="00EE1E0C" w:rsidRDefault="00031A3F">
            <w:pPr>
              <w:pStyle w:val="Normaltindrag"/>
              <w:ind w:firstLine="0"/>
              <w:jc w:val="right"/>
            </w:pPr>
            <w:r w:rsidRPr="00EE1E0C">
              <w:t>578</w:t>
            </w:r>
          </w:p>
        </w:tc>
        <w:tc>
          <w:tcPr>
            <w:tcW w:w="709" w:type="dxa"/>
          </w:tcPr>
          <w:p w:rsidR="00031A3F" w:rsidRPr="00EE1E0C" w:rsidRDefault="00031A3F">
            <w:pPr>
              <w:pStyle w:val="Normaltindrag"/>
              <w:ind w:firstLine="0"/>
              <w:jc w:val="right"/>
            </w:pPr>
            <w:r w:rsidRPr="00EE1E0C">
              <w:t>590</w:t>
            </w:r>
          </w:p>
        </w:tc>
        <w:tc>
          <w:tcPr>
            <w:tcW w:w="992" w:type="dxa"/>
          </w:tcPr>
          <w:p w:rsidR="00031A3F" w:rsidRPr="00EE1E0C" w:rsidRDefault="00031A3F">
            <w:pPr>
              <w:pStyle w:val="Normaltindrag"/>
              <w:ind w:firstLine="0"/>
              <w:jc w:val="right"/>
            </w:pPr>
            <w:r w:rsidRPr="00EE1E0C">
              <w:t>8 178</w:t>
            </w:r>
          </w:p>
        </w:tc>
        <w:tc>
          <w:tcPr>
            <w:tcW w:w="709" w:type="dxa"/>
          </w:tcPr>
          <w:p w:rsidR="00031A3F" w:rsidRPr="00EE1E0C" w:rsidRDefault="00031A3F">
            <w:pPr>
              <w:pStyle w:val="Normaltindrag"/>
              <w:ind w:firstLine="0"/>
              <w:jc w:val="right"/>
            </w:pPr>
            <w:r w:rsidRPr="00EE1E0C">
              <w:t>8 352</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left"/>
            </w:pPr>
            <w:r w:rsidRPr="00EE1E0C">
              <w:t>1995/96</w:t>
            </w:r>
          </w:p>
          <w:p w:rsidR="00031A3F" w:rsidRPr="00EE1E0C" w:rsidRDefault="00031A3F">
            <w:pPr>
              <w:pStyle w:val="Normaltindrag"/>
              <w:ind w:firstLine="0"/>
              <w:jc w:val="left"/>
            </w:pPr>
            <w:r w:rsidRPr="00EE1E0C">
              <w:t>(18 mån)</w:t>
            </w:r>
          </w:p>
        </w:tc>
        <w:tc>
          <w:tcPr>
            <w:tcW w:w="992" w:type="dxa"/>
          </w:tcPr>
          <w:p w:rsidR="00031A3F" w:rsidRPr="00EE1E0C" w:rsidRDefault="00031A3F">
            <w:pPr>
              <w:pStyle w:val="Normaltindrag"/>
              <w:ind w:firstLine="0"/>
              <w:jc w:val="right"/>
            </w:pPr>
          </w:p>
          <w:p w:rsidR="00031A3F" w:rsidRPr="00EE1E0C" w:rsidRDefault="00031A3F">
            <w:pPr>
              <w:pStyle w:val="Normaltindrag"/>
              <w:ind w:firstLine="0"/>
              <w:jc w:val="right"/>
            </w:pPr>
            <w:r w:rsidRPr="00EE1E0C">
              <w:t>1 719</w:t>
            </w:r>
          </w:p>
        </w:tc>
        <w:tc>
          <w:tcPr>
            <w:tcW w:w="709" w:type="dxa"/>
          </w:tcPr>
          <w:p w:rsidR="00031A3F" w:rsidRPr="00EE1E0C" w:rsidRDefault="00031A3F">
            <w:pPr>
              <w:pStyle w:val="Normaltindrag"/>
              <w:ind w:firstLine="0"/>
              <w:jc w:val="right"/>
            </w:pPr>
          </w:p>
          <w:p w:rsidR="00031A3F" w:rsidRPr="00EE1E0C" w:rsidRDefault="00031A3F">
            <w:pPr>
              <w:pStyle w:val="Normaltindrag"/>
              <w:ind w:firstLine="0"/>
              <w:jc w:val="right"/>
            </w:pPr>
            <w:r w:rsidRPr="00EE1E0C">
              <w:t>1 730</w:t>
            </w:r>
          </w:p>
        </w:tc>
        <w:tc>
          <w:tcPr>
            <w:tcW w:w="992" w:type="dxa"/>
          </w:tcPr>
          <w:p w:rsidR="00031A3F" w:rsidRPr="00EE1E0C" w:rsidRDefault="00031A3F">
            <w:pPr>
              <w:pStyle w:val="Normaltindrag"/>
              <w:ind w:firstLine="0"/>
              <w:jc w:val="right"/>
            </w:pPr>
          </w:p>
          <w:p w:rsidR="00031A3F" w:rsidRPr="00EE1E0C" w:rsidRDefault="00031A3F">
            <w:pPr>
              <w:pStyle w:val="Normaltindrag"/>
              <w:ind w:firstLine="0"/>
              <w:jc w:val="right"/>
            </w:pPr>
            <w:r w:rsidRPr="00EE1E0C">
              <w:t>764</w:t>
            </w:r>
          </w:p>
        </w:tc>
        <w:tc>
          <w:tcPr>
            <w:tcW w:w="709" w:type="dxa"/>
          </w:tcPr>
          <w:p w:rsidR="00031A3F" w:rsidRPr="00EE1E0C" w:rsidRDefault="00031A3F">
            <w:pPr>
              <w:pStyle w:val="Normaltindrag"/>
              <w:ind w:firstLine="0"/>
              <w:jc w:val="right"/>
            </w:pPr>
          </w:p>
          <w:p w:rsidR="00031A3F" w:rsidRPr="00EE1E0C" w:rsidRDefault="00031A3F">
            <w:pPr>
              <w:pStyle w:val="Normaltindrag"/>
              <w:ind w:firstLine="0"/>
              <w:jc w:val="right"/>
            </w:pPr>
            <w:r w:rsidRPr="00EE1E0C">
              <w:t>769</w:t>
            </w:r>
          </w:p>
        </w:tc>
        <w:tc>
          <w:tcPr>
            <w:tcW w:w="992" w:type="dxa"/>
          </w:tcPr>
          <w:p w:rsidR="00031A3F" w:rsidRPr="00EE1E0C" w:rsidRDefault="00031A3F">
            <w:pPr>
              <w:pStyle w:val="Normaltindrag"/>
              <w:ind w:firstLine="0"/>
              <w:jc w:val="right"/>
            </w:pPr>
          </w:p>
          <w:p w:rsidR="00031A3F" w:rsidRPr="00EE1E0C" w:rsidRDefault="00031A3F">
            <w:pPr>
              <w:pStyle w:val="Normaltindrag"/>
              <w:ind w:firstLine="0"/>
              <w:jc w:val="right"/>
            </w:pPr>
            <w:r w:rsidRPr="00EE1E0C">
              <w:t>12 626</w:t>
            </w:r>
          </w:p>
        </w:tc>
        <w:tc>
          <w:tcPr>
            <w:tcW w:w="709" w:type="dxa"/>
          </w:tcPr>
          <w:p w:rsidR="00031A3F" w:rsidRPr="00EE1E0C" w:rsidRDefault="00031A3F">
            <w:pPr>
              <w:pStyle w:val="Normaltindrag"/>
              <w:ind w:firstLine="0"/>
              <w:jc w:val="right"/>
            </w:pPr>
          </w:p>
          <w:p w:rsidR="00031A3F" w:rsidRPr="00EE1E0C" w:rsidRDefault="00031A3F">
            <w:pPr>
              <w:pStyle w:val="Normaltindrag"/>
              <w:ind w:firstLine="0"/>
              <w:jc w:val="right"/>
            </w:pPr>
            <w:r w:rsidRPr="00EE1E0C">
              <w:t>12 705</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left"/>
            </w:pPr>
            <w:r w:rsidRPr="00EE1E0C">
              <w:t>1997</w:t>
            </w:r>
          </w:p>
        </w:tc>
        <w:tc>
          <w:tcPr>
            <w:tcW w:w="992" w:type="dxa"/>
          </w:tcPr>
          <w:p w:rsidR="00031A3F" w:rsidRPr="00EE1E0C" w:rsidRDefault="00031A3F">
            <w:pPr>
              <w:pStyle w:val="Normaltindrag"/>
              <w:ind w:firstLine="0"/>
              <w:jc w:val="right"/>
            </w:pPr>
            <w:r w:rsidRPr="00EE1E0C">
              <w:t>1 152</w:t>
            </w:r>
          </w:p>
        </w:tc>
        <w:tc>
          <w:tcPr>
            <w:tcW w:w="709" w:type="dxa"/>
          </w:tcPr>
          <w:p w:rsidR="00031A3F" w:rsidRPr="00EE1E0C" w:rsidRDefault="00031A3F">
            <w:pPr>
              <w:pStyle w:val="Normaltindrag"/>
              <w:ind w:firstLine="0"/>
              <w:jc w:val="right"/>
            </w:pPr>
            <w:r w:rsidRPr="00EE1E0C">
              <w:t>1 149</w:t>
            </w:r>
          </w:p>
        </w:tc>
        <w:tc>
          <w:tcPr>
            <w:tcW w:w="992" w:type="dxa"/>
          </w:tcPr>
          <w:p w:rsidR="00031A3F" w:rsidRPr="00EE1E0C" w:rsidRDefault="00031A3F">
            <w:pPr>
              <w:pStyle w:val="Normaltindrag"/>
              <w:ind w:firstLine="0"/>
              <w:jc w:val="right"/>
            </w:pPr>
            <w:r w:rsidRPr="00EE1E0C">
              <w:t>383</w:t>
            </w:r>
          </w:p>
        </w:tc>
        <w:tc>
          <w:tcPr>
            <w:tcW w:w="709" w:type="dxa"/>
          </w:tcPr>
          <w:p w:rsidR="00031A3F" w:rsidRPr="00EE1E0C" w:rsidRDefault="00031A3F">
            <w:pPr>
              <w:pStyle w:val="Normaltindrag"/>
              <w:ind w:firstLine="0"/>
              <w:jc w:val="right"/>
            </w:pPr>
            <w:r w:rsidRPr="00EE1E0C">
              <w:t>382</w:t>
            </w:r>
          </w:p>
        </w:tc>
        <w:tc>
          <w:tcPr>
            <w:tcW w:w="992" w:type="dxa"/>
          </w:tcPr>
          <w:p w:rsidR="00031A3F" w:rsidRPr="00EE1E0C" w:rsidRDefault="00031A3F">
            <w:pPr>
              <w:pStyle w:val="Normaltindrag"/>
              <w:ind w:firstLine="0"/>
              <w:jc w:val="right"/>
            </w:pPr>
            <w:r w:rsidRPr="00EE1E0C">
              <w:t>8 461</w:t>
            </w:r>
          </w:p>
        </w:tc>
        <w:tc>
          <w:tcPr>
            <w:tcW w:w="709" w:type="dxa"/>
          </w:tcPr>
          <w:p w:rsidR="00031A3F" w:rsidRPr="00EE1E0C" w:rsidRDefault="00031A3F">
            <w:pPr>
              <w:pStyle w:val="Normaltindrag"/>
              <w:ind w:firstLine="0"/>
              <w:jc w:val="right"/>
            </w:pPr>
            <w:r w:rsidRPr="00EE1E0C">
              <w:t>8 451</w:t>
            </w:r>
          </w:p>
        </w:tc>
      </w:tr>
      <w:tr w:rsidR="00000000" w:rsidRPr="00EE1E0C">
        <w:tblPrEx>
          <w:tblCellMar>
            <w:top w:w="0" w:type="dxa"/>
            <w:bottom w:w="0" w:type="dxa"/>
          </w:tblCellMar>
        </w:tblPrEx>
        <w:tc>
          <w:tcPr>
            <w:tcW w:w="921" w:type="dxa"/>
          </w:tcPr>
          <w:p w:rsidR="00031A3F" w:rsidRPr="00EE1E0C" w:rsidRDefault="00031A3F">
            <w:pPr>
              <w:pStyle w:val="Normaltindrag"/>
              <w:ind w:firstLine="0"/>
              <w:jc w:val="left"/>
            </w:pPr>
            <w:r w:rsidRPr="00EE1E0C">
              <w:t>1998</w:t>
            </w:r>
          </w:p>
        </w:tc>
        <w:tc>
          <w:tcPr>
            <w:tcW w:w="992" w:type="dxa"/>
          </w:tcPr>
          <w:p w:rsidR="00031A3F" w:rsidRPr="00EE1E0C" w:rsidRDefault="00031A3F">
            <w:pPr>
              <w:pStyle w:val="Normaltindrag"/>
              <w:ind w:firstLine="0"/>
              <w:jc w:val="right"/>
            </w:pPr>
            <w:r w:rsidRPr="00EE1E0C">
              <w:t>1 162</w:t>
            </w:r>
          </w:p>
        </w:tc>
        <w:tc>
          <w:tcPr>
            <w:tcW w:w="709" w:type="dxa"/>
          </w:tcPr>
          <w:p w:rsidR="00031A3F" w:rsidRPr="00EE1E0C" w:rsidRDefault="00031A3F">
            <w:pPr>
              <w:pStyle w:val="Normaltindrag"/>
              <w:ind w:firstLine="0"/>
              <w:jc w:val="right"/>
            </w:pPr>
            <w:r w:rsidRPr="00EE1E0C">
              <w:t>1 162</w:t>
            </w:r>
          </w:p>
        </w:tc>
        <w:tc>
          <w:tcPr>
            <w:tcW w:w="992" w:type="dxa"/>
          </w:tcPr>
          <w:p w:rsidR="00031A3F" w:rsidRPr="00EE1E0C" w:rsidRDefault="00031A3F">
            <w:pPr>
              <w:pStyle w:val="Normaltindrag"/>
              <w:ind w:firstLine="0"/>
              <w:jc w:val="right"/>
            </w:pPr>
            <w:r w:rsidRPr="00EE1E0C">
              <w:t>815</w:t>
            </w:r>
          </w:p>
        </w:tc>
        <w:tc>
          <w:tcPr>
            <w:tcW w:w="709" w:type="dxa"/>
          </w:tcPr>
          <w:p w:rsidR="00031A3F" w:rsidRPr="00EE1E0C" w:rsidRDefault="00031A3F">
            <w:pPr>
              <w:pStyle w:val="Normaltindrag"/>
              <w:ind w:firstLine="0"/>
              <w:jc w:val="right"/>
            </w:pPr>
            <w:r w:rsidRPr="00EE1E0C">
              <w:t>815</w:t>
            </w:r>
          </w:p>
        </w:tc>
        <w:tc>
          <w:tcPr>
            <w:tcW w:w="992" w:type="dxa"/>
          </w:tcPr>
          <w:p w:rsidR="00031A3F" w:rsidRPr="00EE1E0C" w:rsidRDefault="00031A3F">
            <w:pPr>
              <w:pStyle w:val="Normaltindrag"/>
              <w:ind w:firstLine="0"/>
              <w:jc w:val="right"/>
            </w:pPr>
            <w:r w:rsidRPr="00EE1E0C">
              <w:t>8 317</w:t>
            </w:r>
          </w:p>
        </w:tc>
        <w:tc>
          <w:tcPr>
            <w:tcW w:w="709" w:type="dxa"/>
          </w:tcPr>
          <w:p w:rsidR="00031A3F" w:rsidRPr="00EE1E0C" w:rsidRDefault="00031A3F">
            <w:pPr>
              <w:pStyle w:val="Normaltindrag"/>
              <w:ind w:firstLine="0"/>
              <w:jc w:val="right"/>
            </w:pPr>
            <w:r w:rsidRPr="00EE1E0C">
              <w:t>8 317</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 xml:space="preserve">* Exklusive framtida pensionskostnader </w:t>
      </w:r>
    </w:p>
    <w:p w:rsidR="00031A3F" w:rsidRPr="00EE1E0C" w:rsidRDefault="00031A3F">
      <w:pPr>
        <w:pStyle w:val="Tabellrubrik"/>
        <w:rPr>
          <w:b w:val="0"/>
          <w:i/>
        </w:rPr>
      </w:pPr>
      <w:r w:rsidRPr="00EE1E0C">
        <w:rPr>
          <w:b w:val="0"/>
          <w:i/>
        </w:rPr>
        <w:t>Källa: Polisens årsredovisningar och anslagsframställningar åren 1991–1997.</w:t>
      </w:r>
    </w:p>
    <w:p w:rsidR="00031A3F" w:rsidRPr="00EE1E0C" w:rsidRDefault="00031A3F">
      <w:r w:rsidRPr="00EE1E0C">
        <w:t>De procentuella förändringarna av lönerna inom polisen var stora i slutet på 1980-talet. Budgetåret 1989/90 ökade polisens löner med 22 procent. Under 1990-talet har ökningen varit betydligt mindre och överensstämmer med löneökningarna för statsförvaltningen i övrigt. Kostnaderna för personal minskade dock mellan budgetåren 1993/94 och 1998 med 5,3 procent. Sa</w:t>
      </w:r>
      <w:r w:rsidRPr="00EE1E0C">
        <w:t>m</w:t>
      </w:r>
      <w:r w:rsidRPr="00EE1E0C">
        <w:t>tidigt ökade kostnaderna för investeringar och lokaler.</w:t>
      </w:r>
    </w:p>
    <w:p w:rsidR="00031A3F" w:rsidRPr="00EE1E0C" w:rsidRDefault="00031A3F">
      <w:pPr>
        <w:pStyle w:val="Normaltindrag"/>
        <w:tabs>
          <w:tab w:val="left" w:pos="1276"/>
        </w:tabs>
      </w:pPr>
      <w:r w:rsidRPr="00EE1E0C">
        <w:t>Om man har sparat eller inte inom polisen är som framgår ovan inte själ</w:t>
      </w:r>
      <w:r w:rsidRPr="00EE1E0C">
        <w:t>v</w:t>
      </w:r>
      <w:r w:rsidRPr="00EE1E0C">
        <w:t xml:space="preserve">klart. Representanter för Rikspolisstyrelsen menar att man skapat möjligheter för minskade kostnadsökningar snarare än minskat sina kostnader. Även i Justitiedepartementet anger tjänstemän att det är svårt att säga om polisen har sparat eller inte. Man föredrar att formulera det som att kostnadsutvecklingen har bromsats och att polisen använder mindre resurser än man skulle ha gjort utan rationaliseringar. </w:t>
      </w:r>
    </w:p>
    <w:p w:rsidR="00031A3F" w:rsidRPr="00EE1E0C" w:rsidRDefault="00031A3F">
      <w:pPr>
        <w:pStyle w:val="Normaltindrag"/>
      </w:pPr>
      <w:r w:rsidRPr="00EE1E0C">
        <w:t>I regleringsbrevet för budgetåret 1997 ålades Rikspolisstyrelsen att redov</w:t>
      </w:r>
      <w:r w:rsidRPr="00EE1E0C">
        <w:t>i</w:t>
      </w:r>
      <w:r w:rsidRPr="00EE1E0C">
        <w:t>sa en sammanfattande beskrivning av tidigare redovisningar till regeringen av de besparingsåtgärder som vidtagits under budgetåret 1995/96. I Riksp</w:t>
      </w:r>
      <w:r w:rsidRPr="00EE1E0C">
        <w:t>o</w:t>
      </w:r>
      <w:r w:rsidRPr="00EE1E0C">
        <w:t>lisstyrelsens redovisning uppges bl.a. att polismyndigheterna hade en i stort sett samstämmig uppfattning om att de budgetförändringar som genomförts under budgetåret 1995/96 inte inneburit några negativa effekter för verksa</w:t>
      </w:r>
      <w:r w:rsidRPr="00EE1E0C">
        <w:t>m</w:t>
      </w:r>
      <w:r w:rsidRPr="00EE1E0C">
        <w:t>heten. Man angav dock från flera polismyndigheter att de genomförda besp</w:t>
      </w:r>
      <w:r w:rsidRPr="00EE1E0C">
        <w:t>a</w:t>
      </w:r>
      <w:r w:rsidRPr="00EE1E0C">
        <w:t>ringarna, i kombination med ytterligare besparingar under 1997, s</w:t>
      </w:r>
      <w:r w:rsidRPr="00EE1E0C">
        <w:t>kulle komma att innebära negativa effekter för verksamheten. Man befarade att produktiviteten inom den brottsutredande verksamheten och servicen till allmänheten skulle minska. Vidare angavs att lokalytan inom polisväsendet minskat med ca 2 procent från september 1996 till december 1997. Utöver de redan redovisade kostnaderna för pensionsersättning har ingen beräkning av kostnaderna för införandet av närpolisorganisationen och omorganisationen gjorts inom polisen. Någon uppföljning av de besparingar som pol</w:t>
      </w:r>
      <w:r w:rsidRPr="00EE1E0C">
        <w:t>isen ålagts har inte gjorts utöver vad som anges i ovan nämnda redovisning till regerin</w:t>
      </w:r>
      <w:r w:rsidRPr="00EE1E0C">
        <w:t>g</w:t>
      </w:r>
      <w:r w:rsidRPr="00EE1E0C">
        <w:t xml:space="preserve">en. </w:t>
      </w:r>
    </w:p>
    <w:p w:rsidR="00031A3F" w:rsidRPr="00EE1E0C" w:rsidRDefault="00031A3F">
      <w:pPr>
        <w:pStyle w:val="Normaltindrag"/>
      </w:pPr>
      <w:r w:rsidRPr="00EE1E0C">
        <w:t>År 1992 började en fördelningsmodell tillämpas med syfte att på sikt fö</w:t>
      </w:r>
      <w:r w:rsidRPr="00EE1E0C">
        <w:t>r</w:t>
      </w:r>
      <w:r w:rsidRPr="00EE1E0C">
        <w:t>ändra länsramarnas inbördes storlek för att tillgodose det faktiska behovet av polisiära tjänster i respektive län. Rikspolisstyrelsen konstaterade att det förelåg ett samband mellan bl.a. antalet anmälda brott och antalet invånare. Man fann en fördelningsmodell med befolkningstalet som utgångspunkt mest lämplig och Rikspolisstyrelsen föreslog således att länsramen i huvudsak skulle beräknas efter invånarantalet men att hänsyn dessförinnan skulle tas till storstadsfaktorn och andra strukturella faktorer sa</w:t>
      </w:r>
      <w:r w:rsidRPr="00EE1E0C">
        <w:t>mt särskilda arbetsup</w:t>
      </w:r>
      <w:r w:rsidRPr="00EE1E0C">
        <w:t>p</w:t>
      </w:r>
      <w:r w:rsidRPr="00EE1E0C">
        <w:t>gifter. Från och med 1997 bygger fördelningen av medel till länsmyndigh</w:t>
      </w:r>
      <w:r w:rsidRPr="00EE1E0C">
        <w:t>e</w:t>
      </w:r>
      <w:r w:rsidRPr="00EE1E0C">
        <w:t>terna på den budgetdialog som man från Rikspolisstyrelsens sida har med representanter för varje polismyndighet. Enligt representanter för Rikspoli</w:t>
      </w:r>
      <w:r w:rsidRPr="00EE1E0C">
        <w:t>s</w:t>
      </w:r>
      <w:r w:rsidRPr="00EE1E0C">
        <w:t>styrelsen har endast en marginell omfördelning av medel skett mellan poli</w:t>
      </w:r>
      <w:r w:rsidRPr="00EE1E0C">
        <w:t>s</w:t>
      </w:r>
      <w:r w:rsidRPr="00EE1E0C">
        <w:t>myndigh</w:t>
      </w:r>
      <w:r w:rsidRPr="00EE1E0C">
        <w:t>e</w:t>
      </w:r>
      <w:r w:rsidRPr="00EE1E0C">
        <w:t>terna under 1990-talet.</w:t>
      </w:r>
    </w:p>
    <w:p w:rsidR="00031A3F" w:rsidRPr="00EE1E0C" w:rsidRDefault="00031A3F">
      <w:pPr>
        <w:pStyle w:val="Normaltindrag"/>
      </w:pPr>
      <w:r w:rsidRPr="00EE1E0C">
        <w:t>En omfördelning av medel inom vissa län har ägt rum i samband med bi</w:t>
      </w:r>
      <w:r w:rsidRPr="00EE1E0C">
        <w:t>l</w:t>
      </w:r>
      <w:r w:rsidRPr="00EE1E0C">
        <w:t>dandet av länsmyndigheterna. Vid en förfrågan till samtliga polismyndigh</w:t>
      </w:r>
      <w:r w:rsidRPr="00EE1E0C">
        <w:t>e</w:t>
      </w:r>
      <w:r w:rsidRPr="00EE1E0C">
        <w:t xml:space="preserve">ter anges att man i vissa län omfördelat personal från mindre befolkningstäta områden till mer befolkningstäta områden. Vidare anges i vissa län att orter som tidigare var myndighetssäten fått en kraftigare minskning av resurser än andra. </w:t>
      </w:r>
    </w:p>
    <w:p w:rsidR="00031A3F" w:rsidRPr="00EE1E0C" w:rsidRDefault="00031A3F">
      <w:pPr>
        <w:pStyle w:val="Rubrik2"/>
      </w:pPr>
      <w:bookmarkStart w:id="145" w:name="_Toc443275834"/>
      <w:bookmarkStart w:id="146" w:name="_Toc448905731"/>
      <w:bookmarkStart w:id="147" w:name="_Toc466264164"/>
      <w:r w:rsidRPr="00EE1E0C">
        <w:t>Resultatmodellen</w:t>
      </w:r>
      <w:bookmarkEnd w:id="145"/>
      <w:bookmarkEnd w:id="146"/>
      <w:bookmarkEnd w:id="147"/>
    </w:p>
    <w:p w:rsidR="00031A3F" w:rsidRPr="00EE1E0C" w:rsidRDefault="00031A3F">
      <w:r w:rsidRPr="00EE1E0C">
        <w:t xml:space="preserve">År 1997 infördes en nationell resultatmodell inom polisväsendet. Modellen är uppbyggd kring 14 områden som skall omfatta hela polisverksamheten. För att spegla förändringar i regeringens prioriteringar skall resultatmodellen kunna förändras och utvecklas år för år. Verksamheten redovisas uppdelad på </w:t>
      </w:r>
      <w:r w:rsidRPr="00EE1E0C">
        <w:rPr>
          <w:i/>
        </w:rPr>
        <w:t>inriktningar, målgrupper</w:t>
      </w:r>
      <w:r w:rsidRPr="00EE1E0C">
        <w:t xml:space="preserve"> och </w:t>
      </w:r>
      <w:r w:rsidRPr="00EE1E0C">
        <w:rPr>
          <w:i/>
        </w:rPr>
        <w:t>huvudlinjer</w:t>
      </w:r>
      <w:r w:rsidRPr="00EE1E0C">
        <w:t>. De resultatområden som sort</w:t>
      </w:r>
      <w:r w:rsidRPr="00EE1E0C">
        <w:t>e</w:t>
      </w:r>
      <w:r w:rsidRPr="00EE1E0C">
        <w:t xml:space="preserve">rar under </w:t>
      </w:r>
      <w:r w:rsidRPr="00EE1E0C">
        <w:rPr>
          <w:i/>
        </w:rPr>
        <w:t>inriktningar</w:t>
      </w:r>
      <w:r w:rsidRPr="00EE1E0C">
        <w:t xml:space="preserve"> rymmer hela polisens verksamhet. De resultatområden som sorterar under </w:t>
      </w:r>
      <w:r w:rsidRPr="00EE1E0C">
        <w:rPr>
          <w:i/>
        </w:rPr>
        <w:t xml:space="preserve">målgrupper </w:t>
      </w:r>
      <w:r w:rsidRPr="00EE1E0C">
        <w:t xml:space="preserve">och </w:t>
      </w:r>
      <w:r w:rsidRPr="00EE1E0C">
        <w:rPr>
          <w:i/>
        </w:rPr>
        <w:t>huvudlinjer</w:t>
      </w:r>
      <w:r w:rsidRPr="00EE1E0C">
        <w:t xml:space="preserve"> rör områden som skall följas upp särskilt. </w:t>
      </w:r>
    </w:p>
    <w:p w:rsidR="00031A3F" w:rsidRPr="00EE1E0C" w:rsidRDefault="00031A3F">
      <w:pPr>
        <w:pStyle w:val="Normaltindrag"/>
      </w:pPr>
      <w:r w:rsidRPr="00EE1E0C">
        <w:t>En förutsättning för att resultatmodellen skall fungera har ansetts vara att den innehåller tydliga definitioner. Resultatmåtten måste användas på samma sätt över hela landet för att de skall kunna användas i resultatdialogen mellan polismyndigheten och Rikspolisstyrelsen. Pol</w:t>
      </w:r>
      <w:r w:rsidRPr="00EE1E0C">
        <w:t>ismyndigheterna har ansvar för mätning och analys samt för att sätta upp de egna målen.</w:t>
      </w:r>
    </w:p>
    <w:p w:rsidR="00031A3F" w:rsidRPr="00EE1E0C" w:rsidRDefault="00031A3F">
      <w:pPr>
        <w:pStyle w:val="Normaltindrag"/>
      </w:pPr>
      <w:r w:rsidRPr="00EE1E0C">
        <w:rPr>
          <w:i/>
        </w:rPr>
        <w:t>Inriktningarna</w:t>
      </w:r>
      <w:r w:rsidRPr="00EE1E0C">
        <w:t xml:space="preserve"> är våldsbrottslighet, ekonomisk brottslighet, narkot</w:t>
      </w:r>
      <w:r w:rsidRPr="00EE1E0C">
        <w:t>i</w:t>
      </w:r>
      <w:r w:rsidRPr="00EE1E0C">
        <w:t xml:space="preserve">kabrottslighet, trafik, tillgrepps- och skadegörelsebrott, övrig brottslighet, ordning och säkerhet, polismyndighetsärenden samt intern verksamhet. Om verksamheten dessutom kan härledas till något av resultatområdena under </w:t>
      </w:r>
      <w:r w:rsidRPr="00EE1E0C">
        <w:rPr>
          <w:i/>
        </w:rPr>
        <w:t>målgrupper</w:t>
      </w:r>
      <w:r w:rsidRPr="00EE1E0C">
        <w:t xml:space="preserve"> så skall den redovisas även där. </w:t>
      </w:r>
      <w:r w:rsidRPr="00EE1E0C">
        <w:rPr>
          <w:i/>
        </w:rPr>
        <w:t>Målgrupperna</w:t>
      </w:r>
      <w:r w:rsidRPr="00EE1E0C">
        <w:t xml:space="preserve"> är ungdomar (ungdomar i riskzonen), vaneförbrytare och brottsoffer. Vidare kan verksa</w:t>
      </w:r>
      <w:r w:rsidRPr="00EE1E0C">
        <w:t>m</w:t>
      </w:r>
      <w:r w:rsidRPr="00EE1E0C">
        <w:t xml:space="preserve">het som redovisas under </w:t>
      </w:r>
      <w:r w:rsidRPr="00EE1E0C">
        <w:rPr>
          <w:i/>
        </w:rPr>
        <w:t>inriktningar</w:t>
      </w:r>
      <w:r w:rsidRPr="00EE1E0C">
        <w:t xml:space="preserve"> även redovisas under </w:t>
      </w:r>
      <w:r w:rsidRPr="00EE1E0C">
        <w:rPr>
          <w:i/>
        </w:rPr>
        <w:t>huvudlinjer.</w:t>
      </w:r>
      <w:r w:rsidRPr="00EE1E0C">
        <w:t xml:space="preserve"> </w:t>
      </w:r>
      <w:r w:rsidRPr="00EE1E0C">
        <w:rPr>
          <w:i/>
        </w:rPr>
        <w:t>Huvudlinjerna</w:t>
      </w:r>
      <w:r w:rsidRPr="00EE1E0C">
        <w:t xml:space="preserve"> är närp</w:t>
      </w:r>
      <w:r w:rsidRPr="00EE1E0C">
        <w:t>olisverksamhet och kvalificerad kriminalpolisver</w:t>
      </w:r>
      <w:r w:rsidRPr="00EE1E0C">
        <w:t>k</w:t>
      </w:r>
      <w:r w:rsidRPr="00EE1E0C">
        <w:t>samhet.</w:t>
      </w:r>
    </w:p>
    <w:p w:rsidR="00031A3F" w:rsidRPr="00EE1E0C" w:rsidRDefault="00031A3F">
      <w:pPr>
        <w:pStyle w:val="Normaltindrag"/>
      </w:pPr>
      <w:r w:rsidRPr="00EE1E0C">
        <w:t xml:space="preserve">Polisen använder sig av fyra mått. </w:t>
      </w:r>
      <w:r w:rsidRPr="00EE1E0C">
        <w:rPr>
          <w:i/>
        </w:rPr>
        <w:t xml:space="preserve">Effektmåtten </w:t>
      </w:r>
      <w:r w:rsidRPr="00EE1E0C">
        <w:t>är kopplade till en prest</w:t>
      </w:r>
      <w:r w:rsidRPr="00EE1E0C">
        <w:t>a</w:t>
      </w:r>
      <w:r w:rsidRPr="00EE1E0C">
        <w:t xml:space="preserve">tion som polisväsendet direkt kan påverka. </w:t>
      </w:r>
      <w:r w:rsidRPr="00EE1E0C">
        <w:rPr>
          <w:i/>
        </w:rPr>
        <w:t>Prestationsmått</w:t>
      </w:r>
      <w:r w:rsidRPr="00EE1E0C">
        <w:t xml:space="preserve"> skall visa vad polisen presterat inom respektive resultatområde.</w:t>
      </w:r>
      <w:r w:rsidRPr="00EE1E0C">
        <w:rPr>
          <w:i/>
        </w:rPr>
        <w:t xml:space="preserve"> Kvalitetsmått </w:t>
      </w:r>
      <w:r w:rsidRPr="00EE1E0C">
        <w:t xml:space="preserve">skall återge kvaliteten för olika delar av polisens verksamhet. </w:t>
      </w:r>
      <w:r w:rsidRPr="00EE1E0C">
        <w:rPr>
          <w:i/>
        </w:rPr>
        <w:t xml:space="preserve">Kostnadsmått </w:t>
      </w:r>
      <w:r w:rsidRPr="00EE1E0C">
        <w:t>skall bl.a. visa hur polisväsendet pri</w:t>
      </w:r>
      <w:r w:rsidRPr="00EE1E0C">
        <w:t>o</w:t>
      </w:r>
      <w:r w:rsidRPr="00EE1E0C">
        <w:t xml:space="preserve">riterar. </w:t>
      </w:r>
    </w:p>
    <w:p w:rsidR="00031A3F" w:rsidRPr="00EE1E0C" w:rsidRDefault="00031A3F">
      <w:pPr>
        <w:pStyle w:val="Normaltindrag"/>
        <w:rPr>
          <w:i/>
        </w:rPr>
      </w:pPr>
      <w:r w:rsidRPr="00EE1E0C">
        <w:t>Samtliga län rapporterar in uppgifter till Rikspolisstyrelsen på ca 120 punkter. Dessa redovisas länsvis i polisens årsredovisning. Rikspolisstyrelsen anger att de mått som redovisas successivt börjar användas</w:t>
      </w:r>
      <w:r w:rsidRPr="00EE1E0C">
        <w:t xml:space="preserve"> av polismyndi</w:t>
      </w:r>
      <w:r w:rsidRPr="00EE1E0C">
        <w:t>g</w:t>
      </w:r>
      <w:r w:rsidRPr="00EE1E0C">
        <w:t>heterna i deras styrning av verksamheten. Inom Rikspolisstyrelsen används många av måtten vid nationella bedömningar, bl.a. i samband med resultatd</w:t>
      </w:r>
      <w:r w:rsidRPr="00EE1E0C">
        <w:t>i</w:t>
      </w:r>
      <w:r w:rsidRPr="00EE1E0C">
        <w:t>aloger. Från Rikspolisstyrelsen konstateras att arbetet med att samla in up</w:t>
      </w:r>
      <w:r w:rsidRPr="00EE1E0C">
        <w:t>p</w:t>
      </w:r>
      <w:r w:rsidRPr="00EE1E0C">
        <w:t>gifter med de rutiner man har i dag är resurskrävande. Man anser att det stora antalet mått är modellens svaghet. Rikspolischefen menar att resultatmode</w:t>
      </w:r>
      <w:r w:rsidRPr="00EE1E0C">
        <w:t>l</w:t>
      </w:r>
      <w:r w:rsidRPr="00EE1E0C">
        <w:t>len behöver förändras så att den blir mer ändamålsenlig. Statssekreteraren i Justitiedepartementet anger också att åtgär</w:t>
      </w:r>
      <w:r w:rsidRPr="00EE1E0C">
        <w:t>der kommer att vidtas för att fö</w:t>
      </w:r>
      <w:r w:rsidRPr="00EE1E0C">
        <w:t>r</w:t>
      </w:r>
      <w:r w:rsidRPr="00EE1E0C">
        <w:t>bättra modellen för polisens resultatr</w:t>
      </w:r>
      <w:r w:rsidRPr="00EE1E0C">
        <w:t>e</w:t>
      </w:r>
      <w:r w:rsidRPr="00EE1E0C">
        <w:t>dovisning.</w:t>
      </w:r>
    </w:p>
    <w:p w:rsidR="00031A3F" w:rsidRPr="00EE1E0C" w:rsidRDefault="00031A3F">
      <w:pPr>
        <w:pStyle w:val="Normaltindrag"/>
      </w:pPr>
      <w:r w:rsidRPr="00EE1E0C">
        <w:t>Från Rikspolisstyrelsens sida anser man att det är resultatdialogerna som ger resultatmodellen innehåll. Resultatdialoger hålls mellan Rikspolisstyre</w:t>
      </w:r>
      <w:r w:rsidRPr="00EE1E0C">
        <w:t>l</w:t>
      </w:r>
      <w:r w:rsidRPr="00EE1E0C">
        <w:t>sen och länsmyndigheterna en gång per år. Dialoger har hållits sedan 1996. Syftet är att följa upp, analysera och diskutera länets resultat i resultatm</w:t>
      </w:r>
      <w:r w:rsidRPr="00EE1E0C">
        <w:t>o</w:t>
      </w:r>
      <w:r w:rsidRPr="00EE1E0C">
        <w:t>dellens termer. Det gångna årets resultat utgör också grunden för polismy</w:t>
      </w:r>
      <w:r w:rsidRPr="00EE1E0C">
        <w:t>n</w:t>
      </w:r>
      <w:r w:rsidRPr="00EE1E0C">
        <w:t>dighetens mål det kommande budgetåret. Dialogen baseras på polismyndi</w:t>
      </w:r>
      <w:r w:rsidRPr="00EE1E0C">
        <w:t>g</w:t>
      </w:r>
      <w:r w:rsidRPr="00EE1E0C">
        <w:t>hetens egna mål. Vid Rikspolisstyrelsen anser man att resultatdialogerna ökar styrelsens kunskap om polismyndigheterna och skapar förutsättningar för fortsatt utveckling av pol</w:t>
      </w:r>
      <w:r w:rsidRPr="00EE1E0C">
        <w:t>i</w:t>
      </w:r>
      <w:r w:rsidRPr="00EE1E0C">
        <w:t>s</w:t>
      </w:r>
      <w:r w:rsidRPr="00EE1E0C">
        <w:softHyphen/>
        <w:t>verksamheten.</w:t>
      </w:r>
    </w:p>
    <w:p w:rsidR="00031A3F" w:rsidRPr="00EE1E0C" w:rsidRDefault="00031A3F">
      <w:pPr>
        <w:pStyle w:val="Rubrik3"/>
      </w:pPr>
      <w:bookmarkStart w:id="148" w:name="_Toc454180215"/>
      <w:bookmarkStart w:id="149" w:name="_Toc466264165"/>
      <w:r w:rsidRPr="00EE1E0C">
        <w:t>Polisens prestationer</w:t>
      </w:r>
      <w:bookmarkEnd w:id="148"/>
      <w:bookmarkEnd w:id="149"/>
    </w:p>
    <w:p w:rsidR="00031A3F" w:rsidRPr="00EE1E0C" w:rsidRDefault="00031A3F">
      <w:r w:rsidRPr="00EE1E0C">
        <w:t>Antalet inkomna ärenden till polisen har varit relativt konstant under åren 1993 till 1998. Närpolisreformen påbörjades under 1994 och utredningsver</w:t>
      </w:r>
      <w:r w:rsidRPr="00EE1E0C">
        <w:t>k</w:t>
      </w:r>
      <w:r w:rsidRPr="00EE1E0C">
        <w:t xml:space="preserve">samheten decentraliserades. Reformen var enligt polisens årsredovisning helt genomförd 1997. </w:t>
      </w:r>
    </w:p>
    <w:p w:rsidR="00031A3F" w:rsidRPr="00EE1E0C" w:rsidRDefault="00031A3F">
      <w:pPr>
        <w:pStyle w:val="Normaltindrag"/>
      </w:pPr>
      <w:r w:rsidRPr="00EE1E0C">
        <w:t>Antalet ärenden som redovisats till åklagaren var relativt konstant under åren 1993 till 1996, liksom antalet ärenden i balans. Antal ärenden redovis</w:t>
      </w:r>
      <w:r w:rsidRPr="00EE1E0C">
        <w:t>a</w:t>
      </w:r>
      <w:r w:rsidRPr="00EE1E0C">
        <w:t>de till åklagaren minskade dock kraftigt enligt statistiken under år 1997. Vid Rikspolisstyrelsen menar man att detta bl.a. beror på att antalet ärenden från och med år 1997 enbart är baserat på antalet ärenden överlämnade till åkl</w:t>
      </w:r>
      <w:r w:rsidRPr="00EE1E0C">
        <w:t>a</w:t>
      </w:r>
      <w:r w:rsidRPr="00EE1E0C">
        <w:t>garen, dvs. på färdiga förundersökningsprotokoll. Tidigare räknades också ärenden som överlämnades till annan myndighet, t.ex. till socialtjänsten, in i antalet redovisade ärenden. Man menar också att nedgången beror på många förtidspensioneringar, närpolisernas större ansvar fö</w:t>
      </w:r>
      <w:r w:rsidRPr="00EE1E0C">
        <w:t>r utredningsverksamh</w:t>
      </w:r>
      <w:r w:rsidRPr="00EE1E0C">
        <w:t>e</w:t>
      </w:r>
      <w:r w:rsidRPr="00EE1E0C">
        <w:t>ten samt att omorganisationen inneburit oro i organisationen vilket lett till mindre effektiv brottsutredning. Rikspolisstyrelsen anger dock att det är svårt att påvisa det direkta sambandet mellan dessa faktorer och den stora ne</w:t>
      </w:r>
      <w:r w:rsidRPr="00EE1E0C">
        <w:t>d</w:t>
      </w:r>
      <w:r w:rsidRPr="00EE1E0C">
        <w:t>gången. I budgetpropositionen för 1999 menar regeringen att det totala ant</w:t>
      </w:r>
      <w:r w:rsidRPr="00EE1E0C">
        <w:t>a</w:t>
      </w:r>
      <w:r w:rsidRPr="00EE1E0C">
        <w:t>let ärenden som redovisades till åklagare under 1997 var något lägre än 1996.  En uppfattning om antalet överlämnade ärenden från polis till åklagare går att få av åklagarnas statistik (</w:t>
      </w:r>
      <w:r w:rsidRPr="00EE1E0C">
        <w:t xml:space="preserve">se nedan). Av denna statistik framgår att antalet överlämnade ärenden minskat med knappt 9 procent. </w:t>
      </w:r>
    </w:p>
    <w:p w:rsidR="00031A3F" w:rsidRPr="00EE1E0C" w:rsidRDefault="00031A3F">
      <w:pPr>
        <w:pStyle w:val="Normaltindrag"/>
      </w:pPr>
      <w:r w:rsidRPr="00EE1E0C">
        <w:t>Personalen på samtliga polismyndigheter tidsredovisar sitt arbete. Tidsr</w:t>
      </w:r>
      <w:r w:rsidRPr="00EE1E0C">
        <w:t>e</w:t>
      </w:r>
      <w:r w:rsidRPr="00EE1E0C">
        <w:t>dovisningarna är dock svåra att jämföra då de inte behöver utformas på samma sätt i samtliga myndigheter. Tidsredovisningen kan också göras u</w:t>
      </w:r>
      <w:r w:rsidRPr="00EE1E0C">
        <w:t>n</w:t>
      </w:r>
      <w:r w:rsidRPr="00EE1E0C">
        <w:t>der en begränsad tidsperiod. Allmänhetens åsikter om polisen mäts bl.a. genom brottsofferundersökningar och trygghetsmä</w:t>
      </w:r>
      <w:r w:rsidRPr="00EE1E0C">
        <w:t>t</w:t>
      </w:r>
      <w:r w:rsidRPr="00EE1E0C">
        <w:t xml:space="preserve">ningar. </w:t>
      </w:r>
    </w:p>
    <w:p w:rsidR="00031A3F" w:rsidRPr="00EE1E0C" w:rsidRDefault="00031A3F">
      <w:pPr>
        <w:pStyle w:val="Normaltindrag"/>
      </w:pPr>
      <w:r w:rsidRPr="00EE1E0C">
        <w:rPr>
          <w:i/>
        </w:rPr>
        <w:t>Balanced scorecard</w:t>
      </w:r>
      <w:r w:rsidRPr="00EE1E0C">
        <w:t xml:space="preserve"> är en modell för verksamhetsstyrning som används i vissa polismyndigheter. Under år 1998 användes modellen på försök men enligt Rikspolisstyrelsen är intresset för att använda modellen stort bland myndigheterna. Rikspolisstyrelsen fungerar som samordnare av projektet. Modellen tas fram genom att organisationens strategier bryts ned till mått och mål som ligger i linje med organisationens övergripande inriktning. Det är nödvändigt att samtliga i organisationen deltar i arbetet för att den skall ge en så all</w:t>
      </w:r>
      <w:r w:rsidRPr="00EE1E0C">
        <w:t>omfattande bild av verksamheten som möjligt (Olve, Roy och Wetter 1997). Polisen i Nyköping har provat styrningsmodellen och anser att m</w:t>
      </w:r>
      <w:r w:rsidRPr="00EE1E0C">
        <w:t>o</w:t>
      </w:r>
      <w:r w:rsidRPr="00EE1E0C">
        <w:t xml:space="preserve">dellen passar mycket bra för styrningen av polisverksamhet. </w:t>
      </w:r>
    </w:p>
    <w:p w:rsidR="00031A3F" w:rsidRPr="00EE1E0C" w:rsidRDefault="00031A3F">
      <w:pPr>
        <w:pStyle w:val="Normaltindrag"/>
      </w:pPr>
      <w:r w:rsidRPr="00EE1E0C">
        <w:t xml:space="preserve">Skillnaden mellan den nationella resultatmodellen och styrkortet är enligt Nyköpingspolisen att poliserna själva utformar målen och vad som skall mätas, detta styrs inte av ledningen. Sammanfattningsvis menar man att </w:t>
      </w:r>
      <w:r w:rsidRPr="00EE1E0C">
        <w:rPr>
          <w:i/>
        </w:rPr>
        <w:t>Balanced scorecard</w:t>
      </w:r>
      <w:r w:rsidRPr="00EE1E0C">
        <w:t xml:space="preserve"> kombinerar metoderna för det problemorienterade a</w:t>
      </w:r>
      <w:r w:rsidRPr="00EE1E0C">
        <w:t>r</w:t>
      </w:r>
      <w:r w:rsidRPr="00EE1E0C">
        <w:t>betssättet med egenformulerade mål och uppföljningar där varje enhet får motivera det resultat man uppvisar.</w:t>
      </w:r>
    </w:p>
    <w:p w:rsidR="00031A3F" w:rsidRPr="00EE1E0C" w:rsidRDefault="00031A3F">
      <w:pPr>
        <w:pStyle w:val="Rubrik3"/>
      </w:pPr>
      <w:bookmarkStart w:id="150" w:name="_Toc454180216"/>
      <w:bookmarkStart w:id="151" w:name="_Toc466264166"/>
      <w:r w:rsidRPr="00EE1E0C">
        <w:t>Tillsyn</w:t>
      </w:r>
      <w:bookmarkEnd w:id="150"/>
      <w:bookmarkEnd w:id="151"/>
    </w:p>
    <w:p w:rsidR="00031A3F" w:rsidRPr="00EE1E0C" w:rsidRDefault="00031A3F">
      <w:r w:rsidRPr="00EE1E0C">
        <w:t>Tidigare delade länsstyrelserna och Rikspolisstyrelsen ansvaret för tillsynen. Från den 1 januari 1999 har Rikspolisstyrelsen ensam ansvaret för tillsynen av polisverksamheten. I förarbetet till förslaget (SOU 1998:74) anges att länsstyrelsernas tillsynsverksamhet över polisen har, med undantag för Stockholms län, haft mycket liten omfattning. Rikspolisstyrelsen har utökat sin tillsynsenhet med två personer under 1999. Man har också anställt en internrevisor. Tillsynsenheten anlitar oftast specialister frå</w:t>
      </w:r>
      <w:r w:rsidRPr="00EE1E0C">
        <w:t>n polisorganisati</w:t>
      </w:r>
      <w:r w:rsidRPr="00EE1E0C">
        <w:t>o</w:t>
      </w:r>
      <w:r w:rsidRPr="00EE1E0C">
        <w:t>nen för att utföra inspektionerna.</w:t>
      </w:r>
    </w:p>
    <w:p w:rsidR="00031A3F" w:rsidRPr="00EE1E0C" w:rsidRDefault="00031A3F">
      <w:pPr>
        <w:pStyle w:val="Rubrik1"/>
      </w:pPr>
      <w:bookmarkStart w:id="152" w:name="_Toc448905733"/>
      <w:bookmarkStart w:id="153" w:name="_Toc466264167"/>
      <w:bookmarkEnd w:id="91"/>
      <w:r w:rsidRPr="00EE1E0C">
        <w:t>Åklagarväsendet</w:t>
      </w:r>
      <w:bookmarkStart w:id="154" w:name="_Toc438258570"/>
      <w:bookmarkEnd w:id="152"/>
      <w:bookmarkEnd w:id="153"/>
    </w:p>
    <w:p w:rsidR="00031A3F" w:rsidRPr="00EE1E0C" w:rsidRDefault="00031A3F">
      <w:pPr>
        <w:rPr>
          <w:i/>
        </w:rPr>
      </w:pPr>
      <w:r w:rsidRPr="00EE1E0C">
        <w:rPr>
          <w:i/>
        </w:rPr>
        <w:t>Den 1 januari 1999 fanns det ca 600 åklagare och ca 300 administratörer anställda inom åklagarväsendet. Åklagarväsendets anslag för 1999 är drygt 620 miljoner kronor. Åklagarväsendet har sedan den 1 juli 1996 en ny org</w:t>
      </w:r>
      <w:r w:rsidRPr="00EE1E0C">
        <w:rPr>
          <w:i/>
        </w:rPr>
        <w:t>a</w:t>
      </w:r>
      <w:r w:rsidRPr="00EE1E0C">
        <w:rPr>
          <w:i/>
        </w:rPr>
        <w:t>nisation. Riksåklagaren är central förvaltningsmyndighet. Landet är indelat i sex åklagardistrikt med en åklagarmyndighet i varje. Varje regional åkl</w:t>
      </w:r>
      <w:r w:rsidRPr="00EE1E0C">
        <w:rPr>
          <w:i/>
        </w:rPr>
        <w:t>a</w:t>
      </w:r>
      <w:r w:rsidRPr="00EE1E0C">
        <w:rPr>
          <w:i/>
        </w:rPr>
        <w:t xml:space="preserve">garmyndighet leds av en överåklagare. Åklagarmyndigheterna är indelade i åklagarkammare. Antalet kamrar är 38 och leds av en kammarchef som är chefsåklagare. Den 1 januari 1998 inrättades Ekobrottsmyndigheten. Denna myndighet består av såväl poliser som åklagare. </w:t>
      </w:r>
    </w:p>
    <w:p w:rsidR="00031A3F" w:rsidRPr="00EE1E0C" w:rsidRDefault="00031A3F">
      <w:pPr>
        <w:pStyle w:val="Rubrik2"/>
      </w:pPr>
      <w:bookmarkStart w:id="155" w:name="_Toc448905734"/>
      <w:bookmarkStart w:id="156" w:name="_Toc466264168"/>
      <w:r w:rsidRPr="00EE1E0C">
        <w:t>Åklagarväsendets mål</w:t>
      </w:r>
      <w:bookmarkEnd w:id="154"/>
      <w:bookmarkEnd w:id="155"/>
      <w:bookmarkEnd w:id="156"/>
    </w:p>
    <w:p w:rsidR="00031A3F" w:rsidRPr="00EE1E0C" w:rsidRDefault="00031A3F">
      <w:r w:rsidRPr="00EE1E0C">
        <w:t>Åklagarväsendet skall tillförsäkra den enskilde rättssäkerhet och rättstryg</w:t>
      </w:r>
      <w:r w:rsidRPr="00EE1E0C">
        <w:t>g</w:t>
      </w:r>
      <w:r w:rsidRPr="00EE1E0C">
        <w:t>het samt se till att den som begått brott lagförs. Prioriterad brottslighet för 1999 är våldsbrott, narkotikabrott och ekonomisk brottslighet (inklusive miljöbrott). Särskild uppmärksamhet skall ägnas grov och gränsöverskrida</w:t>
      </w:r>
      <w:r w:rsidRPr="00EE1E0C">
        <w:t>n</w:t>
      </w:r>
      <w:r w:rsidRPr="00EE1E0C">
        <w:t>de brottslighet, s.k. mc-relaterad brottslighet, brott med rasistiska inslag, våld mot kvinnor samt övergrepp mot barn. Prioriteringarna var desamma för 1998, förutom att miljöbrott och övergrepp mot barn har lagts till för 1999. Enligt regleringsbreven för 1998 och 1999 skall nedlagd</w:t>
      </w:r>
      <w:r w:rsidRPr="00EE1E0C">
        <w:t>a resurser och åtgä</w:t>
      </w:r>
      <w:r w:rsidRPr="00EE1E0C">
        <w:t>r</w:t>
      </w:r>
      <w:r w:rsidRPr="00EE1E0C">
        <w:t>der som vidtagits med anledning av prioriteringarna återrapporteras till reg</w:t>
      </w:r>
      <w:r w:rsidRPr="00EE1E0C">
        <w:t>e</w:t>
      </w:r>
      <w:r w:rsidRPr="00EE1E0C">
        <w:t xml:space="preserve">ringen. </w:t>
      </w:r>
    </w:p>
    <w:p w:rsidR="00031A3F" w:rsidRPr="00EE1E0C" w:rsidRDefault="00031A3F">
      <w:pPr>
        <w:pStyle w:val="Normaltindrag"/>
      </w:pPr>
      <w:r w:rsidRPr="00EE1E0C">
        <w:t>Riksåklagaren menar att åklagarnas möjlighet att följa prioriteringarna är begränsade eftersom det i första hand är reglerna i rättegångsbalken och brottsbalken som styr åklagarnas arbete. Åklagarna styrs också genom pol</w:t>
      </w:r>
      <w:r w:rsidRPr="00EE1E0C">
        <w:t>i</w:t>
      </w:r>
      <w:r w:rsidRPr="00EE1E0C">
        <w:t>sens arbete. Enligt riksåklagaren syftar prioriteringarna i första hand till att öka medvetenheten och kunskaperna hos åklagarna. Detta gör man t.ex. genom speciella utbildningsinsatser och utveckling av arbetsmetoder.</w:t>
      </w:r>
    </w:p>
    <w:p w:rsidR="00031A3F" w:rsidRPr="00EE1E0C" w:rsidRDefault="00031A3F">
      <w:pPr>
        <w:pStyle w:val="Rubrik2"/>
      </w:pPr>
      <w:bookmarkStart w:id="157" w:name="_Toc448905735"/>
      <w:bookmarkStart w:id="158" w:name="_Toc466264169"/>
      <w:r w:rsidRPr="00EE1E0C">
        <w:t>Åklagarna och administratörerna</w:t>
      </w:r>
      <w:bookmarkEnd w:id="157"/>
      <w:bookmarkEnd w:id="158"/>
    </w:p>
    <w:p w:rsidR="00031A3F" w:rsidRPr="00EE1E0C" w:rsidRDefault="00031A3F">
      <w:r w:rsidRPr="00EE1E0C">
        <w:t>Åklagarnas uppgifter är att leda förundersökningar i brottmål, fatta beslut i åtalsfrågan och föra talan i domstol. I de utredningar där polisen är förunde</w:t>
      </w:r>
      <w:r w:rsidRPr="00EE1E0C">
        <w:t>r</w:t>
      </w:r>
      <w:r w:rsidRPr="00EE1E0C">
        <w:t>sökningsledare är det inte ovanligt att åklagarna ger råd till polisen om hur utredningen bör bedr</w:t>
      </w:r>
      <w:r w:rsidRPr="00EE1E0C">
        <w:t>i</w:t>
      </w:r>
      <w:r w:rsidRPr="00EE1E0C">
        <w:t xml:space="preserve">vas. </w:t>
      </w:r>
    </w:p>
    <w:p w:rsidR="00031A3F" w:rsidRPr="00EE1E0C" w:rsidRDefault="00031A3F">
      <w:pPr>
        <w:pStyle w:val="Normaltindrag"/>
      </w:pPr>
      <w:r w:rsidRPr="00EE1E0C">
        <w:t>Inom åklagarväsendet arbetade den 31 december 1998 drygt 920 personer. Antalet åklagare var 612 och antalet administratörer 311. Ytterligare 69 åklagare var anställda vid Ekobrottsmyndigheten.</w:t>
      </w:r>
    </w:p>
    <w:p w:rsidR="00031A3F" w:rsidRPr="00EE1E0C" w:rsidRDefault="00031A3F">
      <w:pPr>
        <w:pStyle w:val="Normaltindrag"/>
      </w:pPr>
      <w:r w:rsidRPr="00EE1E0C">
        <w:t>För att förbättra åklagarväsendets ekonomi beslutade Riksåklagaren 1995 att införa anställningsstopp för åklagare. Anställningsstoppet hävdes 1998. Fram till dess hade antalet åklagare enligt Riksåklagaren minskat med o</w:t>
      </w:r>
      <w:r w:rsidRPr="00EE1E0C">
        <w:t>m</w:t>
      </w:r>
      <w:r w:rsidRPr="00EE1E0C">
        <w:t>kring 60 personer genom att de som gått i pension inte ersatts. Sedan anstäl</w:t>
      </w:r>
      <w:r w:rsidRPr="00EE1E0C">
        <w:t>l</w:t>
      </w:r>
      <w:r w:rsidRPr="00EE1E0C">
        <w:t>ningsstoppet hävdes har 30 aspiranter rekr</w:t>
      </w:r>
      <w:r w:rsidRPr="00EE1E0C">
        <w:t>y</w:t>
      </w:r>
      <w:r w:rsidRPr="00EE1E0C">
        <w:t xml:space="preserve">terats. </w:t>
      </w:r>
    </w:p>
    <w:p w:rsidR="00031A3F" w:rsidRPr="00EE1E0C" w:rsidRDefault="00031A3F">
      <w:pPr>
        <w:pStyle w:val="Normaltindrag"/>
      </w:pPr>
      <w:r w:rsidRPr="00EE1E0C">
        <w:t>Den 1 augusti 1996 sades 192 administratörer upp. Detta var enligt reg</w:t>
      </w:r>
      <w:r w:rsidRPr="00EE1E0C">
        <w:t>e</w:t>
      </w:r>
      <w:r w:rsidRPr="00EE1E0C">
        <w:t>ringen (prop. 1998/99:1) motiverat av datoriseringen av ärendehanteringen och omorganisationen av åklagarväsendet (se vidare nedan). Enligt Rikså</w:t>
      </w:r>
      <w:r w:rsidRPr="00EE1E0C">
        <w:t>k</w:t>
      </w:r>
      <w:r w:rsidRPr="00EE1E0C">
        <w:t>lagaren bör uppsägningarna av administratörerna inte direkt sammankopplas med omorganisationen. Uppsägningarna var i stället ett sätt att finansiera åklagarnas löneavtal från 1994 (se vidare nedan) och samtidigt en rational</w:t>
      </w:r>
      <w:r w:rsidRPr="00EE1E0C">
        <w:t>i</w:t>
      </w:r>
      <w:r w:rsidRPr="00EE1E0C">
        <w:t>sering som var befogad då antalet administratörer var stort och datoriserin</w:t>
      </w:r>
      <w:r w:rsidRPr="00EE1E0C">
        <w:t>g</w:t>
      </w:r>
      <w:r w:rsidRPr="00EE1E0C">
        <w:t>en av verksamheten ökade. Antalet administratörer per åklagare up</w:t>
      </w:r>
      <w:r w:rsidRPr="00EE1E0C">
        <w:t>pgick före uppsägningarna till 0,76 årsarbetskrafter. Riksåklagaren framhåller dock att omorganisationen underlättade genomförandet av uppsägningarna. Fler personer kunde troligtvis sägas upp eftersom antalet orter med fast station</w:t>
      </w:r>
      <w:r w:rsidRPr="00EE1E0C">
        <w:t>e</w:t>
      </w:r>
      <w:r w:rsidRPr="00EE1E0C">
        <w:t>rade åklagare minskade. Vissa av de administratörer som sades upp har dock kunnat återanställas under 1997. Totalt, inklusive andra avgångar, minskade antalet administratörer med 162 personer under 1997 och antalet admini</w:t>
      </w:r>
      <w:r w:rsidRPr="00EE1E0C">
        <w:softHyphen/>
        <w:t>stratörer per åkl</w:t>
      </w:r>
      <w:r w:rsidRPr="00EE1E0C">
        <w:t>a</w:t>
      </w:r>
      <w:r w:rsidRPr="00EE1E0C">
        <w:t xml:space="preserve">gare uppgick då till 0,62. </w:t>
      </w:r>
    </w:p>
    <w:p w:rsidR="00031A3F" w:rsidRPr="00EE1E0C" w:rsidRDefault="00031A3F">
      <w:pPr>
        <w:pStyle w:val="Normaltindrag"/>
      </w:pPr>
      <w:r w:rsidRPr="00EE1E0C">
        <w:t>Enligt Rikså</w:t>
      </w:r>
      <w:r w:rsidRPr="00EE1E0C">
        <w:t>klagaren inger den minskade tillgången på åklagare stor och ökad oro för utvecklingen av åklagarväsendets resultat på sikt och för arbet</w:t>
      </w:r>
      <w:r w:rsidRPr="00EE1E0C">
        <w:t>s</w:t>
      </w:r>
      <w:r w:rsidRPr="00EE1E0C">
        <w:t>situationen för de anställda inom åklagarväsendet. I årsredovisningen för första halvåret 1998 framhåller Riksåklagaren att arbetsläget och arbetssitu</w:t>
      </w:r>
      <w:r w:rsidRPr="00EE1E0C">
        <w:t>a</w:t>
      </w:r>
      <w:r w:rsidRPr="00EE1E0C">
        <w:t>tionen för enskilda åklagare och administratörer överlag är mycket a</w:t>
      </w:r>
      <w:r w:rsidRPr="00EE1E0C">
        <w:t>n</w:t>
      </w:r>
      <w:r w:rsidRPr="00EE1E0C">
        <w:t>strängd. Detta beror dels på bortfallet av nära hälften av administratörerna, dels på att antalet åklagare minskat både genom pensionsavgångar och g</w:t>
      </w:r>
      <w:r w:rsidRPr="00EE1E0C">
        <w:t>e</w:t>
      </w:r>
      <w:r w:rsidRPr="00EE1E0C">
        <w:t>nom at</w:t>
      </w:r>
      <w:r w:rsidRPr="00EE1E0C">
        <w:t>t de tas i anspråk för annat än egentligt åklagararbete.</w:t>
      </w:r>
      <w:r w:rsidRPr="00EE1E0C">
        <w:rPr>
          <w:i/>
        </w:rPr>
        <w:t xml:space="preserve"> </w:t>
      </w:r>
      <w:r w:rsidRPr="00EE1E0C">
        <w:t>Enligt uppgift från Riksåklagaren har antalet långtidssjukskrivna ökat som följd av det hårdare arbetstrycket. Enligt Riksåklagaren visar åklagarkamrarnas tidsred</w:t>
      </w:r>
      <w:r w:rsidRPr="00EE1E0C">
        <w:t>o</w:t>
      </w:r>
      <w:r w:rsidRPr="00EE1E0C">
        <w:t>vi</w:t>
      </w:r>
      <w:r w:rsidRPr="00EE1E0C">
        <w:t>s</w:t>
      </w:r>
      <w:r w:rsidRPr="00EE1E0C">
        <w:t xml:space="preserve">ning att åklagarna i genomsnitt inte arbetar mer än normal arbetstid. </w:t>
      </w:r>
    </w:p>
    <w:p w:rsidR="00031A3F" w:rsidRPr="00EE1E0C" w:rsidRDefault="00031A3F">
      <w:pPr>
        <w:pStyle w:val="Rubrik2"/>
      </w:pPr>
      <w:bookmarkStart w:id="159" w:name="_Toc448905736"/>
      <w:bookmarkStart w:id="160" w:name="_Toc466264170"/>
      <w:r w:rsidRPr="00EE1E0C">
        <w:t>Åklagarväsendets organisation</w:t>
      </w:r>
      <w:bookmarkEnd w:id="159"/>
      <w:bookmarkEnd w:id="160"/>
    </w:p>
    <w:p w:rsidR="00031A3F" w:rsidRPr="00EE1E0C" w:rsidRDefault="00031A3F">
      <w:r w:rsidRPr="00EE1E0C">
        <w:t>När åklagarväsendet förstatligades den 1 januari 1965 genomfördes en o</w:t>
      </w:r>
      <w:r w:rsidRPr="00EE1E0C">
        <w:t>m</w:t>
      </w:r>
      <w:r w:rsidRPr="00EE1E0C">
        <w:t>fattande omorganisation med en länsåklagarmyndighet i varje län, ett fåtal län undantagna. Den regionala organisationen förändrades 1985 då åklaga</w:t>
      </w:r>
      <w:r w:rsidRPr="00EE1E0C">
        <w:t>r</w:t>
      </w:r>
      <w:r w:rsidRPr="00EE1E0C">
        <w:t>väsendet indelades i 13 regionåklagarmyndigheter.  Regionerna var indelade i 83 lokala åklagarmyndigheter. Den lokala organisationen bestod av många små åklagarmyndigheter. 47 av de 83 myndigheterna hade endast två–tre åklagare anställda, medan det vid omkring 20 myndigheter fanns fyra–fem åklagare. Många av myndigheterna ansågs vara för små för att klara av att</w:t>
      </w:r>
      <w:r w:rsidRPr="00EE1E0C">
        <w:t xml:space="preserve"> effektivisera och rationalisera verksamheten. De ansågs också vara sårbara både i brottsbeivrande och administrativt hänseende. Om t.ex. en åklagare blev sjuk eller om ett stort mål upptog en åklagares tid under en längre per</w:t>
      </w:r>
      <w:r w:rsidRPr="00EE1E0C">
        <w:t>i</w:t>
      </w:r>
      <w:r w:rsidRPr="00EE1E0C">
        <w:t>od var det svårt för myndigheten att klara verksamheten. De små myndigh</w:t>
      </w:r>
      <w:r w:rsidRPr="00EE1E0C">
        <w:t>e</w:t>
      </w:r>
      <w:r w:rsidRPr="00EE1E0C">
        <w:t xml:space="preserve">terna var också förhållandevis kostsamma att leda och administrera. Efter ett antal utredningar under 1980- och 1990-talen överlämnade regeringen i november 1995 propositionen </w:t>
      </w:r>
      <w:r w:rsidRPr="00EE1E0C">
        <w:rPr>
          <w:i/>
        </w:rPr>
        <w:t>Riktlinjer för åklagarväsendets organ</w:t>
      </w:r>
      <w:r w:rsidRPr="00EE1E0C">
        <w:rPr>
          <w:i/>
        </w:rPr>
        <w:t>isation</w:t>
      </w:r>
      <w:r w:rsidRPr="00EE1E0C">
        <w:t xml:space="preserve"> (prop. 1995/96:110 bet. 1995/96:JuU13 rskr. 1995/96:172). Syftet med fö</w:t>
      </w:r>
      <w:r w:rsidRPr="00EE1E0C">
        <w:t>r</w:t>
      </w:r>
      <w:r w:rsidRPr="00EE1E0C">
        <w:t>slagen i propositionen var att skapa en organisation som skulle vara effekt</w:t>
      </w:r>
      <w:r w:rsidRPr="00EE1E0C">
        <w:t>i</w:t>
      </w:r>
      <w:r w:rsidRPr="00EE1E0C">
        <w:t>vare, mer flexibel och mindre sårbar än den dåvarande. Regeringen menade att åklagarväsendet därigenom skulle komma att vara bättre anpassat till det moderna samhällets alltmer komplicerade brottslighet. Den nya organisati</w:t>
      </w:r>
      <w:r w:rsidRPr="00EE1E0C">
        <w:t>o</w:t>
      </w:r>
      <w:r w:rsidRPr="00EE1E0C">
        <w:t>nen skulle på sikt möjliggöra en effektivare åklagarverksamhet till lägre kostnader. Beslut om den nya organisationen fattades av rik</w:t>
      </w:r>
      <w:r w:rsidRPr="00EE1E0C">
        <w:t xml:space="preserve">sdagen i mars 1996. </w:t>
      </w:r>
    </w:p>
    <w:p w:rsidR="00031A3F" w:rsidRPr="00EE1E0C" w:rsidRDefault="00031A3F">
      <w:pPr>
        <w:pStyle w:val="Normaltindrag"/>
      </w:pPr>
      <w:r w:rsidRPr="00EE1E0C">
        <w:t>Den nya organisationen infördes den 1 juli 1996 och ser ut på följande sätt. Riksåklagaren är central förvaltningsmyndighet för åklagarväsendet. Det är riksåklagaren som är chef för myndigheten samt högste åklagare under reg</w:t>
      </w:r>
      <w:r w:rsidRPr="00EE1E0C">
        <w:t>e</w:t>
      </w:r>
      <w:r w:rsidRPr="00EE1E0C">
        <w:t>ringen. Landet är sedan den 16 april 1999 indelat i sex åklagardistrikt med en åklagarmyndighet i varje distrikt. Varje åklagarmyndighet leds av en överåklagare. På lokal nivå består åklagarväsendet sedan den 1 juni 1998 av 38 åklagarkammare som var och en leds av en kammarchef som är chef</w:t>
      </w:r>
      <w:r w:rsidRPr="00EE1E0C">
        <w:t>s</w:t>
      </w:r>
      <w:r w:rsidRPr="00EE1E0C">
        <w:t>åklagare. Regeringen beslutar om indelningen i åklagardistrikt och om åkl</w:t>
      </w:r>
      <w:r w:rsidRPr="00EE1E0C">
        <w:t>a</w:t>
      </w:r>
      <w:r w:rsidRPr="00EE1E0C">
        <w:t>garmyndigheternas kansliorter. Beslut om åklagarkamrarnas antal och lokal</w:t>
      </w:r>
      <w:r w:rsidRPr="00EE1E0C">
        <w:t>i</w:t>
      </w:r>
      <w:r w:rsidRPr="00EE1E0C">
        <w:t>sering fattas däremot av Riksåklagaren, ett beslut som kan delegeras til</w:t>
      </w:r>
      <w:r w:rsidRPr="00EE1E0C">
        <w:t>l de regionala åkl</w:t>
      </w:r>
      <w:r w:rsidRPr="00EE1E0C">
        <w:t>a</w:t>
      </w:r>
      <w:r w:rsidRPr="00EE1E0C">
        <w:t xml:space="preserve">garmyndigheterna. </w:t>
      </w:r>
    </w:p>
    <w:p w:rsidR="00031A3F" w:rsidRPr="00EE1E0C" w:rsidRDefault="00031A3F">
      <w:pPr>
        <w:pStyle w:val="Normaltindrag"/>
      </w:pPr>
      <w:r w:rsidRPr="00EE1E0C">
        <w:t>På vissa orter finns lokala åklagare. Dessa hör administrativt till en ka</w:t>
      </w:r>
      <w:r w:rsidRPr="00EE1E0C">
        <w:t>m</w:t>
      </w:r>
      <w:r w:rsidRPr="00EE1E0C">
        <w:t>mare på annan ort. Enligt Riksåklagaren finns åklagare på alla orter där det fanns åklagarverksamhet före reformen. De orter som tidigare hade en egen åklagarmyndighet, men som nu inte längre har en egen kammare, har i stället lokala åklagare eller åklagare som regelbundet besöker orten. Riksåklagaren uppger att han ser fördelar med att polis och åklagare sitter i samma lokaler om detta är möjligt.</w:t>
      </w:r>
    </w:p>
    <w:p w:rsidR="00031A3F" w:rsidRPr="00EE1E0C" w:rsidRDefault="00031A3F">
      <w:pPr>
        <w:pStyle w:val="Rubrik3"/>
      </w:pPr>
      <w:bookmarkStart w:id="161" w:name="_Toc448905737"/>
      <w:bookmarkStart w:id="162" w:name="_Toc466264171"/>
      <w:r w:rsidRPr="00EE1E0C">
        <w:t>Åklagarmyndigheterna</w:t>
      </w:r>
      <w:bookmarkEnd w:id="161"/>
      <w:bookmarkEnd w:id="162"/>
    </w:p>
    <w:p w:rsidR="00031A3F" w:rsidRPr="00EE1E0C" w:rsidRDefault="00031A3F">
      <w:r w:rsidRPr="00EE1E0C">
        <w:t>I propositionen om riktlinjerna för åklagarväsendets organisation angav regeringen att den administrativa och kamerala verksamheten inom åklaga</w:t>
      </w:r>
      <w:r w:rsidRPr="00EE1E0C">
        <w:t>r</w:t>
      </w:r>
      <w:r w:rsidRPr="00EE1E0C">
        <w:t>distriktet skulle bedrivas vid åklagarmyndigheten. Den nya organisationen  innebar också ökade krav på överåklagarnas kontroll och tillsyn av den brottsbeivrande verksamheten. För att den regionala ledningen skulle vara mindre sårbar menade man att överåklagaren borde biträdas av en ställför</w:t>
      </w:r>
      <w:r w:rsidRPr="00EE1E0C">
        <w:t>e</w:t>
      </w:r>
      <w:r w:rsidRPr="00EE1E0C">
        <w:t xml:space="preserve">trädare som var väl insatt i myndighetens ledning och uppgifter. </w:t>
      </w:r>
    </w:p>
    <w:p w:rsidR="00031A3F" w:rsidRPr="00EE1E0C" w:rsidRDefault="00031A3F">
      <w:pPr>
        <w:pStyle w:val="Normaltindrag"/>
      </w:pPr>
      <w:r w:rsidRPr="00EE1E0C">
        <w:t>Överåklagarna svarar för den fortlöpande tillsynen av åklagarverksamh</w:t>
      </w:r>
      <w:r w:rsidRPr="00EE1E0C">
        <w:t>e</w:t>
      </w:r>
      <w:r w:rsidRPr="00EE1E0C">
        <w:t>ten inom distriktet. Riksåklagaren har lednings- och tillsynsansvar över åklagarväsendet och skall verka för lagenlighet, följdriktighet och enhetlighet vid rättstillämpningen. Överåklagarna utövar den direkta tillsynen över ka</w:t>
      </w:r>
      <w:r w:rsidRPr="00EE1E0C">
        <w:t>m</w:t>
      </w:r>
      <w:r w:rsidRPr="00EE1E0C">
        <w:t>rarnas verksamhet genom att bl.a. kontrollera de s.k. anhållningsliggarna. Här förs alla beslut in som har med tvångsmedel att göra, exempelvis anhå</w:t>
      </w:r>
      <w:r w:rsidRPr="00EE1E0C">
        <w:t>l</w:t>
      </w:r>
      <w:r w:rsidRPr="00EE1E0C">
        <w:t>lande och beslag av gods. Åklagarna antecknar tidpunkten för besluten och på vilken grund de är fattade. Vidare har överåklagarna möjl</w:t>
      </w:r>
      <w:r w:rsidRPr="00EE1E0C">
        <w:t>ighet att överpröva chefsåklagarnas och kammaråklagarnas beslut.</w:t>
      </w:r>
      <w:r w:rsidRPr="00EE1E0C">
        <w:rPr>
          <w:i/>
        </w:rPr>
        <w:t xml:space="preserve"> </w:t>
      </w:r>
      <w:r w:rsidRPr="00EE1E0C">
        <w:t xml:space="preserve">En överprövning innebär att ett beslut i brottmålsfråga som fattas av en kammaråklagare eller chefsåklagare granskas av en överåklagare eller av riksåklagaren. </w:t>
      </w:r>
    </w:p>
    <w:p w:rsidR="00031A3F" w:rsidRPr="00EE1E0C" w:rsidRDefault="00031A3F">
      <w:pPr>
        <w:pStyle w:val="Normaltindrag"/>
      </w:pPr>
      <w:r w:rsidRPr="00EE1E0C">
        <w:t>I propositionen med riktlinjer för åklagarväsendets organisation menade regeringen att det var väsentligt att överåklagarna och de biträdande överåklagarna inte helt befrias från brottsbeivrande verksamhet och därmed avskärmas från den egentliga åklagarverksamheten. Regeringen menade a</w:t>
      </w:r>
      <w:r w:rsidRPr="00EE1E0C">
        <w:t>tt en viss kontinuerlig erfarenhet av sådan verksamhet var värdefull exempelvis vid handläggningen av överprövningsärenden och vid tillsyn. Till de mål som enligt regeringen närmast borde komma i fråga för att handläggas av överåklagare hör mål om brott mot rikets säkerhet och mål som gäller brott av person i särskilt framskjuten ställning eller oriktig myndighetsutövning av allvarligare slag, de. s.k. auktoritetsmålen. Denna möjlighet utnyttjas olika av olika myndigheter. Vissa myndigheter har inte handlag</w:t>
      </w:r>
      <w:r w:rsidRPr="00EE1E0C">
        <w:t>t något sådant mål under 1997 och 1998. Det förekommer också att myndigheterna lämnar auktor</w:t>
      </w:r>
      <w:r w:rsidRPr="00EE1E0C">
        <w:t>i</w:t>
      </w:r>
      <w:r w:rsidRPr="00EE1E0C">
        <w:t xml:space="preserve">tetsmål för handläggning till Riksåklagarens enhet för speciella mål </w:t>
      </w:r>
    </w:p>
    <w:p w:rsidR="00031A3F" w:rsidRPr="00EE1E0C" w:rsidRDefault="00031A3F">
      <w:pPr>
        <w:pStyle w:val="Normaltindrag"/>
      </w:pPr>
      <w:r w:rsidRPr="00EE1E0C">
        <w:t>Regeringen anförde också i propositionen att överåklagarna i ökad omfat</w:t>
      </w:r>
      <w:r w:rsidRPr="00EE1E0C">
        <w:t>t</w:t>
      </w:r>
      <w:r w:rsidRPr="00EE1E0C">
        <w:t>ning skulle komma att få ägna tid och kraft åt samverkan med andra sa</w:t>
      </w:r>
      <w:r w:rsidRPr="00EE1E0C">
        <w:t>m</w:t>
      </w:r>
      <w:r w:rsidRPr="00EE1E0C">
        <w:t>hällsorgan, t.ex. polis-, skatte- och kronofogdemyndigheter. Enligt uppgift från Riksåklagaren anser de flesta överåklagare att det är svårt att samverka med övriga myndigheter eftersom åklagarmyndigheterna omfattar flera län. I stället förekommer det enligt Riksåklagaren att överåklagarna delegerat samverkansuppgifterna till kammarcheferna. Överåklagarna utnyttjas också av Riksåklagaren för utredningar som rör åklagarväsendet och åklaga</w:t>
      </w:r>
      <w:r w:rsidRPr="00EE1E0C">
        <w:t>rver</w:t>
      </w:r>
      <w:r w:rsidRPr="00EE1E0C">
        <w:t>k</w:t>
      </w:r>
      <w:r w:rsidRPr="00EE1E0C">
        <w:t>samheten. Riksåklagaren uppger att kostnaderna för överåklagarnas kanslier varierar men uppgår i genomsnitt till omkring sju procent för hela åklagarv</w:t>
      </w:r>
      <w:r w:rsidRPr="00EE1E0C">
        <w:t>ä</w:t>
      </w:r>
      <w:r w:rsidRPr="00EE1E0C">
        <w:t>sendet. Kostnaderna för de sju kanslierna uppgick till sammanlagt ca 38 miljoner kronor för 1997 och ca 35 miljoner kronor för 1998. Kostnaderna kan förväntas minska något i och med sammanslagningen av åklagarmy</w:t>
      </w:r>
      <w:r w:rsidRPr="00EE1E0C">
        <w:t>n</w:t>
      </w:r>
      <w:r w:rsidRPr="00EE1E0C">
        <w:t xml:space="preserve">digheterna i Umeå och Sundsvall. </w:t>
      </w:r>
    </w:p>
    <w:p w:rsidR="00031A3F" w:rsidRPr="00EE1E0C" w:rsidRDefault="00031A3F">
      <w:pPr>
        <w:pStyle w:val="Rubrik3"/>
      </w:pPr>
      <w:bookmarkStart w:id="163" w:name="_Toc448905738"/>
      <w:bookmarkStart w:id="164" w:name="_Toc466264172"/>
      <w:r w:rsidRPr="00EE1E0C">
        <w:t>Åklagarkamrarna</w:t>
      </w:r>
      <w:bookmarkEnd w:id="163"/>
      <w:bookmarkEnd w:id="164"/>
    </w:p>
    <w:p w:rsidR="00031A3F" w:rsidRPr="00EE1E0C" w:rsidRDefault="00031A3F">
      <w:r w:rsidRPr="00EE1E0C">
        <w:t>Regeringen anförde i propositionen om riktlinjerna för åklagarväsendets organisation att åklagarkamrarna måste vara tillräckligt stora för att kunna fungera självständigt, klara förändringar i verksamheten och variationer i arbetsbelastningen. Enligt Riksåklagaren är en kammare med 15 till 20 åkl</w:t>
      </w:r>
      <w:r w:rsidRPr="00EE1E0C">
        <w:t>a</w:t>
      </w:r>
      <w:r w:rsidRPr="00EE1E0C">
        <w:t>gare en lagom stor åklagarkammare. En majoritet av kamrarna har mellan 10 och 20 åklagare. Ett fåtal har färre än 10 åklagare. Kamrarnas storlek vari</w:t>
      </w:r>
      <w:r w:rsidRPr="00EE1E0C">
        <w:t>e</w:t>
      </w:r>
      <w:r w:rsidRPr="00EE1E0C">
        <w:t>rade under 1998 från 6 åklagare på kammaren i Östersund till 23 vid 1:a åklagarkammaren i Stoc</w:t>
      </w:r>
      <w:r w:rsidRPr="00EE1E0C">
        <w:t>k</w:t>
      </w:r>
      <w:r w:rsidRPr="00EE1E0C">
        <w:t>holm.</w:t>
      </w:r>
    </w:p>
    <w:p w:rsidR="00031A3F" w:rsidRPr="00EE1E0C" w:rsidRDefault="00031A3F">
      <w:pPr>
        <w:pStyle w:val="Normaltindrag"/>
      </w:pPr>
      <w:r w:rsidRPr="00EE1E0C">
        <w:t>När det gällde åklagarkamrarnas lokalisering menade regeringen att såväl geografiska som demografiska hänsyn måste tas. Åklagarnas lokalisering skulle kunna ändras om de regionala förhållandena förändrades. Enligt reg</w:t>
      </w:r>
      <w:r w:rsidRPr="00EE1E0C">
        <w:t>e</w:t>
      </w:r>
      <w:r w:rsidRPr="00EE1E0C">
        <w:t>ringen borde åklagarverksamheten inte heller bedrivas alltför långt från den eller de tingsrätter där åkl</w:t>
      </w:r>
      <w:r w:rsidRPr="00EE1E0C">
        <w:t>a</w:t>
      </w:r>
      <w:r w:rsidRPr="00EE1E0C">
        <w:t xml:space="preserve">garna för talan. </w:t>
      </w:r>
    </w:p>
    <w:p w:rsidR="00031A3F" w:rsidRPr="00EE1E0C" w:rsidRDefault="00031A3F">
      <w:pPr>
        <w:pStyle w:val="Normaltindrag"/>
      </w:pPr>
      <w:r w:rsidRPr="00EE1E0C">
        <w:t>Regeringen framhöll också att närheten till polisen är viktig för att åkl</w:t>
      </w:r>
      <w:r w:rsidRPr="00EE1E0C">
        <w:t>a</w:t>
      </w:r>
      <w:r w:rsidRPr="00EE1E0C">
        <w:t>garnas arbete skall kunna bedrivas effektivt. Detta talade enligt regeringen för att åklagarverksamhet bör bedrivas på ett förhållandevis stort antal orter i landet. Som nämnts ovan finns 38 åklagarkamrar sedan den 1 juni 1998. Varje län har en kammare förutom Gotland som är utan, Östergötlands och Södermanlands län som har två kamrar vardera samt storstadslänen som har flera kamrar vardera. Den 1 januari 1998 fanns det lokala åklagare på 12 orter. Utöver de lokala åklagarna finns det dessutom åklagare som</w:t>
      </w:r>
      <w:r w:rsidRPr="00EE1E0C">
        <w:t xml:space="preserve"> i prakt</w:t>
      </w:r>
      <w:r w:rsidRPr="00EE1E0C">
        <w:t>i</w:t>
      </w:r>
      <w:r w:rsidRPr="00EE1E0C">
        <w:t>ken är placerade på ytterligare orter.</w:t>
      </w:r>
    </w:p>
    <w:p w:rsidR="00031A3F" w:rsidRPr="00EE1E0C" w:rsidRDefault="00031A3F">
      <w:pPr>
        <w:pStyle w:val="Normaltindrag"/>
      </w:pPr>
      <w:r w:rsidRPr="00EE1E0C">
        <w:t>Den nya organisationen medförde en i flera avseenden ny chefsroll för chefsåklagarna. Chefsåklagarna har det direkta ansvaret för att leda i princip all brottsbeivrande verksamhet men har också administrativa uppgifter. Här</w:t>
      </w:r>
      <w:r w:rsidRPr="00EE1E0C">
        <w:softHyphen/>
        <w:t>igenom har chefsåklagarna fått en betydligt självständigare ställning än de hade tidigare. Enligt uppgifter från Riksåklagaren använde chefsåklagarna knappt halva sin arbetstid till löpande ärendehantering den 1 juli 1998. För biträdande chefsåklagarna var andelen drygt 85 procent. Övrig tid ägnades åt ledning, samverkan med andra myndigheter samt utbildning och administr</w:t>
      </w:r>
      <w:r w:rsidRPr="00EE1E0C">
        <w:t>a</w:t>
      </w:r>
      <w:r w:rsidRPr="00EE1E0C">
        <w:t>tion.</w:t>
      </w:r>
    </w:p>
    <w:p w:rsidR="00031A3F" w:rsidRPr="00EE1E0C" w:rsidRDefault="00031A3F">
      <w:pPr>
        <w:pStyle w:val="Rubrik2"/>
      </w:pPr>
      <w:bookmarkStart w:id="165" w:name="_Toc448905739"/>
      <w:bookmarkStart w:id="166" w:name="_Toc466264173"/>
      <w:r w:rsidRPr="00EE1E0C">
        <w:t>Ekobrottsmyndigheten</w:t>
      </w:r>
      <w:bookmarkEnd w:id="165"/>
      <w:bookmarkEnd w:id="166"/>
    </w:p>
    <w:p w:rsidR="00031A3F" w:rsidRPr="00EE1E0C" w:rsidRDefault="00031A3F">
      <w:r w:rsidRPr="00EE1E0C">
        <w:t>Den 1 januari 1998 inrättades Ekobrottsmyndigheten. Ekobrottsmyndigheten är en åklagarmyndighet för bekämpning av ekonomisk brottslighet. Ekobrottsmyndigheten har tagit över åklagarverksamheten när det gäller ekobrott i Stockholms, Västra Götalands och Skåne län. För övriga län sa</w:t>
      </w:r>
      <w:r w:rsidRPr="00EE1E0C">
        <w:t>m</w:t>
      </w:r>
      <w:r w:rsidRPr="00EE1E0C">
        <w:t>ordnar Ekobrottsmyndigheten under Riksåklagaren åklagarväsendets ver</w:t>
      </w:r>
      <w:r w:rsidRPr="00EE1E0C">
        <w:t>k</w:t>
      </w:r>
      <w:r w:rsidRPr="00EE1E0C">
        <w:t>samhet rörande ekobrottslighet. Myndigheten kan också ta över särskilt komplicerade mål från övriga län. Den 1 januari 1999 var 69 åklagare a</w:t>
      </w:r>
      <w:r w:rsidRPr="00EE1E0C">
        <w:t>n</w:t>
      </w:r>
      <w:r w:rsidRPr="00EE1E0C">
        <w:t>ställda i myndigheten. I myndigheten arbetar också poliser med speciell kunskap om ekobrott.</w:t>
      </w:r>
    </w:p>
    <w:p w:rsidR="00031A3F" w:rsidRPr="00EE1E0C" w:rsidRDefault="00031A3F">
      <w:pPr>
        <w:pStyle w:val="Normaltindrag"/>
      </w:pPr>
      <w:r w:rsidRPr="00EE1E0C">
        <w:t>Ekobrottsmyndighetens anslag för 1998 var drygt 180 miljoner kronor. Förbrukningen för samma år uppgick till drygt 150 miljoner kronor. Anslaget för 1999 up</w:t>
      </w:r>
      <w:r w:rsidRPr="00EE1E0C">
        <w:t>p</w:t>
      </w:r>
      <w:r w:rsidRPr="00EE1E0C">
        <w:t>går till knappt 200 miljoner kronor.</w:t>
      </w:r>
    </w:p>
    <w:p w:rsidR="00031A3F" w:rsidRPr="00EE1E0C" w:rsidRDefault="00031A3F">
      <w:pPr>
        <w:pStyle w:val="Normaltindrag"/>
      </w:pPr>
      <w:r w:rsidRPr="00EE1E0C">
        <w:t xml:space="preserve">Ekobrottsmyndigheten har ett eget anslag, en central administration samt vissa stabsuppgifter och lyder i fråga om dessa direkt under regeringen. I övrigt är Ekobrottsmyndigheten en åklagarmyndighet under Riksåklagaren. </w:t>
      </w:r>
    </w:p>
    <w:p w:rsidR="00031A3F" w:rsidRPr="00EE1E0C" w:rsidRDefault="00031A3F">
      <w:pPr>
        <w:pStyle w:val="Normaltindrag"/>
      </w:pPr>
      <w:r w:rsidRPr="00EE1E0C">
        <w:t>Kritik har riktats mot konstruktionen av Ekobrottsmyndigheten. Den a</w:t>
      </w:r>
      <w:r w:rsidRPr="00EE1E0C">
        <w:t>d</w:t>
      </w:r>
      <w:r w:rsidRPr="00EE1E0C">
        <w:t>ministration som byggts upp hos myndigheten anses av kritikerna vara on</w:t>
      </w:r>
      <w:r w:rsidRPr="00EE1E0C">
        <w:t>ö</w:t>
      </w:r>
      <w:r w:rsidRPr="00EE1E0C">
        <w:t>dig eftersom motsvarande funktioner finns hos Riksåklagaren. Man har oc</w:t>
      </w:r>
      <w:r w:rsidRPr="00EE1E0C">
        <w:t>k</w:t>
      </w:r>
      <w:r w:rsidRPr="00EE1E0C">
        <w:t>så påtalat att den nationella styrningen av åklagarväsendet blir oklar då det finns två centrala åklagarmyndigheter. Man menar också att ansvarsförde</w:t>
      </w:r>
      <w:r w:rsidRPr="00EE1E0C">
        <w:t>l</w:t>
      </w:r>
      <w:r w:rsidRPr="00EE1E0C">
        <w:t>ningen mellan Riksåklagaren och Ekobrottsmyndigheten blir oklar eftersom det finns två chefer inom åklagarväse</w:t>
      </w:r>
      <w:r w:rsidRPr="00EE1E0C">
        <w:t>n</w:t>
      </w:r>
      <w:r w:rsidRPr="00EE1E0C">
        <w:t xml:space="preserve">det. </w:t>
      </w:r>
    </w:p>
    <w:p w:rsidR="00031A3F" w:rsidRPr="00EE1E0C" w:rsidRDefault="00031A3F">
      <w:pPr>
        <w:pStyle w:val="Normaltindrag"/>
      </w:pPr>
      <w:r w:rsidRPr="00EE1E0C">
        <w:t>Enligt riksåklagaren finns det fördelar med att polis och åklagare arbetar nära varandra. Detta gäll</w:t>
      </w:r>
      <w:r w:rsidRPr="00EE1E0C">
        <w:t>er framför allt komplicerad brottslighet såsom ekobrott och miljöbrott.</w:t>
      </w:r>
    </w:p>
    <w:p w:rsidR="00031A3F" w:rsidRPr="00EE1E0C" w:rsidRDefault="00031A3F">
      <w:pPr>
        <w:pStyle w:val="Rubrik2"/>
        <w:jc w:val="both"/>
      </w:pPr>
      <w:bookmarkStart w:id="167" w:name="_Toc438258574"/>
      <w:bookmarkStart w:id="168" w:name="_Toc448905740"/>
      <w:bookmarkStart w:id="169" w:name="_Toc466264174"/>
      <w:r w:rsidRPr="00EE1E0C">
        <w:t>Åklagarväsendets ekonomi</w:t>
      </w:r>
      <w:r w:rsidRPr="00EE1E0C">
        <w:rPr>
          <w:rStyle w:val="Fotnotsreferens"/>
        </w:rPr>
        <w:footnoteReference w:id="4"/>
      </w:r>
      <w:bookmarkEnd w:id="168"/>
      <w:bookmarkEnd w:id="169"/>
    </w:p>
    <w:p w:rsidR="00031A3F" w:rsidRPr="00EE1E0C" w:rsidRDefault="00031A3F">
      <w:r w:rsidRPr="00EE1E0C">
        <w:t>Utgifterna för anslaget Åklagarorganisationen uppgick för budgetåret 1998, exklusive Ekobrottsmyndigheten, till knappt 587 miljoner kronor. Anslaget för 1999 uppgår till drygt 620 miljoner kronor. Omkring 80 procent av a</w:t>
      </w:r>
      <w:r w:rsidRPr="00EE1E0C">
        <w:t>n</w:t>
      </w:r>
      <w:r w:rsidRPr="00EE1E0C">
        <w:t>slaget utgörs av lönekos</w:t>
      </w:r>
      <w:r w:rsidRPr="00EE1E0C">
        <w:t>t</w:t>
      </w:r>
      <w:r w:rsidRPr="00EE1E0C">
        <w:t>nader.</w:t>
      </w:r>
    </w:p>
    <w:p w:rsidR="00031A3F" w:rsidRPr="00EE1E0C" w:rsidRDefault="00031A3F">
      <w:pPr>
        <w:pStyle w:val="Normaltindrag"/>
      </w:pPr>
      <w:r w:rsidRPr="00EE1E0C">
        <w:t>Åklagarväsendet har under 1990-talet i stort sett undgått besparingar. Vid de två tillfällen åklagarväsendet har fått vidkännas besparingar på 10 respe</w:t>
      </w:r>
      <w:r w:rsidRPr="00EE1E0C">
        <w:t>k</w:t>
      </w:r>
      <w:r w:rsidRPr="00EE1E0C">
        <w:t>tive 25 miljoner kronor har nämligen motsvarande belopp tillförts verksa</w:t>
      </w:r>
      <w:r w:rsidRPr="00EE1E0C">
        <w:t>m</w:t>
      </w:r>
      <w:r w:rsidRPr="00EE1E0C">
        <w:t>heten vid samma tillfälle. Budgetåret 1995/96 ålades åklagarna rationalis</w:t>
      </w:r>
      <w:r w:rsidRPr="00EE1E0C">
        <w:t>e</w:t>
      </w:r>
      <w:r w:rsidRPr="00EE1E0C">
        <w:t>ringar och effektiviseringar motsvarande 10 miljoner kronor. Samtidigt til</w:t>
      </w:r>
      <w:r w:rsidRPr="00EE1E0C">
        <w:t>l</w:t>
      </w:r>
      <w:r w:rsidRPr="00EE1E0C">
        <w:t>delades man 10 miljoner kronor för att bekämpa ekonomisk brottslighet, våldsbrott och narkotikabrott samt för att höja kvaliteten på åklagarutbil</w:t>
      </w:r>
      <w:r w:rsidRPr="00EE1E0C">
        <w:t>d</w:t>
      </w:r>
      <w:r w:rsidRPr="00EE1E0C">
        <w:t>ningen. Den andra besparingen ålades åklagarväsendet för budgetåret 1998 då ett rationaliseringsutrymme på 25 miljoner kronor ansågs ha uppkomm</w:t>
      </w:r>
      <w:r w:rsidRPr="00EE1E0C">
        <w:t xml:space="preserve">it genom omorganisationen. Samtidigt tilldelades åklagarväsendet 25 miljoner kronor för att göra det möjligt att öka samverkan med och utbildningen av närpolisen. </w:t>
      </w:r>
    </w:p>
    <w:p w:rsidR="00031A3F" w:rsidRPr="00EE1E0C" w:rsidRDefault="00031A3F">
      <w:pPr>
        <w:pStyle w:val="Normaltindrag"/>
      </w:pPr>
      <w:r w:rsidRPr="00EE1E0C">
        <w:t>Under mitten av 1990-talet försämrades åklagarnas ekonomi. I en rapport från Riksrevisionsverket (1998) anges att den väsentligaste orsaken till åklagarväsendets anslagsöverskridande vid den här tiden var åklagarnas löneavtal från 1994. Enligt avtalet höjdes åklagarnas löner med 13–14 pr</w:t>
      </w:r>
      <w:r w:rsidRPr="00EE1E0C">
        <w:t>o</w:t>
      </w:r>
      <w:r w:rsidRPr="00EE1E0C">
        <w:t>cent. Av kostnaderna för löneavtalet beräknas att ca 27 miljoner kronor per år i huvudsak var ofinansierade. År 1998 var månadslönen för en åklagare efter nio månaders tjänst 24 300 kr, efter fem år 26 300 kr, efter tio år 28 300 kr, efter 15 år 30 300 och efter 20 års tjänst var månadslönen 33 000 kr.</w:t>
      </w:r>
    </w:p>
    <w:p w:rsidR="00031A3F" w:rsidRPr="00EE1E0C" w:rsidRDefault="00031A3F">
      <w:pPr>
        <w:pStyle w:val="Normaltindrag"/>
      </w:pPr>
      <w:r w:rsidRPr="00EE1E0C">
        <w:t>För att sänka kostnaderna för åklagarväsendet införde Riksåklagaren, som tidigare nämnts, anställningsstopp 1995. Dessutom sänktes kostnaderna ytterligare genom uppsägningar av administrativ personal under h</w:t>
      </w:r>
      <w:r w:rsidRPr="00EE1E0C">
        <w:t>östen 1996. Denna åtgärd ledde dock inte till sänkta kostnader förrän under 1997. Omo</w:t>
      </w:r>
      <w:r w:rsidRPr="00EE1E0C">
        <w:t>r</w:t>
      </w:r>
      <w:r w:rsidRPr="00EE1E0C">
        <w:t xml:space="preserve">ganisationen den 1 juli 1996 medförde engångskostnader för åklagarväsendet som ytterligare förvärrade den ekonomiska situationen. (Dessa kostnader behandlas i avsnittet nedan.) </w:t>
      </w:r>
    </w:p>
    <w:p w:rsidR="00031A3F" w:rsidRPr="00EE1E0C" w:rsidRDefault="00031A3F">
      <w:pPr>
        <w:pStyle w:val="Normaltindrag"/>
      </w:pPr>
      <w:r w:rsidRPr="00EE1E0C">
        <w:t>Anslagssparandet för 1993/94, som uppgick till 40 miljoner kronor, fö</w:t>
      </w:r>
      <w:r w:rsidRPr="00EE1E0C">
        <w:t>r</w:t>
      </w:r>
      <w:r w:rsidRPr="00EE1E0C">
        <w:t>brukades under 1994 och 1995. Åklagarväsendets kostnader översteg ansl</w:t>
      </w:r>
      <w:r w:rsidRPr="00EE1E0C">
        <w:t>a</w:t>
      </w:r>
      <w:r w:rsidRPr="00EE1E0C">
        <w:t>get för 1997 med drygt 40 miljoner kr</w:t>
      </w:r>
      <w:r w:rsidRPr="00EE1E0C">
        <w:t>o</w:t>
      </w:r>
      <w:r w:rsidRPr="00EE1E0C">
        <w:t>nor.</w:t>
      </w:r>
    </w:p>
    <w:p w:rsidR="00031A3F" w:rsidRPr="00EE1E0C" w:rsidRDefault="00031A3F">
      <w:pPr>
        <w:pStyle w:val="Normaltindrag"/>
      </w:pPr>
      <w:r w:rsidRPr="00EE1E0C">
        <w:t>Vid två tillfällen har åklagarväsendet tillförts medel för att klara öve</w:t>
      </w:r>
      <w:r w:rsidRPr="00EE1E0C">
        <w:t>r</w:t>
      </w:r>
      <w:r w:rsidRPr="00EE1E0C">
        <w:t>gångskostnaderna för omorganisationen och för att inte riskera det fortsatta reformarbetet. Budgetåret 1997 tillfördes 18 miljoner kronor och budgetåret 1998 tillfördes engångsvis 33 miljoner kronor. Anslaget för 1998 minskades samtidigt med 55,6 miljoner kronor. Denna minskning angavs motsvara de befintliga resurserna för bekämpning av ekonomisk brottslighet som fördes över till Ekobrottsmyndigheten. År 1999 tillfördes åklagarväsendet engång</w:t>
      </w:r>
      <w:r w:rsidRPr="00EE1E0C">
        <w:t>s</w:t>
      </w:r>
      <w:r w:rsidRPr="00EE1E0C">
        <w:t>vis 10 miljoner kronor. Medlen skall användas bl.a. för att ytte</w:t>
      </w:r>
      <w:r w:rsidRPr="00EE1E0C">
        <w:t>rligare u</w:t>
      </w:r>
      <w:r w:rsidRPr="00EE1E0C">
        <w:t>t</w:t>
      </w:r>
      <w:r w:rsidRPr="00EE1E0C">
        <w:t>veckla samverkan med polisen och för en satsning på kompetensu</w:t>
      </w:r>
      <w:r w:rsidRPr="00EE1E0C">
        <w:t>t</w:t>
      </w:r>
      <w:r w:rsidRPr="00EE1E0C">
        <w:t>veckling.</w:t>
      </w:r>
    </w:p>
    <w:p w:rsidR="00031A3F" w:rsidRPr="00EE1E0C" w:rsidRDefault="00031A3F">
      <w:pPr>
        <w:pStyle w:val="Normaltindrag"/>
      </w:pPr>
      <w:r w:rsidRPr="00EE1E0C">
        <w:t>Av diagrammet nedan framgår kostnadsutvecklingen för åklagarväsendet mellan budgetåren 1980/81 och 1998. Utvecklingen beskrivs såväl i nom</w:t>
      </w:r>
      <w:r w:rsidRPr="00EE1E0C">
        <w:t>i</w:t>
      </w:r>
      <w:r w:rsidRPr="00EE1E0C">
        <w:t>nella priser som i 1998 års priser. Fastprisberäkningen har gjorts med hjälp av konsumentprisindex. Utvecklingen visar att åklagarväsendets förbrukning i 1998 års priser har ökat under 1980- och 1990-talen även om förbrukningen tillfälligt sjunkit för vissa år. För åren 1996–1997 ingår åklagarväsendets engångsvisa kostnader för omorganisationen och omställningsorganisationen (se vidare nedan) på sammanlagt omkring 63 miljoner kronor. Även uppsä</w:t>
      </w:r>
      <w:r w:rsidRPr="00EE1E0C">
        <w:t>g</w:t>
      </w:r>
      <w:r w:rsidRPr="00EE1E0C">
        <w:t>ningslönen för administratörerna ingår i sammanställningen. Åk</w:t>
      </w:r>
      <w:r w:rsidRPr="00EE1E0C">
        <w:t>lagarnas förbrukning för 1998 uppgick till knappt 590 miljoner kronor. Detta är en minskning med omkring 70 miljoner kronor sedan 1997. År 1998 flyttades dock en stor del av ekobrotten över från de tre storstadsmyndigheterna till Ekobrottsmyndigheten. I samband därmed  minskade åklagarväsendets a</w:t>
      </w:r>
      <w:r w:rsidRPr="00EE1E0C">
        <w:t>n</w:t>
      </w:r>
      <w:r w:rsidRPr="00EE1E0C">
        <w:t>slag med drygt 55 miljoner kronor. I diagrammet ingår de överflyttade me</w:t>
      </w:r>
      <w:r w:rsidRPr="00EE1E0C">
        <w:t>d</w:t>
      </w:r>
      <w:r w:rsidRPr="00EE1E0C">
        <w:t>len för att det skall bli möjligt att jämföra förbrukningen med tidigare år. Åklagarväsendets anslag för 1999, exklusive Ekobrottsmyndigheten</w:t>
      </w:r>
      <w:r w:rsidRPr="00EE1E0C">
        <w:t>, uppgår till drygt 620 miljoner kronor. Under 1990-talets andra hälft motsvaras sål</w:t>
      </w:r>
      <w:r w:rsidRPr="00EE1E0C">
        <w:t>e</w:t>
      </w:r>
      <w:r w:rsidRPr="00EE1E0C">
        <w:t>des inte åklagarväsendets ökade medelsförbrukning av någon real förstär</w:t>
      </w:r>
      <w:r w:rsidRPr="00EE1E0C">
        <w:t>k</w:t>
      </w:r>
      <w:r w:rsidRPr="00EE1E0C">
        <w:t>ning av tillgängliga resurser.</w:t>
      </w:r>
    </w:p>
    <w:p w:rsidR="00031A3F" w:rsidRPr="00EE1E0C" w:rsidRDefault="00031A3F">
      <w:pPr>
        <w:pStyle w:val="Normaltindrag"/>
      </w:pPr>
      <w:r w:rsidRPr="00EE1E0C">
        <w:br w:type="page"/>
      </w:r>
    </w:p>
    <w:p w:rsidR="00031A3F" w:rsidRPr="00EE1E0C" w:rsidRDefault="00031A3F">
      <w:pPr>
        <w:pStyle w:val="Normaltindrag"/>
      </w:pPr>
    </w:p>
    <w:p w:rsidR="00031A3F" w:rsidRPr="00EE1E0C" w:rsidRDefault="00031A3F">
      <w:pPr>
        <w:pStyle w:val="Normaltindrag"/>
      </w:pPr>
      <w:r w:rsidRPr="00EE1E0C">
        <w:object w:dxaOrig="2887" w:dyaOrig="2923">
          <v:shape id="_x0000_s1102" type="#_x0000_t75" style="position:absolute;left:0;text-align:left;margin-left:-6.3pt;margin-top:19.15pt;width:381.6pt;height:237.4pt;z-index:251691520;mso-position-horizontal:absolute;mso-position-horizontal-relative:text;mso-position-vertical:absolute;mso-position-vertical-relative:text" o:allowincell="f">
            <v:imagedata r:id="rId23" o:title=""/>
            <w10:wrap type="topAndBottom"/>
          </v:shape>
          <o:OLEObject Type="Embed" ProgID="Excel.Sheet.8" ShapeID="_x0000_s1102" DrawAspect="Content" ObjectID="_1827346934" r:id="rId24"/>
        </w:object>
      </w:r>
    </w:p>
    <w:p w:rsidR="00031A3F" w:rsidRPr="00EE1E0C" w:rsidRDefault="00031A3F">
      <w:pPr>
        <w:pStyle w:val="Tabellrubrik"/>
        <w:rPr>
          <w:b w:val="0"/>
        </w:rPr>
      </w:pPr>
      <w:r w:rsidRPr="00EE1E0C">
        <w:rPr>
          <w:b w:val="0"/>
        </w:rPr>
        <w:t>*Budgetåret 1995/96 är beräknat på 12 månader</w:t>
      </w:r>
    </w:p>
    <w:p w:rsidR="00031A3F" w:rsidRPr="00EE1E0C" w:rsidRDefault="00031A3F">
      <w:pPr>
        <w:pStyle w:val="Tabellrubrik"/>
        <w:rPr>
          <w:b w:val="0"/>
        </w:rPr>
      </w:pPr>
      <w:r w:rsidRPr="00EE1E0C">
        <w:rPr>
          <w:b w:val="0"/>
        </w:rPr>
        <w:t>I diagrammet över åklagarnas medelsförbrukning ingår även de 55,6 miljoner kronor som flyttats över till Ekobrottsmyndigheten. I diagrammet ingår även de omorganis</w:t>
      </w:r>
      <w:r w:rsidRPr="00EE1E0C">
        <w:rPr>
          <w:b w:val="0"/>
        </w:rPr>
        <w:t>a</w:t>
      </w:r>
      <w:r w:rsidRPr="00EE1E0C">
        <w:rPr>
          <w:b w:val="0"/>
        </w:rPr>
        <w:t xml:space="preserve">tions- och omställningskostnader som åklagarväsendet hade under 1996-1997 på omkring 63 miljoner kronor. </w:t>
      </w:r>
    </w:p>
    <w:p w:rsidR="00031A3F" w:rsidRPr="00EE1E0C" w:rsidRDefault="00031A3F">
      <w:pPr>
        <w:pStyle w:val="Tabellrubrik"/>
        <w:rPr>
          <w:b w:val="0"/>
          <w:i/>
        </w:rPr>
      </w:pPr>
      <w:r w:rsidRPr="00EE1E0C">
        <w:rPr>
          <w:b w:val="0"/>
          <w:i/>
        </w:rPr>
        <w:t>Källa: Statsbudgetens utfall 1980/81-1997 och Ekonomistyrningsverket. Egen bea</w:t>
      </w:r>
      <w:r w:rsidRPr="00EE1E0C">
        <w:rPr>
          <w:b w:val="0"/>
          <w:i/>
        </w:rPr>
        <w:t>r</w:t>
      </w:r>
      <w:r w:rsidRPr="00EE1E0C">
        <w:rPr>
          <w:b w:val="0"/>
          <w:i/>
        </w:rPr>
        <w:t>betning</w:t>
      </w:r>
    </w:p>
    <w:p w:rsidR="00031A3F" w:rsidRPr="00EE1E0C" w:rsidRDefault="00031A3F">
      <w:pPr>
        <w:pStyle w:val="Rubrik4"/>
      </w:pPr>
      <w:bookmarkStart w:id="170" w:name="_Toc466264175"/>
      <w:r w:rsidRPr="00EE1E0C">
        <w:t>Omorganisationen –  kostnader och besparingar</w:t>
      </w:r>
      <w:bookmarkEnd w:id="170"/>
      <w:r w:rsidRPr="00EE1E0C">
        <w:t xml:space="preserve"> </w:t>
      </w:r>
    </w:p>
    <w:p w:rsidR="00031A3F" w:rsidRPr="00EE1E0C" w:rsidRDefault="00031A3F">
      <w:r w:rsidRPr="00EE1E0C">
        <w:t>Företrädare för Justitiedepartementet har inför justitieutskottet uppgivit att omorganisationen av åklagarväsendet skulle leda till en årlig besparing på 25-50 miljoner kronor (bet. 1995/96:JuU13). Huvuddelen av besparingen skulle åstadkommas genom en effektivisering av administrationen och g</w:t>
      </w:r>
      <w:r w:rsidRPr="00EE1E0C">
        <w:t>e</w:t>
      </w:r>
      <w:r w:rsidRPr="00EE1E0C">
        <w:t>nom minskade lokalkostnader. Enligt uppgift från departementet till utskottet kunde en säkrare uppgift om besparingen inte anges eftersom man vid rik</w:t>
      </w:r>
      <w:r w:rsidRPr="00EE1E0C">
        <w:t>s</w:t>
      </w:r>
      <w:r w:rsidRPr="00EE1E0C">
        <w:t>dagsbeslutet inte kände till detaljerna i åklagarväsendets framtida organis</w:t>
      </w:r>
      <w:r w:rsidRPr="00EE1E0C">
        <w:t>a</w:t>
      </w:r>
      <w:r w:rsidRPr="00EE1E0C">
        <w:t>tion. Riksåklagaren framförde inför utskottet att det inom åklagarväsendet fanns ett rationaliseringsbehov på ca 50 miljoner kronor beroende på bl.a. lönehöjningar för åklagarna och ökade lokalkostn</w:t>
      </w:r>
      <w:r w:rsidRPr="00EE1E0C">
        <w:t>a</w:t>
      </w:r>
      <w:r w:rsidRPr="00EE1E0C">
        <w:t>der.</w:t>
      </w:r>
    </w:p>
    <w:p w:rsidR="00031A3F" w:rsidRPr="00EE1E0C" w:rsidRDefault="00031A3F">
      <w:pPr>
        <w:pStyle w:val="Normaltindrag"/>
      </w:pPr>
      <w:r w:rsidRPr="00EE1E0C">
        <w:t>Enligt Riksåklagaren uppgår de sammanlagda engångsvisa kostnaderna för omorganisa</w:t>
      </w:r>
      <w:r w:rsidRPr="00EE1E0C">
        <w:t>tionen till omkring 53 miljoner kronor. Till kostnaderna för o</w:t>
      </w:r>
      <w:r w:rsidRPr="00EE1E0C">
        <w:t>m</w:t>
      </w:r>
      <w:r w:rsidRPr="00EE1E0C">
        <w:t>organisationen räknas chefsrekrytering, omflyttning av kontor, anpassning av ADB-systemen, hyror för tomma lokaler samt skadestånd för uppsagda h</w:t>
      </w:r>
      <w:r w:rsidRPr="00EE1E0C">
        <w:t>y</w:t>
      </w:r>
      <w:r w:rsidRPr="00EE1E0C">
        <w:t>reskontrakt. Även det produktionsbortfall som uppstod vid planering av omorganisationen och vid flyttningen räknas in i kostnaden. Av kostnaderna utgör ca 18 miljoner kronor hyror och ersättningar som gäller lok</w:t>
      </w:r>
      <w:r w:rsidRPr="00EE1E0C">
        <w:t>a</w:t>
      </w:r>
      <w:r w:rsidRPr="00EE1E0C">
        <w:t>ler.</w:t>
      </w:r>
    </w:p>
    <w:p w:rsidR="00031A3F" w:rsidRPr="00EE1E0C" w:rsidRDefault="00031A3F">
      <w:pPr>
        <w:pStyle w:val="Normaltindrag"/>
      </w:pPr>
      <w:r w:rsidRPr="00EE1E0C">
        <w:t>De administratörer som sades upp i augusti 1996 var tjänstebefriade under uppsägningst</w:t>
      </w:r>
      <w:r w:rsidRPr="00EE1E0C">
        <w:t>iden och gick över i en s.k. omställningsorganisation. Syftet var att de uppsagda så snabbt som möjligt skulle få nya anställningar. Under perioden utbetalades 41 miljoner kronor i löner till de uppsagda. De e</w:t>
      </w:r>
      <w:r w:rsidRPr="00EE1E0C">
        <w:t>n</w:t>
      </w:r>
      <w:r w:rsidRPr="00EE1E0C">
        <w:t>gångsvisa kostnaderna för omställningen av den uppsagda personalen up</w:t>
      </w:r>
      <w:r w:rsidRPr="00EE1E0C">
        <w:t>p</w:t>
      </w:r>
      <w:r w:rsidRPr="00EE1E0C">
        <w:t>gick till 10 miljoner kronor. Dessa kostnader uppstod i själva omställning</w:t>
      </w:r>
      <w:r w:rsidRPr="00EE1E0C">
        <w:t>s</w:t>
      </w:r>
      <w:r w:rsidRPr="00EE1E0C">
        <w:t>organisati</w:t>
      </w:r>
      <w:r w:rsidRPr="00EE1E0C">
        <w:t>o</w:t>
      </w:r>
      <w:r w:rsidRPr="00EE1E0C">
        <w:t xml:space="preserve">nen. </w:t>
      </w:r>
    </w:p>
    <w:p w:rsidR="00031A3F" w:rsidRPr="00EE1E0C" w:rsidRDefault="00031A3F">
      <w:pPr>
        <w:pStyle w:val="Normaltindrag"/>
      </w:pPr>
      <w:r w:rsidRPr="00EE1E0C">
        <w:t>Någon beräkning av huruvida den nya organisationen har lett till besp</w:t>
      </w:r>
      <w:r w:rsidRPr="00EE1E0C">
        <w:t>a</w:t>
      </w:r>
      <w:r w:rsidRPr="00EE1E0C">
        <w:t xml:space="preserve">ringar har inte gjorts av Justitiedepartementet. </w:t>
      </w:r>
    </w:p>
    <w:p w:rsidR="00031A3F" w:rsidRPr="00EE1E0C" w:rsidRDefault="00031A3F">
      <w:pPr>
        <w:pStyle w:val="Rubrik2"/>
      </w:pPr>
      <w:bookmarkStart w:id="171" w:name="_Toc448905741"/>
      <w:bookmarkStart w:id="172" w:name="_Toc466264176"/>
      <w:bookmarkEnd w:id="167"/>
      <w:r w:rsidRPr="00EE1E0C">
        <w:t>Åklagarväsendets prestationer</w:t>
      </w:r>
      <w:bookmarkEnd w:id="171"/>
      <w:bookmarkEnd w:id="172"/>
    </w:p>
    <w:p w:rsidR="00031A3F" w:rsidRPr="00EE1E0C" w:rsidRDefault="00031A3F">
      <w:r w:rsidRPr="00EE1E0C">
        <w:t>Under 1997 påbörjade åklagarväsendet uppbyggnaden av ett datoriserat ärendehanteringssystem. Genom systemet kan resultatet av en åklagares, en kammares eller en myndighets prestationer mätas, t.ex. handläggningstider och genomströmningstider. Som en komplettering till ärendehanteringssy</w:t>
      </w:r>
      <w:r w:rsidRPr="00EE1E0C">
        <w:softHyphen/>
        <w:t>stemet infördes ett tidsredovisningssystem i oktober 1997. All personal inom åklagarväsendet hänför arbetad tid till något av följande prestationsområden: ärendeadministration, förundersökningsledning, beslut under förundersö</w:t>
      </w:r>
      <w:r w:rsidRPr="00EE1E0C">
        <w:t>k</w:t>
      </w:r>
      <w:r w:rsidRPr="00EE1E0C">
        <w:t>ning, huvudförhandling i tingsrätt eller hovrätt, resor i samband med föru</w:t>
      </w:r>
      <w:r w:rsidRPr="00EE1E0C">
        <w:t>n</w:t>
      </w:r>
      <w:r w:rsidRPr="00EE1E0C">
        <w:t>dersökning och huvudförhandling samt verksamhet i högsta domstolen. Sådan arbetad tid som inte går att hänföra till något av prestationsområdena skall hänföras till ett stödområde. Stödområdena är ledning och a</w:t>
      </w:r>
      <w:r w:rsidRPr="00EE1E0C">
        <w:t>dministr</w:t>
      </w:r>
      <w:r w:rsidRPr="00EE1E0C">
        <w:t>a</w:t>
      </w:r>
      <w:r w:rsidRPr="00EE1E0C">
        <w:t>tion, samverkan med polisen, övrig samverkan och utveckling, deltagande i utbildning samt annan verksamhet.</w:t>
      </w:r>
    </w:p>
    <w:p w:rsidR="00031A3F" w:rsidRPr="00EE1E0C" w:rsidRDefault="00031A3F">
      <w:pPr>
        <w:pStyle w:val="Normaltindrag"/>
      </w:pPr>
      <w:r w:rsidRPr="00EE1E0C">
        <w:t xml:space="preserve">Tidsredovisningssystemet är således nytt och det finns inte någon äldre statistik att jämföra med. Att systemet är nytt kan innebära att det råder olika uppfattningar mellan åklagarna om hur vissa arbetsuppgifter skall redovisas. Tidsredovisningen för 1998 visar att av åklagarnas sammanlagda arbetstid åtgår omkring </w:t>
      </w:r>
    </w:p>
    <w:p w:rsidR="00031A3F" w:rsidRPr="00EE1E0C" w:rsidRDefault="00031A3F">
      <w:pPr>
        <w:pStyle w:val="Normaltindrag"/>
        <w:numPr>
          <w:ilvl w:val="0"/>
          <w:numId w:val="112"/>
        </w:numPr>
        <w:ind w:left="530"/>
      </w:pPr>
      <w:r w:rsidRPr="00EE1E0C">
        <w:t>8 procent till ärendeadministration</w:t>
      </w:r>
    </w:p>
    <w:p w:rsidR="00031A3F" w:rsidRPr="00EE1E0C" w:rsidRDefault="00031A3F">
      <w:pPr>
        <w:pStyle w:val="Normaltindrag"/>
        <w:numPr>
          <w:ilvl w:val="0"/>
          <w:numId w:val="112"/>
        </w:numPr>
        <w:ind w:left="530"/>
      </w:pPr>
      <w:r w:rsidRPr="00EE1E0C">
        <w:t>24 procent till förundersökningsledning</w:t>
      </w:r>
    </w:p>
    <w:p w:rsidR="00031A3F" w:rsidRPr="00EE1E0C" w:rsidRDefault="00031A3F">
      <w:pPr>
        <w:pStyle w:val="Normaltindrag"/>
        <w:numPr>
          <w:ilvl w:val="0"/>
          <w:numId w:val="112"/>
        </w:numPr>
        <w:ind w:left="530"/>
      </w:pPr>
      <w:r w:rsidRPr="00EE1E0C">
        <w:t>27 procent till beslut i förundersökningsfrågor</w:t>
      </w:r>
    </w:p>
    <w:p w:rsidR="00031A3F" w:rsidRPr="00EE1E0C" w:rsidRDefault="00031A3F">
      <w:pPr>
        <w:pStyle w:val="Normaltindrag"/>
        <w:numPr>
          <w:ilvl w:val="0"/>
          <w:numId w:val="112"/>
        </w:numPr>
        <w:ind w:left="530"/>
      </w:pPr>
      <w:r w:rsidRPr="00EE1E0C">
        <w:t>17 procent till huvudförhandling i tingsrätt</w:t>
      </w:r>
    </w:p>
    <w:p w:rsidR="00031A3F" w:rsidRPr="00EE1E0C" w:rsidRDefault="00031A3F">
      <w:pPr>
        <w:pStyle w:val="Normaltindrag"/>
        <w:numPr>
          <w:ilvl w:val="0"/>
          <w:numId w:val="112"/>
        </w:numPr>
        <w:ind w:left="530"/>
      </w:pPr>
      <w:r w:rsidRPr="00EE1E0C">
        <w:t>4 procent till huvudförhandling i hovrätt</w:t>
      </w:r>
    </w:p>
    <w:p w:rsidR="00031A3F" w:rsidRPr="00EE1E0C" w:rsidRDefault="00031A3F">
      <w:pPr>
        <w:pStyle w:val="Normaltindrag"/>
        <w:numPr>
          <w:ilvl w:val="0"/>
          <w:numId w:val="112"/>
        </w:numPr>
        <w:ind w:left="530"/>
      </w:pPr>
      <w:r w:rsidRPr="00EE1E0C">
        <w:t xml:space="preserve">2 procent till samverkan med polisen och </w:t>
      </w:r>
    </w:p>
    <w:p w:rsidR="00031A3F" w:rsidRPr="00EE1E0C" w:rsidRDefault="00031A3F">
      <w:pPr>
        <w:pStyle w:val="Normaltindrag"/>
        <w:numPr>
          <w:ilvl w:val="0"/>
          <w:numId w:val="112"/>
        </w:numPr>
        <w:ind w:left="530"/>
      </w:pPr>
      <w:r w:rsidRPr="00EE1E0C">
        <w:t>4  procent till resor i samband med förundersökningsledning, samverkan med polisen samt förhandling vid tingsrätt och hovrätt.</w:t>
      </w:r>
    </w:p>
    <w:p w:rsidR="00031A3F" w:rsidRPr="00EE1E0C" w:rsidRDefault="00031A3F">
      <w:r w:rsidRPr="00EE1E0C">
        <w:t>År 1999 har ett mål- och resultatstyrningssystem införts för åklagarväsendet. Genom ärendehanteringssystemet och tidsredovisningen skall åklagarväse</w:t>
      </w:r>
      <w:r w:rsidRPr="00EE1E0C">
        <w:t>n</w:t>
      </w:r>
      <w:r w:rsidRPr="00EE1E0C">
        <w:t>dets arbete kunna redovisas. Följande målformuleringar gäller för verksa</w:t>
      </w:r>
      <w:r w:rsidRPr="00EE1E0C">
        <w:t>m</w:t>
      </w:r>
      <w:r w:rsidRPr="00EE1E0C">
        <w:t>heten:</w:t>
      </w:r>
    </w:p>
    <w:p w:rsidR="00031A3F" w:rsidRPr="00EE1E0C" w:rsidRDefault="00031A3F">
      <w:pPr>
        <w:pStyle w:val="Normaltindrag"/>
        <w:numPr>
          <w:ilvl w:val="0"/>
          <w:numId w:val="23"/>
        </w:numPr>
      </w:pPr>
      <w:r w:rsidRPr="00EE1E0C">
        <w:t>Lagföring. Den som har begått brott skall lagföras.</w:t>
      </w:r>
    </w:p>
    <w:p w:rsidR="00031A3F" w:rsidRPr="00EE1E0C" w:rsidRDefault="00031A3F">
      <w:pPr>
        <w:pStyle w:val="Normaltindrag"/>
        <w:numPr>
          <w:ilvl w:val="0"/>
          <w:numId w:val="23"/>
        </w:numPr>
      </w:pPr>
      <w:r w:rsidRPr="00EE1E0C">
        <w:t>Produktion. Minst lika många ärenden som kommer in skall också a</w:t>
      </w:r>
      <w:r w:rsidRPr="00EE1E0C">
        <w:t>v</w:t>
      </w:r>
      <w:r w:rsidRPr="00EE1E0C">
        <w:t>slutas under året.</w:t>
      </w:r>
    </w:p>
    <w:p w:rsidR="00031A3F" w:rsidRPr="00EE1E0C" w:rsidRDefault="00031A3F">
      <w:pPr>
        <w:pStyle w:val="Normaltindrag"/>
        <w:numPr>
          <w:ilvl w:val="0"/>
          <w:numId w:val="23"/>
        </w:numPr>
      </w:pPr>
      <w:r w:rsidRPr="00EE1E0C">
        <w:t>Genomströmningstid. Antalet dagar då ärenden finns hos åklagare för beslut i åtalsfrågan skall bli färre.</w:t>
      </w:r>
    </w:p>
    <w:p w:rsidR="00031A3F" w:rsidRPr="00EE1E0C" w:rsidRDefault="00031A3F">
      <w:pPr>
        <w:pStyle w:val="Normaltindrag"/>
        <w:numPr>
          <w:ilvl w:val="0"/>
          <w:numId w:val="23"/>
        </w:numPr>
      </w:pPr>
      <w:r w:rsidRPr="00EE1E0C">
        <w:t>Effektivitet. Ökad tid för det egentliga åklagararbetet.</w:t>
      </w:r>
    </w:p>
    <w:p w:rsidR="00031A3F" w:rsidRPr="00EE1E0C" w:rsidRDefault="00031A3F">
      <w:r w:rsidRPr="00EE1E0C">
        <w:t>Vissa prestationer har redovisats även tidigare, exempelvis antalet avslutade ärenden i förhållande till antalet inkomna. Som framgår av tabellen nedan sjönk antalet inkommande ärenden till åklagarna under åren 1996 till 1998. Enligt uppgift från riksåklagaren är avsikten att en djupare analys skall göras av varför färre ärenden kommer in från polisen.</w:t>
      </w:r>
      <w:r w:rsidRPr="00EE1E0C">
        <w:rPr>
          <w:i/>
        </w:rPr>
        <w:t xml:space="preserve"> </w:t>
      </w:r>
      <w:r w:rsidRPr="00EE1E0C">
        <w:t>Närpolisreformen infördes successivt mellan 1994 och 1997 i landet. Reformen innebar att poliser som inte hade tidigare erfarenhet började arbeta med brottsutredningar. Mellan 1995 och 1997 pensionerades också många erfarna kriminalutr</w:t>
      </w:r>
      <w:r w:rsidRPr="00EE1E0C">
        <w:t>e</w:t>
      </w:r>
      <w:r w:rsidRPr="00EE1E0C">
        <w:t xml:space="preserve">dare. </w:t>
      </w:r>
    </w:p>
    <w:p w:rsidR="00031A3F" w:rsidRPr="00EE1E0C" w:rsidRDefault="00031A3F">
      <w:pPr>
        <w:pStyle w:val="Normaltindrag"/>
      </w:pPr>
      <w:r w:rsidRPr="00EE1E0C">
        <w:t>Antalet avslutade ärenden hos åklagarna var lägre för 1996–1998 än för första delen av 1990-talet. Minskningen var särskilt stor för tiden den 1 juli–den 31 december 1996. Under denna period genomfördes omorganisationen inom åklagarväsendet. Efter omorganisationen den</w:t>
      </w:r>
      <w:r w:rsidRPr="00EE1E0C">
        <w:t xml:space="preserve"> 1 juli 1996 uppstod också en s.k. administrativ balans vid åklagarkamrarna. Balansen bestod av äre</w:t>
      </w:r>
      <w:r w:rsidRPr="00EE1E0C">
        <w:t>n</w:t>
      </w:r>
      <w:r w:rsidRPr="00EE1E0C">
        <w:t>den där åklagarbesluten redan hade fattats men ännu inte blivit expedierade. De kvarstod därför som öppna i diarierna. I början av november 1996 rörde det sig om nästan 18 000 ärenden som väntade på att expedieras. Den adm</w:t>
      </w:r>
      <w:r w:rsidRPr="00EE1E0C">
        <w:t>i</w:t>
      </w:r>
      <w:r w:rsidRPr="00EE1E0C">
        <w:t>nistrativa balansen berodde enligt Riksåklagaren på att många administrat</w:t>
      </w:r>
      <w:r w:rsidRPr="00EE1E0C">
        <w:t>ö</w:t>
      </w:r>
      <w:r w:rsidRPr="00EE1E0C">
        <w:t>rer hade sagts upp samtidigt som nya datoriserade rutiner infördes. Under 1997 översteg antalet avslutade ärenden d</w:t>
      </w:r>
      <w:r w:rsidRPr="00EE1E0C">
        <w:t>e inkomna med 11 758. Under 1998 sjönk antalet avgjorda ärenden. Detta kan vara en effekt av att de 18 000 ärendena från 1996 tillskrevs 1997 års arbete. Enligt Riksåklagarens årsredovisning för 1998 beräknas ett ärende i genomsnitt innehålla 1,2 mis</w:t>
      </w:r>
      <w:r w:rsidRPr="00EE1E0C">
        <w:t>s</w:t>
      </w:r>
      <w:r w:rsidRPr="00EE1E0C">
        <w:t>tänkta personer och 22 brottsmisstankar. Om en ny brottsmisstanke avser en person som redan är aktuell i ett ärende hos åklagaren läggs denna brottsmisstanke till det redan pågående ärendet. Den nya brottsmisstanken påförs alltså inte som ett nytt ärende i stat</w:t>
      </w:r>
      <w:r w:rsidRPr="00EE1E0C">
        <w:t>istiken. Tabellen nedan visar ant</w:t>
      </w:r>
      <w:r w:rsidRPr="00EE1E0C">
        <w:t>a</w:t>
      </w:r>
      <w:r w:rsidRPr="00EE1E0C">
        <w:t>let inkomna och avslutade ärenden hos åklagarna mellan 1992 och 1998. Av tabellen framgår att åklagarväsendet avgör färre ärenden efter omorganis</w:t>
      </w:r>
      <w:r w:rsidRPr="00EE1E0C">
        <w:t>a</w:t>
      </w:r>
      <w:r w:rsidRPr="00EE1E0C">
        <w:t xml:space="preserve">tionen än vad man gjorde före. </w:t>
      </w:r>
    </w:p>
    <w:p w:rsidR="00031A3F" w:rsidRPr="00EE1E0C" w:rsidRDefault="00031A3F">
      <w:pPr>
        <w:pStyle w:val="Normaltindrag"/>
      </w:pPr>
    </w:p>
    <w:p w:rsidR="00031A3F" w:rsidRPr="00EE1E0C" w:rsidRDefault="00031A3F">
      <w:pPr>
        <w:pStyle w:val="Tabellrubrik"/>
      </w:pPr>
      <w:r w:rsidRPr="00EE1E0C">
        <w:t>Tabell 1.8 Inkomna och avslutade ärenden, 1992-1998</w:t>
      </w:r>
    </w:p>
    <w:p w:rsidR="00031A3F" w:rsidRPr="00EE1E0C" w:rsidRDefault="00031A3F">
      <w:pPr>
        <w:pStyle w:val="Tabellrubrik"/>
      </w:pPr>
      <w:r w:rsidRPr="00EE1E0C">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275"/>
        <w:gridCol w:w="1276"/>
      </w:tblGrid>
      <w:tr w:rsidR="00000000" w:rsidRPr="00EE1E0C">
        <w:tblPrEx>
          <w:tblCellMar>
            <w:top w:w="0" w:type="dxa"/>
            <w:bottom w:w="0" w:type="dxa"/>
          </w:tblCellMar>
        </w:tblPrEx>
        <w:tc>
          <w:tcPr>
            <w:tcW w:w="1630" w:type="dxa"/>
          </w:tcPr>
          <w:p w:rsidR="00031A3F" w:rsidRPr="00EE1E0C" w:rsidRDefault="00031A3F">
            <w:pPr>
              <w:pStyle w:val="Normaltindrag"/>
              <w:rPr>
                <w:b/>
              </w:rPr>
            </w:pPr>
            <w:r w:rsidRPr="00EE1E0C">
              <w:rPr>
                <w:b/>
              </w:rPr>
              <w:t>År</w:t>
            </w:r>
          </w:p>
        </w:tc>
        <w:tc>
          <w:tcPr>
            <w:tcW w:w="1275" w:type="dxa"/>
          </w:tcPr>
          <w:p w:rsidR="00031A3F" w:rsidRPr="00EE1E0C" w:rsidRDefault="00031A3F">
            <w:pPr>
              <w:pStyle w:val="Normaltindrag"/>
              <w:rPr>
                <w:b/>
              </w:rPr>
            </w:pPr>
            <w:r w:rsidRPr="00EE1E0C">
              <w:rPr>
                <w:b/>
              </w:rPr>
              <w:t>Inkomna</w:t>
            </w:r>
          </w:p>
        </w:tc>
        <w:tc>
          <w:tcPr>
            <w:tcW w:w="1276" w:type="dxa"/>
          </w:tcPr>
          <w:p w:rsidR="00031A3F" w:rsidRPr="00EE1E0C" w:rsidRDefault="00031A3F">
            <w:pPr>
              <w:pStyle w:val="Normaltindrag"/>
              <w:rPr>
                <w:b/>
              </w:rPr>
            </w:pPr>
            <w:r w:rsidRPr="00EE1E0C">
              <w:rPr>
                <w:b/>
              </w:rPr>
              <w:t>Avslutade</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1992</w:t>
            </w:r>
          </w:p>
        </w:tc>
        <w:tc>
          <w:tcPr>
            <w:tcW w:w="1275" w:type="dxa"/>
          </w:tcPr>
          <w:p w:rsidR="00031A3F" w:rsidRPr="00EE1E0C" w:rsidRDefault="00031A3F">
            <w:pPr>
              <w:pStyle w:val="Normaltindrag"/>
              <w:jc w:val="right"/>
            </w:pPr>
            <w:r w:rsidRPr="00EE1E0C">
              <w:t>212 457</w:t>
            </w:r>
          </w:p>
        </w:tc>
        <w:tc>
          <w:tcPr>
            <w:tcW w:w="1276" w:type="dxa"/>
          </w:tcPr>
          <w:p w:rsidR="00031A3F" w:rsidRPr="00EE1E0C" w:rsidRDefault="00031A3F">
            <w:pPr>
              <w:pStyle w:val="Normaltindrag"/>
              <w:jc w:val="right"/>
            </w:pPr>
            <w:r w:rsidRPr="00EE1E0C">
              <w:t>211 019</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1993</w:t>
            </w:r>
          </w:p>
        </w:tc>
        <w:tc>
          <w:tcPr>
            <w:tcW w:w="1275" w:type="dxa"/>
          </w:tcPr>
          <w:p w:rsidR="00031A3F" w:rsidRPr="00EE1E0C" w:rsidRDefault="00031A3F">
            <w:pPr>
              <w:pStyle w:val="Normaltindrag"/>
              <w:jc w:val="right"/>
            </w:pPr>
            <w:r w:rsidRPr="00EE1E0C">
              <w:t>222 107</w:t>
            </w:r>
          </w:p>
        </w:tc>
        <w:tc>
          <w:tcPr>
            <w:tcW w:w="1276" w:type="dxa"/>
          </w:tcPr>
          <w:p w:rsidR="00031A3F" w:rsidRPr="00EE1E0C" w:rsidRDefault="00031A3F">
            <w:pPr>
              <w:pStyle w:val="Normaltindrag"/>
              <w:jc w:val="right"/>
            </w:pPr>
            <w:r w:rsidRPr="00EE1E0C">
              <w:t>219 791</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1994</w:t>
            </w:r>
          </w:p>
        </w:tc>
        <w:tc>
          <w:tcPr>
            <w:tcW w:w="1275" w:type="dxa"/>
          </w:tcPr>
          <w:p w:rsidR="00031A3F" w:rsidRPr="00EE1E0C" w:rsidRDefault="00031A3F">
            <w:pPr>
              <w:pStyle w:val="Normaltindrag"/>
              <w:jc w:val="right"/>
            </w:pPr>
            <w:r w:rsidRPr="00EE1E0C">
              <w:t>210 206</w:t>
            </w:r>
          </w:p>
        </w:tc>
        <w:tc>
          <w:tcPr>
            <w:tcW w:w="1276" w:type="dxa"/>
          </w:tcPr>
          <w:p w:rsidR="00031A3F" w:rsidRPr="00EE1E0C" w:rsidRDefault="00031A3F">
            <w:pPr>
              <w:pStyle w:val="Normaltindrag"/>
              <w:jc w:val="right"/>
            </w:pPr>
            <w:r w:rsidRPr="00EE1E0C">
              <w:t>213 451</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1995</w:t>
            </w:r>
          </w:p>
        </w:tc>
        <w:tc>
          <w:tcPr>
            <w:tcW w:w="1275" w:type="dxa"/>
          </w:tcPr>
          <w:p w:rsidR="00031A3F" w:rsidRPr="00EE1E0C" w:rsidRDefault="00031A3F">
            <w:pPr>
              <w:pStyle w:val="Normaltindrag"/>
              <w:jc w:val="right"/>
            </w:pPr>
            <w:r w:rsidRPr="00EE1E0C">
              <w:t>228 094</w:t>
            </w:r>
          </w:p>
        </w:tc>
        <w:tc>
          <w:tcPr>
            <w:tcW w:w="1276" w:type="dxa"/>
          </w:tcPr>
          <w:p w:rsidR="00031A3F" w:rsidRPr="00EE1E0C" w:rsidRDefault="00031A3F">
            <w:pPr>
              <w:pStyle w:val="Normaltindrag"/>
              <w:jc w:val="right"/>
            </w:pPr>
            <w:r w:rsidRPr="00EE1E0C">
              <w:t>229 257</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1996</w:t>
            </w:r>
          </w:p>
        </w:tc>
        <w:tc>
          <w:tcPr>
            <w:tcW w:w="1275" w:type="dxa"/>
          </w:tcPr>
          <w:p w:rsidR="00031A3F" w:rsidRPr="00EE1E0C" w:rsidRDefault="00031A3F">
            <w:pPr>
              <w:pStyle w:val="Normaltindrag"/>
              <w:jc w:val="right"/>
            </w:pPr>
            <w:r w:rsidRPr="00EE1E0C">
              <w:t>221 007</w:t>
            </w:r>
          </w:p>
        </w:tc>
        <w:tc>
          <w:tcPr>
            <w:tcW w:w="1276" w:type="dxa"/>
          </w:tcPr>
          <w:p w:rsidR="00031A3F" w:rsidRPr="00EE1E0C" w:rsidRDefault="00031A3F">
            <w:pPr>
              <w:pStyle w:val="Normaltindrag"/>
              <w:jc w:val="right"/>
            </w:pPr>
            <w:r w:rsidRPr="00EE1E0C">
              <w:t>202 260</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1997</w:t>
            </w:r>
          </w:p>
        </w:tc>
        <w:tc>
          <w:tcPr>
            <w:tcW w:w="1275" w:type="dxa"/>
          </w:tcPr>
          <w:p w:rsidR="00031A3F" w:rsidRPr="00EE1E0C" w:rsidRDefault="00031A3F">
            <w:pPr>
              <w:pStyle w:val="Normaltindrag"/>
              <w:jc w:val="right"/>
            </w:pPr>
            <w:r w:rsidRPr="00EE1E0C">
              <w:t>196 709</w:t>
            </w:r>
          </w:p>
        </w:tc>
        <w:tc>
          <w:tcPr>
            <w:tcW w:w="1276" w:type="dxa"/>
          </w:tcPr>
          <w:p w:rsidR="00031A3F" w:rsidRPr="00EE1E0C" w:rsidRDefault="00031A3F">
            <w:pPr>
              <w:pStyle w:val="Normaltindrag"/>
              <w:jc w:val="right"/>
            </w:pPr>
            <w:r w:rsidRPr="00EE1E0C">
              <w:t>208 467</w:t>
            </w:r>
          </w:p>
        </w:tc>
      </w:tr>
      <w:tr w:rsidR="00000000" w:rsidRPr="00EE1E0C">
        <w:tblPrEx>
          <w:tblCellMar>
            <w:top w:w="0" w:type="dxa"/>
            <w:bottom w:w="0" w:type="dxa"/>
          </w:tblCellMar>
        </w:tblPrEx>
        <w:tc>
          <w:tcPr>
            <w:tcW w:w="1630" w:type="dxa"/>
          </w:tcPr>
          <w:p w:rsidR="00031A3F" w:rsidRPr="00EE1E0C" w:rsidRDefault="00031A3F">
            <w:pPr>
              <w:pStyle w:val="Normaltindrag"/>
            </w:pPr>
            <w:r w:rsidRPr="00EE1E0C">
              <w:t>1998</w:t>
            </w:r>
          </w:p>
        </w:tc>
        <w:tc>
          <w:tcPr>
            <w:tcW w:w="1275" w:type="dxa"/>
          </w:tcPr>
          <w:p w:rsidR="00031A3F" w:rsidRPr="00EE1E0C" w:rsidRDefault="00031A3F">
            <w:pPr>
              <w:pStyle w:val="Normaltindrag"/>
              <w:jc w:val="right"/>
            </w:pPr>
            <w:r w:rsidRPr="00EE1E0C">
              <w:t>193 922</w:t>
            </w:r>
          </w:p>
        </w:tc>
        <w:tc>
          <w:tcPr>
            <w:tcW w:w="1276" w:type="dxa"/>
          </w:tcPr>
          <w:p w:rsidR="00031A3F" w:rsidRPr="00EE1E0C" w:rsidRDefault="00031A3F">
            <w:pPr>
              <w:pStyle w:val="Normaltindrag"/>
              <w:jc w:val="right"/>
            </w:pPr>
            <w:r w:rsidRPr="00EE1E0C">
              <w:t>201 922</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Riksåklagaren</w:t>
      </w:r>
    </w:p>
    <w:p w:rsidR="00031A3F" w:rsidRPr="00EE1E0C" w:rsidRDefault="00031A3F">
      <w:r w:rsidRPr="00EE1E0C">
        <w:t>Lagföringsprocenten, dvs. antalet ärenden i vilka besluten åtal och strafför</w:t>
      </w:r>
      <w:r w:rsidRPr="00EE1E0C">
        <w:t>e</w:t>
      </w:r>
      <w:r w:rsidRPr="00EE1E0C">
        <w:t xml:space="preserve">läggande förekommer i procent av det totala antalet avslutade ärenden, är ett sätt som används för att mäta åklagarväsendets prestationer. Av tabellen nedan framgår att lagföringsprocenten uppgick till 66 procent i början 1990-talet. Lagföringsprocenten sjönk för budgetåret 1994/95 till 63 procent. Sänkningen fortsatte för 1996 då lagföringsprocenten uppgick till 59 procent. De senaste två åren har procenten stigit och uppgår till 64 procent för 1998. </w:t>
      </w:r>
    </w:p>
    <w:p w:rsidR="00031A3F" w:rsidRPr="00EE1E0C" w:rsidRDefault="00031A3F">
      <w:pPr>
        <w:pStyle w:val="Normaltindrag"/>
      </w:pPr>
    </w:p>
    <w:p w:rsidR="00031A3F" w:rsidRPr="00EE1E0C" w:rsidRDefault="00031A3F">
      <w:pPr>
        <w:pStyle w:val="Tabellrubrik"/>
      </w:pPr>
      <w:r w:rsidRPr="00EE1E0C">
        <w:t xml:space="preserve">Tabell 1.9 Lagföring och avskrivningar för ärenden </w:t>
      </w:r>
    </w:p>
    <w:p w:rsidR="00031A3F" w:rsidRPr="00EE1E0C" w:rsidRDefault="00031A3F">
      <w:pPr>
        <w:pStyle w:val="Tabellrubrik"/>
      </w:pPr>
      <w:r w:rsidRPr="00EE1E0C">
        <w:t>i procent, hela riket</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1276"/>
      </w:tblGrid>
      <w:tr w:rsidR="00000000" w:rsidRPr="00EE1E0C">
        <w:tblPrEx>
          <w:tblCellMar>
            <w:top w:w="0" w:type="dxa"/>
            <w:bottom w:w="0" w:type="dxa"/>
          </w:tblCellMar>
        </w:tblPrEx>
        <w:tc>
          <w:tcPr>
            <w:tcW w:w="1204" w:type="dxa"/>
          </w:tcPr>
          <w:p w:rsidR="00031A3F" w:rsidRPr="00EE1E0C" w:rsidRDefault="00031A3F">
            <w:pPr>
              <w:pStyle w:val="Normaltindrag"/>
              <w:ind w:firstLine="0"/>
              <w:rPr>
                <w:b/>
              </w:rPr>
            </w:pPr>
            <w:r w:rsidRPr="00EE1E0C">
              <w:rPr>
                <w:b/>
              </w:rPr>
              <w:t>År</w:t>
            </w:r>
          </w:p>
        </w:tc>
        <w:tc>
          <w:tcPr>
            <w:tcW w:w="1276" w:type="dxa"/>
          </w:tcPr>
          <w:p w:rsidR="00031A3F" w:rsidRPr="00EE1E0C" w:rsidRDefault="00031A3F">
            <w:pPr>
              <w:pStyle w:val="Normaltindrag"/>
              <w:ind w:firstLine="0"/>
              <w:rPr>
                <w:b/>
              </w:rPr>
            </w:pPr>
            <w:r w:rsidRPr="00EE1E0C">
              <w:rPr>
                <w:b/>
              </w:rPr>
              <w:t>Lagföring</w:t>
            </w:r>
          </w:p>
        </w:tc>
        <w:tc>
          <w:tcPr>
            <w:tcW w:w="1276" w:type="dxa"/>
          </w:tcPr>
          <w:p w:rsidR="00031A3F" w:rsidRPr="00EE1E0C" w:rsidRDefault="00031A3F">
            <w:pPr>
              <w:pStyle w:val="Normaltindrag"/>
              <w:ind w:firstLine="0"/>
              <w:rPr>
                <w:b/>
              </w:rPr>
            </w:pPr>
            <w:r w:rsidRPr="00EE1E0C">
              <w:rPr>
                <w:b/>
              </w:rPr>
              <w:t>Avskrivning</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1992/93</w:t>
            </w:r>
          </w:p>
        </w:tc>
        <w:tc>
          <w:tcPr>
            <w:tcW w:w="1276" w:type="dxa"/>
          </w:tcPr>
          <w:p w:rsidR="00031A3F" w:rsidRPr="00EE1E0C" w:rsidRDefault="00031A3F">
            <w:pPr>
              <w:pStyle w:val="Normaltindrag"/>
              <w:ind w:firstLine="0"/>
            </w:pPr>
            <w:r w:rsidRPr="00EE1E0C">
              <w:t>66 %</w:t>
            </w:r>
          </w:p>
        </w:tc>
        <w:tc>
          <w:tcPr>
            <w:tcW w:w="1276" w:type="dxa"/>
          </w:tcPr>
          <w:p w:rsidR="00031A3F" w:rsidRPr="00EE1E0C" w:rsidRDefault="00031A3F">
            <w:pPr>
              <w:pStyle w:val="Normaltindrag"/>
              <w:ind w:firstLine="0"/>
            </w:pPr>
            <w:r w:rsidRPr="00EE1E0C">
              <w:t>34  %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1993/94</w:t>
            </w:r>
          </w:p>
        </w:tc>
        <w:tc>
          <w:tcPr>
            <w:tcW w:w="1276" w:type="dxa"/>
          </w:tcPr>
          <w:p w:rsidR="00031A3F" w:rsidRPr="00EE1E0C" w:rsidRDefault="00031A3F">
            <w:pPr>
              <w:pStyle w:val="Normaltindrag"/>
              <w:ind w:firstLine="0"/>
            </w:pPr>
            <w:r w:rsidRPr="00EE1E0C">
              <w:t>66 %</w:t>
            </w:r>
          </w:p>
        </w:tc>
        <w:tc>
          <w:tcPr>
            <w:tcW w:w="1276" w:type="dxa"/>
          </w:tcPr>
          <w:p w:rsidR="00031A3F" w:rsidRPr="00EE1E0C" w:rsidRDefault="00031A3F">
            <w:pPr>
              <w:pStyle w:val="Normaltindrag"/>
              <w:ind w:firstLine="0"/>
            </w:pPr>
            <w:r w:rsidRPr="00EE1E0C">
              <w:t>34 %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1994/95</w:t>
            </w:r>
          </w:p>
        </w:tc>
        <w:tc>
          <w:tcPr>
            <w:tcW w:w="1276" w:type="dxa"/>
          </w:tcPr>
          <w:p w:rsidR="00031A3F" w:rsidRPr="00EE1E0C" w:rsidRDefault="00031A3F">
            <w:pPr>
              <w:pStyle w:val="Normaltindrag"/>
              <w:ind w:firstLine="0"/>
            </w:pPr>
            <w:r w:rsidRPr="00EE1E0C">
              <w:t>63 %</w:t>
            </w:r>
          </w:p>
        </w:tc>
        <w:tc>
          <w:tcPr>
            <w:tcW w:w="1276" w:type="dxa"/>
          </w:tcPr>
          <w:p w:rsidR="00031A3F" w:rsidRPr="00EE1E0C" w:rsidRDefault="00031A3F">
            <w:pPr>
              <w:pStyle w:val="Normaltindrag"/>
              <w:ind w:firstLine="0"/>
            </w:pPr>
            <w:r w:rsidRPr="00EE1E0C">
              <w:t>37 %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1996</w:t>
            </w:r>
          </w:p>
        </w:tc>
        <w:tc>
          <w:tcPr>
            <w:tcW w:w="1276" w:type="dxa"/>
          </w:tcPr>
          <w:p w:rsidR="00031A3F" w:rsidRPr="00EE1E0C" w:rsidRDefault="00031A3F">
            <w:pPr>
              <w:pStyle w:val="Normaltindrag"/>
              <w:ind w:firstLine="0"/>
            </w:pPr>
            <w:r w:rsidRPr="00EE1E0C">
              <w:t>59 %</w:t>
            </w:r>
          </w:p>
        </w:tc>
        <w:tc>
          <w:tcPr>
            <w:tcW w:w="1276" w:type="dxa"/>
          </w:tcPr>
          <w:p w:rsidR="00031A3F" w:rsidRPr="00EE1E0C" w:rsidRDefault="00031A3F">
            <w:pPr>
              <w:pStyle w:val="Normaltindrag"/>
              <w:ind w:firstLine="0"/>
            </w:pPr>
            <w:r w:rsidRPr="00EE1E0C">
              <w:t>41 %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1997</w:t>
            </w:r>
          </w:p>
        </w:tc>
        <w:tc>
          <w:tcPr>
            <w:tcW w:w="1276" w:type="dxa"/>
          </w:tcPr>
          <w:p w:rsidR="00031A3F" w:rsidRPr="00EE1E0C" w:rsidRDefault="00031A3F">
            <w:pPr>
              <w:pStyle w:val="Normaltindrag"/>
              <w:ind w:firstLine="0"/>
            </w:pPr>
            <w:r w:rsidRPr="00EE1E0C">
              <w:t>60 %</w:t>
            </w:r>
          </w:p>
        </w:tc>
        <w:tc>
          <w:tcPr>
            <w:tcW w:w="1276" w:type="dxa"/>
          </w:tcPr>
          <w:p w:rsidR="00031A3F" w:rsidRPr="00EE1E0C" w:rsidRDefault="00031A3F">
            <w:pPr>
              <w:pStyle w:val="Normaltindrag"/>
              <w:ind w:firstLine="0"/>
            </w:pPr>
            <w:r w:rsidRPr="00EE1E0C">
              <w:t>40 %</w:t>
            </w:r>
          </w:p>
        </w:tc>
      </w:tr>
      <w:tr w:rsidR="00000000" w:rsidRPr="00EE1E0C">
        <w:tblPrEx>
          <w:tblCellMar>
            <w:top w:w="0" w:type="dxa"/>
            <w:bottom w:w="0" w:type="dxa"/>
          </w:tblCellMar>
        </w:tblPrEx>
        <w:tc>
          <w:tcPr>
            <w:tcW w:w="1204" w:type="dxa"/>
          </w:tcPr>
          <w:p w:rsidR="00031A3F" w:rsidRPr="00EE1E0C" w:rsidRDefault="00031A3F">
            <w:pPr>
              <w:pStyle w:val="Normaltindrag"/>
              <w:ind w:firstLine="0"/>
            </w:pPr>
            <w:r w:rsidRPr="00EE1E0C">
              <w:t>1998</w:t>
            </w:r>
          </w:p>
        </w:tc>
        <w:tc>
          <w:tcPr>
            <w:tcW w:w="1276" w:type="dxa"/>
          </w:tcPr>
          <w:p w:rsidR="00031A3F" w:rsidRPr="00EE1E0C" w:rsidRDefault="00031A3F">
            <w:pPr>
              <w:pStyle w:val="Normaltindrag"/>
              <w:ind w:firstLine="0"/>
            </w:pPr>
            <w:r w:rsidRPr="00EE1E0C">
              <w:t>64 %</w:t>
            </w:r>
          </w:p>
        </w:tc>
        <w:tc>
          <w:tcPr>
            <w:tcW w:w="1276" w:type="dxa"/>
          </w:tcPr>
          <w:p w:rsidR="00031A3F" w:rsidRPr="00EE1E0C" w:rsidRDefault="00031A3F">
            <w:pPr>
              <w:pStyle w:val="Normaltindrag"/>
              <w:ind w:firstLine="0"/>
            </w:pPr>
            <w:r w:rsidRPr="00EE1E0C">
              <w:t>36 %</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Riksåklagaren</w:t>
      </w:r>
    </w:p>
    <w:p w:rsidR="00031A3F" w:rsidRPr="00EE1E0C" w:rsidRDefault="00031A3F">
      <w:r w:rsidRPr="00EE1E0C">
        <w:t>Riksåklagaren menar att arbetsbelastningen, trots att antalet avslutade äre</w:t>
      </w:r>
      <w:r w:rsidRPr="00EE1E0C">
        <w:t>n</w:t>
      </w:r>
      <w:r w:rsidRPr="00EE1E0C">
        <w:t>den har minskat, har varit fortsatt hög. Ett exempel på detta är att andelen ärenden med fängelse i straffskalan ökade under 1995–1997, från 70 procent till 78 procent. En annan omständighet som enligt Riksåklagaren pekar på att ärendena har blivit svårare och mer resurskrävande att handlägga är att den genomsnittliga förhandlingstiden i tingsrätt ökat från 1,3 timmar 1995 till 1,63 timmar 1997. Antalet brottmål med längre förhandlingstid än sex ti</w:t>
      </w:r>
      <w:r w:rsidRPr="00EE1E0C">
        <w:t>m</w:t>
      </w:r>
      <w:r w:rsidRPr="00EE1E0C">
        <w:t xml:space="preserve">mar har också ökat. </w:t>
      </w:r>
    </w:p>
    <w:p w:rsidR="00031A3F" w:rsidRPr="00EE1E0C" w:rsidRDefault="00031A3F">
      <w:pPr>
        <w:pStyle w:val="Normaltindrag"/>
      </w:pPr>
      <w:r w:rsidRPr="00EE1E0C">
        <w:t>Enligt Riksåklagaren kan åklagarnas m</w:t>
      </w:r>
      <w:r w:rsidRPr="00EE1E0C">
        <w:t>inskade prestationer under framför allt hösten 1996 härledas bl.a. till omorganisationen, t.ex. flyttningar till nya arbetslokaler, byte av arbetsuppgifter och uppsägningen av administratöre</w:t>
      </w:r>
      <w:r w:rsidRPr="00EE1E0C">
        <w:t>r</w:t>
      </w:r>
      <w:r w:rsidRPr="00EE1E0C">
        <w:t>na. Det uppkom också vissa övergångsproblem i samband med att det dator</w:t>
      </w:r>
      <w:r w:rsidRPr="00EE1E0C">
        <w:t>i</w:t>
      </w:r>
      <w:r w:rsidRPr="00EE1E0C">
        <w:t>serade diarieföringssystemet infördes. Enligt Riksåklagaren återtogs dock produktionskapaciteten 1997 då antalet avslutade ärenden översteg antalet inkomna. Även höjningen av lagföringsprocenten visar enligt Riksåklagaren att åklagarna återtagit den</w:t>
      </w:r>
      <w:r w:rsidRPr="00EE1E0C">
        <w:t xml:space="preserve"> arbetskapacitet man hade före omorganisationen. I halvårsredovisningen för 1998 menar Riksåklagaren att de goda resultaten i första hand är en effekt av betydande arbetsinsatser från åklagare och adm</w:t>
      </w:r>
      <w:r w:rsidRPr="00EE1E0C">
        <w:t>i</w:t>
      </w:r>
      <w:r w:rsidRPr="00EE1E0C">
        <w:t>nistratörer. En annan förklaring är att åklagarorganisationen har börjat ti</w:t>
      </w:r>
      <w:r w:rsidRPr="00EE1E0C">
        <w:t>l</w:t>
      </w:r>
      <w:r w:rsidRPr="00EE1E0C">
        <w:t>lämpa de nya instrument och de möjligheter till effektivare brottsbekämpning som åklagarreformen har skapat. Det visas enligt Riksåklagaren av att ekobrottsbalanserna och balanserna med outredda våldsbrott har avarbetats. Det nya, nära</w:t>
      </w:r>
      <w:r w:rsidRPr="00EE1E0C">
        <w:t xml:space="preserve"> samarbetet med polisen och det aktiva utvecklingsarbetet i bekämpningen av den grova brottsligheten och vardagsbrottsligheten börjar enligt Riksåklagaren att ge resultat. Detsamma gäller satsningarna på m</w:t>
      </w:r>
      <w:r w:rsidRPr="00EE1E0C">
        <w:t>e</w:t>
      </w:r>
      <w:r w:rsidRPr="00EE1E0C">
        <w:t>todutveckling och på utvec</w:t>
      </w:r>
      <w:r w:rsidRPr="00EE1E0C">
        <w:t>k</w:t>
      </w:r>
      <w:r w:rsidRPr="00EE1E0C">
        <w:t xml:space="preserve">ling av IT-stöd. </w:t>
      </w:r>
    </w:p>
    <w:p w:rsidR="00031A3F" w:rsidRPr="00EE1E0C" w:rsidRDefault="00031A3F">
      <w:pPr>
        <w:pStyle w:val="Normaltindrag"/>
      </w:pPr>
      <w:r w:rsidRPr="00EE1E0C">
        <w:t>Regeringen anför i budgetpropositionen för 1999 att åklagarväsendet efter den nedgång av verksamheten som inträffade 1996 i samband med omorg</w:t>
      </w:r>
      <w:r w:rsidRPr="00EE1E0C">
        <w:t>a</w:t>
      </w:r>
      <w:r w:rsidRPr="00EE1E0C">
        <w:t xml:space="preserve">nisationen har återtagit sin arbetskapacitet från tiden strax före reformen. Regeringen framhåller att detta har skett samtidigt som antalet anställda minskat och ekonomin varit ansträngd. Regeringens bedömning är att det finns förutsättningar för att ytterligare förbättra verksamhetsresultatet och förverkliga syftet med reformen. </w:t>
      </w:r>
    </w:p>
    <w:p w:rsidR="00031A3F" w:rsidRPr="00EE1E0C" w:rsidRDefault="00031A3F">
      <w:pPr>
        <w:pStyle w:val="Normaltindrag"/>
      </w:pPr>
      <w:r w:rsidRPr="00EE1E0C">
        <w:t xml:space="preserve">I Riksåklagarens verksamhetsplan för åklagarorganisationen under 1999 anges också som mål att enhetligheten i rättstillämpningen skall öka. Genom att jämföra rättstillämpningen </w:t>
      </w:r>
      <w:r w:rsidRPr="00EE1E0C">
        <w:t>vid exempelvis prövning av åtalsfrågan och antalet anhållandebeslut kan Riksåklagaren bedöma myndigheternas ver</w:t>
      </w:r>
      <w:r w:rsidRPr="00EE1E0C">
        <w:t>k</w:t>
      </w:r>
      <w:r w:rsidRPr="00EE1E0C">
        <w:t xml:space="preserve">samhet. </w:t>
      </w:r>
    </w:p>
    <w:p w:rsidR="00031A3F" w:rsidRPr="00EE1E0C" w:rsidRDefault="00031A3F">
      <w:pPr>
        <w:pStyle w:val="Rubrik2"/>
      </w:pPr>
      <w:bookmarkStart w:id="173" w:name="_Toc448905743"/>
      <w:bookmarkStart w:id="174" w:name="_Toc367677373"/>
      <w:bookmarkStart w:id="175" w:name="_Toc466264177"/>
      <w:r w:rsidRPr="00EE1E0C">
        <w:t>Metodutveckling</w:t>
      </w:r>
      <w:bookmarkEnd w:id="175"/>
    </w:p>
    <w:p w:rsidR="00031A3F" w:rsidRPr="00EE1E0C" w:rsidRDefault="00031A3F">
      <w:r w:rsidRPr="00EE1E0C">
        <w:t>I Riksåklagarens årsredovisning för 1998 anges att det gemensamma utvec</w:t>
      </w:r>
      <w:r w:rsidRPr="00EE1E0C">
        <w:t>k</w:t>
      </w:r>
      <w:r w:rsidRPr="00EE1E0C">
        <w:t>lingsarbetet mellan polisen och åklagarna koncentrerar sig mer på de kom</w:t>
      </w:r>
      <w:r w:rsidRPr="00EE1E0C">
        <w:softHyphen/>
        <w:t>plicerade ärendena och uppgiften att utöva en aktiv förundersökningsledning. Lokala avtal om förundersökningsledningsansvaret har slutits (se vidare del 3) Utvecklingsarbetet har under 1998 också rört frågor om kvalitetssäkring av brottsutredningar och genomförande av arbetsmetodik som tagits fram inom ramen för samarbetet med polisen. På uppdrag av riksåklagaren och rikspolischefen har en särskild arbetsgrupp lett det gemensamma utve</w:t>
      </w:r>
      <w:r w:rsidRPr="00EE1E0C">
        <w:t>c</w:t>
      </w:r>
      <w:r w:rsidRPr="00EE1E0C">
        <w:t>k</w:t>
      </w:r>
      <w:r w:rsidRPr="00EE1E0C">
        <w:t>lingsarbetet på central nivå. Arbetsgruppens uppgift har varit att följa och stötta det lokala utvecklingsarbetet. Bland annat har man följt upp arbetet med de g</w:t>
      </w:r>
      <w:r w:rsidRPr="00EE1E0C">
        <w:t>e</w:t>
      </w:r>
      <w:r w:rsidRPr="00EE1E0C">
        <w:t xml:space="preserve">mensamma avtalen. </w:t>
      </w:r>
    </w:p>
    <w:p w:rsidR="00031A3F" w:rsidRPr="00EE1E0C" w:rsidRDefault="00031A3F">
      <w:pPr>
        <w:pStyle w:val="Normaltindrag"/>
      </w:pPr>
      <w:r w:rsidRPr="00EE1E0C">
        <w:t>I budgetpropositionen för 1999 anger regeringen att åklagarnas samverkan med polisen har utvecklats bl.a. i arbetet med att förbättra förundersöknin</w:t>
      </w:r>
      <w:r w:rsidRPr="00EE1E0C">
        <w:t>g</w:t>
      </w:r>
      <w:r w:rsidRPr="00EE1E0C">
        <w:t>arnas kvalitet. Samtidigt anger dock regeringen att polisens brottsutredning</w:t>
      </w:r>
      <w:r w:rsidRPr="00EE1E0C">
        <w:t>s</w:t>
      </w:r>
      <w:r w:rsidRPr="00EE1E0C">
        <w:t>verksamhet inte förbättrades under 1997. I propositionen omnämns följande åtgärder:</w:t>
      </w:r>
    </w:p>
    <w:p w:rsidR="00031A3F" w:rsidRPr="00EE1E0C" w:rsidRDefault="00031A3F">
      <w:pPr>
        <w:pStyle w:val="Normaltindrag"/>
        <w:numPr>
          <w:ilvl w:val="0"/>
          <w:numId w:val="293"/>
        </w:numPr>
      </w:pPr>
      <w:r w:rsidRPr="00EE1E0C">
        <w:t>Införande av åklagarmentorer (se vidare nedan)</w:t>
      </w:r>
    </w:p>
    <w:p w:rsidR="00031A3F" w:rsidRPr="00EE1E0C" w:rsidRDefault="00031A3F">
      <w:pPr>
        <w:pStyle w:val="Normaltindrag"/>
        <w:numPr>
          <w:ilvl w:val="0"/>
          <w:numId w:val="293"/>
        </w:numPr>
      </w:pPr>
      <w:r w:rsidRPr="00EE1E0C">
        <w:t>Utfärdande av nya allmänna råd om ledningen av förundersökning</w:t>
      </w:r>
    </w:p>
    <w:p w:rsidR="00031A3F" w:rsidRPr="00EE1E0C" w:rsidRDefault="00031A3F">
      <w:pPr>
        <w:pStyle w:val="Normaltindrag"/>
        <w:numPr>
          <w:ilvl w:val="0"/>
          <w:numId w:val="293"/>
        </w:numPr>
      </w:pPr>
      <w:r w:rsidRPr="00EE1E0C">
        <w:t>Översyn av ordningsbotsystemet</w:t>
      </w:r>
    </w:p>
    <w:p w:rsidR="00031A3F" w:rsidRPr="00EE1E0C" w:rsidRDefault="00031A3F">
      <w:pPr>
        <w:pStyle w:val="Normaltindrag"/>
        <w:numPr>
          <w:ilvl w:val="0"/>
          <w:numId w:val="294"/>
        </w:numPr>
      </w:pPr>
      <w:r w:rsidRPr="00EE1E0C">
        <w:t>Riktlinjer för att komma till rätta med polisens utredningsbalanser</w:t>
      </w:r>
    </w:p>
    <w:p w:rsidR="00031A3F" w:rsidRPr="00EE1E0C" w:rsidRDefault="00031A3F">
      <w:pPr>
        <w:pStyle w:val="Normaltindrag"/>
        <w:numPr>
          <w:ilvl w:val="0"/>
          <w:numId w:val="295"/>
        </w:numPr>
      </w:pPr>
      <w:r w:rsidRPr="00EE1E0C">
        <w:t>Arbetsmetoder för polis och åklagare i de ärenden där man kan förvänta sig att målsägande och vittnen kan bli utsatta för påtryckning.</w:t>
      </w:r>
    </w:p>
    <w:p w:rsidR="00031A3F" w:rsidRPr="00EE1E0C" w:rsidRDefault="00031A3F">
      <w:r w:rsidRPr="00EE1E0C">
        <w:t>För budgetåret 1999 skall samverkan utvecklas ytterligare. Regeringen m</w:t>
      </w:r>
      <w:r w:rsidRPr="00EE1E0C">
        <w:t>e</w:t>
      </w:r>
      <w:r w:rsidRPr="00EE1E0C">
        <w:t>nar att genomströmningstiderna måste kortas och balanserna minska med bibehållen kvalitet på utredningarna. Regeringen framhåller vidare att en aktiv ledning av förundersökningarna är av central betydelse för att kunna styra verksamheten och därigenom öka snabbheten och kvaliteten i utre</w:t>
      </w:r>
      <w:r w:rsidRPr="00EE1E0C">
        <w:t>d</w:t>
      </w:r>
      <w:r w:rsidRPr="00EE1E0C">
        <w:t>ningsarbetet. Regeringen menar därför att formerna för samverkan mellan polis och åklagare skall utvecklas ytterligare både med avseende på de e</w:t>
      </w:r>
      <w:r w:rsidRPr="00EE1E0C">
        <w:t>n</w:t>
      </w:r>
      <w:r w:rsidRPr="00EE1E0C">
        <w:t>skilda brottsutredningarna och när det gäller prioriteringar, planeringar och</w:t>
      </w:r>
      <w:r w:rsidRPr="00EE1E0C">
        <w:t xml:space="preserve"> utbildning. </w:t>
      </w:r>
    </w:p>
    <w:p w:rsidR="00031A3F" w:rsidRPr="00EE1E0C" w:rsidRDefault="00031A3F">
      <w:pPr>
        <w:pStyle w:val="Normaltindrag"/>
      </w:pPr>
      <w:r w:rsidRPr="00EE1E0C">
        <w:t>Åklagarmyndigheterna har fått ett uppdrag att säkra alla brottsutredningar. Varje åklagarmyndighet skall i samråd med polismyndigheterna använda sig av en särskild  kvalitetssäkringsmodell. Kvalitetssäkringsarbetet kommer att följas upp genom att varje åklagarkammare presenterar, för såväl åklagarle</w:t>
      </w:r>
      <w:r w:rsidRPr="00EE1E0C">
        <w:t>d</w:t>
      </w:r>
      <w:r w:rsidRPr="00EE1E0C">
        <w:t>da som polisledda förundersökningar,</w:t>
      </w:r>
    </w:p>
    <w:p w:rsidR="00031A3F" w:rsidRPr="00EE1E0C" w:rsidRDefault="00031A3F">
      <w:pPr>
        <w:pStyle w:val="Normaltindrag"/>
        <w:numPr>
          <w:ilvl w:val="0"/>
          <w:numId w:val="298"/>
        </w:numPr>
        <w:ind w:left="530"/>
      </w:pPr>
      <w:r w:rsidRPr="00EE1E0C">
        <w:t>genomsnittliga genomströmningstider från anmälan till dom</w:t>
      </w:r>
    </w:p>
    <w:p w:rsidR="00031A3F" w:rsidRPr="00EE1E0C" w:rsidRDefault="00031A3F">
      <w:pPr>
        <w:pStyle w:val="Normaltindrag"/>
        <w:numPr>
          <w:ilvl w:val="0"/>
          <w:numId w:val="298"/>
        </w:numPr>
        <w:ind w:left="530"/>
      </w:pPr>
      <w:r w:rsidRPr="00EE1E0C">
        <w:t>negativa åtalsbeslut</w:t>
      </w:r>
    </w:p>
    <w:p w:rsidR="00031A3F" w:rsidRPr="00EE1E0C" w:rsidRDefault="00031A3F">
      <w:pPr>
        <w:pStyle w:val="Normaltindrag"/>
        <w:numPr>
          <w:ilvl w:val="0"/>
          <w:numId w:val="298"/>
        </w:numPr>
        <w:ind w:left="530"/>
      </w:pPr>
      <w:r w:rsidRPr="00EE1E0C">
        <w:t>andel kompletteringar.</w:t>
      </w:r>
    </w:p>
    <w:p w:rsidR="00031A3F" w:rsidRPr="00EE1E0C" w:rsidRDefault="00031A3F">
      <w:r w:rsidRPr="00EE1E0C">
        <w:t>På ett par orter bedrivs utvecklingsprojekt av polis, åklagare, domstol, frivård och socialtjänst gemensamt. Syftet med projekten är att för särskilt utvalda typer av brottslighet minska tiden mellan brott och straff och på så sätt öka lagföringen. Syftet skall uppnås genom ett ökat samarbete inom rättsväsendet på dessa orter.</w:t>
      </w:r>
    </w:p>
    <w:p w:rsidR="00031A3F" w:rsidRPr="00EE1E0C" w:rsidRDefault="00031A3F">
      <w:pPr>
        <w:pStyle w:val="Normaltindrag"/>
      </w:pPr>
      <w:r w:rsidRPr="00EE1E0C">
        <w:t>Samverkan förekommer också mellan verkscheferna vid Brottsföreby</w:t>
      </w:r>
      <w:r w:rsidRPr="00EE1E0C">
        <w:t>g</w:t>
      </w:r>
      <w:r w:rsidRPr="00EE1E0C">
        <w:t>gande rådet, Rikspolisstyrelsen, Riksåklagaren, Domstolsverket och Krim</w:t>
      </w:r>
      <w:r w:rsidRPr="00EE1E0C">
        <w:t>i</w:t>
      </w:r>
      <w:r w:rsidRPr="00EE1E0C">
        <w:t>nalvårdsverket. Verkscheferna träffas för att diskutera bl.a. frågor som rör samarbete mellan myndigheterna. Gemensamt försöker man utveckla föru</w:t>
      </w:r>
      <w:r w:rsidRPr="00EE1E0C">
        <w:t>n</w:t>
      </w:r>
      <w:r w:rsidRPr="00EE1E0C">
        <w:t>dersökningsarbetet och rättegångarna.</w:t>
      </w:r>
    </w:p>
    <w:p w:rsidR="00031A3F" w:rsidRPr="00EE1E0C" w:rsidRDefault="00031A3F">
      <w:pPr>
        <w:pStyle w:val="Rubrik3"/>
      </w:pPr>
      <w:bookmarkStart w:id="176" w:name="_Toc466264178"/>
      <w:r w:rsidRPr="00EE1E0C">
        <w:t>Åklagarmentorer</w:t>
      </w:r>
      <w:bookmarkEnd w:id="176"/>
    </w:p>
    <w:p w:rsidR="00031A3F" w:rsidRPr="00EE1E0C" w:rsidRDefault="00031A3F">
      <w:r w:rsidRPr="00EE1E0C">
        <w:t>För att höja effektiviteten i myndigheternas samlade insatser för att föreby</w:t>
      </w:r>
      <w:r w:rsidRPr="00EE1E0C">
        <w:t>g</w:t>
      </w:r>
      <w:r w:rsidRPr="00EE1E0C">
        <w:t>ga och lagföra brott beslutade regeringen den 12 september 1996 (Ju96/3067) om mål och riktlinjer för hur åklagarväsendet och polisen skall utveckla sina samarbetsformer och arbetet med prioriteringar inom den brottsutredande verksamheten. Bakgrunden till beslutet var en utredning av Riksåklagaren (RÅ 1995) där man konstaterade att polisens utredningsver</w:t>
      </w:r>
      <w:r w:rsidRPr="00EE1E0C">
        <w:t>k</w:t>
      </w:r>
      <w:r w:rsidRPr="00EE1E0C">
        <w:t xml:space="preserve">samhet inte fungerade tillfredsställande efter närpolisreformens införande. I utredningen definierades kvalitet enligt följande. Kort tid skall gå mellan </w:t>
      </w:r>
      <w:r w:rsidRPr="00EE1E0C">
        <w:t>brott och färdig utredning. Adekvata uppgifter skall ingå i förundersökning</w:t>
      </w:r>
      <w:r w:rsidRPr="00EE1E0C">
        <w:t>s</w:t>
      </w:r>
      <w:r w:rsidRPr="00EE1E0C">
        <w:t>protokollet och protokollet skall inte belastas med oväsentligheter som fö</w:t>
      </w:r>
      <w:r w:rsidRPr="00EE1E0C">
        <w:t>r</w:t>
      </w:r>
      <w:r w:rsidRPr="00EE1E0C">
        <w:t>svårar den inläsning av målet som krävs för att fatta beslut i åtalsfrågan.</w:t>
      </w:r>
    </w:p>
    <w:p w:rsidR="00031A3F" w:rsidRPr="00EE1E0C" w:rsidRDefault="00031A3F">
      <w:pPr>
        <w:pStyle w:val="Normaltindrag"/>
      </w:pPr>
      <w:r w:rsidRPr="00EE1E0C">
        <w:t>Regeringen menar att åklagarväsendet och polisen i ökad utsträckning måste samordna sitt arbete mot det kriminalpolitiska målet så att de samlade resurserna kan utnyttjas på effektivast möjliga sätt. Bland annat skall åklagarväsendet aktivt medverka till att kompetens, arbetsmetoder o</w:t>
      </w:r>
      <w:r w:rsidRPr="00EE1E0C">
        <w:t>ch sa</w:t>
      </w:r>
      <w:r w:rsidRPr="00EE1E0C">
        <w:t>m</w:t>
      </w:r>
      <w:r w:rsidRPr="00EE1E0C">
        <w:t>arbetsformer inom närpolisens brottsutredande verksamhet u</w:t>
      </w:r>
      <w:r w:rsidRPr="00EE1E0C">
        <w:t>t</w:t>
      </w:r>
      <w:r w:rsidRPr="00EE1E0C">
        <w:t xml:space="preserve">vecklas. </w:t>
      </w:r>
    </w:p>
    <w:p w:rsidR="00031A3F" w:rsidRPr="00EE1E0C" w:rsidRDefault="00031A3F">
      <w:pPr>
        <w:pStyle w:val="Normaltindrag"/>
      </w:pPr>
      <w:r w:rsidRPr="00EE1E0C">
        <w:t>En gemensam styrgrupp för Riksåklagaren och Rikspolisstyrelsen har til</w:t>
      </w:r>
      <w:r w:rsidRPr="00EE1E0C">
        <w:t>l</w:t>
      </w:r>
      <w:r w:rsidRPr="00EE1E0C">
        <w:t>satts</w:t>
      </w:r>
      <w:r w:rsidRPr="00EE1E0C">
        <w:rPr>
          <w:i/>
        </w:rPr>
        <w:t xml:space="preserve">. </w:t>
      </w:r>
      <w:r w:rsidRPr="00EE1E0C">
        <w:t>Gruppens uppgift är att samordna projekt som syftar till att utveckla och effektivisera den samlade brottsutredningen.  Även samarbetsformerna mellan polis och åklagare skall förbättras och utvecklas. Gruppen har bl.a. beslutat att införa åklagarmentorer. Detta innebär att en åklagare vid varje kammare har utsetts till mentor med uppgift att ansvara för samarbetet me</w:t>
      </w:r>
      <w:r w:rsidRPr="00EE1E0C">
        <w:t>l</w:t>
      </w:r>
      <w:r w:rsidRPr="00EE1E0C">
        <w:t>lan kammarens åklagare och närpolisen. I allmänhet har arbetet lagts upp så att varje närpolisområde har en särskilt utsedd s.k. under</w:t>
      </w:r>
      <w:r w:rsidRPr="00EE1E0C">
        <w:t>mentor som svarar för utvecklingsarbetet inom närpolisområdet. Undermentorerna genomför utbildning i förundersökningsmetod. De ger också råd i ärenden där polisen är förundersökningsled</w:t>
      </w:r>
      <w:r w:rsidRPr="00EE1E0C">
        <w:t>a</w:t>
      </w:r>
      <w:r w:rsidRPr="00EE1E0C">
        <w:t>re.</w:t>
      </w:r>
    </w:p>
    <w:p w:rsidR="00031A3F" w:rsidRPr="00EE1E0C" w:rsidRDefault="00031A3F">
      <w:pPr>
        <w:pStyle w:val="Normaltindrag"/>
      </w:pPr>
      <w:r w:rsidRPr="00EE1E0C">
        <w:t>Mentorsarbetet har enligt Riksåklagaren bl.a. resulterat i att generella fö</w:t>
      </w:r>
      <w:r w:rsidRPr="00EE1E0C">
        <w:t>r</w:t>
      </w:r>
      <w:r w:rsidRPr="00EE1E0C">
        <w:t>undersökningsdirektiv för enkla vardagsbrott har arbetats fram, att ett kval</w:t>
      </w:r>
      <w:r w:rsidRPr="00EE1E0C">
        <w:t>i</w:t>
      </w:r>
      <w:r w:rsidRPr="00EE1E0C">
        <w:t>tetssäkringsarbete har inletts och att samarbetsklimatet mellan polis och åklagare avsevärt förbättrats. Biträdande riksåklagaren menar att utrednin</w:t>
      </w:r>
      <w:r w:rsidRPr="00EE1E0C">
        <w:t>g</w:t>
      </w:r>
      <w:r w:rsidRPr="00EE1E0C">
        <w:t>arnas kvalitet har förbättrats sedan åklagarmentorerna och systemet med återkoppling mellan åklagare och polis infördes. Hon menar också att kval</w:t>
      </w:r>
      <w:r w:rsidRPr="00EE1E0C">
        <w:t>i</w:t>
      </w:r>
      <w:r w:rsidRPr="00EE1E0C">
        <w:t>teten på utredningar av allvarligare brott är hög.</w:t>
      </w:r>
      <w:r w:rsidRPr="00EE1E0C">
        <w:rPr>
          <w:i/>
        </w:rPr>
        <w:t xml:space="preserve"> </w:t>
      </w:r>
      <w:r w:rsidRPr="00EE1E0C">
        <w:t>Riksåklagaren framhåller att arbetsbelastningen för åklagarna har medfört att mentorsarb</w:t>
      </w:r>
      <w:r w:rsidRPr="00EE1E0C">
        <w:t>etet i vissa fall inte har kunnat bedrivas i den utsträckning som åklagarna själva ansett vara önskvärt. I halvårsredovisningen för första halvåret 1998 uppger Riksåklag</w:t>
      </w:r>
      <w:r w:rsidRPr="00EE1E0C">
        <w:t>a</w:t>
      </w:r>
      <w:r w:rsidRPr="00EE1E0C">
        <w:t>ren att satsningen på åklagarmentorer motsvarar ca 10 årsarbetskrafter. A</w:t>
      </w:r>
      <w:r w:rsidRPr="00EE1E0C">
        <w:t>r</w:t>
      </w:r>
      <w:r w:rsidRPr="00EE1E0C">
        <w:t>betet bidrar enligt Riksåklagaren till att polisens utredningskapacitet väsen</w:t>
      </w:r>
      <w:r w:rsidRPr="00EE1E0C">
        <w:t>t</w:t>
      </w:r>
      <w:r w:rsidRPr="00EE1E0C">
        <w:t>ligt förbättras, men det innebär också ett stort bortfall från den vanliga äre</w:t>
      </w:r>
      <w:r w:rsidRPr="00EE1E0C">
        <w:t>n</w:t>
      </w:r>
      <w:r w:rsidRPr="00EE1E0C">
        <w:t>dehanteringen i åklagarorganis</w:t>
      </w:r>
      <w:r w:rsidRPr="00EE1E0C">
        <w:t>a</w:t>
      </w:r>
      <w:r w:rsidRPr="00EE1E0C">
        <w:t xml:space="preserve">tionen. </w:t>
      </w:r>
      <w:bookmarkEnd w:id="174"/>
    </w:p>
    <w:p w:rsidR="00031A3F" w:rsidRPr="00EE1E0C" w:rsidRDefault="00031A3F">
      <w:pPr>
        <w:pStyle w:val="Rubrik2"/>
      </w:pPr>
      <w:bookmarkStart w:id="177" w:name="_Toc466264179"/>
      <w:r w:rsidRPr="00EE1E0C">
        <w:t>Gemensam</w:t>
      </w:r>
      <w:bookmarkEnd w:id="173"/>
      <w:r w:rsidRPr="00EE1E0C">
        <w:t xml:space="preserve"> informationsförsörjning</w:t>
      </w:r>
      <w:bookmarkEnd w:id="177"/>
    </w:p>
    <w:p w:rsidR="00031A3F" w:rsidRPr="00EE1E0C" w:rsidRDefault="00031A3F">
      <w:r w:rsidRPr="00EE1E0C">
        <w:t xml:space="preserve">Polisens diariesystem, </w:t>
      </w:r>
      <w:r w:rsidRPr="00EE1E0C">
        <w:rPr>
          <w:i/>
        </w:rPr>
        <w:t>Rationell anmälningsrutin</w:t>
      </w:r>
      <w:r w:rsidRPr="00EE1E0C">
        <w:t xml:space="preserve"> (RAR), och åklagarnas brottmålsdiarieföringssystem (Brådis), har fram till 1999 inte kunnat ko</w:t>
      </w:r>
      <w:r w:rsidRPr="00EE1E0C">
        <w:t>m</w:t>
      </w:r>
      <w:r w:rsidRPr="00EE1E0C">
        <w:t>municera elektroniskt. När ett brottmålsärende överlämnas från polisen till åklagaren har uppgifter om den misstänkte och om brottet därför skrivits in även i åklagarnas diarium. Rikspolisstyrelsen och Riks</w:t>
      </w:r>
      <w:r w:rsidRPr="00EE1E0C">
        <w:softHyphen/>
        <w:t>åkla</w:t>
      </w:r>
      <w:r w:rsidRPr="00EE1E0C">
        <w:softHyphen/>
        <w:t>ga</w:t>
      </w:r>
      <w:r w:rsidRPr="00EE1E0C">
        <w:softHyphen/>
        <w:t>ren har i sa</w:t>
      </w:r>
      <w:r w:rsidRPr="00EE1E0C">
        <w:t>m</w:t>
      </w:r>
      <w:r w:rsidRPr="00EE1E0C">
        <w:t>verkan utvecklat rutiner för elektronisk överföring av dessa uppgifter från RAR till Brådis. Systemet sattes i drift under våren 1999. Riksåklagaren understryker a</w:t>
      </w:r>
      <w:r w:rsidRPr="00EE1E0C">
        <w:t>tt det mest angelägna problemet vad gäller elektronisk överf</w:t>
      </w:r>
      <w:r w:rsidRPr="00EE1E0C">
        <w:t>ö</w:t>
      </w:r>
      <w:r w:rsidRPr="00EE1E0C">
        <w:t>ring mellan polisen och åklagarna i och med detta är löst.</w:t>
      </w:r>
      <w:r w:rsidRPr="00EE1E0C">
        <w:rPr>
          <w:i/>
        </w:rPr>
        <w:t xml:space="preserve"> </w:t>
      </w:r>
      <w:r w:rsidRPr="00EE1E0C">
        <w:t>Enligt uppgift från Riksåklagaren uppskattas den nya rutinen innebära tidsvinster motsvarande omkring 10 årsarbetskrafter för åklagarväsendets kanslipers</w:t>
      </w:r>
      <w:r w:rsidRPr="00EE1E0C">
        <w:t>o</w:t>
      </w:r>
      <w:r w:rsidRPr="00EE1E0C">
        <w:t>nal.</w:t>
      </w:r>
    </w:p>
    <w:p w:rsidR="00031A3F" w:rsidRPr="00EE1E0C" w:rsidRDefault="00031A3F">
      <w:pPr>
        <w:pStyle w:val="Normaltindrag"/>
      </w:pPr>
      <w:r w:rsidRPr="00EE1E0C">
        <w:t>Hos Rikspolisstyrelsen pågår också ett projekt, DurTvå, i vilket Riksåkl</w:t>
      </w:r>
      <w:r w:rsidRPr="00EE1E0C">
        <w:t>a</w:t>
      </w:r>
      <w:r w:rsidRPr="00EE1E0C">
        <w:t>garen deltar. DurTvå står för datoriserad utredningsrutin och tvångsmedel</w:t>
      </w:r>
      <w:r w:rsidRPr="00EE1E0C">
        <w:t>s</w:t>
      </w:r>
      <w:r w:rsidRPr="00EE1E0C">
        <w:t>hantering. Genom DurTvå kommer hela utredningen att kunna överföras elektroniskt från polis till åklagare. Det pågår för närvarande en diskussion mellan polis och åklagare om i vilken omfattning åklagare har behov av att kunna komma åt förundersökningsuppgifter i elektronisk form under påg</w:t>
      </w:r>
      <w:r w:rsidRPr="00EE1E0C">
        <w:t>å</w:t>
      </w:r>
      <w:r w:rsidRPr="00EE1E0C">
        <w:t>ende utredning.</w:t>
      </w:r>
    </w:p>
    <w:p w:rsidR="00031A3F" w:rsidRPr="00EE1E0C" w:rsidRDefault="00031A3F">
      <w:pPr>
        <w:pStyle w:val="Normaltindrag"/>
      </w:pPr>
      <w:r w:rsidRPr="00EE1E0C">
        <w:t>Ett samarbete för att förbättra informationsförsörjningen inom rättsväse</w:t>
      </w:r>
      <w:r w:rsidRPr="00EE1E0C">
        <w:t>n</w:t>
      </w:r>
      <w:r w:rsidRPr="00EE1E0C">
        <w:t>det pågår. Rådet för rättsväsendets informationsförsörjning (RIF-rådet) i</w:t>
      </w:r>
      <w:r w:rsidRPr="00EE1E0C">
        <w:t>n</w:t>
      </w:r>
      <w:r w:rsidRPr="00EE1E0C">
        <w:t>rättades i januari 1997. Rådet är tillsatt av regeringen som ansåg att en sa</w:t>
      </w:r>
      <w:r w:rsidRPr="00EE1E0C">
        <w:t>m</w:t>
      </w:r>
      <w:r w:rsidRPr="00EE1E0C">
        <w:t>ordnad informationsförsörjning skulle höja effektiviteten och produktiviteten samt underlätta mål- och resultatstyrningen av de olika myndigheterna inom rättsväsendet. RIF-rådet består av myndighetscheferna (eller en person med befogenhet att fatta beslut å myndighetens vägnar) för Domstolsverket, Rik</w:t>
      </w:r>
      <w:r w:rsidRPr="00EE1E0C">
        <w:t>s</w:t>
      </w:r>
      <w:r w:rsidRPr="00EE1E0C">
        <w:t>åklagaren, Rikspolisstyrelsen, Kriminalvårdsstyrelsen, Br</w:t>
      </w:r>
      <w:r w:rsidRPr="00EE1E0C">
        <w:t xml:space="preserve">ottsförebyggande rådet, Brottsoffermyndigheten, Generaltullstyrelsen och Riksskatteverket. Rådet fattar inga beslut om de enskilda myndigheternas verksamhet. Varje myndighet skall i stället följa de riktlinjer som rådet utformar. </w:t>
      </w:r>
    </w:p>
    <w:p w:rsidR="00031A3F" w:rsidRPr="00EE1E0C" w:rsidRDefault="00031A3F">
      <w:pPr>
        <w:pStyle w:val="Rubrik1"/>
      </w:pPr>
      <w:bookmarkStart w:id="178" w:name="_Toc448905744"/>
      <w:bookmarkStart w:id="179" w:name="_Toc466264180"/>
      <w:r w:rsidRPr="00EE1E0C">
        <w:t>Tingsrätterna</w:t>
      </w:r>
      <w:bookmarkEnd w:id="178"/>
      <w:bookmarkEnd w:id="179"/>
    </w:p>
    <w:p w:rsidR="00031A3F" w:rsidRPr="00EE1E0C" w:rsidRDefault="00031A3F">
      <w:pPr>
        <w:pStyle w:val="Rubrik2"/>
      </w:pPr>
      <w:bookmarkStart w:id="180" w:name="_Toc448905745"/>
      <w:bookmarkStart w:id="181" w:name="_Toc466264181"/>
      <w:r w:rsidRPr="00EE1E0C">
        <w:t>Tingsrätternas placering</w:t>
      </w:r>
      <w:bookmarkEnd w:id="180"/>
      <w:bookmarkEnd w:id="181"/>
    </w:p>
    <w:p w:rsidR="00031A3F" w:rsidRPr="00EE1E0C" w:rsidRDefault="00031A3F">
      <w:r w:rsidRPr="00EE1E0C">
        <w:t>Domstolarna fick sin nuvarande organisation och sin geografiska placering genom 1971 års domstolsreform. Riksdagen beslutade 1969 (prop. 1969:44, bet. LU 1969:38, rskr. 1969:283) att tingsrätterna skulle vara allmänna u</w:t>
      </w:r>
      <w:r w:rsidRPr="00EE1E0C">
        <w:t>n</w:t>
      </w:r>
      <w:r w:rsidRPr="00EE1E0C">
        <w:t>derrätter i hela landet. Riksdagen fastställde också vissa allmänna riktlinjer för den framtida domkretsindelningen. En arbetsgrupp inom Justitiedepart</w:t>
      </w:r>
      <w:r w:rsidRPr="00EE1E0C">
        <w:t>e</w:t>
      </w:r>
      <w:r w:rsidRPr="00EE1E0C">
        <w:t>mentet utarbetade efter samråd med olika regionala organ och hovrätterna ett förslag till domkretsindelning. Den 1 januari 1974 fanns det 100 tingsrätter. Från och med den 1 oktober 1996 finns det 96 tingsrätter. Vissa tingsrätter har även förhandlingar på andra orter utöver den ort där tingsrätten ligger. Dessa orter kallas tingsställen. År 1974 fanns 47 s</w:t>
      </w:r>
      <w:r w:rsidRPr="00EE1E0C">
        <w:t xml:space="preserve">ådana tingsställen; år 1998 fanns 26. </w:t>
      </w:r>
    </w:p>
    <w:p w:rsidR="00031A3F" w:rsidRPr="00EE1E0C" w:rsidRDefault="00031A3F">
      <w:pPr>
        <w:pStyle w:val="Normaltindrag"/>
      </w:pPr>
      <w:r w:rsidRPr="00EE1E0C">
        <w:t>Tingsrätterna ligger ganska tätt i södra Sverige, medan det är betydligt längre mellan dem i norra. Tingsrätterna varierar i storlek. Storleken mäts ofta i antalet domare som har ordinarie tjänst i tingsrätten. De 96 tingsrätte</w:t>
      </w:r>
      <w:r w:rsidRPr="00EE1E0C">
        <w:t>r</w:t>
      </w:r>
      <w:r w:rsidRPr="00EE1E0C">
        <w:t xml:space="preserve">na fördelar sig efter storlek i antal domare enligt följande: </w:t>
      </w:r>
    </w:p>
    <w:p w:rsidR="00031A3F" w:rsidRPr="00EE1E0C" w:rsidRDefault="00031A3F">
      <w:pPr>
        <w:pStyle w:val="Normaltindrag"/>
        <w:numPr>
          <w:ilvl w:val="0"/>
          <w:numId w:val="115"/>
        </w:numPr>
        <w:ind w:left="530"/>
      </w:pPr>
      <w:r w:rsidRPr="00EE1E0C">
        <w:t>37 tingsrätter har 1–2 ordinarie d</w:t>
      </w:r>
      <w:r w:rsidRPr="00EE1E0C">
        <w:t>o</w:t>
      </w:r>
      <w:r w:rsidRPr="00EE1E0C">
        <w:t>mare</w:t>
      </w:r>
    </w:p>
    <w:p w:rsidR="00031A3F" w:rsidRPr="00EE1E0C" w:rsidRDefault="00031A3F">
      <w:pPr>
        <w:pStyle w:val="Normaltindrag"/>
        <w:numPr>
          <w:ilvl w:val="0"/>
          <w:numId w:val="115"/>
        </w:numPr>
        <w:ind w:left="530"/>
      </w:pPr>
      <w:r w:rsidRPr="00EE1E0C">
        <w:t>26 tingsrätter har 3–4 ordinarie domare</w:t>
      </w:r>
    </w:p>
    <w:p w:rsidR="00031A3F" w:rsidRPr="00EE1E0C" w:rsidRDefault="00031A3F">
      <w:pPr>
        <w:pStyle w:val="Normaltindrag"/>
        <w:numPr>
          <w:ilvl w:val="0"/>
          <w:numId w:val="115"/>
        </w:numPr>
        <w:ind w:left="530"/>
      </w:pPr>
      <w:r w:rsidRPr="00EE1E0C">
        <w:t>15 tingsrätter har 5–6 domare</w:t>
      </w:r>
    </w:p>
    <w:p w:rsidR="00031A3F" w:rsidRPr="00EE1E0C" w:rsidRDefault="00031A3F">
      <w:pPr>
        <w:pStyle w:val="Normaltindrag"/>
        <w:numPr>
          <w:ilvl w:val="0"/>
          <w:numId w:val="115"/>
        </w:numPr>
        <w:ind w:left="530"/>
      </w:pPr>
      <w:r w:rsidRPr="00EE1E0C">
        <w:t>12 tingsrätter har 7–9 ordinarie domare</w:t>
      </w:r>
    </w:p>
    <w:p w:rsidR="00031A3F" w:rsidRPr="00EE1E0C" w:rsidRDefault="00031A3F">
      <w:pPr>
        <w:pStyle w:val="Normaltindrag"/>
        <w:numPr>
          <w:ilvl w:val="0"/>
          <w:numId w:val="115"/>
        </w:numPr>
        <w:ind w:left="530"/>
      </w:pPr>
      <w:r w:rsidRPr="00EE1E0C">
        <w:t>3 tingsrätter har 10–15 ordinarie domare</w:t>
      </w:r>
    </w:p>
    <w:p w:rsidR="00031A3F" w:rsidRPr="00EE1E0C" w:rsidRDefault="00031A3F">
      <w:pPr>
        <w:pStyle w:val="Normaltindrag"/>
        <w:numPr>
          <w:ilvl w:val="0"/>
          <w:numId w:val="115"/>
        </w:numPr>
        <w:ind w:left="530"/>
      </w:pPr>
      <w:r w:rsidRPr="00EE1E0C">
        <w:t>Malmö tingsrätt har 24 ordinarie domare, Göteborgs tingsrätt 37 och Stockholms tingsrätt omkring 90.</w:t>
      </w:r>
    </w:p>
    <w:p w:rsidR="00031A3F" w:rsidRPr="00EE1E0C" w:rsidRDefault="00031A3F">
      <w:pPr>
        <w:pStyle w:val="Rubrik2"/>
      </w:pPr>
      <w:bookmarkStart w:id="182" w:name="_Toc448905746"/>
      <w:bookmarkStart w:id="183" w:name="_Toc466264182"/>
      <w:r w:rsidRPr="00EE1E0C">
        <w:t>Omorganisation av domstolsväsendet</w:t>
      </w:r>
      <w:bookmarkEnd w:id="182"/>
      <w:bookmarkEnd w:id="183"/>
    </w:p>
    <w:p w:rsidR="00031A3F" w:rsidRPr="00EE1E0C" w:rsidRDefault="00031A3F">
      <w:r w:rsidRPr="00EE1E0C">
        <w:t>Domstolarnas organisation och placering har varit föremål för diskussion under 1990-talet. De små domstolarnas påstådda sårbarhet, bristande kos</w:t>
      </w:r>
      <w:r w:rsidRPr="00EE1E0C">
        <w:t>t</w:t>
      </w:r>
      <w:r w:rsidRPr="00EE1E0C">
        <w:t>nadseffektivitet, bristande möjlighet till rationaliseringar, svårigheter att följa rättsutvecklingen etc. har framförts som anledningar till att reformera do</w:t>
      </w:r>
      <w:r w:rsidRPr="00EE1E0C">
        <w:t>m</w:t>
      </w:r>
      <w:r w:rsidRPr="00EE1E0C">
        <w:t>stolsväsendet.</w:t>
      </w:r>
    </w:p>
    <w:p w:rsidR="00031A3F" w:rsidRPr="00EE1E0C" w:rsidRDefault="00031A3F">
      <w:pPr>
        <w:pStyle w:val="Normaltindrag"/>
      </w:pPr>
      <w:r w:rsidRPr="00EE1E0C">
        <w:t>Regeringen beslutade den 29 juni 1995 att en kommitté skulle tillkallas med uppdrag att göra en översyn av den organisatoriska strukturen inom domstolsväsendet (dir. 1995:102). Utgångspunkt för översynen skulle vara de ökade kraven på domstolarnas kompetens och förmåga att handlägga allt svårare mål. Även kraven på rationaliseringar in</w:t>
      </w:r>
      <w:r w:rsidRPr="00EE1E0C">
        <w:t>om domstolsväsendet skulle beaktas. Målet för utredningen var ett domstolsväsende med slagkraftigare domstolar, så organiserade att de skulle uppfylla högt ställda krav på kvalitet i rättskipningen, kompetens hos domstolspersonalen och på effektivitet. Av hänsyn till det ekonomiska läget skulle förslagen innebära en årlig utgift</w:t>
      </w:r>
      <w:r w:rsidRPr="00EE1E0C">
        <w:t>s</w:t>
      </w:r>
      <w:r w:rsidRPr="00EE1E0C">
        <w:t>minskning för domstolsväsendet som helhet med minst 200 miljoner kronor. Av direktiven framgår att regeringen såg det som ofrånkomligt att antalet tingsrätter skulle minska.</w:t>
      </w:r>
    </w:p>
    <w:p w:rsidR="00031A3F" w:rsidRPr="00EE1E0C" w:rsidRDefault="00031A3F">
      <w:pPr>
        <w:pStyle w:val="Normaltindrag"/>
      </w:pPr>
      <w:r w:rsidRPr="00EE1E0C">
        <w:t>Kommitt</w:t>
      </w:r>
      <w:r w:rsidRPr="00EE1E0C">
        <w:t>éns uppdrag kom efter hand att ändras (dir. 1997:50 och 1998:22). Det var inte möjligt att uppnå något brett politiskt stöd för någon förändring av antalet tingsrätter. Något förslag om minskning av antalet lämnades heller aldrig. Kommitténs ordförande fick dock i uppdrag att under hösten 1998 redovisa det grundmaterial som tagits  fram i kommittéarbetet (Ju98/667). Kommittén hade i sitt arbete funnit följande:</w:t>
      </w:r>
    </w:p>
    <w:p w:rsidR="00031A3F" w:rsidRPr="00EE1E0C" w:rsidRDefault="00031A3F">
      <w:pPr>
        <w:pStyle w:val="Normaltindrag"/>
        <w:numPr>
          <w:ilvl w:val="0"/>
          <w:numId w:val="113"/>
        </w:numPr>
        <w:ind w:left="530"/>
      </w:pPr>
      <w:r w:rsidRPr="00EE1E0C">
        <w:t>Handläggningskostnaderna per mål tenderar att vara högst i de minsta tingsrä</w:t>
      </w:r>
      <w:r w:rsidRPr="00EE1E0C">
        <w:t>t</w:t>
      </w:r>
      <w:r w:rsidRPr="00EE1E0C">
        <w:t>terna.</w:t>
      </w:r>
    </w:p>
    <w:p w:rsidR="00031A3F" w:rsidRPr="00EE1E0C" w:rsidRDefault="00031A3F">
      <w:pPr>
        <w:pStyle w:val="Normaltindrag"/>
        <w:numPr>
          <w:ilvl w:val="0"/>
          <w:numId w:val="113"/>
        </w:numPr>
        <w:ind w:left="530"/>
      </w:pPr>
      <w:r w:rsidRPr="00EE1E0C">
        <w:t>De administrativa kostnaderna är relativt sett högst i de minsta tingsrä</w:t>
      </w:r>
      <w:r w:rsidRPr="00EE1E0C">
        <w:t>t</w:t>
      </w:r>
      <w:r w:rsidRPr="00EE1E0C">
        <w:t>te</w:t>
      </w:r>
      <w:r w:rsidRPr="00EE1E0C">
        <w:t>r</w:t>
      </w:r>
      <w:r w:rsidRPr="00EE1E0C">
        <w:t>na.</w:t>
      </w:r>
    </w:p>
    <w:p w:rsidR="00031A3F" w:rsidRPr="00EE1E0C" w:rsidRDefault="00031A3F">
      <w:pPr>
        <w:pStyle w:val="Normaltindrag"/>
        <w:numPr>
          <w:ilvl w:val="0"/>
          <w:numId w:val="113"/>
        </w:numPr>
        <w:ind w:left="530"/>
      </w:pPr>
      <w:r w:rsidRPr="00EE1E0C">
        <w:t>Lokalkostnaderna per anställd skiljer sig inte åt mellan tingsrätter av olika sto</w:t>
      </w:r>
      <w:r w:rsidRPr="00EE1E0C">
        <w:t>r</w:t>
      </w:r>
      <w:r w:rsidRPr="00EE1E0C">
        <w:t>lek.</w:t>
      </w:r>
    </w:p>
    <w:p w:rsidR="00031A3F" w:rsidRPr="00EE1E0C" w:rsidRDefault="00031A3F">
      <w:pPr>
        <w:pStyle w:val="Normaltindrag"/>
        <w:numPr>
          <w:ilvl w:val="0"/>
          <w:numId w:val="113"/>
        </w:numPr>
        <w:ind w:left="530"/>
      </w:pPr>
      <w:r w:rsidRPr="00EE1E0C">
        <w:t>De mindre tingsrätterna har kortare omloppstid i brottmål och tvistemål. De minsta tingsrätterna har dock relativt sett något mer resurser än större domstolar.</w:t>
      </w:r>
    </w:p>
    <w:p w:rsidR="00031A3F" w:rsidRPr="00EE1E0C" w:rsidRDefault="00031A3F">
      <w:r w:rsidRPr="00EE1E0C">
        <w:t>I materialet (SOU 1998:135) presenteras tre olika organisationsmodeller för ting</w:t>
      </w:r>
      <w:r w:rsidRPr="00EE1E0C">
        <w:t>s</w:t>
      </w:r>
      <w:r w:rsidRPr="00EE1E0C">
        <w:t>rätterna i framtiden:</w:t>
      </w:r>
    </w:p>
    <w:p w:rsidR="00031A3F" w:rsidRPr="00EE1E0C" w:rsidRDefault="00031A3F">
      <w:pPr>
        <w:pStyle w:val="Normaltindrag"/>
        <w:numPr>
          <w:ilvl w:val="0"/>
          <w:numId w:val="114"/>
        </w:numPr>
        <w:ind w:left="530"/>
      </w:pPr>
      <w:r w:rsidRPr="00EE1E0C">
        <w:t>Sammanläggningar av tingsrätter. Ett alternativ med 43 och ett med 64 tingsrä</w:t>
      </w:r>
      <w:r w:rsidRPr="00EE1E0C">
        <w:t>t</w:t>
      </w:r>
      <w:r w:rsidRPr="00EE1E0C">
        <w:t>ter presenteras.</w:t>
      </w:r>
    </w:p>
    <w:p w:rsidR="00031A3F" w:rsidRPr="00EE1E0C" w:rsidRDefault="00031A3F">
      <w:pPr>
        <w:pStyle w:val="Normaltindrag"/>
        <w:numPr>
          <w:ilvl w:val="0"/>
          <w:numId w:val="114"/>
        </w:numPr>
        <w:ind w:left="530"/>
      </w:pPr>
      <w:r w:rsidRPr="00EE1E0C">
        <w:t>Förändringar inom befintlig organisation som innebär att domstolarna knyts samman i administrativa och judiciella nätverk.</w:t>
      </w:r>
    </w:p>
    <w:p w:rsidR="00031A3F" w:rsidRPr="00EE1E0C" w:rsidRDefault="00031A3F">
      <w:pPr>
        <w:pStyle w:val="Normaltindrag"/>
        <w:numPr>
          <w:ilvl w:val="0"/>
          <w:numId w:val="114"/>
        </w:numPr>
        <w:ind w:left="530"/>
      </w:pPr>
      <w:r w:rsidRPr="00EE1E0C">
        <w:t>En kombination av en begränsad sammanläggning med nätverksmode</w:t>
      </w:r>
      <w:r w:rsidRPr="00EE1E0C">
        <w:t>l</w:t>
      </w:r>
      <w:r w:rsidRPr="00EE1E0C">
        <w:t>len.</w:t>
      </w:r>
    </w:p>
    <w:p w:rsidR="00031A3F" w:rsidRPr="00EE1E0C" w:rsidRDefault="00031A3F">
      <w:r w:rsidRPr="00EE1E0C">
        <w:t>Regeringen menar i budgetpropositionen för 1999 att moderniseringen och reformeringen av domstolsväsendet måste fortsätta trots att Domstolsko</w:t>
      </w:r>
      <w:r w:rsidRPr="00EE1E0C">
        <w:t>m</w:t>
      </w:r>
      <w:r w:rsidRPr="00EE1E0C">
        <w:t>mittén inte kunde fullfölja sitt ursprungliga uppdrag. Eftersom det traditi</w:t>
      </w:r>
      <w:r w:rsidRPr="00EE1E0C">
        <w:t>o</w:t>
      </w:r>
      <w:r w:rsidRPr="00EE1E0C">
        <w:t>nella utredningsförfarandet inte är en framkomlig väg menar regeringen att andra vägar måste prövas. Man har bl.a. inlett försöksverksamheter på ett antal orter. Försöken syftar till ökad samverkan inom och mellan olika so</w:t>
      </w:r>
      <w:r w:rsidRPr="00EE1E0C">
        <w:t>r</w:t>
      </w:r>
      <w:r w:rsidRPr="00EE1E0C">
        <w:t xml:space="preserve">ters domstolar. En annan väg är sammanläggningar av tingsrätter genom separata regeringsbeslut. Ett sådant beslut fattades i december 1998 avseende en sammanläggning av Åmåls tingsrätt med Vänersborgs tingsrätt. </w:t>
      </w:r>
      <w:r w:rsidRPr="00EE1E0C">
        <w:t>Sa</w:t>
      </w:r>
      <w:r w:rsidRPr="00EE1E0C">
        <w:t>m</w:t>
      </w:r>
      <w:r w:rsidRPr="00EE1E0C">
        <w:t>manläggningen skall genomföras senast den 1 juli 1999.</w:t>
      </w:r>
    </w:p>
    <w:p w:rsidR="00031A3F" w:rsidRPr="00EE1E0C" w:rsidRDefault="00031A3F">
      <w:pPr>
        <w:pStyle w:val="Normaltindrag"/>
      </w:pPr>
      <w:r w:rsidRPr="00EE1E0C">
        <w:t>Justitieutskottet understryker i sitt betänkande med anledning av budge</w:t>
      </w:r>
      <w:r w:rsidRPr="00EE1E0C">
        <w:t>t</w:t>
      </w:r>
      <w:r w:rsidRPr="00EE1E0C">
        <w:t>propositionen för 1999 (bet. 1998/99:JuU1) vikten av att större organis</w:t>
      </w:r>
      <w:r w:rsidRPr="00EE1E0C">
        <w:t>a</w:t>
      </w:r>
      <w:r w:rsidRPr="00EE1E0C">
        <w:t>tionsförändringar får en bred politisk förankring. Utskottet menar att reg</w:t>
      </w:r>
      <w:r w:rsidRPr="00EE1E0C">
        <w:t>e</w:t>
      </w:r>
      <w:r w:rsidRPr="00EE1E0C">
        <w:t>ringen därför även i fortsättningen bör anmäla organisationsförändringar som innebär att domstolar läggs ned. I övrigt har utskottet inga invändningar mot det utvecklingsarbete som bedrivs. Man menar också att det saknas anle</w:t>
      </w:r>
      <w:r w:rsidRPr="00EE1E0C">
        <w:t>d</w:t>
      </w:r>
      <w:r w:rsidRPr="00EE1E0C">
        <w:t>ning för riksdagen att nu uttala sig om antalet ting</w:t>
      </w:r>
      <w:r w:rsidRPr="00EE1E0C">
        <w:t>s</w:t>
      </w:r>
      <w:r w:rsidRPr="00EE1E0C">
        <w:t>rätter.</w:t>
      </w:r>
    </w:p>
    <w:p w:rsidR="00031A3F" w:rsidRPr="00EE1E0C" w:rsidRDefault="00031A3F">
      <w:pPr>
        <w:pStyle w:val="Rubrik2"/>
      </w:pPr>
      <w:bookmarkStart w:id="184" w:name="_Toc448905747"/>
      <w:bookmarkStart w:id="185" w:name="_Toc466264183"/>
      <w:r w:rsidRPr="00EE1E0C">
        <w:t>Tingsrätternas arbete</w:t>
      </w:r>
      <w:bookmarkEnd w:id="184"/>
      <w:bookmarkEnd w:id="185"/>
    </w:p>
    <w:p w:rsidR="00031A3F" w:rsidRPr="00EE1E0C" w:rsidRDefault="00031A3F">
      <w:r w:rsidRPr="00EE1E0C">
        <w:t>Tingsrätternas praktiska arbete påverkas i låg grad av polisens placering. Tingsrätternas kontakter med polisen är få och inskränker sig till framstäl</w:t>
      </w:r>
      <w:r w:rsidRPr="00EE1E0C">
        <w:t>l</w:t>
      </w:r>
      <w:r w:rsidRPr="00EE1E0C">
        <w:t>ningar om hjälp med delgivning av t.ex. stämningar samt hämtning av tillt</w:t>
      </w:r>
      <w:r w:rsidRPr="00EE1E0C">
        <w:t>a</w:t>
      </w:r>
      <w:r w:rsidRPr="00EE1E0C">
        <w:t>lade till rättegångarna. Kontakten med åklagarna före rättegångarna sköts per telefon. Vid huvudförhandlingen kommer åklagarna till tingsrätten. Åklaga</w:t>
      </w:r>
      <w:r w:rsidRPr="00EE1E0C">
        <w:t>r</w:t>
      </w:r>
      <w:r w:rsidRPr="00EE1E0C">
        <w:t>nas resväg kan påverka domstolens möjlighet att sätta ut förhandlingar med kort varsel. En häktningsförhandling måste kanske sättas ut dagen efter fra</w:t>
      </w:r>
      <w:r w:rsidRPr="00EE1E0C">
        <w:t>m</w:t>
      </w:r>
      <w:r w:rsidRPr="00EE1E0C">
        <w:t>ställan om åklagaren har svårigheter att ta sig snabbt till tingsrätten. Åkl</w:t>
      </w:r>
      <w:r w:rsidRPr="00EE1E0C">
        <w:t>a</w:t>
      </w:r>
      <w:r w:rsidRPr="00EE1E0C">
        <w:t xml:space="preserve">garnas placering är i övrigt ointressant ur tingsrättens </w:t>
      </w:r>
      <w:r w:rsidRPr="00EE1E0C">
        <w:t>synvinkel. En annan sak är att tingsrättens domare kan ha synpunkter på hur åklagarna sköter sitt arbete under huvudförhandlingen, synpunkter som kan ha samband med hur åklagarna organiserar sitt arbete och då också var de är placerade (jfr del 3). När det slutligen gäller häktenas placering finns samma problem som med åklagarnas placering–tiden för när en förhandling hålls kan påverkas om det är långt mellan tingsrätt och häkte. Även här kan finnas invändningar att placeringen av ett häkte kan försämra för</w:t>
      </w:r>
      <w:r w:rsidRPr="00EE1E0C">
        <w:t>undersökningarnas kvalitet (se nedan och Riksdagens revisorer 1998).</w:t>
      </w:r>
    </w:p>
    <w:p w:rsidR="00031A3F" w:rsidRPr="00EE1E0C" w:rsidRDefault="00031A3F">
      <w:pPr>
        <w:pStyle w:val="Normaltindrag"/>
      </w:pPr>
      <w:r w:rsidRPr="00EE1E0C">
        <w:t>Tingsrätternas arbetsbelastning räknat i antalet inkomna brottmål har p</w:t>
      </w:r>
      <w:r w:rsidRPr="00EE1E0C">
        <w:t>å</w:t>
      </w:r>
      <w:r w:rsidRPr="00EE1E0C">
        <w:t>verkats av polisens och åklagarnas omorganisation. Närpolisreformen inle</w:t>
      </w:r>
      <w:r w:rsidRPr="00EE1E0C">
        <w:t>d</w:t>
      </w:r>
      <w:r w:rsidRPr="00EE1E0C">
        <w:t>des 1994 och ansågs avslutad 1997. Den nya organisationen för åklagarna började gälla den 1 juli 1996. Nedgången i antalet inkomna brottmål mellan 1994 och 1995 var sju procent. Mellan 1995 och 1996 uppgick minskningen till 16 procent. Minskningarna kan i viss utsträckning förklaras av lagän</w:t>
      </w:r>
      <w:r w:rsidRPr="00EE1E0C">
        <w:t>d</w:t>
      </w:r>
      <w:r w:rsidRPr="00EE1E0C">
        <w:t>ringar, t.ex. avkriminalisering av vissa brott, särskilda restriktioner för åta</w:t>
      </w:r>
      <w:r w:rsidRPr="00EE1E0C">
        <w:t>l</w:t>
      </w:r>
      <w:r w:rsidRPr="00EE1E0C">
        <w:t>s</w:t>
      </w:r>
      <w:r w:rsidRPr="00EE1E0C">
        <w:softHyphen/>
        <w:t>prövning och utvidgade möjligheter till strafföreläggande. Rege</w:t>
      </w:r>
      <w:r w:rsidRPr="00EE1E0C">
        <w:t>ringen men</w:t>
      </w:r>
      <w:r w:rsidRPr="00EE1E0C">
        <w:t>a</w:t>
      </w:r>
      <w:r w:rsidRPr="00EE1E0C">
        <w:t>de i budgetpropositionen för 1998 att den minskade måltillströmningen i viss utsträckning kunde hänföras till övergångsproblem i samband med åklaga</w:t>
      </w:r>
      <w:r w:rsidRPr="00EE1E0C">
        <w:t>r</w:t>
      </w:r>
      <w:r w:rsidRPr="00EE1E0C">
        <w:t>väsendets omorganisation 1996. Regeringen gjorde också bedömningen att en viss ökning av antalet inkommande brottmål kunde förväntas, när effe</w:t>
      </w:r>
      <w:r w:rsidRPr="00EE1E0C">
        <w:t>k</w:t>
      </w:r>
      <w:r w:rsidRPr="00EE1E0C">
        <w:t>terna av omorganisationerna inom polisen och åklagarväsendet slog igenom. Dessutom menade man att insatserna för att bekämpa den ekonomiska brottsligheten skulle leda till ökad måltillströmning. Mellan 1997 och</w:t>
      </w:r>
      <w:r w:rsidRPr="00EE1E0C">
        <w:t xml:space="preserve"> 1998 ökade antalet inkomna brottmål med drygt fyra procent. Antalet avgjorda brottmål vid tingsrätterna följer i stort sett antalet inkomna. Målutvecklingen för brottmål framgår av tabellen nedan.</w:t>
      </w:r>
    </w:p>
    <w:p w:rsidR="00031A3F" w:rsidRPr="00EE1E0C" w:rsidRDefault="00031A3F">
      <w:pPr>
        <w:pStyle w:val="Normaltindrag"/>
      </w:pPr>
    </w:p>
    <w:p w:rsidR="00031A3F" w:rsidRPr="00EE1E0C" w:rsidRDefault="00031A3F">
      <w:pPr>
        <w:pStyle w:val="Tabellrubrik"/>
      </w:pPr>
      <w:r w:rsidRPr="00EE1E0C">
        <w:t>Tabell 1.10 Inkomna brottmål till tingsrätterna, 1994-1997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853"/>
        <w:gridCol w:w="853"/>
        <w:gridCol w:w="853"/>
        <w:gridCol w:w="853"/>
        <w:gridCol w:w="853"/>
      </w:tblGrid>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 xml:space="preserve">År </w:t>
            </w:r>
          </w:p>
        </w:tc>
        <w:tc>
          <w:tcPr>
            <w:tcW w:w="853" w:type="dxa"/>
          </w:tcPr>
          <w:p w:rsidR="00031A3F" w:rsidRPr="00EE1E0C" w:rsidRDefault="00031A3F">
            <w:pPr>
              <w:pStyle w:val="Normaltindrag"/>
              <w:ind w:firstLine="0"/>
            </w:pPr>
            <w:r w:rsidRPr="00EE1E0C">
              <w:t>1994</w:t>
            </w:r>
          </w:p>
        </w:tc>
        <w:tc>
          <w:tcPr>
            <w:tcW w:w="853" w:type="dxa"/>
          </w:tcPr>
          <w:p w:rsidR="00031A3F" w:rsidRPr="00EE1E0C" w:rsidRDefault="00031A3F">
            <w:pPr>
              <w:pStyle w:val="Normaltindrag"/>
              <w:ind w:firstLine="0"/>
            </w:pPr>
            <w:r w:rsidRPr="00EE1E0C">
              <w:t>1995</w:t>
            </w:r>
          </w:p>
        </w:tc>
        <w:tc>
          <w:tcPr>
            <w:tcW w:w="853" w:type="dxa"/>
          </w:tcPr>
          <w:p w:rsidR="00031A3F" w:rsidRPr="00EE1E0C" w:rsidRDefault="00031A3F">
            <w:pPr>
              <w:pStyle w:val="Normaltindrag"/>
              <w:ind w:firstLine="0"/>
            </w:pPr>
            <w:r w:rsidRPr="00EE1E0C">
              <w:t>1996</w:t>
            </w:r>
          </w:p>
        </w:tc>
        <w:tc>
          <w:tcPr>
            <w:tcW w:w="853" w:type="dxa"/>
          </w:tcPr>
          <w:p w:rsidR="00031A3F" w:rsidRPr="00EE1E0C" w:rsidRDefault="00031A3F">
            <w:pPr>
              <w:pStyle w:val="Normaltindrag"/>
              <w:ind w:firstLine="0"/>
            </w:pPr>
            <w:r w:rsidRPr="00EE1E0C">
              <w:t>1997</w:t>
            </w:r>
          </w:p>
        </w:tc>
        <w:tc>
          <w:tcPr>
            <w:tcW w:w="853" w:type="dxa"/>
          </w:tcPr>
          <w:p w:rsidR="00031A3F" w:rsidRPr="00EE1E0C" w:rsidRDefault="00031A3F">
            <w:pPr>
              <w:pStyle w:val="Normaltindrag"/>
              <w:ind w:firstLine="0"/>
            </w:pPr>
            <w:r w:rsidRPr="00EE1E0C">
              <w:t>1998</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Inkomna brottmål</w:t>
            </w:r>
          </w:p>
        </w:tc>
        <w:tc>
          <w:tcPr>
            <w:tcW w:w="853" w:type="dxa"/>
          </w:tcPr>
          <w:p w:rsidR="00031A3F" w:rsidRPr="00EE1E0C" w:rsidRDefault="00031A3F">
            <w:pPr>
              <w:pStyle w:val="Normaltindrag"/>
              <w:ind w:firstLine="0"/>
              <w:jc w:val="right"/>
            </w:pPr>
            <w:r w:rsidRPr="00EE1E0C">
              <w:t>75 196</w:t>
            </w:r>
          </w:p>
        </w:tc>
        <w:tc>
          <w:tcPr>
            <w:tcW w:w="853" w:type="dxa"/>
          </w:tcPr>
          <w:p w:rsidR="00031A3F" w:rsidRPr="00EE1E0C" w:rsidRDefault="00031A3F">
            <w:pPr>
              <w:pStyle w:val="Normaltindrag"/>
              <w:ind w:firstLine="0"/>
              <w:jc w:val="right"/>
            </w:pPr>
            <w:r w:rsidRPr="00EE1E0C">
              <w:t>69 839</w:t>
            </w:r>
          </w:p>
        </w:tc>
        <w:tc>
          <w:tcPr>
            <w:tcW w:w="853" w:type="dxa"/>
          </w:tcPr>
          <w:p w:rsidR="00031A3F" w:rsidRPr="00EE1E0C" w:rsidRDefault="00031A3F">
            <w:pPr>
              <w:pStyle w:val="Normaltindrag"/>
              <w:ind w:firstLine="0"/>
              <w:jc w:val="right"/>
            </w:pPr>
            <w:r w:rsidRPr="00EE1E0C">
              <w:t>59 589</w:t>
            </w:r>
          </w:p>
        </w:tc>
        <w:tc>
          <w:tcPr>
            <w:tcW w:w="853" w:type="dxa"/>
          </w:tcPr>
          <w:p w:rsidR="00031A3F" w:rsidRPr="00EE1E0C" w:rsidRDefault="00031A3F">
            <w:pPr>
              <w:pStyle w:val="Normaltindrag"/>
              <w:ind w:firstLine="0"/>
              <w:jc w:val="right"/>
            </w:pPr>
            <w:r w:rsidRPr="00EE1E0C">
              <w:t>58 512</w:t>
            </w:r>
          </w:p>
        </w:tc>
        <w:tc>
          <w:tcPr>
            <w:tcW w:w="853" w:type="dxa"/>
          </w:tcPr>
          <w:p w:rsidR="00031A3F" w:rsidRPr="00EE1E0C" w:rsidRDefault="00031A3F">
            <w:pPr>
              <w:pStyle w:val="Normaltindrag"/>
              <w:ind w:firstLine="0"/>
              <w:jc w:val="right"/>
            </w:pPr>
            <w:r w:rsidRPr="00EE1E0C">
              <w:t>61 085</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Avgjorda brottmål</w:t>
            </w:r>
          </w:p>
        </w:tc>
        <w:tc>
          <w:tcPr>
            <w:tcW w:w="853" w:type="dxa"/>
          </w:tcPr>
          <w:p w:rsidR="00031A3F" w:rsidRPr="00EE1E0C" w:rsidRDefault="00031A3F">
            <w:pPr>
              <w:pStyle w:val="Normaltindrag"/>
              <w:ind w:firstLine="0"/>
              <w:jc w:val="right"/>
            </w:pPr>
            <w:r w:rsidRPr="00EE1E0C">
              <w:t>75 943</w:t>
            </w:r>
          </w:p>
        </w:tc>
        <w:tc>
          <w:tcPr>
            <w:tcW w:w="853" w:type="dxa"/>
          </w:tcPr>
          <w:p w:rsidR="00031A3F" w:rsidRPr="00EE1E0C" w:rsidRDefault="00031A3F">
            <w:pPr>
              <w:pStyle w:val="Normaltindrag"/>
              <w:ind w:firstLine="0"/>
              <w:jc w:val="right"/>
            </w:pPr>
            <w:r w:rsidRPr="00EE1E0C">
              <w:t>69 882</w:t>
            </w:r>
          </w:p>
        </w:tc>
        <w:tc>
          <w:tcPr>
            <w:tcW w:w="853" w:type="dxa"/>
          </w:tcPr>
          <w:p w:rsidR="00031A3F" w:rsidRPr="00EE1E0C" w:rsidRDefault="00031A3F">
            <w:pPr>
              <w:pStyle w:val="Normaltindrag"/>
              <w:ind w:firstLine="0"/>
              <w:jc w:val="right"/>
            </w:pPr>
            <w:r w:rsidRPr="00EE1E0C">
              <w:t>61 202</w:t>
            </w:r>
          </w:p>
        </w:tc>
        <w:tc>
          <w:tcPr>
            <w:tcW w:w="853" w:type="dxa"/>
          </w:tcPr>
          <w:p w:rsidR="00031A3F" w:rsidRPr="00EE1E0C" w:rsidRDefault="00031A3F">
            <w:pPr>
              <w:pStyle w:val="Normaltindrag"/>
              <w:ind w:firstLine="0"/>
              <w:jc w:val="right"/>
            </w:pPr>
            <w:r w:rsidRPr="00EE1E0C">
              <w:t>57 378</w:t>
            </w:r>
          </w:p>
        </w:tc>
        <w:tc>
          <w:tcPr>
            <w:tcW w:w="853" w:type="dxa"/>
          </w:tcPr>
          <w:p w:rsidR="00031A3F" w:rsidRPr="00EE1E0C" w:rsidRDefault="00031A3F">
            <w:pPr>
              <w:pStyle w:val="Normaltindrag"/>
              <w:ind w:firstLine="0"/>
              <w:jc w:val="right"/>
            </w:pPr>
            <w:r w:rsidRPr="00EE1E0C">
              <w:t>58 324</w:t>
            </w:r>
          </w:p>
        </w:tc>
      </w:tr>
    </w:tbl>
    <w:p w:rsidR="00031A3F" w:rsidRPr="00EE1E0C" w:rsidRDefault="00031A3F">
      <w:pPr>
        <w:pStyle w:val="Tabellrubrik"/>
        <w:rPr>
          <w:i/>
        </w:rPr>
      </w:pPr>
      <w:r w:rsidRPr="00EE1E0C">
        <w:rPr>
          <w:b w:val="0"/>
          <w:i/>
        </w:rPr>
        <w:t>Källa:Domstolsverket</w:t>
      </w:r>
    </w:p>
    <w:p w:rsidR="00031A3F" w:rsidRPr="00EE1E0C" w:rsidRDefault="00031A3F">
      <w:r w:rsidRPr="00EE1E0C">
        <w:t>I budgetpropositionen för 1999 anför regeringen att den minskade måltil</w:t>
      </w:r>
      <w:r w:rsidRPr="00EE1E0C">
        <w:t>l</w:t>
      </w:r>
      <w:r w:rsidRPr="00EE1E0C">
        <w:t>strömningen inte lett till en motsvarande minskning av domstolarnas arbet</w:t>
      </w:r>
      <w:r w:rsidRPr="00EE1E0C">
        <w:t>s</w:t>
      </w:r>
      <w:r w:rsidRPr="00EE1E0C">
        <w:t>belastning. De mål som minskat i antal utgörs till stor del av mindre omfa</w:t>
      </w:r>
      <w:r w:rsidRPr="00EE1E0C">
        <w:t>t</w:t>
      </w:r>
      <w:r w:rsidRPr="00EE1E0C">
        <w:t>tande mål. Att så är fallet bekräftas enligt regeringen av att tingsrätternas genomsnittliga förhandlingstid vid muntliga förhandlingar för brottmål ökade under perioden 1993/94–1997 med nä</w:t>
      </w:r>
      <w:r w:rsidRPr="00EE1E0C">
        <w:t>r</w:t>
      </w:r>
      <w:r w:rsidRPr="00EE1E0C">
        <w:t xml:space="preserve">mare 19 minuter per mål. </w:t>
      </w:r>
    </w:p>
    <w:p w:rsidR="00031A3F" w:rsidRPr="00EE1E0C" w:rsidRDefault="00031A3F">
      <w:pPr>
        <w:pStyle w:val="Rubrik1"/>
      </w:pPr>
      <w:bookmarkStart w:id="186" w:name="_Toc443275836"/>
      <w:bookmarkStart w:id="187" w:name="_Toc448905748"/>
      <w:bookmarkStart w:id="188" w:name="_Toc466264184"/>
      <w:r w:rsidRPr="00EE1E0C">
        <w:t>Häkten</w:t>
      </w:r>
      <w:bookmarkEnd w:id="186"/>
      <w:bookmarkEnd w:id="187"/>
      <w:bookmarkEnd w:id="188"/>
      <w:r w:rsidRPr="00EE1E0C">
        <w:t xml:space="preserve"> </w:t>
      </w:r>
    </w:p>
    <w:p w:rsidR="00031A3F" w:rsidRPr="00EE1E0C" w:rsidRDefault="00031A3F">
      <w:r w:rsidRPr="00EE1E0C">
        <w:t>I häkte vistas gripna, anhållna eller häktade personer. Vidare förvaras i häkte personer som omhändertagits med stöd av olika lagrum, såsom utlänningsl</w:t>
      </w:r>
      <w:r w:rsidRPr="00EE1E0C">
        <w:t>a</w:t>
      </w:r>
      <w:r w:rsidRPr="00EE1E0C">
        <w:t>gen, lagen om vård av unga, lagen om vård av missbrukare eller lagen om rättspsykiatrisk vård. Den genomsnittliga vistelsetiden i häkte för den som är häktad är mellan en och två månader. För övriga kategorier som tas in i häkte är vistelsetiden betydligt kort</w:t>
      </w:r>
      <w:r w:rsidRPr="00EE1E0C">
        <w:t>a</w:t>
      </w:r>
      <w:r w:rsidRPr="00EE1E0C">
        <w:t xml:space="preserve">re. </w:t>
      </w:r>
    </w:p>
    <w:p w:rsidR="00031A3F" w:rsidRPr="00EE1E0C" w:rsidRDefault="00031A3F">
      <w:pPr>
        <w:pStyle w:val="Normaltindrag"/>
      </w:pPr>
      <w:r w:rsidRPr="00EE1E0C">
        <w:t>Sverige hade den 1 januari 1998 sammanlagt 27 häkten. Samtliga län i landet har häkten bortsett från Hallands och Jämtlands län. När avståndet är stort mellan utredande polis och häkte innebär det resor och transporter me</w:t>
      </w:r>
      <w:r w:rsidRPr="00EE1E0C">
        <w:t>l</w:t>
      </w:r>
      <w:r w:rsidRPr="00EE1E0C">
        <w:t>lan polishus och häkte, häkte och tingsrätt samt mellan häkte och anstalt. Polisen, häktet, transporttjänsten och i vissa fall åklagare och anhöriga berörs av dessa resor och transporter. Häkten finns på fö</w:t>
      </w:r>
      <w:r w:rsidRPr="00EE1E0C">
        <w:t>l</w:t>
      </w:r>
      <w:r w:rsidRPr="00EE1E0C">
        <w:t xml:space="preserve">jande orter. </w:t>
      </w:r>
    </w:p>
    <w:p w:rsidR="00031A3F" w:rsidRPr="00EE1E0C" w:rsidRDefault="00031A3F">
      <w:pPr>
        <w:numPr>
          <w:ilvl w:val="0"/>
          <w:numId w:val="120"/>
        </w:numPr>
      </w:pPr>
      <w:r w:rsidRPr="00EE1E0C">
        <w:rPr>
          <w:b/>
        </w:rPr>
        <w:t>Stockholmsregionen</w:t>
      </w:r>
      <w:r w:rsidRPr="00EE1E0C">
        <w:t xml:space="preserve">: Huddinge, Stockholm, Österåker. </w:t>
      </w:r>
    </w:p>
    <w:p w:rsidR="00031A3F" w:rsidRPr="00EE1E0C" w:rsidRDefault="00031A3F">
      <w:pPr>
        <w:numPr>
          <w:ilvl w:val="0"/>
          <w:numId w:val="120"/>
        </w:numPr>
      </w:pPr>
      <w:r w:rsidRPr="00EE1E0C">
        <w:rPr>
          <w:b/>
        </w:rPr>
        <w:t>Norrköpingsregionen</w:t>
      </w:r>
      <w:r w:rsidRPr="00EE1E0C">
        <w:t xml:space="preserve">: Kalmar, Norrköping, Nyköping, Visby. </w:t>
      </w:r>
    </w:p>
    <w:p w:rsidR="00031A3F" w:rsidRPr="00EE1E0C" w:rsidRDefault="00031A3F">
      <w:pPr>
        <w:numPr>
          <w:ilvl w:val="0"/>
          <w:numId w:val="120"/>
        </w:numPr>
      </w:pPr>
      <w:r w:rsidRPr="00EE1E0C">
        <w:rPr>
          <w:b/>
        </w:rPr>
        <w:t>Malmöregionen</w:t>
      </w:r>
      <w:r w:rsidRPr="00EE1E0C">
        <w:t>: Helsingborg, Karlskrona, Kristianstad, Malmö, Tre</w:t>
      </w:r>
      <w:r w:rsidRPr="00EE1E0C">
        <w:t>l</w:t>
      </w:r>
      <w:r w:rsidRPr="00EE1E0C">
        <w:t xml:space="preserve">leborg, Växjö. </w:t>
      </w:r>
    </w:p>
    <w:p w:rsidR="00031A3F" w:rsidRPr="00EE1E0C" w:rsidRDefault="00031A3F">
      <w:pPr>
        <w:numPr>
          <w:ilvl w:val="0"/>
          <w:numId w:val="120"/>
        </w:numPr>
      </w:pPr>
      <w:r w:rsidRPr="00EE1E0C">
        <w:rPr>
          <w:b/>
        </w:rPr>
        <w:t>Göteborgsregionen</w:t>
      </w:r>
      <w:r w:rsidRPr="00EE1E0C">
        <w:t>: Borås, Göteborg, Jönköping, Mariestad, Uddeva</w:t>
      </w:r>
      <w:r w:rsidRPr="00EE1E0C">
        <w:t>l</w:t>
      </w:r>
      <w:r w:rsidRPr="00EE1E0C">
        <w:t xml:space="preserve">la. </w:t>
      </w:r>
    </w:p>
    <w:p w:rsidR="00031A3F" w:rsidRPr="00EE1E0C" w:rsidRDefault="00031A3F">
      <w:pPr>
        <w:numPr>
          <w:ilvl w:val="0"/>
          <w:numId w:val="120"/>
        </w:numPr>
      </w:pPr>
      <w:r w:rsidRPr="00EE1E0C">
        <w:rPr>
          <w:b/>
        </w:rPr>
        <w:t>Örebroregionen</w:t>
      </w:r>
      <w:r w:rsidRPr="00EE1E0C">
        <w:t xml:space="preserve">: Falun, Karlstad, Uppsala, Västerås, Örebro. </w:t>
      </w:r>
    </w:p>
    <w:p w:rsidR="00031A3F" w:rsidRPr="00EE1E0C" w:rsidRDefault="00031A3F">
      <w:pPr>
        <w:numPr>
          <w:ilvl w:val="0"/>
          <w:numId w:val="120"/>
        </w:numPr>
      </w:pPr>
      <w:r w:rsidRPr="00EE1E0C">
        <w:rPr>
          <w:b/>
        </w:rPr>
        <w:t>Härnösand</w:t>
      </w:r>
      <w:r w:rsidRPr="00EE1E0C">
        <w:rPr>
          <w:b/>
        </w:rPr>
        <w:t>s</w:t>
      </w:r>
      <w:r w:rsidRPr="00EE1E0C">
        <w:rPr>
          <w:b/>
        </w:rPr>
        <w:t>regionen</w:t>
      </w:r>
      <w:r w:rsidRPr="00EE1E0C">
        <w:t>: Gävle, Härnösand, Umeå, Luleå.</w:t>
      </w:r>
    </w:p>
    <w:p w:rsidR="00031A3F" w:rsidRPr="00EE1E0C" w:rsidRDefault="00031A3F">
      <w:r w:rsidRPr="00EE1E0C">
        <w:t>Riksdagens revisorer har granskat häktesnedläggningen i Östersund (</w:t>
      </w:r>
      <w:r w:rsidRPr="00EE1E0C">
        <w:rPr>
          <w:i/>
        </w:rPr>
        <w:t>Ne</w:t>
      </w:r>
      <w:r w:rsidRPr="00EE1E0C">
        <w:rPr>
          <w:i/>
        </w:rPr>
        <w:t>d</w:t>
      </w:r>
      <w:r w:rsidRPr="00EE1E0C">
        <w:rPr>
          <w:i/>
        </w:rPr>
        <w:t>läggningen av häktet i Östersund</w:t>
      </w:r>
      <w:r w:rsidRPr="00EE1E0C">
        <w:t>, rapport 1997/98:7). Revisorernas rapport visar de problem som är förknippade med avsaknaden av ett häkte. Exempel på problem är långa transporter och ökade kostnader för främst polisen. Vidare har de häktade sämre möjligheter till kontakt med sin advokat och sina anhöriga. Revisorerna konstaterade även att det finns risk för sämre utredningar då häktet ligger långt från den utredande enheten inom polisen.</w:t>
      </w:r>
    </w:p>
    <w:p w:rsidR="00031A3F" w:rsidRPr="00EE1E0C" w:rsidRDefault="00031A3F">
      <w:pPr>
        <w:pStyle w:val="Normaltindrag"/>
      </w:pPr>
      <w:r w:rsidRPr="00EE1E0C">
        <w:t xml:space="preserve">Medelbeläggningen vid häktena i Sverige har sjunkit sedan år 1993 </w:t>
      </w:r>
      <w:r w:rsidRPr="00EE1E0C">
        <w:t>och uppgick år 1997 till 38 procent. Minskningen beror i huvudsak på att antalet kl</w:t>
      </w:r>
      <w:r w:rsidRPr="00EE1E0C">
        <w:t>i</w:t>
      </w:r>
      <w:r w:rsidRPr="00EE1E0C">
        <w:t>enter som väntar på anstaltsplats och personer tagna i förvar enligt utlän</w:t>
      </w:r>
      <w:r w:rsidRPr="00EE1E0C">
        <w:softHyphen/>
        <w:t>nings</w:t>
      </w:r>
      <w:r w:rsidRPr="00EE1E0C">
        <w:softHyphen/>
      </w:r>
      <w:r w:rsidRPr="00EE1E0C">
        <w:softHyphen/>
        <w:t>lagen har sjunkit. Antalet häktningsframställningar har också minskat (Kriminalvård</w:t>
      </w:r>
      <w:r w:rsidRPr="00EE1E0C">
        <w:t>s</w:t>
      </w:r>
      <w:r w:rsidRPr="00EE1E0C">
        <w:t xml:space="preserve">styrelsens årsredovisning för år 1997). </w:t>
      </w:r>
    </w:p>
    <w:p w:rsidR="00031A3F" w:rsidRPr="00EE1E0C" w:rsidRDefault="00031A3F">
      <w:pPr>
        <w:pStyle w:val="Normaltindrag"/>
      </w:pPr>
      <w:r w:rsidRPr="00EE1E0C">
        <w:t>Under 1990-talet har åtgärder vidtagits för att skapa humanare förhålla</w:t>
      </w:r>
      <w:r w:rsidRPr="00EE1E0C">
        <w:t>n</w:t>
      </w:r>
      <w:r w:rsidRPr="00EE1E0C">
        <w:t>den i häktena. Delvis till följd av kritik från Europarådets kommitté för fö</w:t>
      </w:r>
      <w:r w:rsidRPr="00EE1E0C">
        <w:t>r</w:t>
      </w:r>
      <w:r w:rsidRPr="00EE1E0C">
        <w:t>hindrandet av tortyr och inhuman eller förnedrande behandling har lokalmä</w:t>
      </w:r>
      <w:r w:rsidRPr="00EE1E0C">
        <w:t>s</w:t>
      </w:r>
      <w:r w:rsidRPr="00EE1E0C">
        <w:t>siga förändringar planerats vid samtliga häkten. Avsikten med ombyggn</w:t>
      </w:r>
      <w:r w:rsidRPr="00EE1E0C">
        <w:t>a</w:t>
      </w:r>
      <w:r w:rsidRPr="00EE1E0C">
        <w:t xml:space="preserve">derna har varit att möjliggöra gemensamhet under större delen av dagen för häktade utan restriktioner. </w:t>
      </w:r>
    </w:p>
    <w:p w:rsidR="00031A3F" w:rsidRPr="00EE1E0C" w:rsidRDefault="00031A3F">
      <w:pPr>
        <w:pStyle w:val="Normaltindrag"/>
      </w:pPr>
      <w:r w:rsidRPr="00EE1E0C">
        <w:t>Kriminalvården genomgick den 1 januari 1998 en omorganisation. De 140 lokala myndigheterna ersattes med 37 kriminalvårdsmyndigheter. I den nya lokala organisationen bedrivs häktes-, anst</w:t>
      </w:r>
      <w:r w:rsidRPr="00EE1E0C">
        <w:t xml:space="preserve">alts- och frivårdsverksamhet inom samma lokala myndigheter. Därigenom skall verksamhetsmässiga fördelar skapas både i kriminalvårdens inre organisation och i samarbetet med andra myndigheter och organ. Kriminalvården och polisen har även givits större möjligheter att besluta om samarbete vad beträffar bevakningen av gripna och anhållna. </w:t>
      </w:r>
    </w:p>
    <w:p w:rsidR="00031A3F" w:rsidRPr="00EE1E0C" w:rsidRDefault="00031A3F">
      <w:pPr>
        <w:pStyle w:val="Normaltindrag"/>
      </w:pPr>
      <w:r w:rsidRPr="00EE1E0C">
        <w:t>Regeringen har överlämnat till Kriminalvårdsstyrelsen att fatta beslut om häktes- och anstaltsorganisationen inom varje kriminalvårdsmyndighets geografiska verksamhetsområd</w:t>
      </w:r>
      <w:r w:rsidRPr="00EE1E0C">
        <w:t>e med undantag för de häkten och anstalter som utgör egna myndigheter. Kriminalvårdsstyrelsen har således befoge</w:t>
      </w:r>
      <w:r w:rsidRPr="00EE1E0C">
        <w:t>n</w:t>
      </w:r>
      <w:r w:rsidRPr="00EE1E0C">
        <w:t>heter att besluta om häktenas och anstalternas antal och lokalisering och anstalternas indelning i öppna eller slutna anstalter. Kriminalvårdsstyrelsen skall dock samråda med Riksåklagaren, Domstolsverket och Rikspolisstyre</w:t>
      </w:r>
      <w:r w:rsidRPr="00EE1E0C">
        <w:t>l</w:t>
      </w:r>
      <w:r w:rsidRPr="00EE1E0C">
        <w:t>sen samt med berörda tingsrätter, åklagarmyndigheter, länsstyrelser och polismyndigheter innan man fattar beslut om ändringar i häktesorganisati</w:t>
      </w:r>
      <w:r w:rsidRPr="00EE1E0C">
        <w:t>o</w:t>
      </w:r>
      <w:r w:rsidRPr="00EE1E0C">
        <w:t>nen.</w:t>
      </w:r>
    </w:p>
    <w:p w:rsidR="00031A3F" w:rsidRPr="00EE1E0C" w:rsidRDefault="00031A3F">
      <w:pPr>
        <w:pStyle w:val="Rubrik1"/>
      </w:pPr>
      <w:bookmarkStart w:id="189" w:name="_Toc448905920"/>
      <w:r w:rsidRPr="00EE1E0C">
        <w:br w:type="page"/>
      </w:r>
      <w:bookmarkStart w:id="190" w:name="_Toc466264185"/>
      <w:r w:rsidRPr="00EE1E0C">
        <w:t>Del 2  Rättsväsendet i tre län</w:t>
      </w:r>
      <w:bookmarkEnd w:id="189"/>
      <w:bookmarkEnd w:id="190"/>
    </w:p>
    <w:p w:rsidR="00031A3F" w:rsidRPr="00EE1E0C" w:rsidRDefault="00031A3F">
      <w:r w:rsidRPr="00EE1E0C">
        <w:t>Följande avsnitt är ett sammandrag av de iakttagelser och slutsatser som är föranledda av revisorernas granskning av rättsväsendet i Stockholms, Öste</w:t>
      </w:r>
      <w:r w:rsidRPr="00EE1E0C">
        <w:t>r</w:t>
      </w:r>
      <w:r w:rsidRPr="00EE1E0C">
        <w:t>götlands och Västernorrlands län. Granskningen av förhållandena i länen bygger på intervjuer med poliser, åklagare och domare, studiebesök samt genomgång av handlingsplaner och annat skriftligt material. Tre fallstudier har också genomförts. Materialet presenteras i sin helhet i en bilaga. Bilagan kan rekvireras från revisorernas kansli.</w:t>
      </w:r>
    </w:p>
    <w:p w:rsidR="00031A3F" w:rsidRPr="00EE1E0C" w:rsidRDefault="00031A3F">
      <w:pPr>
        <w:pStyle w:val="Rubrik2"/>
      </w:pPr>
      <w:bookmarkStart w:id="191" w:name="_Toc448905921"/>
      <w:bookmarkStart w:id="192" w:name="_Toc466264186"/>
      <w:r w:rsidRPr="00EE1E0C">
        <w:t>Polisväsendet</w:t>
      </w:r>
      <w:bookmarkEnd w:id="191"/>
      <w:bookmarkEnd w:id="192"/>
    </w:p>
    <w:p w:rsidR="00031A3F" w:rsidRPr="00EE1E0C" w:rsidRDefault="00031A3F">
      <w:r w:rsidRPr="00EE1E0C">
        <w:t>Tre polismyndigheter har granskats närmare. Dessa är polismyndigheterna i Stockholms, Östergötlands och Västernorrlands län. I Stockholms län har City polismästardistrikt valts ut för en närmare granskning. Besök och inte</w:t>
      </w:r>
      <w:r w:rsidRPr="00EE1E0C">
        <w:t>r</w:t>
      </w:r>
      <w:r w:rsidRPr="00EE1E0C">
        <w:t>vjuer har genomförts vid de operativa sidoenheterna på Södermalm och Norrmalm samt vid Katarina och Östermalms närpolisområden. Norrköpings polisområde vid polismyndigheten i Östergötlands län har granskats liksom närpolisområdena Norrköping Nord/Väst och Valdemarsvik. I Västernor</w:t>
      </w:r>
      <w:r w:rsidRPr="00EE1E0C">
        <w:t>r</w:t>
      </w:r>
      <w:r w:rsidRPr="00EE1E0C">
        <w:t>lands län har främst Sundsvall Syd och Kramfors närpolisområden gran</w:t>
      </w:r>
      <w:r w:rsidRPr="00EE1E0C">
        <w:t>s</w:t>
      </w:r>
      <w:r w:rsidRPr="00EE1E0C">
        <w:t xml:space="preserve">kats. </w:t>
      </w:r>
    </w:p>
    <w:p w:rsidR="00031A3F" w:rsidRPr="00EE1E0C" w:rsidRDefault="00031A3F">
      <w:pPr>
        <w:pStyle w:val="Rubrik3"/>
      </w:pPr>
      <w:bookmarkStart w:id="193" w:name="_Toc448905922"/>
      <w:bookmarkStart w:id="194" w:name="_Toc454180236"/>
      <w:bookmarkStart w:id="195" w:name="_Toc466264187"/>
      <w:r w:rsidRPr="00EE1E0C">
        <w:t>Polismyndigheterna</w:t>
      </w:r>
      <w:bookmarkEnd w:id="193"/>
      <w:bookmarkEnd w:id="194"/>
      <w:bookmarkEnd w:id="195"/>
      <w:r w:rsidRPr="00EE1E0C">
        <w:t xml:space="preserve"> </w:t>
      </w:r>
    </w:p>
    <w:p w:rsidR="00031A3F" w:rsidRPr="00EE1E0C" w:rsidRDefault="00031A3F">
      <w:r w:rsidRPr="00EE1E0C">
        <w:t>När polismyndigheterna omorganiserades blev förändringarna stora i de områden som motsvarar länen. I samtliga län blev flera polismyndigheter en. Organisationen med en länsomfattande myndighet innebar att en rad funkti</w:t>
      </w:r>
      <w:r w:rsidRPr="00EE1E0C">
        <w:t>o</w:t>
      </w:r>
      <w:r w:rsidRPr="00EE1E0C">
        <w:t>ner kunde centraliseras. Syftet med den nya organisationen var att minska de administrativa kostnaderna och effektivisera ledningen. Detta skulle ske genom en decentralisering av viss operativ polisverksamhet och en central</w:t>
      </w:r>
      <w:r w:rsidRPr="00EE1E0C">
        <w:t>i</w:t>
      </w:r>
      <w:r w:rsidRPr="00EE1E0C">
        <w:t>sering av administrativa arbetsuppgifter. Länsstyrelserna lämnades relativt stor frihet att organisera polisverksamheten i länet vilket har fått som resultat att organisationen skiljer sig åt mellan länen.</w:t>
      </w:r>
    </w:p>
    <w:p w:rsidR="00031A3F" w:rsidRPr="00EE1E0C" w:rsidRDefault="00031A3F">
      <w:pPr>
        <w:pStyle w:val="Normaltindrag"/>
      </w:pPr>
      <w:r w:rsidRPr="00EE1E0C">
        <w:t>Vid en genomgång av polisstyrelseprotokoll framkommer att det i polisst</w:t>
      </w:r>
      <w:r w:rsidRPr="00EE1E0C">
        <w:t>y</w:t>
      </w:r>
      <w:r w:rsidRPr="00EE1E0C">
        <w:t>relsen förekom diskussioner om organisationsformer och indelningen i pol</w:t>
      </w:r>
      <w:r w:rsidRPr="00EE1E0C">
        <w:t>i</w:t>
      </w:r>
      <w:r w:rsidRPr="00EE1E0C">
        <w:t>s</w:t>
      </w:r>
      <w:r w:rsidRPr="00EE1E0C">
        <w:softHyphen/>
        <w:t>områden och närpolisområden. Man gav uttryck för att vilja att vara med och påverka. Besluten fattades dock ofta i linje med länspolismästarens förslag. Kommentarer från polisledningens sida, där man markerade att det var vi</w:t>
      </w:r>
      <w:r w:rsidRPr="00EE1E0C">
        <w:t>k</w:t>
      </w:r>
      <w:r w:rsidRPr="00EE1E0C">
        <w:t>tigt att indelningen i närpolisområden var så ändamålsenlig som möjligt, förekom.</w:t>
      </w:r>
    </w:p>
    <w:p w:rsidR="00031A3F" w:rsidRPr="00EE1E0C" w:rsidRDefault="00031A3F">
      <w:pPr>
        <w:pStyle w:val="Normaltindrag"/>
      </w:pPr>
      <w:r w:rsidRPr="00EE1E0C">
        <w:t>Polismyndigheten i Västernorrlands län genomgick under två år två omo</w:t>
      </w:r>
      <w:r w:rsidRPr="00EE1E0C">
        <w:t>r</w:t>
      </w:r>
      <w:r w:rsidRPr="00EE1E0C">
        <w:t>ganisationer. År 1995 blev fem självständiga polismyndigheter polisomr</w:t>
      </w:r>
      <w:r w:rsidRPr="00EE1E0C">
        <w:t>å</w:t>
      </w:r>
      <w:r w:rsidRPr="00EE1E0C">
        <w:t>den. Den första januari 1997 genomfördes ännu en omorganisation. I Väste</w:t>
      </w:r>
      <w:r w:rsidRPr="00EE1E0C">
        <w:t>r</w:t>
      </w:r>
      <w:r w:rsidRPr="00EE1E0C">
        <w:t>norrlands län är de tidigare självständiga myndigheterna i Härnösand, Kra</w:t>
      </w:r>
      <w:r w:rsidRPr="00EE1E0C">
        <w:t>m</w:t>
      </w:r>
      <w:r w:rsidRPr="00EE1E0C">
        <w:t>fors, Sollefteå och Örnsköldsvik nu närpolisområden. Sundsvalls kommun har delats in i fyra närpolisområden. Kommunerna Ånge och Timrå är också egna närpolisområden. I Kramfors närpolisområde finns vad man kallar närnärpolisområden vilka är underavdelningar till närpolisområdet. Det innebär a</w:t>
      </w:r>
      <w:r w:rsidRPr="00EE1E0C">
        <w:t>tt närpoliser är utplacerade vid mindre polisstationer i Kramfors för att arbeta efter de förutsättningar som råder där. Polismyndigheten i Väste</w:t>
      </w:r>
      <w:r w:rsidRPr="00EE1E0C">
        <w:t>r</w:t>
      </w:r>
      <w:r w:rsidRPr="00EE1E0C">
        <w:t>norrlands län har en länsledningsnivå med en länskriminalavdelning och en länsordningsavde</w:t>
      </w:r>
      <w:r w:rsidRPr="00EE1E0C">
        <w:t>l</w:t>
      </w:r>
      <w:r w:rsidRPr="00EE1E0C">
        <w:t xml:space="preserve">ning. </w:t>
      </w:r>
    </w:p>
    <w:p w:rsidR="00031A3F" w:rsidRPr="00EE1E0C" w:rsidRDefault="00031A3F">
      <w:pPr>
        <w:pStyle w:val="Normaltindrag"/>
      </w:pPr>
      <w:r w:rsidRPr="00EE1E0C">
        <w:t>Vid Polismyndigheten i Östergötlands län finns tre polisområden, Link</w:t>
      </w:r>
      <w:r w:rsidRPr="00EE1E0C">
        <w:t>ö</w:t>
      </w:r>
      <w:r w:rsidRPr="00EE1E0C">
        <w:t>ping, Norrköping och Motala med underliggande närpolisområden. Dessa polisområden samt Mjölby närpolisområde var tidigare polismyndigheter. Omorganisationen i Östergötlands län gjordes också i två steg. År 1994 slogs polismyndigheterna i Mjölby och Motala samman till Motala polismyndi</w:t>
      </w:r>
      <w:r w:rsidRPr="00EE1E0C">
        <w:t>g</w:t>
      </w:r>
      <w:r w:rsidRPr="00EE1E0C">
        <w:t>het. Den 1 januari 1996 fick man i länet den organisation man hade år 1998. De tre polisområdena skall fungera som självständiga enheter med eget bu</w:t>
      </w:r>
      <w:r w:rsidRPr="00EE1E0C">
        <w:t>d</w:t>
      </w:r>
      <w:r w:rsidRPr="00EE1E0C">
        <w:t>get- och resultatansvar. Deras främsta uppgifter är att avlasta närpolisomr</w:t>
      </w:r>
      <w:r w:rsidRPr="00EE1E0C">
        <w:t>å</w:t>
      </w:r>
      <w:r w:rsidRPr="00EE1E0C">
        <w:t>dena och samordna information från ledningen. I polismyndigheten finns sammanlagt 13 närpoliso</w:t>
      </w:r>
      <w:r w:rsidRPr="00EE1E0C">
        <w:t>m</w:t>
      </w:r>
      <w:r w:rsidRPr="00EE1E0C">
        <w:t xml:space="preserve">råden. </w:t>
      </w:r>
    </w:p>
    <w:p w:rsidR="00031A3F" w:rsidRPr="00EE1E0C" w:rsidRDefault="00031A3F">
      <w:pPr>
        <w:pStyle w:val="Normaltindrag"/>
      </w:pPr>
      <w:r w:rsidRPr="00EE1E0C">
        <w:t>I Stockholms län fick polisen en ny organisation den 1 juli 1994. De tid</w:t>
      </w:r>
      <w:r w:rsidRPr="00EE1E0C">
        <w:t>i</w:t>
      </w:r>
      <w:r w:rsidRPr="00EE1E0C">
        <w:t>gare 11 myndigheterna  blev en med sammanlagt åtta polismästardistrikt och 59 underliggande närpolisområden. På länsnivån finns länsgemensamma funktioner såsom kriminalpolis och polisoperativ avdelning. Vid polismä</w:t>
      </w:r>
      <w:r w:rsidRPr="00EE1E0C">
        <w:t>s</w:t>
      </w:r>
      <w:r w:rsidRPr="00EE1E0C">
        <w:t>tardistrikt City har man en operativ huvudenhet med funktioner för bl.a. utredning och trafik. Vidare finns två sidooperativa enheter med ansvar för utryckning och utredningsjour och närpolisen vid  polismästardis</w:t>
      </w:r>
      <w:r w:rsidRPr="00EE1E0C">
        <w:t>t</w:t>
      </w:r>
      <w:r w:rsidRPr="00EE1E0C">
        <w:t xml:space="preserve">riktet. </w:t>
      </w:r>
    </w:p>
    <w:p w:rsidR="00031A3F" w:rsidRPr="00EE1E0C" w:rsidRDefault="00031A3F">
      <w:pPr>
        <w:pStyle w:val="Normaltindrag"/>
      </w:pPr>
      <w:r w:rsidRPr="00EE1E0C">
        <w:t>Polismyndigheten i Västernorrlands län har efter omorganisationen en komm</w:t>
      </w:r>
      <w:r w:rsidRPr="00EE1E0C">
        <w:t>unikationscentral som är placerad i Sundsvall. Därifrån styrs polisi</w:t>
      </w:r>
      <w:r w:rsidRPr="00EE1E0C">
        <w:t>n</w:t>
      </w:r>
      <w:r w:rsidRPr="00EE1E0C">
        <w:t>satserna i hela länet. I Stockholms och Östergötlands län finns kommunik</w:t>
      </w:r>
      <w:r w:rsidRPr="00EE1E0C">
        <w:t>a</w:t>
      </w:r>
      <w:r w:rsidRPr="00EE1E0C">
        <w:t>tionscentraler i princip i samtliga polisområden eller polismästardistrikt. I Östergötlands län finns även kommunikationscentraler som normalt inte längre används men som tas i bruk vid större händelser i det aktuella omr</w:t>
      </w:r>
      <w:r w:rsidRPr="00EE1E0C">
        <w:t>å</w:t>
      </w:r>
      <w:r w:rsidRPr="00EE1E0C">
        <w:t>det. Man har dock för avsikt att skapa länsgemensamma kommunik</w:t>
      </w:r>
      <w:r w:rsidRPr="00EE1E0C">
        <w:t>a</w:t>
      </w:r>
      <w:r w:rsidRPr="00EE1E0C">
        <w:t>tionscentraler i Stockholms och Östergötlands län. Utryckningsverksamheten skulle där</w:t>
      </w:r>
      <w:r w:rsidRPr="00EE1E0C">
        <w:t xml:space="preserve">med liksom i Västernorrland samordnas från en plats i länet. </w:t>
      </w:r>
    </w:p>
    <w:p w:rsidR="00031A3F" w:rsidRPr="00EE1E0C" w:rsidRDefault="00031A3F">
      <w:pPr>
        <w:pStyle w:val="Normaltindrag"/>
      </w:pPr>
      <w:r w:rsidRPr="00EE1E0C">
        <w:t>Polismyndigheternas organisation har utformats på olika sätt beroende på det utgångsläge man haft för polisverksamheten i respektive län. Någon enhetlighet har inte uppnåtts. Som framgår nedan har direktiven från reg</w:t>
      </w:r>
      <w:r w:rsidRPr="00EE1E0C">
        <w:t>e</w:t>
      </w:r>
      <w:r w:rsidRPr="00EE1E0C">
        <w:t>ringen och myndigheterna fått varierande genomslag. Detta är en effekt av att dessa direktiv inte varit detaljerade och således lämnat öppet för tolknin</w:t>
      </w:r>
      <w:r w:rsidRPr="00EE1E0C">
        <w:t>g</w:t>
      </w:r>
      <w:r w:rsidRPr="00EE1E0C">
        <w:t>ar.</w:t>
      </w:r>
    </w:p>
    <w:p w:rsidR="00031A3F" w:rsidRPr="00EE1E0C" w:rsidRDefault="00031A3F">
      <w:pPr>
        <w:pStyle w:val="Rubrik3"/>
      </w:pPr>
      <w:bookmarkStart w:id="196" w:name="_Toc448905923"/>
      <w:bookmarkStart w:id="197" w:name="_Toc454180237"/>
      <w:bookmarkStart w:id="198" w:name="_Toc466264188"/>
      <w:r w:rsidRPr="00EE1E0C">
        <w:t>Organisationen</w:t>
      </w:r>
      <w:bookmarkEnd w:id="196"/>
      <w:bookmarkEnd w:id="197"/>
      <w:bookmarkEnd w:id="198"/>
    </w:p>
    <w:p w:rsidR="00031A3F" w:rsidRPr="00EE1E0C" w:rsidRDefault="00031A3F">
      <w:r w:rsidRPr="00EE1E0C">
        <w:t>Gemensamt för de tre länen är att ledningsfunktioner har centraliserats. Länsledningarna kontrollerar i högre grad än tidigare den operativa verksa</w:t>
      </w:r>
      <w:r w:rsidRPr="00EE1E0C">
        <w:t>m</w:t>
      </w:r>
      <w:r w:rsidRPr="00EE1E0C">
        <w:t xml:space="preserve">heten liksom ekonomin. Närpolisområdena har givits möjlighet att till viss del planera verksamheten i det egna närpolisområdet. Verksamheten styrs dock av direktiv från länsledningen. </w:t>
      </w:r>
    </w:p>
    <w:p w:rsidR="00031A3F" w:rsidRPr="00EE1E0C" w:rsidRDefault="00031A3F">
      <w:pPr>
        <w:pStyle w:val="Normaltindrag"/>
      </w:pPr>
      <w:r w:rsidRPr="00EE1E0C">
        <w:t>Graden av styrning och centralisering varierar mellan länen. Antalet le</w:t>
      </w:r>
      <w:r w:rsidRPr="00EE1E0C">
        <w:t>d</w:t>
      </w:r>
      <w:r w:rsidRPr="00EE1E0C">
        <w:t>ningsnivåer för närpolisen är olika i de tre länen. I Östergötlands och Väste</w:t>
      </w:r>
      <w:r w:rsidRPr="00EE1E0C">
        <w:t>r</w:t>
      </w:r>
      <w:r w:rsidRPr="00EE1E0C">
        <w:t>norrlands polismyndigheter finns det ur närpolisens perspektiv fyra le</w:t>
      </w:r>
      <w:r w:rsidRPr="00EE1E0C">
        <w:t>d</w:t>
      </w:r>
      <w:r w:rsidRPr="00EE1E0C">
        <w:t>ningsnivåer. I Stockholms polismyndighet finns sex ledningsnivåer. De bör dock påpekas att huvudstadens polismyndighet är landets största, och man har ansvar för särskilda polisfunktioner och händelser som är typiska för en huvudstad.</w:t>
      </w:r>
    </w:p>
    <w:p w:rsidR="00031A3F" w:rsidRPr="00EE1E0C" w:rsidRDefault="00031A3F">
      <w:pPr>
        <w:pStyle w:val="Normaltindrag"/>
      </w:pPr>
      <w:r w:rsidRPr="00EE1E0C">
        <w:t>I Östergötlands och Västernorrlands län förekommer det att poliser organ</w:t>
      </w:r>
      <w:r w:rsidRPr="00EE1E0C">
        <w:t>i</w:t>
      </w:r>
      <w:r w:rsidRPr="00EE1E0C">
        <w:t>satoriskt tillhör en enhet men är utplacerade och arbetar i en annan. Vid polismyndigheten i Östergötland finns flera exempel på detta. Myndighet</w:t>
      </w:r>
      <w:r w:rsidRPr="00EE1E0C">
        <w:t>s</w:t>
      </w:r>
      <w:r w:rsidRPr="00EE1E0C">
        <w:t>ledningen och ledningen för de länsgemensamma funktionerna är placerade i Linköping. Den länsoperativa avdelningen med funktioner för operativ sa</w:t>
      </w:r>
      <w:r w:rsidRPr="00EE1E0C">
        <w:t>m</w:t>
      </w:r>
      <w:r w:rsidRPr="00EE1E0C">
        <w:t>ordning och trafikpolis finns både i Linköping och Norrköping. Denna dubblering av funktioner uppges vara en eftergift för konkurrensen mellan städerna. Den kan också vara ett tecken på att man anpassat organisationen e</w:t>
      </w:r>
      <w:r w:rsidRPr="00EE1E0C">
        <w:t>fter verksa</w:t>
      </w:r>
      <w:r w:rsidRPr="00EE1E0C">
        <w:t>m</w:t>
      </w:r>
      <w:r w:rsidRPr="00EE1E0C">
        <w:t xml:space="preserve">heten. </w:t>
      </w:r>
    </w:p>
    <w:p w:rsidR="00031A3F" w:rsidRPr="00EE1E0C" w:rsidRDefault="00031A3F">
      <w:pPr>
        <w:pStyle w:val="Normaltindrag"/>
      </w:pPr>
      <w:r w:rsidRPr="00EE1E0C">
        <w:t>Ett annat exempel är Mjölby närpolisområde. Där arbetar utredare som o</w:t>
      </w:r>
      <w:r w:rsidRPr="00EE1E0C">
        <w:t>r</w:t>
      </w:r>
      <w:r w:rsidRPr="00EE1E0C">
        <w:t xml:space="preserve">ganisatoriskt tillhör utredningsenheten vid Motala polisområde. De utreder brott som begås i Mjölby och har sin arbetsplats i Mjölby, men lyder inte under närpolischefen i Mjölby utan under polisområdeschefen i Motala. Denna ”utplacering” av poliser med olika funktioner innebär således att förändringarna till följd av omorganisationen begränsas. Denna organisation kan uppfattas som en flexibilitet i polisorganisationen men även som ett tecken på stelbenthet. </w:t>
      </w:r>
    </w:p>
    <w:p w:rsidR="00031A3F" w:rsidRPr="00EE1E0C" w:rsidRDefault="00031A3F">
      <w:pPr>
        <w:pStyle w:val="Normaltindrag"/>
      </w:pPr>
    </w:p>
    <w:p w:rsidR="00031A3F" w:rsidRPr="00EE1E0C" w:rsidRDefault="00EE1E0C">
      <w:r w:rsidRPr="00EE1E0C">
        <w:rPr>
          <w:noProof/>
        </w:rPr>
        <mc:AlternateContent>
          <mc:Choice Requires="wps">
            <w:drawing>
              <wp:anchor distT="0" distB="0" distL="114300" distR="114300" simplePos="0" relativeHeight="251625984" behindDoc="1" locked="0" layoutInCell="0" allowOverlap="1">
                <wp:simplePos x="0" y="0"/>
                <wp:positionH relativeFrom="column">
                  <wp:posOffset>-80010</wp:posOffset>
                </wp:positionH>
                <wp:positionV relativeFrom="paragraph">
                  <wp:posOffset>94615</wp:posOffset>
                </wp:positionV>
                <wp:extent cx="3931920" cy="2011680"/>
                <wp:effectExtent l="0" t="0" r="0" b="0"/>
                <wp:wrapNone/>
                <wp:docPr id="12252053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20116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C3AFF" id="Rectangle 14" o:spid="_x0000_s1026" style="position:absolute;margin-left:-6.3pt;margin-top:7.45pt;width:309.6pt;height:158.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" o:allowincell="f" fillcolor="#ddd" stroked="f"/>
            </w:pict>
          </mc:Fallback>
        </mc:AlternateContent>
      </w:r>
      <w:r w:rsidR="00031A3F" w:rsidRPr="00EE1E0C">
        <w:t>Inte mycket har hänt...</w:t>
      </w:r>
    </w:p>
    <w:p w:rsidR="00031A3F" w:rsidRPr="00EE1E0C" w:rsidRDefault="00031A3F">
      <w:r w:rsidRPr="00EE1E0C">
        <w:t>I Östergötlands län har Valdemarsviks närpolisområde ett mer långtgående ansvar än andra närpolisområden då man utreder samtliga ärenden som a</w:t>
      </w:r>
      <w:r w:rsidRPr="00EE1E0C">
        <w:t>n</w:t>
      </w:r>
      <w:r w:rsidRPr="00EE1E0C">
        <w:t>mäls i området och som inte överlämnas till länskriminalen. Närpolisområdet har även ansvar för utryckningsverksamheten i närpolisområdet under dag</w:t>
      </w:r>
      <w:r w:rsidRPr="00EE1E0C">
        <w:softHyphen/>
        <w:t xml:space="preserve">- och kvällstid. </w:t>
      </w:r>
    </w:p>
    <w:p w:rsidR="00031A3F" w:rsidRPr="00EE1E0C" w:rsidRDefault="00031A3F">
      <w:pPr>
        <w:pStyle w:val="Normaltindrag"/>
      </w:pPr>
      <w:r w:rsidRPr="00EE1E0C">
        <w:t>Man har infört periodplanerad arbetstid i samtliga närpolisområden i Nor</w:t>
      </w:r>
      <w:r w:rsidRPr="00EE1E0C">
        <w:t>r</w:t>
      </w:r>
      <w:r w:rsidRPr="00EE1E0C">
        <w:t>köpings polisområde utom i Valdemarsvik. Närpoliserna i Valdemarsvik anser att närpolisreformen haft begränsad betydelse för ett område som Va</w:t>
      </w:r>
      <w:r w:rsidRPr="00EE1E0C">
        <w:t>l</w:t>
      </w:r>
      <w:r w:rsidRPr="00EE1E0C">
        <w:t xml:space="preserve">demarsvik där man alltid arbetat nära medborgarna och med de problem man haft i området. </w:t>
      </w:r>
    </w:p>
    <w:p w:rsidR="00031A3F" w:rsidRPr="00EE1E0C" w:rsidRDefault="00031A3F">
      <w:r w:rsidRPr="00EE1E0C">
        <w:br w:type="page"/>
        <w:t>En hel del har hänt...</w:t>
      </w:r>
    </w:p>
    <w:p w:rsidR="00031A3F" w:rsidRPr="00EE1E0C" w:rsidRDefault="00EE1E0C">
      <w:r w:rsidRPr="00EE1E0C">
        <w:rPr>
          <w:noProof/>
        </w:rPr>
        <mc:AlternateContent>
          <mc:Choice Requires="wps">
            <w:drawing>
              <wp:anchor distT="0" distB="0" distL="114300" distR="114300" simplePos="0" relativeHeight="251627008" behindDoc="1" locked="0" layoutInCell="0" allowOverlap="1">
                <wp:simplePos x="0" y="0"/>
                <wp:positionH relativeFrom="column">
                  <wp:posOffset>-80010</wp:posOffset>
                </wp:positionH>
                <wp:positionV relativeFrom="paragraph">
                  <wp:posOffset>-149860</wp:posOffset>
                </wp:positionV>
                <wp:extent cx="3931920" cy="3383280"/>
                <wp:effectExtent l="0" t="0" r="0" b="0"/>
                <wp:wrapNone/>
                <wp:docPr id="11006905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33832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2A648" id="Rectangle 15" o:spid="_x0000_s1026" style="position:absolute;margin-left:-6.3pt;margin-top:-11.8pt;width:309.6pt;height:266.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" o:allowincell="f" fillcolor="#ddd" stroked="f"/>
            </w:pict>
          </mc:Fallback>
        </mc:AlternateContent>
      </w:r>
      <w:r w:rsidR="00031A3F" w:rsidRPr="00EE1E0C">
        <w:t xml:space="preserve">Mjölby närpolisområde var tidigare en självständig polismyndighet. År 1994 slogs den samman med Motala polismyndighet. Från den 1 januari 1996 är man ett närpolisområde under Motala polisområde. Polisstationen i Mjölby var tidigare öppen dygnet runt men är numera enbart öppen under kontorstid. Närmaste nattöppna station ligger i Motala. Där finns också närmaste arrest. Arresten i polisstationen i Mjölby öppnas endast vid större evenemang på orten. Transporter till arresten i Motala är kostsamma och tar tid </w:t>
      </w:r>
      <w:r w:rsidR="00031A3F" w:rsidRPr="00EE1E0C">
        <w:t>från annat polisarbete. Antalet omhändertaganden enligt lagen om omhändertagande av berusade har minskat sedan omorganisationen genomfördes. Under den tid som omorganisationen av polisen i Mjölby pågick anmäldes färre brott och när kommunikationscentralen i Mjölby stängde minskade antalet ingripanden och medelkötiden ökade kraftigt.</w:t>
      </w:r>
    </w:p>
    <w:p w:rsidR="00031A3F" w:rsidRPr="00EE1E0C" w:rsidRDefault="00031A3F">
      <w:pPr>
        <w:pStyle w:val="Normaltindrag"/>
      </w:pPr>
      <w:r w:rsidRPr="00EE1E0C">
        <w:t>Till följd av omorganisationen har antalet poliser i området minskat. Pol</w:t>
      </w:r>
      <w:r w:rsidRPr="00EE1E0C">
        <w:t>i</w:t>
      </w:r>
      <w:r w:rsidRPr="00EE1E0C">
        <w:t>serna har sällan tid att patrullera närpolisområdet. Således har polisens sy</w:t>
      </w:r>
      <w:r w:rsidRPr="00EE1E0C">
        <w:t>n</w:t>
      </w:r>
      <w:r w:rsidRPr="00EE1E0C">
        <w:t>lighet och tillgänglighet minskat. Flera handlare på orten uttrycker oro för vad man uppfattar som en brist på poliser i området under natten, något som gör att säkerheten minskar. Polisen hinner inte vara på mer än en plats samt</w:t>
      </w:r>
      <w:r w:rsidRPr="00EE1E0C">
        <w:t>i</w:t>
      </w:r>
      <w:r w:rsidRPr="00EE1E0C">
        <w:t>digt vilket gör det lätt för brottslingarna att planera sin verksamhet. Besp</w:t>
      </w:r>
      <w:r w:rsidRPr="00EE1E0C">
        <w:t>a</w:t>
      </w:r>
      <w:r w:rsidRPr="00EE1E0C">
        <w:t>ringarna till följd av omvandlingen från polismyndighet till närpolisområde är osäkra (en fallstudie rörande närpolisområde Mjö</w:t>
      </w:r>
      <w:r w:rsidRPr="00EE1E0C">
        <w:t>lby finns i bil</w:t>
      </w:r>
      <w:r w:rsidRPr="00EE1E0C">
        <w:t>a</w:t>
      </w:r>
      <w:r w:rsidRPr="00EE1E0C">
        <w:t>ga 1).</w:t>
      </w:r>
    </w:p>
    <w:p w:rsidR="00031A3F" w:rsidRPr="00EE1E0C" w:rsidRDefault="00031A3F">
      <w:pPr>
        <w:pStyle w:val="Rubrik3"/>
      </w:pPr>
      <w:bookmarkStart w:id="199" w:name="_Toc448905924"/>
      <w:bookmarkStart w:id="200" w:name="_Toc454180238"/>
      <w:bookmarkStart w:id="201" w:name="_Toc466264189"/>
      <w:r w:rsidRPr="00EE1E0C">
        <w:t>Det problemorienterade arbetssättet</w:t>
      </w:r>
      <w:bookmarkEnd w:id="199"/>
      <w:bookmarkEnd w:id="200"/>
      <w:bookmarkEnd w:id="201"/>
    </w:p>
    <w:p w:rsidR="00031A3F" w:rsidRPr="00EE1E0C" w:rsidRDefault="00031A3F">
      <w:r w:rsidRPr="00EE1E0C">
        <w:t>Trots att Rikspolisstyrelsen har definierat det problemorienterade arbetssättet (se del 1) uppfattas det på olika sätt i de tre länen. Närpolisverksamheten introducerades samtidigt som det problemorienterade arbetssättet. Detta har lett till att närpolisverksamheten förknippas med det problemorienterade arbetssättet, något som strider mot polisledningens riktlinjer. Riktlinjerna innebär att det problemorienterade polisarbetet skall genomsyra all pol</w:t>
      </w:r>
      <w:r w:rsidRPr="00EE1E0C">
        <w:t>i</w:t>
      </w:r>
      <w:r w:rsidRPr="00EE1E0C">
        <w:t>sverksamhet. I Stockholms län har det problemorienterade arbetssättet fått genomslag i närpolisverksamheten, och flera närpoliser menar att de börjat arbeta på ett helt nytt sätt. I Valdemarsvik, Kramfors och Sollefteå anses det problemorienterade arbetssättet inte vara något nytt. Man har alltid känt sitt område och dess pr</w:t>
      </w:r>
      <w:r w:rsidRPr="00EE1E0C">
        <w:t>o</w:t>
      </w:r>
      <w:r w:rsidRPr="00EE1E0C">
        <w:t xml:space="preserve">blem väl. </w:t>
      </w:r>
    </w:p>
    <w:p w:rsidR="00031A3F" w:rsidRPr="00EE1E0C" w:rsidRDefault="00031A3F">
      <w:pPr>
        <w:pStyle w:val="Normaltindrag"/>
      </w:pPr>
      <w:r w:rsidRPr="00EE1E0C">
        <w:t>Det problemorienterade arbetssättet infördes formellt i polisorganisationen innan poliserna fick utbildning på området. Det faktum att utbildningsinsa</w:t>
      </w:r>
      <w:r w:rsidRPr="00EE1E0C">
        <w:t>t</w:t>
      </w:r>
      <w:r w:rsidRPr="00EE1E0C">
        <w:t>serna koncentrerats till närpolischeferna och närpoliserna förstärker bilden att det problemorienterade arbetssättet hör samman med närpolisorganisati</w:t>
      </w:r>
      <w:r w:rsidRPr="00EE1E0C">
        <w:t>o</w:t>
      </w:r>
      <w:r w:rsidRPr="00EE1E0C">
        <w:t>nen. Många närpoliser anger att man inte givits någon fördjupad utbildning i det problemorienterade arbetssättet, utan mer en övergripande utbildning. Flera närpoliser saknar således stöd och metoder för att arbeta på det sätt som förväntas av dem. Intrycket är att polisledningen inte känner till denna brist på vägledning och arbetsmetoder.</w:t>
      </w:r>
    </w:p>
    <w:p w:rsidR="00031A3F" w:rsidRPr="00EE1E0C" w:rsidRDefault="00031A3F">
      <w:pPr>
        <w:pStyle w:val="Normaltindrag"/>
      </w:pPr>
      <w:r w:rsidRPr="00EE1E0C">
        <w:t>Som ett exempel p</w:t>
      </w:r>
      <w:r w:rsidRPr="00EE1E0C">
        <w:t>å lyckat problemorienterat arbete anges ofta ”den vända korvkiosken”. I en svensk stad hade man utanför en järnvägsstation stora problem med cykelstölder. Det fanns också en korvkiosk utanför järnväg</w:t>
      </w:r>
      <w:r w:rsidRPr="00EE1E0C">
        <w:t>s</w:t>
      </w:r>
      <w:r w:rsidRPr="00EE1E0C">
        <w:t>stationen som stod vänd från cykelställen. Man vände på korvkiosken för att genom ökad övervakning minska cykelstölderna. Mycket riktigt minskade cykelstölderna utanför järnvägsstationen. Det finns även andra exempel på lyckade effekter av problemorienterat arbetssätt men dessa är få, och e</w:t>
      </w:r>
      <w:r w:rsidRPr="00EE1E0C">
        <w:t>x</w:t>
      </w:r>
      <w:r w:rsidRPr="00EE1E0C">
        <w:t>emplet med den vända</w:t>
      </w:r>
      <w:r w:rsidRPr="00EE1E0C">
        <w:t xml:space="preserve"> korvkiosken återkommer vid samtal med poliser och andra som arbetar inom rättsväsendet. </w:t>
      </w:r>
    </w:p>
    <w:p w:rsidR="00031A3F" w:rsidRPr="00EE1E0C" w:rsidRDefault="00031A3F">
      <w:pPr>
        <w:pStyle w:val="Normaltindrag"/>
      </w:pPr>
      <w:r w:rsidRPr="00EE1E0C">
        <w:t>Problemorienterat polisarbete tycks betyda olika saker i olika delar av la</w:t>
      </w:r>
      <w:r w:rsidRPr="00EE1E0C">
        <w:t>n</w:t>
      </w:r>
      <w:r w:rsidRPr="00EE1E0C">
        <w:t>det och för olika poliser. Tolkningen av det problemorienterade arbetet ski</w:t>
      </w:r>
      <w:r w:rsidRPr="00EE1E0C">
        <w:t>l</w:t>
      </w:r>
      <w:r w:rsidRPr="00EE1E0C">
        <w:t>jer sig inte minst mellan stora och små städer. För vissa poliser saknar b</w:t>
      </w:r>
      <w:r w:rsidRPr="00EE1E0C">
        <w:t>e</w:t>
      </w:r>
      <w:r w:rsidRPr="00EE1E0C">
        <w:t>greppet problemorienterat arbete innehåll och man saknar metoder för att arbeta problemor</w:t>
      </w:r>
      <w:r w:rsidRPr="00EE1E0C">
        <w:t>i</w:t>
      </w:r>
      <w:r w:rsidRPr="00EE1E0C">
        <w:t xml:space="preserve">enterat. </w:t>
      </w:r>
    </w:p>
    <w:p w:rsidR="00031A3F" w:rsidRPr="00EE1E0C" w:rsidRDefault="00031A3F">
      <w:pPr>
        <w:pStyle w:val="Rubrik3"/>
      </w:pPr>
      <w:bookmarkStart w:id="202" w:name="_Toc448905925"/>
      <w:bookmarkStart w:id="203" w:name="_Toc454180239"/>
      <w:bookmarkStart w:id="204" w:name="_Toc466264190"/>
      <w:r w:rsidRPr="00EE1E0C">
        <w:t>Närpolisen</w:t>
      </w:r>
      <w:bookmarkEnd w:id="202"/>
      <w:bookmarkEnd w:id="203"/>
      <w:bookmarkEnd w:id="204"/>
    </w:p>
    <w:p w:rsidR="00031A3F" w:rsidRPr="00EE1E0C" w:rsidRDefault="00031A3F">
      <w:r w:rsidRPr="00EE1E0C">
        <w:t>Andelen närpoliser av det totala antalet poliser skiljer sig åt mellan de tre lä</w:t>
      </w:r>
      <w:r w:rsidRPr="00EE1E0C">
        <w:softHyphen/>
        <w:t>nen. I Stockholms och Östergötlands län anges 30 procent av poliserna vara närpoliser. I Västernorrland är enligt myndighetens redovisning 45 procent av poliserna närpoliser. Vid myndigheterna redovisas dock andelen när</w:t>
      </w:r>
      <w:r w:rsidRPr="00EE1E0C">
        <w:softHyphen/>
        <w:t>poli</w:t>
      </w:r>
      <w:r w:rsidRPr="00EE1E0C">
        <w:softHyphen/>
        <w:t>ser på skilda sätt. I vissa närpolisområden har man ansvar för en stor del av utredningarna och samtliga utryckningar. Trots det redovisas samtliga poliser som närpoliser. Närpolisområdenas storlek skiljer sig också åt. Örnsköldsvik närpolisområde omfattar 56 000 invånare och all typ a</w:t>
      </w:r>
      <w:r w:rsidRPr="00EE1E0C">
        <w:t>v verksamhet och bebyggelse. I Stockholm finns närpolisområden som omfattar en stadsdel med nästan lika många invånare som Örnsköldsvik. I utkanten av Sundsvall finns närpolisområden med drygt 22 000 invånare till största del bestående av bostadsområden och skolor. Närpolisområde Valdemarsvik omfattar ett samhälle med 9 000 invånare. Där fördubblas antalet invånare under somm</w:t>
      </w:r>
      <w:r w:rsidRPr="00EE1E0C">
        <w:t>a</w:t>
      </w:r>
      <w:r w:rsidRPr="00EE1E0C">
        <w:t xml:space="preserve">ren. Uppenbarligen har samma begrepp olika innebörd i olika områden. Närpolisområdenas arbetsuppgifter varierar beroende på områdets </w:t>
      </w:r>
      <w:r w:rsidRPr="00EE1E0C">
        <w:t>storlek och karaktär. Det gör det svårt att jämföra närpolisområdena med varandra.</w:t>
      </w:r>
    </w:p>
    <w:p w:rsidR="00031A3F" w:rsidRPr="00EE1E0C" w:rsidRDefault="00031A3F">
      <w:pPr>
        <w:pStyle w:val="Normaltindrag"/>
      </w:pPr>
      <w:r w:rsidRPr="00EE1E0C">
        <w:t>Kritiken mot närpolisreformen är – särskilt på de mindre orterna – hård. Man anser att en reform som ursprungligen var avsedd för Stockholms län direkt har överförts på områden som till stora delar består av utpräglad gle</w:t>
      </w:r>
      <w:r w:rsidRPr="00EE1E0C">
        <w:t>s</w:t>
      </w:r>
      <w:r w:rsidRPr="00EE1E0C">
        <w:t>bygd eller mindre samhällen. Poliserna menar att de alltid har arbetat som närpoliser. Dä</w:t>
      </w:r>
      <w:r w:rsidRPr="00EE1E0C">
        <w:t>r</w:t>
      </w:r>
      <w:r w:rsidRPr="00EE1E0C">
        <w:t xml:space="preserve">för blir reformen med ”nya” påbud förvirrande. </w:t>
      </w:r>
    </w:p>
    <w:p w:rsidR="00031A3F" w:rsidRPr="00EE1E0C" w:rsidRDefault="00031A3F">
      <w:pPr>
        <w:pStyle w:val="Normaltindrag"/>
      </w:pPr>
      <w:r w:rsidRPr="00EE1E0C">
        <w:t>Närpolisområdena Kramfors och Sollefteå har under tre år haft tre organ</w:t>
      </w:r>
      <w:r w:rsidRPr="00EE1E0C">
        <w:t>i</w:t>
      </w:r>
      <w:r w:rsidRPr="00EE1E0C">
        <w:t>sationsformer. När länsorganisationen infördes var man egna polismyndi</w:t>
      </w:r>
      <w:r w:rsidRPr="00EE1E0C">
        <w:t>g</w:t>
      </w:r>
      <w:r w:rsidRPr="00EE1E0C">
        <w:t>heter. Därefter infördes länsorganisationen och myndigheterna blev poliso</w:t>
      </w:r>
      <w:r w:rsidRPr="00EE1E0C">
        <w:t>m</w:t>
      </w:r>
      <w:r w:rsidRPr="00EE1E0C">
        <w:t>råden. Två år senare blev polisområdena närpolisområden. Närpoliserna anser dock att de har samma arbetsuppgifter och ansvar som tidigare. Man anger att närpolisverksamheten begränsats för att närpoliserna skall hinna med utrednings- och spaningsverksamhet. Närpoliserna anser att makten över den egna verksamheten har centraliserats trots att syftet med omorgan</w:t>
      </w:r>
      <w:r w:rsidRPr="00EE1E0C">
        <w:t>i</w:t>
      </w:r>
      <w:r w:rsidRPr="00EE1E0C">
        <w:t>sat</w:t>
      </w:r>
      <w:r w:rsidRPr="00EE1E0C">
        <w:t>ionen var en decentralisering. Vid länsordningsavdelningen finns fem övervakningsenheter. Dessa är utplacerade i samtliga större närpolisområden utom Sundsvall. Ordningspoliserna är således placerade vid närpolisomr</w:t>
      </w:r>
      <w:r w:rsidRPr="00EE1E0C">
        <w:t>å</w:t>
      </w:r>
      <w:r w:rsidRPr="00EE1E0C">
        <w:t>den. Närpolischefen har det geografiska ansvaret för närpolisområdet. U</w:t>
      </w:r>
      <w:r w:rsidRPr="00EE1E0C">
        <w:t>t</w:t>
      </w:r>
      <w:r w:rsidRPr="00EE1E0C">
        <w:t>ryckningen styrs och organiseras från länsordningsavdelningen.</w:t>
      </w:r>
    </w:p>
    <w:p w:rsidR="00031A3F" w:rsidRPr="00EE1E0C" w:rsidRDefault="00031A3F">
      <w:pPr>
        <w:pStyle w:val="Rubrik4"/>
      </w:pPr>
      <w:bookmarkStart w:id="205" w:name="_Toc466264191"/>
      <w:r w:rsidRPr="00EE1E0C">
        <w:t>Närpolisens arbete</w:t>
      </w:r>
      <w:bookmarkEnd w:id="205"/>
    </w:p>
    <w:p w:rsidR="00031A3F" w:rsidRPr="00EE1E0C" w:rsidRDefault="00031A3F">
      <w:r w:rsidRPr="00EE1E0C">
        <w:t>Närpolisarbetet varierar mellan närpolisområdena. Arbetet mot uppsatta mål är mycket centralt för närpolisen i Stockholms län. I handlingsplanen anges ett antal mål som skall ligga till grund för arbetet vid närpolisområdena. Dessa är utformade utifrån problemen i närpolisområdet. Målen kan exe</w:t>
      </w:r>
      <w:r w:rsidRPr="00EE1E0C">
        <w:t>m</w:t>
      </w:r>
      <w:r w:rsidRPr="00EE1E0C">
        <w:t>pelvis vara att våldsbrottsligheten, inbrotten och ungdomsbrottsligheten skall minska. I Katarina och Östermalms närpolisområden finns ”målgrupper”. Grupperna har ansvar för arbetet mot var sitt mål. Närpoliserna i Stockholms län skall enligt beslut från länsledningen arbeta mot de uppsatta målen under 50 procent av arbetstiden. Enligt länspolismästaren är detta ett sätt dels att få när</w:t>
      </w:r>
      <w:r w:rsidRPr="00EE1E0C">
        <w:softHyphen/>
        <w:t>poliserna att ägna tid åt arbetet mot sina mål, dels att skydda poliserna från att dras in i annan verksamhet. Denna rege</w:t>
      </w:r>
      <w:r w:rsidRPr="00EE1E0C">
        <w:t>l förstärker intrycket av att närpolisverksamheten är en särskild verksamhet, skild från annan. Regeln innebär också att det problemorienterade arbetssättet kopplas till närpol</w:t>
      </w:r>
      <w:r w:rsidRPr="00EE1E0C">
        <w:t>i</w:t>
      </w:r>
      <w:r w:rsidRPr="00EE1E0C">
        <w:t>sverksamheten, då mycket av den planerade närpolisverksamheten bygger på det problemorienterade arbetssättet. Någon motsvarande regel finns inte i Östergötlands eller Västernorrlands län. Att en stor del av arbetstiden ägnas åt arbete mot ett särskilt mål innebär att poliserna får specialkunskaper inom ett visst o</w:t>
      </w:r>
      <w:r w:rsidRPr="00EE1E0C">
        <w:t>m</w:t>
      </w:r>
      <w:r w:rsidRPr="00EE1E0C">
        <w:t xml:space="preserve">råde. </w:t>
      </w:r>
    </w:p>
    <w:p w:rsidR="00031A3F" w:rsidRPr="00EE1E0C" w:rsidRDefault="00031A3F">
      <w:pPr>
        <w:pStyle w:val="Normaltindrag"/>
      </w:pPr>
      <w:r w:rsidRPr="00EE1E0C">
        <w:t>I närpolisom</w:t>
      </w:r>
      <w:r w:rsidRPr="00EE1E0C">
        <w:t>råde Nord/Väst i Norrköping arbetar poliserna två och två med kontaktansvar för ett geografiskt område. Närpoliserna har även kateg</w:t>
      </w:r>
      <w:r w:rsidRPr="00EE1E0C">
        <w:t>o</w:t>
      </w:r>
      <w:r w:rsidRPr="00EE1E0C">
        <w:t>riansvar. Det innebär att närpoliserna två och två specialiserar sig på ett ämnesområde, exempelvis snatterier, skadegörelsebrott eller våldsbrott. Till grund för utformningen av kategoriansvaret ligger en problemanalys av närpolisområdet. Närpoliserna skall även följa utvecklingen inom området samt arbeta förebyggande. I Västernorrlands län har man utformat mål för arbetet i n</w:t>
      </w:r>
      <w:r w:rsidRPr="00EE1E0C">
        <w:t>ärpolisområdena. I vissa områden finns mål för verksamheten som är mycket detaljerade.</w:t>
      </w:r>
    </w:p>
    <w:p w:rsidR="00031A3F" w:rsidRPr="00EE1E0C" w:rsidRDefault="00EE1E0C">
      <w:pPr>
        <w:pStyle w:val="Normaltindrag"/>
        <w:spacing w:line="240" w:lineRule="exact"/>
      </w:pPr>
      <w:r w:rsidRPr="00EE1E0C">
        <w:rPr>
          <w:noProof/>
        </w:rPr>
        <mc:AlternateContent>
          <mc:Choice Requires="wps">
            <w:drawing>
              <wp:anchor distT="0" distB="0" distL="114300" distR="114300" simplePos="0" relativeHeight="251628032" behindDoc="1" locked="0" layoutInCell="0" allowOverlap="1">
                <wp:simplePos x="0" y="0"/>
                <wp:positionH relativeFrom="column">
                  <wp:posOffset>-80010</wp:posOffset>
                </wp:positionH>
                <wp:positionV relativeFrom="paragraph">
                  <wp:posOffset>68580</wp:posOffset>
                </wp:positionV>
                <wp:extent cx="4023360" cy="1828800"/>
                <wp:effectExtent l="0" t="0" r="0" b="0"/>
                <wp:wrapNone/>
                <wp:docPr id="123167290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828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C2FF" id="Rectangle 16" o:spid="_x0000_s1026" style="position:absolute;margin-left:-6.3pt;margin-top:5.4pt;width:316.8pt;height:2in;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" o:allowincell="f" fillcolor="#ddd" stroked="f"/>
            </w:pict>
          </mc:Fallback>
        </mc:AlternateContent>
      </w:r>
    </w:p>
    <w:p w:rsidR="00031A3F" w:rsidRPr="00EE1E0C" w:rsidRDefault="00031A3F">
      <w:pPr>
        <w:pStyle w:val="Normaltindrag"/>
      </w:pPr>
      <w:r w:rsidRPr="00EE1E0C">
        <w:t>Vid närpolisområdena bedöms värdet av olika typer av arbete på olika sätt. Exempelvis uppskattar poliserna i Stockholms närpolisområden i jämförelse med andra närpolisområden katederundervisningen i lag och rätt i skolan. I Stockholms län undervisar man fortfarande i lag och rätt i skolan och närp</w:t>
      </w:r>
      <w:r w:rsidRPr="00EE1E0C">
        <w:t>o</w:t>
      </w:r>
      <w:r w:rsidRPr="00EE1E0C">
        <w:t>liserna är mycket positiva till detta arbete. Vid de mindre orterna i Östergö</w:t>
      </w:r>
      <w:r w:rsidRPr="00EE1E0C">
        <w:t>t</w:t>
      </w:r>
      <w:r w:rsidRPr="00EE1E0C">
        <w:t>lands och Västernorrlands län ansvarar närpoliserna inte längre för lag- och rättundervisningen utan informerar i skolorna när man blir tillfrågad. Ko</w:t>
      </w:r>
      <w:r w:rsidRPr="00EE1E0C">
        <w:t>n</w:t>
      </w:r>
      <w:r w:rsidRPr="00EE1E0C">
        <w:t>takten upprätthålls genom spontana besök, via samverkansgrupper och om något särskilt händer. Det tyder på att samhällets storlek och graden av rö</w:t>
      </w:r>
      <w:r w:rsidRPr="00EE1E0C">
        <w:t>r</w:t>
      </w:r>
      <w:r w:rsidRPr="00EE1E0C">
        <w:t>lighet påverkar polisens bedömning av vilket behov av att skapa kontakt med eleverna som föreli</w:t>
      </w:r>
      <w:r w:rsidRPr="00EE1E0C">
        <w:t>g</w:t>
      </w:r>
      <w:r w:rsidRPr="00EE1E0C">
        <w:t>ger.</w:t>
      </w:r>
    </w:p>
    <w:p w:rsidR="00031A3F" w:rsidRPr="00EE1E0C" w:rsidRDefault="00031A3F">
      <w:pPr>
        <w:pStyle w:val="Rubrik4"/>
      </w:pPr>
      <w:bookmarkStart w:id="206" w:name="_Toc466264192"/>
      <w:r w:rsidRPr="00EE1E0C">
        <w:t>Handlingsplanen</w:t>
      </w:r>
      <w:bookmarkEnd w:id="206"/>
    </w:p>
    <w:p w:rsidR="00031A3F" w:rsidRPr="00EE1E0C" w:rsidRDefault="00031A3F">
      <w:r w:rsidRPr="00EE1E0C">
        <w:t>I Valdemarsviks närpolisområde har man motsatt sig att göra detaljerade handlingsplaner då man anser sig sakna praktisk användning för dem. Han</w:t>
      </w:r>
      <w:r w:rsidRPr="00EE1E0C">
        <w:t>d</w:t>
      </w:r>
      <w:r w:rsidRPr="00EE1E0C">
        <w:t>lingsplanen i närpolisområdena är ofta en lokal variant på myndighetens handlingsplan. De tre polismyndigheternas handlingsplaner överensstämmer i princip med regeringens regleringsbrev. I Stockholms län har samtliga närpolisområden handlingsplaner. I närpolisområdena Kramfors och Solle</w:t>
      </w:r>
      <w:r w:rsidRPr="00EE1E0C">
        <w:t>f</w:t>
      </w:r>
      <w:r w:rsidRPr="00EE1E0C">
        <w:t>teå har man en gemensam närpolischef och en gemensam handlingsplan, trots att närpolisområdena omfattar två olika kommuner. De närnärpoliso</w:t>
      </w:r>
      <w:r w:rsidRPr="00EE1E0C">
        <w:t>m</w:t>
      </w:r>
      <w:r w:rsidRPr="00EE1E0C">
        <w:t>råden som finns under Kramfors närpolisområde har utformat detaljerade aktivitetspl</w:t>
      </w:r>
      <w:r w:rsidRPr="00EE1E0C">
        <w:t>aner där man beskriver problem och samverkanspartner i området samt hur arbetet skall följas upp.</w:t>
      </w:r>
    </w:p>
    <w:p w:rsidR="00031A3F" w:rsidRPr="00EE1E0C" w:rsidRDefault="00031A3F">
      <w:pPr>
        <w:pStyle w:val="Normaltindrag"/>
      </w:pPr>
      <w:r w:rsidRPr="00EE1E0C">
        <w:t>Handlingsplanen följs upp i de närpolisområden som har en sådan, i vissa områden så ofta som varje månad. Man analyserar då inte minst statistiken över den anmälda brottsligheten. Närpoliserna är dock kritiska till använ</w:t>
      </w:r>
      <w:r w:rsidRPr="00EE1E0C">
        <w:t>d</w:t>
      </w:r>
      <w:r w:rsidRPr="00EE1E0C">
        <w:t>ningen av statistiken då man menar att den inte nödvändigtvis speglar mö</w:t>
      </w:r>
      <w:r w:rsidRPr="00EE1E0C">
        <w:t>r</w:t>
      </w:r>
      <w:r w:rsidRPr="00EE1E0C">
        <w:t>kertalets utveckling. Närpoliserna menar att en effekt av närpolisreformen är att allmänheten har blivit mer benägen att anmäla brott då man lärt känna sin polis. En ökad anmäld brottslighet behöver därför inte innebära att brottsli</w:t>
      </w:r>
      <w:r w:rsidRPr="00EE1E0C">
        <w:t>g</w:t>
      </w:r>
      <w:r w:rsidRPr="00EE1E0C">
        <w:t>heten verkligen har ökat. Polisen anser också att statistiken är alltför känslig för tillfälliga variationer för att utgöra ett användbart styrinstrument. Om verksamheten styrs alltför mycket av statistike</w:t>
      </w:r>
      <w:r w:rsidRPr="00EE1E0C">
        <w:t>n kan insatserna bli missrikt</w:t>
      </w:r>
      <w:r w:rsidRPr="00EE1E0C">
        <w:t>a</w:t>
      </w:r>
      <w:r w:rsidRPr="00EE1E0C">
        <w:t>de. Brottsstatistiken har dock betydelse inte minst vid utformningen av o</w:t>
      </w:r>
      <w:r w:rsidRPr="00EE1E0C">
        <w:t>m</w:t>
      </w:r>
      <w:r w:rsidRPr="00EE1E0C">
        <w:t>rådenas handlingsplaner. Den ligger också till grund för resultatdialogen. Handlingsplanerna följs upp vid budgetårets slut i en resultatdialog mellan länspolismästaren och representanter för Rikspolisstyrelsen. Vid myndigh</w:t>
      </w:r>
      <w:r w:rsidRPr="00EE1E0C">
        <w:t>e</w:t>
      </w:r>
      <w:r w:rsidRPr="00EE1E0C">
        <w:t>terna genomförs också resultatdialoger regionalt och lokalt. Inte i något av de granskade länen kan man påvisa bestående minskad brottslighet under de senaste åren. Minskad brottslighe</w:t>
      </w:r>
      <w:r w:rsidRPr="00EE1E0C">
        <w:t>t var den önskade effekten vid införandet av närpolisverksamheten. Polischefer hänvisar till andra länder där närpol</w:t>
      </w:r>
      <w:r w:rsidRPr="00EE1E0C">
        <w:t>i</w:t>
      </w:r>
      <w:r w:rsidRPr="00EE1E0C">
        <w:t>s</w:t>
      </w:r>
      <w:r w:rsidRPr="00EE1E0C">
        <w:softHyphen/>
        <w:t>verksamhet införts och där effekterna visat sig först efter åtta till tio år.</w:t>
      </w:r>
    </w:p>
    <w:p w:rsidR="00031A3F" w:rsidRPr="00EE1E0C" w:rsidRDefault="00031A3F">
      <w:pPr>
        <w:pStyle w:val="Rubrik4"/>
      </w:pPr>
      <w:bookmarkStart w:id="207" w:name="_Toc466264193"/>
      <w:r w:rsidRPr="00EE1E0C">
        <w:t>En splittrad närpolisverksamhet?</w:t>
      </w:r>
      <w:bookmarkEnd w:id="207"/>
    </w:p>
    <w:p w:rsidR="00031A3F" w:rsidRPr="00EE1E0C" w:rsidRDefault="00031A3F">
      <w:r w:rsidRPr="00EE1E0C">
        <w:t>En mycket vanlig åsikt bland närpoliserna är att närpolisarbetet splittras på grund av att man deltar i arbetet med utredning och utryckning. Detta innebär svårigheter att planera arbetet. Enligt polismyndigheternas handlingsplaner får närpolisens deltagande i ingripandeverksamhet inte störa den planerade verksamheten som är grunden i närpolisverksamheten. Det var också u</w:t>
      </w:r>
      <w:r w:rsidRPr="00EE1E0C">
        <w:t>t</w:t>
      </w:r>
      <w:r w:rsidRPr="00EE1E0C">
        <w:t xml:space="preserve">gångspunkten när närpolisen infördes. </w:t>
      </w:r>
    </w:p>
    <w:p w:rsidR="00031A3F" w:rsidRPr="00EE1E0C" w:rsidRDefault="00031A3F">
      <w:pPr>
        <w:pStyle w:val="Normaltindrag"/>
      </w:pPr>
      <w:r w:rsidRPr="00EE1E0C">
        <w:t>Närpoliser som sökt sig till verksamheten anger att de från ledningen fått uppfattningen om att verksamheten vid närpolisområdena skulle pågå under dagtid och att deltagande i utryckningsverksamheten inte skulle ingå i nä</w:t>
      </w:r>
      <w:r w:rsidRPr="00EE1E0C">
        <w:t>r</w:t>
      </w:r>
      <w:r w:rsidRPr="00EE1E0C">
        <w:t>polisens arbetsuppgifter. Det tyder på att ledningen har haft orealistiska förväntningar på hur närpolisverksamheten skulle kunna bedrivas. Närpoliser vid de granskade polismyndigheterna deltar i olika grad i utryckningsver</w:t>
      </w:r>
      <w:r w:rsidRPr="00EE1E0C">
        <w:t>k</w:t>
      </w:r>
      <w:r w:rsidRPr="00EE1E0C">
        <w:t>samheten. Vid sidan av de arbetspass som närpolisen regelbundet fullgör vid utryckningsverksamheten, deltar man även i utryckningsverksamheten vid stora händelser och under semesterperioder. Det innebär att den planerade verksamheten samt arbetet med kartläggning och analys i de allra f</w:t>
      </w:r>
      <w:r w:rsidRPr="00EE1E0C">
        <w:t>lesta närpolisområden upphör under denna tid. Närpolisverksamheten, i meningen formaliserat samarbete med andra instanser i samhället, är således i praktiken ett vår- och höstfenomen. Utryckningens ”lån” från närpolisverksamheten kan tyda på att utryckningsenheterna är feldimensionerad men det kan också vara ett praktiskt sätt att lösa personalkrävande situationer och således ett tecken på flexibilitet. Det är dock tydligt att närpoliserna ofta känner sig som en resurs åt utryckningsverksa</w:t>
      </w:r>
      <w:r w:rsidRPr="00EE1E0C">
        <w:t>m</w:t>
      </w:r>
      <w:r w:rsidRPr="00EE1E0C">
        <w:t xml:space="preserve">heten.  </w:t>
      </w:r>
    </w:p>
    <w:p w:rsidR="00031A3F" w:rsidRPr="00EE1E0C" w:rsidRDefault="00031A3F">
      <w:pPr>
        <w:pStyle w:val="Normaltindrag"/>
      </w:pPr>
      <w:r w:rsidRPr="00EE1E0C">
        <w:t>Närpolis</w:t>
      </w:r>
      <w:r w:rsidRPr="00EE1E0C">
        <w:t>erna förefaller bli alltmer specialiserade. Att poliser i vissa närp</w:t>
      </w:r>
      <w:r w:rsidRPr="00EE1E0C">
        <w:t>o</w:t>
      </w:r>
      <w:r w:rsidRPr="00EE1E0C">
        <w:t>lisområden är avdelade för att arbeta med ett visst mål gör dessa till speci</w:t>
      </w:r>
      <w:r w:rsidRPr="00EE1E0C">
        <w:t>a</w:t>
      </w:r>
      <w:r w:rsidRPr="00EE1E0C">
        <w:t xml:space="preserve">lister på området. Vid flera närpolisområden har man avdelat poliser för att enbart arbeta med utredning och i vissa fall enbart med utryckning. Det är också tydligt att man efter hand finner organisationsformer som passar det egna området. </w:t>
      </w:r>
    </w:p>
    <w:p w:rsidR="00031A3F" w:rsidRPr="00EE1E0C" w:rsidRDefault="00031A3F">
      <w:pPr>
        <w:pStyle w:val="Rubrik4"/>
      </w:pPr>
      <w:bookmarkStart w:id="208" w:name="_Toc466264194"/>
      <w:r w:rsidRPr="00EE1E0C">
        <w:t>Attityden till närpolisverksamheten</w:t>
      </w:r>
      <w:bookmarkEnd w:id="208"/>
    </w:p>
    <w:p w:rsidR="00031A3F" w:rsidRPr="00EE1E0C" w:rsidRDefault="00031A3F">
      <w:r w:rsidRPr="00EE1E0C">
        <w:t xml:space="preserve">Rikspolisstyrelsens inspektionsenhet har vid upprepade tillfällen påpekat att det i samtliga tre län finns en negativ attityd mot närpoliser bland de andra poliserna i organisationen. Vid införandet av närpolisreformen påpekade man att intresset för närpolisen var svagt även från ledningens sida. </w:t>
      </w:r>
    </w:p>
    <w:p w:rsidR="00031A3F" w:rsidRPr="00EE1E0C" w:rsidRDefault="00031A3F">
      <w:pPr>
        <w:pStyle w:val="Normaltindrag"/>
      </w:pPr>
      <w:r w:rsidRPr="00EE1E0C">
        <w:t>Närpoliserna i Stockholms län och Västernorrlands län anger att de bemöts med misstro. Man menar att det finns en nedlåtande attityd gentemot närpol</w:t>
      </w:r>
      <w:r w:rsidRPr="00EE1E0C">
        <w:t>i</w:t>
      </w:r>
      <w:r w:rsidRPr="00EE1E0C">
        <w:t xml:space="preserve">ser från poliser verksamma inom andra delar av polisorganisationen. Vidare menar man att man inte har samma tillgång till resurser av olika slag som övrig verksamhet. Ledningen i Stockholms län anger att man är medveten om att det finns en nedlåtande attityd gentemot närpolisen, men man anser att det är något som håller på att ändras. Polischeferna och närpoliserna har således skilda uppfattningar om detta. </w:t>
      </w:r>
    </w:p>
    <w:p w:rsidR="00031A3F" w:rsidRPr="00EE1E0C" w:rsidRDefault="00031A3F">
      <w:pPr>
        <w:pStyle w:val="Rubrik3"/>
      </w:pPr>
      <w:bookmarkStart w:id="209" w:name="_Toc448905926"/>
      <w:bookmarkStart w:id="210" w:name="_Toc454180240"/>
      <w:bookmarkStart w:id="211" w:name="_Toc466264195"/>
      <w:r w:rsidRPr="00EE1E0C">
        <w:t>Utredning</w:t>
      </w:r>
      <w:bookmarkEnd w:id="209"/>
      <w:bookmarkEnd w:id="210"/>
      <w:bookmarkEnd w:id="211"/>
    </w:p>
    <w:p w:rsidR="00031A3F" w:rsidRPr="00EE1E0C" w:rsidRDefault="00031A3F">
      <w:r w:rsidRPr="00EE1E0C">
        <w:t>Ansvaret för utredningsarbetet finns på olika nivåer i de granskade länsmy</w:t>
      </w:r>
      <w:r w:rsidRPr="00EE1E0C">
        <w:t>n</w:t>
      </w:r>
      <w:r w:rsidRPr="00EE1E0C">
        <w:t>digheterna. Utredningarna fördelas mellan nivåerna efter en ärendeförde</w:t>
      </w:r>
      <w:r w:rsidRPr="00EE1E0C">
        <w:t>l</w:t>
      </w:r>
      <w:r w:rsidRPr="00EE1E0C">
        <w:t>ningsplan i Stockholms och Östergötlands län. I Västernorrlands län delas utredningarna upp vid anmälningstillfället. I Stockholms län utreds de flesta ärenden av rotlarna vid polismästardistriktet. Utredningsjourerna sköter ärenden som man avslutar inom i princip två veckor, och närpolisområdena utreder främst de enklare brott som begås i närpolisområdet. Länskriminalen utreder de grövre brotten och fungerar som samordnare av den läns</w:t>
      </w:r>
      <w:r w:rsidRPr="00EE1E0C">
        <w:t>övergr</w:t>
      </w:r>
      <w:r w:rsidRPr="00EE1E0C">
        <w:t>i</w:t>
      </w:r>
      <w:r w:rsidRPr="00EE1E0C">
        <w:t>pande brottsligheten. Organisationen innebär således att utredningsverksa</w:t>
      </w:r>
      <w:r w:rsidRPr="00EE1E0C">
        <w:t>m</w:t>
      </w:r>
      <w:r w:rsidRPr="00EE1E0C">
        <w:t xml:space="preserve">heten finns på fyra nivåer. </w:t>
      </w:r>
    </w:p>
    <w:p w:rsidR="00031A3F" w:rsidRPr="00EE1E0C" w:rsidRDefault="00031A3F">
      <w:pPr>
        <w:pStyle w:val="Normaltindrag"/>
      </w:pPr>
      <w:r w:rsidRPr="00EE1E0C">
        <w:t>I Östergötlands län utreds ärenden av länskriminalpolisen i mån av tid. Polisområdets kriminalpolisenhet utreder flest ärenden. Den andel ärenden som redovisats av närpolisen till åklagare uppgick till 40 procent i Östergö</w:t>
      </w:r>
      <w:r w:rsidRPr="00EE1E0C">
        <w:t>t</w:t>
      </w:r>
      <w:r w:rsidRPr="00EE1E0C">
        <w:t>lands län 1998. Närpolisen skall utreda den s.k. vardagsbrottsligheten. Nä</w:t>
      </w:r>
      <w:r w:rsidRPr="00EE1E0C">
        <w:t>r</w:t>
      </w:r>
      <w:r w:rsidRPr="00EE1E0C">
        <w:t>polisområdena Finspång och Valdemarsvik ansvarar i princip för utrednin</w:t>
      </w:r>
      <w:r w:rsidRPr="00EE1E0C">
        <w:t>g</w:t>
      </w:r>
      <w:r w:rsidRPr="00EE1E0C">
        <w:t>en av samtliga anmälda brott inom respektive o</w:t>
      </w:r>
      <w:r w:rsidRPr="00EE1E0C">
        <w:t>m</w:t>
      </w:r>
      <w:r w:rsidRPr="00EE1E0C">
        <w:t>råde.</w:t>
      </w:r>
    </w:p>
    <w:p w:rsidR="00031A3F" w:rsidRPr="00EE1E0C" w:rsidRDefault="00031A3F">
      <w:pPr>
        <w:pStyle w:val="Normaltindrag"/>
      </w:pPr>
      <w:r w:rsidRPr="00EE1E0C">
        <w:t>I Västernorrlands län utreds 85 procent av utredningarna som överlämnas till åklagare vid närpolisområdena, resten av ärendena utreds av länskrim</w:t>
      </w:r>
      <w:r w:rsidRPr="00EE1E0C">
        <w:t>i</w:t>
      </w:r>
      <w:r w:rsidRPr="00EE1E0C">
        <w:t>nalpolisen. Det är tydligt att man vid närpolisområdena i Västernorrland anpassat verksamheten till det stora ansvar man har för utredningsverksa</w:t>
      </w:r>
      <w:r w:rsidRPr="00EE1E0C">
        <w:t>m</w:t>
      </w:r>
      <w:r w:rsidRPr="00EE1E0C">
        <w:t>heten. Exempelvis arbetar en grupp vid närpolisområde Kramfors enbart med utredning och spaning. Vid närpolisområdet anges att man mycket sällan överlämnar ärenden till länskriminalpolisen. Utredningsansvaret efter o</w:t>
      </w:r>
      <w:r w:rsidRPr="00EE1E0C">
        <w:t>m</w:t>
      </w:r>
      <w:r w:rsidRPr="00EE1E0C">
        <w:t>vandlingen från polismyndighet till närpolisområde har således inte förän</w:t>
      </w:r>
      <w:r w:rsidRPr="00EE1E0C">
        <w:t>d</w:t>
      </w:r>
      <w:r w:rsidRPr="00EE1E0C">
        <w:t>rats. I Stockholms län överlämnades 1998 ca 40 procent av ärendena till åk</w:t>
      </w:r>
      <w:r w:rsidRPr="00EE1E0C">
        <w:t>la</w:t>
      </w:r>
      <w:r w:rsidRPr="00EE1E0C">
        <w:softHyphen/>
        <w:t>ga</w:t>
      </w:r>
      <w:r w:rsidRPr="00EE1E0C">
        <w:softHyphen/>
        <w:t>ren från närpolisen. Gemensamt för de tre undersökta myndigheterna är att ansvaret för utredningsverksamheten är spridd i poli</w:t>
      </w:r>
      <w:r w:rsidRPr="00EE1E0C">
        <w:t>s</w:t>
      </w:r>
      <w:r w:rsidRPr="00EE1E0C">
        <w:t>myndigheten.</w:t>
      </w:r>
    </w:p>
    <w:p w:rsidR="00031A3F" w:rsidRPr="00EE1E0C" w:rsidRDefault="00031A3F">
      <w:pPr>
        <w:pStyle w:val="Normaltindrag"/>
      </w:pPr>
      <w:r w:rsidRPr="00EE1E0C">
        <w:t>Polismyndigheterna i Stockholms och Östergötlands län har fått kritik från Rikspolisstyrelsens inspektionsenhet för att ungdomsbrotten utreds vid p</w:t>
      </w:r>
      <w:r w:rsidRPr="00EE1E0C">
        <w:t>o</w:t>
      </w:r>
      <w:r w:rsidRPr="00EE1E0C">
        <w:t>lismästardistriktets rotel eller polisområdets enhet i stället för vid närpol</w:t>
      </w:r>
      <w:r w:rsidRPr="00EE1E0C">
        <w:t>i</w:t>
      </w:r>
      <w:r w:rsidRPr="00EE1E0C">
        <w:t>sområdena. Flera närpolisområden har som mål att bekämpa ungdomsbrott. Detta har föranlett åtgärder från vissa polisområden i Östergötlands län. Vid polismyndigheten i Stockholms län görs utredningarna fortfarande vid p</w:t>
      </w:r>
      <w:r w:rsidRPr="00EE1E0C">
        <w:t>o</w:t>
      </w:r>
      <w:r w:rsidRPr="00EE1E0C">
        <w:t>lismästardistriktens ungdomsrotel. Från polisledningens sida motiverar man detta med att ungdomar inte begår brott i ett och samma närpolisområde utan rör sig över staden. Utredningsrotelns ansvar för dessa utredn</w:t>
      </w:r>
      <w:r w:rsidRPr="00EE1E0C">
        <w:t xml:space="preserve">ingar förbättrar möjligheterna till helhetssyn. </w:t>
      </w:r>
    </w:p>
    <w:p w:rsidR="00031A3F" w:rsidRPr="00EE1E0C" w:rsidRDefault="00031A3F">
      <w:pPr>
        <w:pStyle w:val="Rubrik3"/>
      </w:pPr>
      <w:bookmarkStart w:id="212" w:name="_Toc448905927"/>
      <w:bookmarkStart w:id="213" w:name="_Toc454180241"/>
      <w:bookmarkStart w:id="214" w:name="_Toc466264196"/>
      <w:r w:rsidRPr="00EE1E0C">
        <w:t>Utryckning</w:t>
      </w:r>
      <w:bookmarkEnd w:id="212"/>
      <w:bookmarkEnd w:id="213"/>
      <w:bookmarkEnd w:id="214"/>
    </w:p>
    <w:p w:rsidR="00031A3F" w:rsidRPr="00EE1E0C" w:rsidRDefault="00031A3F">
      <w:r w:rsidRPr="00EE1E0C">
        <w:t>Utryckningsverksamheten har en särställning i samtliga myndigheter. Detta markeras främst av den organisatoriska placeringen. Medan utredningsver</w:t>
      </w:r>
      <w:r w:rsidRPr="00EE1E0C">
        <w:t>k</w:t>
      </w:r>
      <w:r w:rsidRPr="00EE1E0C">
        <w:t>samheten i princip finns på samtliga nivåer i myndigheterna, är det vanligen inte fallet med utryckningsverksamheten. Utryckningsverksamhetens poliser periodplanerar inte heller arbetstiden som de flesta närpoliser och utredare gör. Periodplanerad arbetstid innebär att polisernas arbetstider planeras efter i förväg kända händelser. Det problemorienterade arbetssättet skall genoms</w:t>
      </w:r>
      <w:r w:rsidRPr="00EE1E0C">
        <w:t>y</w:t>
      </w:r>
      <w:r w:rsidRPr="00EE1E0C">
        <w:t>ra all polisverksamhet. Även utryckningsverksamheten skall således arbeta problemorienterat. Man har dock vid polismyndigheterna</w:t>
      </w:r>
      <w:r w:rsidRPr="00EE1E0C">
        <w:t xml:space="preserve"> angett att det är svårt att finna tid för utryckningsverksamheten att arbeta problemorienterat. Det kan tyda på att det är förknippat med svårigheter att finna metoder för utryckningsverksamhetens problemorienterade arbete. I Stockholms län finns det ett formaliserat samarbete mellan närpolisen och utryckningen. Detta samarbete fungerar till synes inte i praktiken och framstår mer som ett försök att höja närpolisens status. </w:t>
      </w:r>
    </w:p>
    <w:p w:rsidR="00031A3F" w:rsidRPr="00EE1E0C" w:rsidRDefault="00031A3F">
      <w:pPr>
        <w:pStyle w:val="Rubrik3"/>
      </w:pPr>
      <w:bookmarkStart w:id="215" w:name="_Toc448905928"/>
      <w:bookmarkStart w:id="216" w:name="_Toc454180242"/>
      <w:bookmarkStart w:id="217" w:name="_Toc466264197"/>
      <w:r w:rsidRPr="00EE1E0C">
        <w:t>Polisens tillgänglighet</w:t>
      </w:r>
      <w:bookmarkEnd w:id="215"/>
      <w:bookmarkEnd w:id="216"/>
      <w:bookmarkEnd w:id="217"/>
    </w:p>
    <w:p w:rsidR="00031A3F" w:rsidRPr="00EE1E0C" w:rsidRDefault="00031A3F">
      <w:r w:rsidRPr="00EE1E0C">
        <w:t>Gemensamt för närpolisområdena i de tre länen är att stationerna är öppna under kontorstid och att man har lunchstängt. Ibland är öppettiderna kortare än kontorstid. Detta innebär således att den som bor i ett närpolisområde och arbetar i ett annat har svårt att hinna besöka den egna närpolisen. Närpoli</w:t>
      </w:r>
      <w:r w:rsidRPr="00EE1E0C">
        <w:t>s</w:t>
      </w:r>
      <w:r w:rsidRPr="00EE1E0C">
        <w:t>stationerna är inte heller alltid placerade centralt i området. Exempelvis ligger Östermalms närpolisstation i utkanten av området. Närpolisen Nord/</w:t>
      </w:r>
      <w:r w:rsidRPr="00EE1E0C">
        <w:br/>
        <w:t>Väst i Norrköping saknar lokaler i det egna närpolisområdet. Närpol</w:t>
      </w:r>
      <w:r w:rsidRPr="00EE1E0C">
        <w:t>i</w:t>
      </w:r>
      <w:r w:rsidRPr="00EE1E0C">
        <w:t>s</w:t>
      </w:r>
      <w:r w:rsidRPr="00EE1E0C">
        <w:softHyphen/>
        <w:t>områdets lokaler finns i det centrala polishuset i Norrköping och har ingen egen entré. Grundtanken med en nära polis har förbisetts vid denna organ</w:t>
      </w:r>
      <w:r w:rsidRPr="00EE1E0C">
        <w:t>i</w:t>
      </w:r>
      <w:r w:rsidRPr="00EE1E0C">
        <w:t>sation.</w:t>
      </w:r>
    </w:p>
    <w:p w:rsidR="00031A3F" w:rsidRPr="00EE1E0C" w:rsidRDefault="00031A3F">
      <w:pPr>
        <w:pStyle w:val="Normaltindrag"/>
      </w:pPr>
      <w:r w:rsidRPr="00EE1E0C">
        <w:t>Efter omorganisationerna är fler polisstationer stängda nattetid. I Väste</w:t>
      </w:r>
      <w:r w:rsidRPr="00EE1E0C">
        <w:t>r</w:t>
      </w:r>
      <w:r w:rsidRPr="00EE1E0C">
        <w:t>norrlands län finns den enda nattöppna polisstationen i Sundsvall. Övriga polisstationer har skalskydd vilket innebär extra säkra dörrar, fönster och larm. I Kramfors och Sollefteå patrullerar sammanlagt fem arbetslag området nattetid. I Östergötlands län finns nattöppna polisstationer i respektive pol</w:t>
      </w:r>
      <w:r w:rsidRPr="00EE1E0C">
        <w:t>i</w:t>
      </w:r>
      <w:r w:rsidRPr="00EE1E0C">
        <w:t>s</w:t>
      </w:r>
      <w:r w:rsidRPr="00EE1E0C">
        <w:softHyphen/>
        <w:t>område, Linköping, Norrköping och Motala. Mellan 15 och 30 poliser tjäns</w:t>
      </w:r>
      <w:r w:rsidRPr="00EE1E0C">
        <w:t>t</w:t>
      </w:r>
      <w:r w:rsidRPr="00EE1E0C">
        <w:t>gör i myndigheten under natten. I polismästardistrikt City i Stockholms län finns två nattöppna polisstationer. Å ena sidan har ande</w:t>
      </w:r>
      <w:r w:rsidRPr="00EE1E0C">
        <w:t>len polisstationer som är bemannade dygnet runt minskat. Å andra sidan har detta enligt polismy</w:t>
      </w:r>
      <w:r w:rsidRPr="00EE1E0C">
        <w:t>n</w:t>
      </w:r>
      <w:r w:rsidRPr="00EE1E0C">
        <w:t>digheternas ledningar inneburit att man kunnat öka antalet poliser som pa</w:t>
      </w:r>
      <w:r w:rsidRPr="00EE1E0C">
        <w:t>t</w:t>
      </w:r>
      <w:r w:rsidRPr="00EE1E0C">
        <w:t xml:space="preserve">rullerar områdena under natten.  </w:t>
      </w:r>
    </w:p>
    <w:p w:rsidR="00031A3F" w:rsidRPr="00EE1E0C" w:rsidRDefault="00031A3F">
      <w:pPr>
        <w:pStyle w:val="Rubrik3"/>
      </w:pPr>
      <w:bookmarkStart w:id="218" w:name="_Toc448905929"/>
      <w:bookmarkStart w:id="219" w:name="_Toc454180243"/>
      <w:bookmarkStart w:id="220" w:name="_Toc466264198"/>
      <w:r w:rsidRPr="00EE1E0C">
        <w:t>Ekonomi</w:t>
      </w:r>
      <w:bookmarkEnd w:id="218"/>
      <w:bookmarkEnd w:id="219"/>
      <w:bookmarkEnd w:id="220"/>
    </w:p>
    <w:p w:rsidR="00031A3F" w:rsidRPr="00EE1E0C" w:rsidRDefault="00031A3F">
      <w:r w:rsidRPr="00EE1E0C">
        <w:t xml:space="preserve">Polismyndigheterna har ålagts att spara pengar. Dessa besparingar ålades polismyndigheterna fr.o.m. budgetåret 1993/94. Den nya polisorganisationen och närpolisreformen infördes successivt fr.o.m. år 1994. Ett av syftena med att skapa länsmyndigheter var att vissa funktioner skulle kunna rationaliseras om de gjordes länsgemensamma. Närpolisreformen genomfördes med syftet att en ny organisation skulle förbättra polisarbetet och minska brottsligheten. För närpolisområden som tidigare varit en polismyndighet </w:t>
      </w:r>
      <w:r w:rsidRPr="00EE1E0C">
        <w:t>har resurserna minskat. Resursminskningen har kommit att förknippas med omorganisati</w:t>
      </w:r>
      <w:r w:rsidRPr="00EE1E0C">
        <w:t>o</w:t>
      </w:r>
      <w:r w:rsidRPr="00EE1E0C">
        <w:t>nen. Det faktum att poliserna i myndigheterna kopplat ihop sparkrav med den nya organisationen gör det svårt att avgöra om det är omorganisationen eller färre poliser som lett till det missnöje som kan skönjas i delar av p</w:t>
      </w:r>
      <w:r w:rsidRPr="00EE1E0C">
        <w:t>o</w:t>
      </w:r>
      <w:r w:rsidRPr="00EE1E0C">
        <w:t xml:space="preserve">liskåren. </w:t>
      </w:r>
    </w:p>
    <w:p w:rsidR="00031A3F" w:rsidRPr="00EE1E0C" w:rsidRDefault="00031A3F">
      <w:pPr>
        <w:pStyle w:val="Normaltindrag"/>
      </w:pPr>
      <w:r w:rsidRPr="00EE1E0C">
        <w:t>Polismyndigheten i Stockholms län har tilldelats mellan 2,5 och 3 milja</w:t>
      </w:r>
      <w:r w:rsidRPr="00EE1E0C">
        <w:t>r</w:t>
      </w:r>
      <w:r w:rsidRPr="00EE1E0C">
        <w:t>der kronor per år mellan åren 1994/95 och 1998. Åren 1997 och 1998 har myndighetens förbrukning överstigit tillgängliga medel. Polismyndigheten i Östergötlands län har under åren 1995–1998 tilldelats ca 350 miljoner kronor per år. Budgetåren 1995/96 och 1997 har förbrukningen överstigit myndi</w:t>
      </w:r>
      <w:r w:rsidRPr="00EE1E0C">
        <w:t>g</w:t>
      </w:r>
      <w:r w:rsidRPr="00EE1E0C">
        <w:t>hetens tillgängliga medel. År 1998 har myndigheten inte använt tillgängliga medel. Anslaget till Polismyndigheten i Västernorrlands län har åren 1995/96–1998 uppgått till ca 230 miljoner kronor per år. Myndigheten har</w:t>
      </w:r>
      <w:r w:rsidRPr="00EE1E0C">
        <w:t xml:space="preserve"> inte använt tillgängliga medel. Anslaget till samtliga tre polismyndigheter har ökat under åren 1995/96–1998. Granskningen av ekonomin i de tre länen har begränsats till de år länsmyndigheterna fu</w:t>
      </w:r>
      <w:r w:rsidRPr="00EE1E0C">
        <w:t>n</w:t>
      </w:r>
      <w:r w:rsidRPr="00EE1E0C">
        <w:t xml:space="preserve">nits. </w:t>
      </w:r>
    </w:p>
    <w:p w:rsidR="00031A3F" w:rsidRPr="00EE1E0C" w:rsidRDefault="00031A3F">
      <w:pPr>
        <w:pStyle w:val="Normaltindrag"/>
      </w:pPr>
      <w:r w:rsidRPr="00EE1E0C">
        <w:t>I del 1 av granskningen anges att polisens totala medelsförbrukning ökade i början av 1990-talet för att sedan vara i stort sett oförändrad och minska något under mitten av 1990-talet. Polisen har ålagts en rad besparingar men även tilldelats extra pengar för exempelvis pensionskostnader och särskilda utbi</w:t>
      </w:r>
      <w:r w:rsidRPr="00EE1E0C">
        <w:t xml:space="preserve">ldningssatsningar.  </w:t>
      </w:r>
    </w:p>
    <w:p w:rsidR="00031A3F" w:rsidRPr="00EE1E0C" w:rsidRDefault="00031A3F">
      <w:pPr>
        <w:pStyle w:val="Normaltindrag"/>
      </w:pPr>
      <w:r w:rsidRPr="00EE1E0C">
        <w:t>Vid polisen i Västernorrland anges att rationaliseringarna ännu inte är slu</w:t>
      </w:r>
      <w:r w:rsidRPr="00EE1E0C">
        <w:t>t</w:t>
      </w:r>
      <w:r w:rsidRPr="00EE1E0C">
        <w:t>förda; bl.a. har man för avsikt att minska lokalkostnaderna. Vid Polismy</w:t>
      </w:r>
      <w:r w:rsidRPr="00EE1E0C">
        <w:t>n</w:t>
      </w:r>
      <w:r w:rsidRPr="00EE1E0C">
        <w:t>digheten i Stockholms län är man i behov av att minska kostnaderna, men man anser sig ha uttömt möjligheterna till ytterligare rationaliseringar. Ytte</w:t>
      </w:r>
      <w:r w:rsidRPr="00EE1E0C">
        <w:t>r</w:t>
      </w:r>
      <w:r w:rsidRPr="00EE1E0C">
        <w:t>ligare uppsägningar av civilanställda skulle riskera verksamhetens effektiv</w:t>
      </w:r>
      <w:r w:rsidRPr="00EE1E0C">
        <w:t>i</w:t>
      </w:r>
      <w:r w:rsidRPr="00EE1E0C">
        <w:t>tet. Minskade lokalytor skulle enligt länsledningen skada närpolisorganis</w:t>
      </w:r>
      <w:r w:rsidRPr="00EE1E0C">
        <w:t>a</w:t>
      </w:r>
      <w:r w:rsidRPr="00EE1E0C">
        <w:t>tionen. Man anger att investeringsutgifterna minimerats. En stor del av bi</w:t>
      </w:r>
      <w:r w:rsidRPr="00EE1E0C">
        <w:t>l</w:t>
      </w:r>
      <w:r w:rsidRPr="00EE1E0C">
        <w:t>parken är från 1988. Hälften av investeringarna avser informat</w:t>
      </w:r>
      <w:r w:rsidRPr="00EE1E0C">
        <w:t>ionsteknologi. Dock är även andra verksamhetsdelar inom myndigheten i behov av större investeringar. Myndighetsledningen anger att man haft kostnadsökningar som man inte kompenserats för. Vidare kommer man i framtiden att ta emot nyutexaminerade poliser utan att tilldelas ytterligare resurser som kompe</w:t>
      </w:r>
      <w:r w:rsidRPr="00EE1E0C">
        <w:t>n</w:t>
      </w:r>
      <w:r w:rsidRPr="00EE1E0C">
        <w:t>sation för detta. Vid Polismyndigheten i Stockholms län menar man att man sitter i en rävsax. Verksamhetens utgifter ökar utan att man får större anslag. I prognosen för den framtida ekonomiska utvecklingen a</w:t>
      </w:r>
      <w:r w:rsidRPr="00EE1E0C">
        <w:t>nges att polismy</w:t>
      </w:r>
      <w:r w:rsidRPr="00EE1E0C">
        <w:t>n</w:t>
      </w:r>
      <w:r w:rsidRPr="00EE1E0C">
        <w:t>dighetens skuld kommer att for</w:t>
      </w:r>
      <w:r w:rsidRPr="00EE1E0C">
        <w:t>t</w:t>
      </w:r>
      <w:r w:rsidRPr="00EE1E0C">
        <w:t>sätta öka.</w:t>
      </w:r>
    </w:p>
    <w:p w:rsidR="00031A3F" w:rsidRPr="00EE1E0C" w:rsidRDefault="00031A3F">
      <w:pPr>
        <w:pStyle w:val="Normaltindrag"/>
      </w:pPr>
      <w:r w:rsidRPr="00EE1E0C">
        <w:t>Vid Polismyndigheten i Stockholms län har man för 1999 delegerat bu</w:t>
      </w:r>
      <w:r w:rsidRPr="00EE1E0C">
        <w:t>d</w:t>
      </w:r>
      <w:r w:rsidRPr="00EE1E0C">
        <w:t>getansvaret till polismästardistrikten. Man har dock inga planer på att tilldela närpolisområdena ekonomiskt ansvar. Polisområdena vid Polismyndigheten i Östergötlands län skall enligt verksamhetsplanen ha ansvar för budgeten. I realiteten är polisområdenas möjligheter att fatta större ekonomiska beslut begränsade. Närpolisområdena har ännu inget budgetansvar, men polismäst</w:t>
      </w:r>
      <w:r w:rsidRPr="00EE1E0C">
        <w:t>a</w:t>
      </w:r>
      <w:r w:rsidRPr="00EE1E0C">
        <w:t>ren i Norrköping anger att inriktningen är att närpolisområdena successivt skall få ansvar för budgeten. Närpolisområdena i Västernorr</w:t>
      </w:r>
      <w:r w:rsidRPr="00EE1E0C">
        <w:t>lands län anser att de har begränsade möjligheter att styra den egna ekonomin. Man har exempelvis inga möjligheter att själva anställa personal eller göra större invest</w:t>
      </w:r>
      <w:r w:rsidRPr="00EE1E0C">
        <w:t>e</w:t>
      </w:r>
      <w:r w:rsidRPr="00EE1E0C">
        <w:t>ringar.</w:t>
      </w:r>
    </w:p>
    <w:p w:rsidR="00031A3F" w:rsidRPr="00EE1E0C" w:rsidRDefault="00031A3F">
      <w:pPr>
        <w:pStyle w:val="Rubrik4"/>
      </w:pPr>
      <w:bookmarkStart w:id="221" w:name="_Toc466264199"/>
      <w:r w:rsidRPr="00EE1E0C">
        <w:t>Personal</w:t>
      </w:r>
      <w:bookmarkEnd w:id="221"/>
    </w:p>
    <w:p w:rsidR="00031A3F" w:rsidRPr="00EE1E0C" w:rsidRDefault="00031A3F">
      <w:r w:rsidRPr="00EE1E0C">
        <w:t>Inga poliser har sagts upp till följd av besparingskraven vid någon av de granskade polismyndigheterna. De poliser som har lämnat verksamheten har gjort det antingen genom förtida eller normal pensionsavgång. Antalet pol</w:t>
      </w:r>
      <w:r w:rsidRPr="00EE1E0C">
        <w:t>i</w:t>
      </w:r>
      <w:r w:rsidRPr="00EE1E0C">
        <w:t>ser har inte minskat i Stockholms län. I Västernorrland och Östergötland nya</w:t>
      </w:r>
      <w:r w:rsidRPr="00EE1E0C">
        <w:t>n</w:t>
      </w:r>
      <w:r w:rsidRPr="00EE1E0C">
        <w:t xml:space="preserve">ställer man poliser. </w:t>
      </w:r>
    </w:p>
    <w:p w:rsidR="00031A3F" w:rsidRPr="00EE1E0C" w:rsidRDefault="00031A3F">
      <w:pPr>
        <w:pStyle w:val="Normaltindrag"/>
      </w:pPr>
      <w:r w:rsidRPr="00EE1E0C">
        <w:t>Antalet civilanställda har i Stockholms län minskat från ca 1 700 till ca 1 000 mellan åren 1995 och 1997. Även i Östergötlands och Västernorrlands län har antalet civilanställda minskat. Vid Polismyndigheten i Östergötlands län har antalet civilanställda minskat från ca 220 till ca 165 mellan åren 1995 och 1997. Antalet civilanställda har vid polisen i Västernorrland minskat med 44 till ca 120 civilanställda</w:t>
      </w:r>
      <w:r w:rsidRPr="00EE1E0C">
        <w:t xml:space="preserve"> mellan åren 1995 och 1997. De civilanstäl</w:t>
      </w:r>
      <w:r w:rsidRPr="00EE1E0C">
        <w:t>l</w:t>
      </w:r>
      <w:r w:rsidRPr="00EE1E0C">
        <w:t xml:space="preserve">da har sagts upp eller pensionerats. Länspolismästaren i Stockholm anger att det tidigare fanns för många civilanställda vid myndigheten. Han menar dock att fler än de som var övertaliga sagts upp. </w:t>
      </w:r>
    </w:p>
    <w:p w:rsidR="00031A3F" w:rsidRPr="00EE1E0C" w:rsidRDefault="00031A3F">
      <w:pPr>
        <w:pStyle w:val="Normaltindrag"/>
      </w:pPr>
      <w:r w:rsidRPr="00EE1E0C">
        <w:t>I närpolisområdena Östermalm, Johannes och Vasastan i Stockholms län har konsekvenserna av färre civilanställda blivit kännbara. Närpolisområdena delar ansvaret för posthanteringen. Tre dagar i veckan använder en närpolis en förmi</w:t>
      </w:r>
      <w:r w:rsidRPr="00EE1E0C">
        <w:t>d</w:t>
      </w:r>
      <w:r w:rsidRPr="00EE1E0C">
        <w:t>dag till posthanteringen.</w:t>
      </w:r>
    </w:p>
    <w:p w:rsidR="00031A3F" w:rsidRPr="00EE1E0C" w:rsidRDefault="00031A3F">
      <w:pPr>
        <w:pStyle w:val="Rubrik2"/>
      </w:pPr>
      <w:bookmarkStart w:id="222" w:name="_Toc448905930"/>
      <w:bookmarkStart w:id="223" w:name="_Toc466264200"/>
      <w:r w:rsidRPr="00EE1E0C">
        <w:t>Åklagarväsendet</w:t>
      </w:r>
      <w:bookmarkEnd w:id="222"/>
      <w:bookmarkEnd w:id="223"/>
    </w:p>
    <w:p w:rsidR="00031A3F" w:rsidRPr="00EE1E0C" w:rsidRDefault="00031A3F">
      <w:r w:rsidRPr="00EE1E0C">
        <w:t>Som framgått av del 1 av rapporten har åklagarväsendet under 1990-talet genomgått flera förändringar. Den 1 juli 1996 genomfördes en omorganis</w:t>
      </w:r>
      <w:r w:rsidRPr="00EE1E0C">
        <w:t>a</w:t>
      </w:r>
      <w:r w:rsidRPr="00EE1E0C">
        <w:t>tion som innebar att antalet regionala och lokala myndigheter minskade. Vidare har åklagarväsendets ekonomi försämrats vilket medfört att antalet åklagare och administratörer minskat. Mellan 1995 och 1998 rådde anstäl</w:t>
      </w:r>
      <w:r w:rsidRPr="00EE1E0C">
        <w:t>l</w:t>
      </w:r>
      <w:r w:rsidRPr="00EE1E0C">
        <w:t>ningsstopp för åklagare och i augusti 1996 sades 192 administratörer upp.  Slutligen har åklagarnas arbetsuppgifter förändrats genom att samarbetet med polisen har utvecklats fr.o.m. hösten 1996.</w:t>
      </w:r>
    </w:p>
    <w:p w:rsidR="00031A3F" w:rsidRPr="00EE1E0C" w:rsidRDefault="00031A3F">
      <w:pPr>
        <w:pStyle w:val="Normaltindrag"/>
      </w:pPr>
      <w:r w:rsidRPr="00EE1E0C">
        <w:t>I granskningen ingår Stockholms, Linköpings och Sundsvalls åklagarmy</w:t>
      </w:r>
      <w:r w:rsidRPr="00EE1E0C">
        <w:t>n</w:t>
      </w:r>
      <w:r w:rsidRPr="00EE1E0C">
        <w:t>digheter. Dessa myndigheter motsvarar fler än ett län. Myndigheterna har granskats främst vad gäller verksamheten i Stockholms, Östergötlands och Västernorrlands län. Dessutom har tre kamrar granskats närmare vad avser organisation och personal, prestationer samt kontakter med polisen. Kamra</w:t>
      </w:r>
      <w:r w:rsidRPr="00EE1E0C">
        <w:t>r</w:t>
      </w:r>
      <w:r w:rsidRPr="00EE1E0C">
        <w:t>na är 1:a åklagarkammaren i Stockholm, Linköpings åklagarkammare och Sundsvalls åklagarkammare. Nedan följer en kort presentation av åklagarv</w:t>
      </w:r>
      <w:r w:rsidRPr="00EE1E0C">
        <w:t>ä</w:t>
      </w:r>
      <w:r w:rsidRPr="00EE1E0C">
        <w:t>sendet i länen.</w:t>
      </w:r>
    </w:p>
    <w:p w:rsidR="00031A3F" w:rsidRPr="00EE1E0C" w:rsidRDefault="00031A3F">
      <w:pPr>
        <w:pStyle w:val="Rubrik4"/>
      </w:pPr>
      <w:bookmarkStart w:id="224" w:name="_Toc466264201"/>
      <w:r w:rsidRPr="00EE1E0C">
        <w:t>Stockholms län</w:t>
      </w:r>
      <w:bookmarkEnd w:id="224"/>
    </w:p>
    <w:p w:rsidR="00031A3F" w:rsidRPr="00EE1E0C" w:rsidRDefault="00031A3F">
      <w:r w:rsidRPr="00EE1E0C">
        <w:t>Före omorganisationen fanns det, förutom åklagarmyndigheten i Stockholms stad, åtta lokala åklagarmyndigheter i länet. Myndigheterna låg i Danderyd, Handen, Huddinge, Nacka, Norrtälje, Sollentuna, Solna och Södertälje. S</w:t>
      </w:r>
      <w:r w:rsidRPr="00EE1E0C">
        <w:t>e</w:t>
      </w:r>
      <w:r w:rsidRPr="00EE1E0C">
        <w:t>dan den 1 juni 1998 finns det åtta kamrar i länet. Kamrarna arbetar mot ett eller flera polismästardistrikt. Samtliga kamrar utom en är lokaliserade till centrala Stockholm. Organisationen är enligt överåklagaren vald för att up</w:t>
      </w:r>
      <w:r w:rsidRPr="00EE1E0C">
        <w:t>p</w:t>
      </w:r>
      <w:r w:rsidRPr="00EE1E0C">
        <w:t>nå största möjliga effektivitet. Vid beslutet om kamrarnas placering togs också hänsyn till de allmänna kommunikationerna i länet. I länet finns tio tingsrätter, och de gamla lokala åklagarmyndigheterna låg med ett undantag i närheten av en tingsrätt. Överåklagaren hänvisar till at</w:t>
      </w:r>
      <w:r w:rsidRPr="00EE1E0C">
        <w:t>t det talades om att antalet tingsrätter i länet kraftigt skulle minskas när organisationen av åkl</w:t>
      </w:r>
      <w:r w:rsidRPr="00EE1E0C">
        <w:t>a</w:t>
      </w:r>
      <w:r w:rsidRPr="00EE1E0C">
        <w:t>garna i Stockholms län beslutades. För 1998 var endast en liten del av bu</w:t>
      </w:r>
      <w:r w:rsidRPr="00EE1E0C">
        <w:t>d</w:t>
      </w:r>
      <w:r w:rsidRPr="00EE1E0C">
        <w:t>getmedlen delegerade. År 1999 delegerades lönemedlen till kamrarna men fortfarande är delar av budgeten centraliserad.</w:t>
      </w:r>
    </w:p>
    <w:p w:rsidR="00031A3F" w:rsidRPr="00EE1E0C" w:rsidRDefault="00031A3F">
      <w:pPr>
        <w:pStyle w:val="Normaltindrag"/>
      </w:pPr>
      <w:r w:rsidRPr="00EE1E0C">
        <w:t>1:a åklagarkammaren i Stockholm består av de tidigare lokala myndigh</w:t>
      </w:r>
      <w:r w:rsidRPr="00EE1E0C">
        <w:t>e</w:t>
      </w:r>
      <w:r w:rsidRPr="00EE1E0C">
        <w:t>terna Sollentuna, Danderyd och Norrtälje. Kammaren arbetar mot Norrorts och Roslagens polismästardistrikt samt mot Arlandapolisen och fyra ting</w:t>
      </w:r>
      <w:r w:rsidRPr="00EE1E0C">
        <w:t>s</w:t>
      </w:r>
      <w:r w:rsidRPr="00EE1E0C">
        <w:t>rätter. Arbetet på kammaren är uppdelat geografiskt på så sätt att åklagarna arbetar mot ett visst eller vissa polismästardistrikt. Två åklagare arbetar enbart mot polisen i Norrtälje och mot Norrtälje tingsrätt. Dessa åklagare arbetar en eller två dagar i polishuset eller i hemmet och har förhandling vid tingsrätten en dag i veckan. Åklagarna bor i eller i närhete</w:t>
      </w:r>
      <w:r w:rsidRPr="00EE1E0C">
        <w:t>n av Norrtä</w:t>
      </w:r>
      <w:r w:rsidRPr="00EE1E0C">
        <w:t>l</w:t>
      </w:r>
      <w:r w:rsidRPr="00EE1E0C">
        <w:t xml:space="preserve">je. </w:t>
      </w:r>
    </w:p>
    <w:p w:rsidR="00031A3F" w:rsidRPr="00EE1E0C" w:rsidRDefault="00031A3F">
      <w:pPr>
        <w:pStyle w:val="Rubrik4"/>
      </w:pPr>
      <w:bookmarkStart w:id="225" w:name="_Toc466264202"/>
      <w:r w:rsidRPr="00EE1E0C">
        <w:t>Östergötlands län</w:t>
      </w:r>
      <w:bookmarkEnd w:id="225"/>
    </w:p>
    <w:p w:rsidR="00031A3F" w:rsidRPr="00EE1E0C" w:rsidRDefault="00031A3F">
      <w:r w:rsidRPr="00EE1E0C">
        <w:t>Före omorganisationen fanns tre lokala åklagarmyndigheter i länet – Norrk</w:t>
      </w:r>
      <w:r w:rsidRPr="00EE1E0C">
        <w:t>ö</w:t>
      </w:r>
      <w:r w:rsidRPr="00EE1E0C">
        <w:t>ping, Linköping och Motala. Myndigheterna låg inom området för regio</w:t>
      </w:r>
      <w:r w:rsidRPr="00EE1E0C">
        <w:t>n</w:t>
      </w:r>
      <w:r w:rsidRPr="00EE1E0C">
        <w:t>åklagarmyndigheten i Linköping. Den lokala åklagarmyndigheten i Motala lades samman med den i Linköping vid omorganisationen. Åklagarna i M</w:t>
      </w:r>
      <w:r w:rsidRPr="00EE1E0C">
        <w:t>o</w:t>
      </w:r>
      <w:r w:rsidRPr="00EE1E0C">
        <w:t>tala handlade även ärenden från Mjölby. Motalaåklagarna bodde i Linköping och ville därför snarast möjligt samlokaliseras med åklagarna i Linköping. Ingen åklagare bodde i Mjölby. Kammarchefen understryker att åklagarnas yrkesskicklighet inte påverkas av bostadsorten, men däremot av kontakten med koll</w:t>
      </w:r>
      <w:r w:rsidRPr="00EE1E0C">
        <w:t>eger, praxisdiskussioner, omfattande och omväxlande målhantering, kompetensutvec</w:t>
      </w:r>
      <w:r w:rsidRPr="00EE1E0C">
        <w:t>k</w:t>
      </w:r>
      <w:r w:rsidRPr="00EE1E0C">
        <w:t>ling och ombyte.</w:t>
      </w:r>
    </w:p>
    <w:p w:rsidR="00031A3F" w:rsidRPr="00EE1E0C" w:rsidRDefault="00031A3F">
      <w:pPr>
        <w:pStyle w:val="Normaltindrag"/>
      </w:pPr>
      <w:r w:rsidRPr="00EE1E0C">
        <w:t>Biträdande överåklagaren i Östergötlands län ser inget behov av att polisen och åklagarna träffas dagligen. I länet finns fyra tingsrätter. Tre av dessa – Mjölby, Motala och Linköpings tingsrätter – ligger inom Linköpingskamm</w:t>
      </w:r>
      <w:r w:rsidRPr="00EE1E0C">
        <w:t>a</w:t>
      </w:r>
      <w:r w:rsidRPr="00EE1E0C">
        <w:t>rens område. Samtliga åklagare handlägger ärenden från samtliga polisomr</w:t>
      </w:r>
      <w:r w:rsidRPr="00EE1E0C">
        <w:t>å</w:t>
      </w:r>
      <w:r w:rsidRPr="00EE1E0C">
        <w:t>den och tingsrätter. Budg</w:t>
      </w:r>
      <w:r w:rsidRPr="00EE1E0C">
        <w:t>e</w:t>
      </w:r>
      <w:r w:rsidRPr="00EE1E0C">
        <w:t>tansvaret är delegerat till kamrarna.</w:t>
      </w:r>
      <w:r w:rsidRPr="00EE1E0C">
        <w:rPr>
          <w:i/>
        </w:rPr>
        <w:t xml:space="preserve"> </w:t>
      </w:r>
    </w:p>
    <w:p w:rsidR="00031A3F" w:rsidRPr="00EE1E0C" w:rsidRDefault="00031A3F">
      <w:pPr>
        <w:pStyle w:val="Rubrik4"/>
      </w:pPr>
      <w:bookmarkStart w:id="226" w:name="_Toc466264203"/>
      <w:r w:rsidRPr="00EE1E0C">
        <w:t>Västernorrlands län</w:t>
      </w:r>
      <w:bookmarkEnd w:id="226"/>
    </w:p>
    <w:p w:rsidR="00031A3F" w:rsidRPr="00EE1E0C" w:rsidRDefault="00031A3F">
      <w:r w:rsidRPr="00EE1E0C">
        <w:t>I Västernorrlands län fanns före omorganisationen fyra lokala åklagarmy</w:t>
      </w:r>
      <w:r w:rsidRPr="00EE1E0C">
        <w:t>n</w:t>
      </w:r>
      <w:r w:rsidRPr="00EE1E0C">
        <w:t>digheter. Myndigheterna låg inom området för regionåklagarmyndigheten i Härnösand. De slogs samman till en kammare som placerades i Sundsvall. I praktiken har dock små förändringar gjorts i organisationen. I Örnsköldsvik  finns lokala åklagare. Den åklagare som har Sollefteå som ansvarsområde arbetar i polishuset i Sollefteå och har förhandlingarna vid Sollefteå tingsrätt. Åklagaren som har Härnösand som ansvarsområde har också ett rum hos polisen i Härnösand och har förhandlingarna vid tingsrätten där. Hä</w:t>
      </w:r>
      <w:r w:rsidRPr="00EE1E0C">
        <w:t>rn</w:t>
      </w:r>
      <w:r w:rsidRPr="00EE1E0C">
        <w:t>ö</w:t>
      </w:r>
      <w:r w:rsidRPr="00EE1E0C">
        <w:t>sandsåklagaren åker till Sundsvall ett par gånger per vecka. Åklagarna i Örnsköldsvik samt för Sollefteå och Härnösand bor på respektive ort. Överåklagaren i Västernorrlands län menar att polisen och åklagarna bör arbeta så geografiskt nära varandra som möjligt. Budgetansvaret är delegerat till kamrarna. Sundsvallskammaren arbetar mot fyra tingsrätter. Uppstäl</w:t>
      </w:r>
      <w:r w:rsidRPr="00EE1E0C">
        <w:t>l</w:t>
      </w:r>
      <w:r w:rsidRPr="00EE1E0C">
        <w:t>ningen nedan sammanfattar av uppgifterna om myndigheterna och kamrarna.</w:t>
      </w:r>
    </w:p>
    <w:p w:rsidR="00031A3F" w:rsidRPr="00EE1E0C" w:rsidRDefault="00031A3F">
      <w:pPr>
        <w:pStyle w:val="Tabellrubrik"/>
      </w:pPr>
      <w:r w:rsidRPr="00EE1E0C">
        <w:t>Tabell 2.1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67"/>
        <w:gridCol w:w="709"/>
        <w:gridCol w:w="708"/>
        <w:gridCol w:w="709"/>
        <w:gridCol w:w="567"/>
        <w:gridCol w:w="709"/>
      </w:tblGrid>
      <w:tr w:rsidR="00000000" w:rsidRPr="00EE1E0C">
        <w:tblPrEx>
          <w:tblCellMar>
            <w:top w:w="0" w:type="dxa"/>
            <w:bottom w:w="0" w:type="dxa"/>
          </w:tblCellMar>
        </w:tblPrEx>
        <w:trPr>
          <w:cantSplit/>
        </w:trPr>
        <w:tc>
          <w:tcPr>
            <w:tcW w:w="6024" w:type="dxa"/>
            <w:gridSpan w:val="7"/>
          </w:tcPr>
          <w:p w:rsidR="00031A3F" w:rsidRPr="00EE1E0C" w:rsidRDefault="00031A3F">
            <w:pPr>
              <w:pStyle w:val="Normaltindrag"/>
              <w:ind w:firstLine="0"/>
              <w:jc w:val="center"/>
              <w:rPr>
                <w:b/>
                <w:sz w:val="22"/>
              </w:rPr>
            </w:pPr>
            <w:r w:rsidRPr="00EE1E0C">
              <w:rPr>
                <w:b/>
                <w:sz w:val="22"/>
              </w:rPr>
              <w:t>ÅKLAGARMYNDIGHETERNA</w:t>
            </w:r>
          </w:p>
        </w:tc>
      </w:tr>
      <w:tr w:rsidR="00000000" w:rsidRPr="00EE1E0C">
        <w:tblPrEx>
          <w:tblCellMar>
            <w:top w:w="0" w:type="dxa"/>
            <w:bottom w:w="0" w:type="dxa"/>
          </w:tblCellMar>
        </w:tblPrEx>
        <w:trPr>
          <w:cantSplit/>
        </w:trPr>
        <w:tc>
          <w:tcPr>
            <w:tcW w:w="2055" w:type="dxa"/>
          </w:tcPr>
          <w:p w:rsidR="00031A3F" w:rsidRPr="00EE1E0C" w:rsidRDefault="00031A3F">
            <w:pPr>
              <w:pStyle w:val="Normaltindrag"/>
              <w:ind w:firstLine="0"/>
              <w:rPr>
                <w:i/>
              </w:rPr>
            </w:pPr>
          </w:p>
        </w:tc>
        <w:tc>
          <w:tcPr>
            <w:tcW w:w="1276" w:type="dxa"/>
            <w:gridSpan w:val="2"/>
          </w:tcPr>
          <w:p w:rsidR="00031A3F" w:rsidRPr="00EE1E0C" w:rsidRDefault="00031A3F">
            <w:pPr>
              <w:pStyle w:val="Normaltindrag"/>
              <w:ind w:firstLine="0"/>
            </w:pPr>
            <w:r w:rsidRPr="00EE1E0C">
              <w:t>Stockholms län</w:t>
            </w:r>
          </w:p>
        </w:tc>
        <w:tc>
          <w:tcPr>
            <w:tcW w:w="1417" w:type="dxa"/>
            <w:gridSpan w:val="2"/>
          </w:tcPr>
          <w:p w:rsidR="00031A3F" w:rsidRPr="00EE1E0C" w:rsidRDefault="00031A3F">
            <w:pPr>
              <w:pStyle w:val="Normaltindrag"/>
              <w:ind w:firstLine="0"/>
            </w:pPr>
            <w:r w:rsidRPr="00EE1E0C">
              <w:t>Östergötlands län</w:t>
            </w:r>
          </w:p>
        </w:tc>
        <w:tc>
          <w:tcPr>
            <w:tcW w:w="1276" w:type="dxa"/>
            <w:gridSpan w:val="2"/>
          </w:tcPr>
          <w:p w:rsidR="00031A3F" w:rsidRPr="00EE1E0C" w:rsidRDefault="00031A3F">
            <w:pPr>
              <w:pStyle w:val="Normaltindrag"/>
              <w:ind w:firstLine="0"/>
              <w:rPr>
                <w:i/>
              </w:rPr>
            </w:pPr>
            <w:r w:rsidRPr="00EE1E0C">
              <w:t>Väster-norrlands län</w:t>
            </w:r>
          </w:p>
        </w:tc>
      </w:tr>
      <w:tr w:rsidR="00000000" w:rsidRPr="00EE1E0C">
        <w:tblPrEx>
          <w:tblCellMar>
            <w:top w:w="0" w:type="dxa"/>
            <w:bottom w:w="0" w:type="dxa"/>
          </w:tblCellMar>
        </w:tblPrEx>
        <w:trPr>
          <w:cantSplit/>
        </w:trPr>
        <w:tc>
          <w:tcPr>
            <w:tcW w:w="2055" w:type="dxa"/>
          </w:tcPr>
          <w:p w:rsidR="00031A3F" w:rsidRPr="00EE1E0C" w:rsidRDefault="00031A3F">
            <w:pPr>
              <w:pStyle w:val="Normaltindrag"/>
              <w:ind w:firstLine="0"/>
            </w:pPr>
          </w:p>
        </w:tc>
        <w:tc>
          <w:tcPr>
            <w:tcW w:w="567" w:type="dxa"/>
          </w:tcPr>
          <w:p w:rsidR="00031A3F" w:rsidRPr="00EE1E0C" w:rsidRDefault="00031A3F">
            <w:pPr>
              <w:pStyle w:val="Normaltindrag"/>
              <w:ind w:firstLine="0"/>
            </w:pPr>
            <w:r w:rsidRPr="00EE1E0C">
              <w:t>Före</w:t>
            </w:r>
          </w:p>
        </w:tc>
        <w:tc>
          <w:tcPr>
            <w:tcW w:w="709" w:type="dxa"/>
          </w:tcPr>
          <w:p w:rsidR="00031A3F" w:rsidRPr="00EE1E0C" w:rsidRDefault="00031A3F">
            <w:pPr>
              <w:pStyle w:val="Normaltindrag"/>
              <w:ind w:firstLine="0"/>
            </w:pPr>
            <w:r w:rsidRPr="00EE1E0C">
              <w:t>Efter</w:t>
            </w:r>
          </w:p>
        </w:tc>
        <w:tc>
          <w:tcPr>
            <w:tcW w:w="708" w:type="dxa"/>
          </w:tcPr>
          <w:p w:rsidR="00031A3F" w:rsidRPr="00EE1E0C" w:rsidRDefault="00031A3F">
            <w:pPr>
              <w:pStyle w:val="Normaltindrag"/>
              <w:ind w:firstLine="0"/>
            </w:pPr>
            <w:r w:rsidRPr="00EE1E0C">
              <w:t xml:space="preserve">Före </w:t>
            </w:r>
          </w:p>
        </w:tc>
        <w:tc>
          <w:tcPr>
            <w:tcW w:w="709" w:type="dxa"/>
          </w:tcPr>
          <w:p w:rsidR="00031A3F" w:rsidRPr="00EE1E0C" w:rsidRDefault="00031A3F">
            <w:pPr>
              <w:pStyle w:val="Normaltindrag"/>
              <w:ind w:firstLine="0"/>
            </w:pPr>
            <w:r w:rsidRPr="00EE1E0C">
              <w:t>Efter</w:t>
            </w:r>
          </w:p>
        </w:tc>
        <w:tc>
          <w:tcPr>
            <w:tcW w:w="567" w:type="dxa"/>
          </w:tcPr>
          <w:p w:rsidR="00031A3F" w:rsidRPr="00EE1E0C" w:rsidRDefault="00031A3F">
            <w:pPr>
              <w:pStyle w:val="Normaltindrag"/>
              <w:ind w:firstLine="0"/>
            </w:pPr>
            <w:r w:rsidRPr="00EE1E0C">
              <w:t>Före</w:t>
            </w:r>
          </w:p>
        </w:tc>
        <w:tc>
          <w:tcPr>
            <w:tcW w:w="709" w:type="dxa"/>
          </w:tcPr>
          <w:p w:rsidR="00031A3F" w:rsidRPr="00EE1E0C" w:rsidRDefault="00031A3F">
            <w:pPr>
              <w:pStyle w:val="Normaltindrag"/>
              <w:ind w:firstLine="0"/>
            </w:pPr>
            <w:r w:rsidRPr="00EE1E0C">
              <w:t>Efter</w:t>
            </w:r>
          </w:p>
        </w:tc>
      </w:tr>
      <w:tr w:rsidR="00000000" w:rsidRPr="00EE1E0C">
        <w:tblPrEx>
          <w:tblCellMar>
            <w:top w:w="0" w:type="dxa"/>
            <w:bottom w:w="0" w:type="dxa"/>
          </w:tblCellMar>
        </w:tblPrEx>
        <w:tc>
          <w:tcPr>
            <w:tcW w:w="2055" w:type="dxa"/>
          </w:tcPr>
          <w:p w:rsidR="00031A3F" w:rsidRPr="00EE1E0C" w:rsidRDefault="00031A3F">
            <w:pPr>
              <w:pStyle w:val="Normaltindrag"/>
              <w:ind w:firstLine="0"/>
            </w:pPr>
            <w:r w:rsidRPr="00EE1E0C">
              <w:rPr>
                <w:i/>
              </w:rPr>
              <w:t>Antalet åklagarmyndi</w:t>
            </w:r>
            <w:r w:rsidRPr="00EE1E0C">
              <w:rPr>
                <w:i/>
              </w:rPr>
              <w:t>g</w:t>
            </w:r>
            <w:r w:rsidRPr="00EE1E0C">
              <w:rPr>
                <w:i/>
              </w:rPr>
              <w:t xml:space="preserve">heter/kamrar? </w:t>
            </w:r>
          </w:p>
        </w:tc>
        <w:tc>
          <w:tcPr>
            <w:tcW w:w="567" w:type="dxa"/>
          </w:tcPr>
          <w:p w:rsidR="00031A3F" w:rsidRPr="00EE1E0C" w:rsidRDefault="00031A3F">
            <w:pPr>
              <w:pStyle w:val="Normaltindrag"/>
              <w:ind w:firstLine="0"/>
              <w:jc w:val="right"/>
            </w:pPr>
            <w:r w:rsidRPr="00EE1E0C">
              <w:t>9</w:t>
            </w:r>
          </w:p>
        </w:tc>
        <w:tc>
          <w:tcPr>
            <w:tcW w:w="709" w:type="dxa"/>
          </w:tcPr>
          <w:p w:rsidR="00031A3F" w:rsidRPr="00EE1E0C" w:rsidRDefault="00031A3F">
            <w:pPr>
              <w:pStyle w:val="Normaltindrag"/>
              <w:ind w:firstLine="0"/>
              <w:jc w:val="right"/>
            </w:pPr>
            <w:r w:rsidRPr="00EE1E0C">
              <w:t>8</w:t>
            </w:r>
          </w:p>
        </w:tc>
        <w:tc>
          <w:tcPr>
            <w:tcW w:w="708" w:type="dxa"/>
          </w:tcPr>
          <w:p w:rsidR="00031A3F" w:rsidRPr="00EE1E0C" w:rsidRDefault="00031A3F">
            <w:pPr>
              <w:pStyle w:val="Normaltindrag"/>
              <w:ind w:firstLine="0"/>
              <w:jc w:val="right"/>
            </w:pPr>
            <w:r w:rsidRPr="00EE1E0C">
              <w:t>3</w:t>
            </w:r>
          </w:p>
        </w:tc>
        <w:tc>
          <w:tcPr>
            <w:tcW w:w="709" w:type="dxa"/>
          </w:tcPr>
          <w:p w:rsidR="00031A3F" w:rsidRPr="00EE1E0C" w:rsidRDefault="00031A3F">
            <w:pPr>
              <w:pStyle w:val="Normaltindrag"/>
              <w:ind w:firstLine="0"/>
              <w:jc w:val="right"/>
            </w:pPr>
            <w:r w:rsidRPr="00EE1E0C">
              <w:t>2</w:t>
            </w:r>
          </w:p>
        </w:tc>
        <w:tc>
          <w:tcPr>
            <w:tcW w:w="567" w:type="dxa"/>
          </w:tcPr>
          <w:p w:rsidR="00031A3F" w:rsidRPr="00EE1E0C" w:rsidRDefault="00031A3F">
            <w:pPr>
              <w:pStyle w:val="Normaltindrag"/>
              <w:ind w:firstLine="0"/>
              <w:jc w:val="right"/>
            </w:pPr>
            <w:r w:rsidRPr="00EE1E0C">
              <w:t>4</w:t>
            </w:r>
          </w:p>
        </w:tc>
        <w:tc>
          <w:tcPr>
            <w:tcW w:w="709" w:type="dxa"/>
          </w:tcPr>
          <w:p w:rsidR="00031A3F" w:rsidRPr="00EE1E0C" w:rsidRDefault="00031A3F">
            <w:pPr>
              <w:pStyle w:val="Normaltindrag"/>
              <w:ind w:firstLine="0"/>
              <w:jc w:val="right"/>
            </w:pPr>
            <w:r w:rsidRPr="00EE1E0C">
              <w:t xml:space="preserve">1 </w:t>
            </w:r>
          </w:p>
        </w:tc>
      </w:tr>
      <w:tr w:rsidR="00000000" w:rsidRPr="00EE1E0C">
        <w:tblPrEx>
          <w:tblCellMar>
            <w:top w:w="0" w:type="dxa"/>
            <w:bottom w:w="0" w:type="dxa"/>
          </w:tblCellMar>
        </w:tblPrEx>
        <w:trPr>
          <w:cantSplit/>
        </w:trPr>
        <w:tc>
          <w:tcPr>
            <w:tcW w:w="2055" w:type="dxa"/>
          </w:tcPr>
          <w:p w:rsidR="00031A3F" w:rsidRPr="00EE1E0C" w:rsidRDefault="00031A3F">
            <w:pPr>
              <w:pStyle w:val="Normaltindrag"/>
              <w:ind w:firstLine="0"/>
            </w:pPr>
            <w:r w:rsidRPr="00EE1E0C">
              <w:rPr>
                <w:i/>
              </w:rPr>
              <w:t>Antal tingsrätter i länet?</w:t>
            </w:r>
          </w:p>
        </w:tc>
        <w:tc>
          <w:tcPr>
            <w:tcW w:w="567" w:type="dxa"/>
          </w:tcPr>
          <w:p w:rsidR="00031A3F" w:rsidRPr="00EE1E0C" w:rsidRDefault="00031A3F">
            <w:pPr>
              <w:pStyle w:val="Normaltindrag"/>
              <w:ind w:firstLine="0"/>
              <w:jc w:val="right"/>
            </w:pPr>
            <w:r w:rsidRPr="00EE1E0C">
              <w:t>10</w:t>
            </w:r>
          </w:p>
        </w:tc>
        <w:tc>
          <w:tcPr>
            <w:tcW w:w="709" w:type="dxa"/>
          </w:tcPr>
          <w:p w:rsidR="00031A3F" w:rsidRPr="00EE1E0C" w:rsidRDefault="00031A3F">
            <w:pPr>
              <w:pStyle w:val="Normaltindrag"/>
              <w:ind w:firstLine="0"/>
              <w:jc w:val="right"/>
            </w:pPr>
            <w:r w:rsidRPr="00EE1E0C">
              <w:t>10</w:t>
            </w:r>
          </w:p>
        </w:tc>
        <w:tc>
          <w:tcPr>
            <w:tcW w:w="708" w:type="dxa"/>
          </w:tcPr>
          <w:p w:rsidR="00031A3F" w:rsidRPr="00EE1E0C" w:rsidRDefault="00031A3F">
            <w:pPr>
              <w:pStyle w:val="Normaltindrag"/>
              <w:ind w:firstLine="0"/>
              <w:jc w:val="right"/>
            </w:pPr>
            <w:r w:rsidRPr="00EE1E0C">
              <w:t>4</w:t>
            </w:r>
          </w:p>
        </w:tc>
        <w:tc>
          <w:tcPr>
            <w:tcW w:w="709" w:type="dxa"/>
          </w:tcPr>
          <w:p w:rsidR="00031A3F" w:rsidRPr="00EE1E0C" w:rsidRDefault="00031A3F">
            <w:pPr>
              <w:pStyle w:val="Normaltindrag"/>
              <w:ind w:firstLine="0"/>
              <w:jc w:val="right"/>
            </w:pPr>
            <w:r w:rsidRPr="00EE1E0C">
              <w:t>4</w:t>
            </w:r>
          </w:p>
        </w:tc>
        <w:tc>
          <w:tcPr>
            <w:tcW w:w="567" w:type="dxa"/>
          </w:tcPr>
          <w:p w:rsidR="00031A3F" w:rsidRPr="00EE1E0C" w:rsidRDefault="00031A3F">
            <w:pPr>
              <w:pStyle w:val="Normaltindrag"/>
              <w:ind w:firstLine="0"/>
              <w:jc w:val="right"/>
            </w:pPr>
            <w:r w:rsidRPr="00EE1E0C">
              <w:t>4</w:t>
            </w:r>
          </w:p>
        </w:tc>
        <w:tc>
          <w:tcPr>
            <w:tcW w:w="709" w:type="dxa"/>
          </w:tcPr>
          <w:p w:rsidR="00031A3F" w:rsidRPr="00EE1E0C" w:rsidRDefault="00031A3F">
            <w:pPr>
              <w:pStyle w:val="Normaltindrag"/>
              <w:ind w:firstLine="0"/>
              <w:jc w:val="right"/>
            </w:pPr>
            <w:r w:rsidRPr="00EE1E0C">
              <w:t>4</w:t>
            </w:r>
          </w:p>
        </w:tc>
      </w:tr>
      <w:tr w:rsidR="00000000" w:rsidRPr="00EE1E0C">
        <w:tblPrEx>
          <w:tblCellMar>
            <w:top w:w="0" w:type="dxa"/>
            <w:bottom w:w="0" w:type="dxa"/>
          </w:tblCellMar>
        </w:tblPrEx>
        <w:trPr>
          <w:cantSplit/>
        </w:trPr>
        <w:tc>
          <w:tcPr>
            <w:tcW w:w="2055" w:type="dxa"/>
          </w:tcPr>
          <w:p w:rsidR="00031A3F" w:rsidRPr="00EE1E0C" w:rsidRDefault="00031A3F">
            <w:pPr>
              <w:pStyle w:val="Normaltindrag"/>
              <w:ind w:firstLine="0"/>
              <w:rPr>
                <w:i/>
              </w:rPr>
            </w:pPr>
            <w:r w:rsidRPr="00EE1E0C">
              <w:rPr>
                <w:i/>
              </w:rPr>
              <w:t>Nära till  tingsrätterna i praktiken ?</w:t>
            </w:r>
          </w:p>
        </w:tc>
        <w:tc>
          <w:tcPr>
            <w:tcW w:w="567" w:type="dxa"/>
          </w:tcPr>
          <w:p w:rsidR="00031A3F" w:rsidRPr="00EE1E0C" w:rsidRDefault="00031A3F">
            <w:pPr>
              <w:pStyle w:val="Normaltindrag"/>
              <w:ind w:firstLine="0"/>
              <w:jc w:val="right"/>
            </w:pPr>
            <w:r w:rsidRPr="00EE1E0C">
              <w:t>Ja</w:t>
            </w:r>
          </w:p>
        </w:tc>
        <w:tc>
          <w:tcPr>
            <w:tcW w:w="709" w:type="dxa"/>
          </w:tcPr>
          <w:p w:rsidR="00031A3F" w:rsidRPr="00EE1E0C" w:rsidRDefault="00031A3F">
            <w:pPr>
              <w:pStyle w:val="Normaltindrag"/>
              <w:ind w:firstLine="0"/>
              <w:jc w:val="right"/>
            </w:pPr>
            <w:r w:rsidRPr="00EE1E0C">
              <w:t>Till 4 av 10</w:t>
            </w:r>
          </w:p>
        </w:tc>
        <w:tc>
          <w:tcPr>
            <w:tcW w:w="708" w:type="dxa"/>
          </w:tcPr>
          <w:p w:rsidR="00031A3F" w:rsidRPr="00EE1E0C" w:rsidRDefault="00031A3F">
            <w:pPr>
              <w:pStyle w:val="Normaltindrag"/>
              <w:ind w:firstLine="0"/>
              <w:jc w:val="right"/>
            </w:pPr>
            <w:r w:rsidRPr="00EE1E0C">
              <w:t>Till 3 av 4</w:t>
            </w:r>
          </w:p>
        </w:tc>
        <w:tc>
          <w:tcPr>
            <w:tcW w:w="709" w:type="dxa"/>
          </w:tcPr>
          <w:p w:rsidR="00031A3F" w:rsidRPr="00EE1E0C" w:rsidRDefault="00031A3F">
            <w:pPr>
              <w:pStyle w:val="Normaltindrag"/>
              <w:ind w:firstLine="0"/>
              <w:jc w:val="right"/>
            </w:pPr>
            <w:r w:rsidRPr="00EE1E0C">
              <w:t>Till 2 av 4</w:t>
            </w:r>
          </w:p>
        </w:tc>
        <w:tc>
          <w:tcPr>
            <w:tcW w:w="567" w:type="dxa"/>
          </w:tcPr>
          <w:p w:rsidR="00031A3F" w:rsidRPr="00EE1E0C" w:rsidRDefault="00031A3F">
            <w:pPr>
              <w:pStyle w:val="Normaltindrag"/>
              <w:ind w:firstLine="0"/>
              <w:jc w:val="right"/>
            </w:pPr>
            <w:r w:rsidRPr="00EE1E0C">
              <w:t>Ja</w:t>
            </w:r>
          </w:p>
        </w:tc>
        <w:tc>
          <w:tcPr>
            <w:tcW w:w="709" w:type="dxa"/>
          </w:tcPr>
          <w:p w:rsidR="00031A3F" w:rsidRPr="00EE1E0C" w:rsidRDefault="00031A3F">
            <w:pPr>
              <w:pStyle w:val="Normaltindrag"/>
              <w:ind w:firstLine="0"/>
              <w:jc w:val="right"/>
            </w:pPr>
            <w:r w:rsidRPr="00EE1E0C">
              <w:t>Ja</w:t>
            </w:r>
          </w:p>
        </w:tc>
      </w:tr>
      <w:tr w:rsidR="00000000" w:rsidRPr="00EE1E0C">
        <w:tblPrEx>
          <w:tblCellMar>
            <w:top w:w="0" w:type="dxa"/>
            <w:bottom w:w="0" w:type="dxa"/>
          </w:tblCellMar>
        </w:tblPrEx>
        <w:trPr>
          <w:cantSplit/>
        </w:trPr>
        <w:tc>
          <w:tcPr>
            <w:tcW w:w="6024" w:type="dxa"/>
            <w:gridSpan w:val="7"/>
          </w:tcPr>
          <w:p w:rsidR="00031A3F" w:rsidRPr="00EE1E0C" w:rsidRDefault="00031A3F">
            <w:pPr>
              <w:pStyle w:val="Normaltindrag"/>
              <w:ind w:firstLine="0"/>
              <w:jc w:val="center"/>
              <w:rPr>
                <w:sz w:val="22"/>
              </w:rPr>
            </w:pPr>
            <w:r w:rsidRPr="00EE1E0C">
              <w:rPr>
                <w:b/>
                <w:sz w:val="22"/>
              </w:rPr>
              <w:t>ÅKLAGARKAMRARNA</w:t>
            </w:r>
          </w:p>
        </w:tc>
      </w:tr>
      <w:tr w:rsidR="00000000" w:rsidRPr="00EE1E0C">
        <w:tblPrEx>
          <w:tblCellMar>
            <w:top w:w="0" w:type="dxa"/>
            <w:bottom w:w="0" w:type="dxa"/>
          </w:tblCellMar>
        </w:tblPrEx>
        <w:tc>
          <w:tcPr>
            <w:tcW w:w="2055" w:type="dxa"/>
          </w:tcPr>
          <w:p w:rsidR="00031A3F" w:rsidRPr="00EE1E0C" w:rsidRDefault="00031A3F">
            <w:pPr>
              <w:pStyle w:val="Normaltindrag"/>
              <w:ind w:firstLine="0"/>
            </w:pPr>
          </w:p>
        </w:tc>
        <w:tc>
          <w:tcPr>
            <w:tcW w:w="1276" w:type="dxa"/>
            <w:gridSpan w:val="2"/>
          </w:tcPr>
          <w:p w:rsidR="00031A3F" w:rsidRPr="00EE1E0C" w:rsidRDefault="00031A3F">
            <w:pPr>
              <w:pStyle w:val="Normaltindrag"/>
              <w:ind w:firstLine="0"/>
            </w:pPr>
            <w:r w:rsidRPr="00EE1E0C">
              <w:t>1:a kammaren i Stockholm</w:t>
            </w:r>
          </w:p>
        </w:tc>
        <w:tc>
          <w:tcPr>
            <w:tcW w:w="1417" w:type="dxa"/>
            <w:gridSpan w:val="2"/>
          </w:tcPr>
          <w:p w:rsidR="00031A3F" w:rsidRPr="00EE1E0C" w:rsidRDefault="00031A3F">
            <w:pPr>
              <w:pStyle w:val="Normaltindrag"/>
              <w:ind w:firstLine="0"/>
            </w:pPr>
            <w:r w:rsidRPr="00EE1E0C">
              <w:t>Linköpings-kammaren</w:t>
            </w:r>
          </w:p>
        </w:tc>
        <w:tc>
          <w:tcPr>
            <w:tcW w:w="1276" w:type="dxa"/>
            <w:gridSpan w:val="2"/>
          </w:tcPr>
          <w:p w:rsidR="00031A3F" w:rsidRPr="00EE1E0C" w:rsidRDefault="00031A3F">
            <w:pPr>
              <w:pStyle w:val="Normaltindrag"/>
              <w:ind w:firstLine="0"/>
            </w:pPr>
            <w:r w:rsidRPr="00EE1E0C">
              <w:t>Sundsvalls-kammaren</w:t>
            </w:r>
          </w:p>
        </w:tc>
      </w:tr>
      <w:tr w:rsidR="00000000" w:rsidRPr="00EE1E0C">
        <w:tblPrEx>
          <w:tblCellMar>
            <w:top w:w="0" w:type="dxa"/>
            <w:bottom w:w="0" w:type="dxa"/>
          </w:tblCellMar>
        </w:tblPrEx>
        <w:trPr>
          <w:cantSplit/>
        </w:trPr>
        <w:tc>
          <w:tcPr>
            <w:tcW w:w="2055" w:type="dxa"/>
          </w:tcPr>
          <w:p w:rsidR="00031A3F" w:rsidRPr="00EE1E0C" w:rsidRDefault="00031A3F">
            <w:pPr>
              <w:pStyle w:val="Normaltindrag"/>
              <w:ind w:firstLine="0"/>
              <w:rPr>
                <w:i/>
              </w:rPr>
            </w:pPr>
            <w:r w:rsidRPr="00EE1E0C">
              <w:rPr>
                <w:i/>
              </w:rPr>
              <w:t>Antalet tingsrätter ka</w:t>
            </w:r>
            <w:r w:rsidRPr="00EE1E0C">
              <w:rPr>
                <w:i/>
              </w:rPr>
              <w:t>m</w:t>
            </w:r>
            <w:r w:rsidRPr="00EE1E0C">
              <w:rPr>
                <w:i/>
              </w:rPr>
              <w:t>m</w:t>
            </w:r>
            <w:r w:rsidRPr="00EE1E0C">
              <w:rPr>
                <w:i/>
              </w:rPr>
              <w:t>a</w:t>
            </w:r>
            <w:r w:rsidRPr="00EE1E0C">
              <w:rPr>
                <w:i/>
              </w:rPr>
              <w:t>ren arbetar mot?</w:t>
            </w:r>
          </w:p>
        </w:tc>
        <w:tc>
          <w:tcPr>
            <w:tcW w:w="1276" w:type="dxa"/>
            <w:gridSpan w:val="2"/>
          </w:tcPr>
          <w:p w:rsidR="00031A3F" w:rsidRPr="00EE1E0C" w:rsidRDefault="00031A3F">
            <w:pPr>
              <w:pStyle w:val="Normaltindrag"/>
              <w:ind w:firstLine="0"/>
              <w:jc w:val="right"/>
            </w:pPr>
            <w:r w:rsidRPr="00EE1E0C">
              <w:t>4</w:t>
            </w:r>
          </w:p>
        </w:tc>
        <w:tc>
          <w:tcPr>
            <w:tcW w:w="1417" w:type="dxa"/>
            <w:gridSpan w:val="2"/>
          </w:tcPr>
          <w:p w:rsidR="00031A3F" w:rsidRPr="00EE1E0C" w:rsidRDefault="00031A3F">
            <w:pPr>
              <w:pStyle w:val="Normaltindrag"/>
              <w:ind w:firstLine="0"/>
              <w:jc w:val="right"/>
            </w:pPr>
            <w:r w:rsidRPr="00EE1E0C">
              <w:t>3</w:t>
            </w:r>
          </w:p>
        </w:tc>
        <w:tc>
          <w:tcPr>
            <w:tcW w:w="1276" w:type="dxa"/>
            <w:gridSpan w:val="2"/>
          </w:tcPr>
          <w:p w:rsidR="00031A3F" w:rsidRPr="00EE1E0C" w:rsidRDefault="00031A3F">
            <w:pPr>
              <w:pStyle w:val="Normaltindrag"/>
              <w:ind w:firstLine="0"/>
              <w:jc w:val="right"/>
            </w:pPr>
            <w:r w:rsidRPr="00EE1E0C">
              <w:t>4</w:t>
            </w:r>
          </w:p>
        </w:tc>
      </w:tr>
      <w:tr w:rsidR="00000000" w:rsidRPr="00EE1E0C">
        <w:tblPrEx>
          <w:tblCellMar>
            <w:top w:w="0" w:type="dxa"/>
            <w:bottom w:w="0" w:type="dxa"/>
          </w:tblCellMar>
        </w:tblPrEx>
        <w:tc>
          <w:tcPr>
            <w:tcW w:w="2055" w:type="dxa"/>
          </w:tcPr>
          <w:p w:rsidR="00031A3F" w:rsidRPr="00EE1E0C" w:rsidRDefault="00031A3F">
            <w:pPr>
              <w:pStyle w:val="Normaltindrag"/>
              <w:ind w:firstLine="0"/>
            </w:pPr>
            <w:r w:rsidRPr="00EE1E0C">
              <w:rPr>
                <w:i/>
              </w:rPr>
              <w:t>Uppdelning av arbetet inom kammaren</w:t>
            </w:r>
          </w:p>
        </w:tc>
        <w:tc>
          <w:tcPr>
            <w:tcW w:w="1276" w:type="dxa"/>
            <w:gridSpan w:val="2"/>
          </w:tcPr>
          <w:p w:rsidR="00031A3F" w:rsidRPr="00EE1E0C" w:rsidRDefault="00031A3F">
            <w:pPr>
              <w:pStyle w:val="Normaltindrag"/>
              <w:ind w:firstLine="0"/>
              <w:rPr>
                <w:i/>
                <w:sz w:val="16"/>
              </w:rPr>
            </w:pPr>
            <w:r w:rsidRPr="00EE1E0C">
              <w:rPr>
                <w:sz w:val="16"/>
              </w:rPr>
              <w:t>Viss uppdelning efter polismä</w:t>
            </w:r>
            <w:r w:rsidRPr="00EE1E0C">
              <w:rPr>
                <w:sz w:val="16"/>
              </w:rPr>
              <w:t>s</w:t>
            </w:r>
            <w:r w:rsidRPr="00EE1E0C">
              <w:rPr>
                <w:sz w:val="16"/>
              </w:rPr>
              <w:t>tardistrikt</w:t>
            </w:r>
          </w:p>
        </w:tc>
        <w:tc>
          <w:tcPr>
            <w:tcW w:w="1417" w:type="dxa"/>
            <w:gridSpan w:val="2"/>
          </w:tcPr>
          <w:p w:rsidR="00031A3F" w:rsidRPr="00EE1E0C" w:rsidRDefault="00031A3F">
            <w:pPr>
              <w:pStyle w:val="Normaltindrag"/>
              <w:ind w:firstLine="0"/>
              <w:rPr>
                <w:sz w:val="16"/>
              </w:rPr>
            </w:pPr>
            <w:r w:rsidRPr="00EE1E0C">
              <w:rPr>
                <w:sz w:val="16"/>
              </w:rPr>
              <w:t>Ingen uppdelning efter polis</w:t>
            </w:r>
            <w:r w:rsidRPr="00EE1E0C">
              <w:rPr>
                <w:sz w:val="16"/>
              </w:rPr>
              <w:softHyphen/>
              <w:t>områden eller tingsrä</w:t>
            </w:r>
            <w:r w:rsidRPr="00EE1E0C">
              <w:rPr>
                <w:sz w:val="16"/>
              </w:rPr>
              <w:t>t</w:t>
            </w:r>
            <w:r w:rsidRPr="00EE1E0C">
              <w:rPr>
                <w:sz w:val="16"/>
              </w:rPr>
              <w:t>ter</w:t>
            </w:r>
          </w:p>
        </w:tc>
        <w:tc>
          <w:tcPr>
            <w:tcW w:w="1276" w:type="dxa"/>
            <w:gridSpan w:val="2"/>
          </w:tcPr>
          <w:p w:rsidR="00031A3F" w:rsidRPr="00EE1E0C" w:rsidRDefault="00031A3F">
            <w:pPr>
              <w:pStyle w:val="Normaltindrag"/>
              <w:ind w:firstLine="0"/>
              <w:rPr>
                <w:sz w:val="16"/>
              </w:rPr>
            </w:pPr>
            <w:r w:rsidRPr="00EE1E0C">
              <w:rPr>
                <w:sz w:val="16"/>
              </w:rPr>
              <w:t>Uppdelning efter tingsrätt och närpol</w:t>
            </w:r>
            <w:r w:rsidRPr="00EE1E0C">
              <w:rPr>
                <w:sz w:val="16"/>
              </w:rPr>
              <w:t>i</w:t>
            </w:r>
            <w:r w:rsidRPr="00EE1E0C">
              <w:rPr>
                <w:sz w:val="16"/>
              </w:rPr>
              <w:t>s</w:t>
            </w:r>
            <w:r w:rsidRPr="00EE1E0C">
              <w:rPr>
                <w:sz w:val="16"/>
              </w:rPr>
              <w:softHyphen/>
              <w:t>områden</w:t>
            </w:r>
          </w:p>
        </w:tc>
      </w:tr>
      <w:tr w:rsidR="00000000" w:rsidRPr="00EE1E0C">
        <w:tblPrEx>
          <w:tblCellMar>
            <w:top w:w="0" w:type="dxa"/>
            <w:bottom w:w="0" w:type="dxa"/>
          </w:tblCellMar>
        </w:tblPrEx>
        <w:tc>
          <w:tcPr>
            <w:tcW w:w="2055" w:type="dxa"/>
          </w:tcPr>
          <w:p w:rsidR="00031A3F" w:rsidRPr="00EE1E0C" w:rsidRDefault="00031A3F">
            <w:pPr>
              <w:pStyle w:val="Normaltindrag"/>
              <w:ind w:firstLine="0"/>
            </w:pPr>
            <w:r w:rsidRPr="00EE1E0C">
              <w:rPr>
                <w:i/>
              </w:rPr>
              <w:t xml:space="preserve">Delegering                          av budgetansvar? </w:t>
            </w:r>
          </w:p>
        </w:tc>
        <w:tc>
          <w:tcPr>
            <w:tcW w:w="1276" w:type="dxa"/>
            <w:gridSpan w:val="2"/>
          </w:tcPr>
          <w:p w:rsidR="00031A3F" w:rsidRPr="00EE1E0C" w:rsidRDefault="00031A3F">
            <w:pPr>
              <w:pStyle w:val="Normaltindrag"/>
              <w:ind w:firstLine="0"/>
              <w:jc w:val="right"/>
            </w:pPr>
            <w:r w:rsidRPr="00EE1E0C">
              <w:t>Delvis</w:t>
            </w:r>
          </w:p>
        </w:tc>
        <w:tc>
          <w:tcPr>
            <w:tcW w:w="1417" w:type="dxa"/>
            <w:gridSpan w:val="2"/>
          </w:tcPr>
          <w:p w:rsidR="00031A3F" w:rsidRPr="00EE1E0C" w:rsidRDefault="00031A3F">
            <w:pPr>
              <w:pStyle w:val="Normaltindrag"/>
              <w:ind w:firstLine="0"/>
              <w:jc w:val="right"/>
            </w:pPr>
            <w:r w:rsidRPr="00EE1E0C">
              <w:t>Ja</w:t>
            </w:r>
          </w:p>
        </w:tc>
        <w:tc>
          <w:tcPr>
            <w:tcW w:w="1276" w:type="dxa"/>
            <w:gridSpan w:val="2"/>
          </w:tcPr>
          <w:p w:rsidR="00031A3F" w:rsidRPr="00EE1E0C" w:rsidRDefault="00031A3F">
            <w:pPr>
              <w:pStyle w:val="Normaltindrag"/>
              <w:ind w:firstLine="0"/>
              <w:jc w:val="right"/>
            </w:pPr>
            <w:r w:rsidRPr="00EE1E0C">
              <w:t>Ja</w:t>
            </w:r>
          </w:p>
        </w:tc>
      </w:tr>
      <w:tr w:rsidR="00000000" w:rsidRPr="00EE1E0C">
        <w:tblPrEx>
          <w:tblCellMar>
            <w:top w:w="0" w:type="dxa"/>
            <w:bottom w:w="0" w:type="dxa"/>
          </w:tblCellMar>
        </w:tblPrEx>
        <w:tc>
          <w:tcPr>
            <w:tcW w:w="2055" w:type="dxa"/>
          </w:tcPr>
          <w:p w:rsidR="00031A3F" w:rsidRPr="00EE1E0C" w:rsidRDefault="00031A3F">
            <w:pPr>
              <w:pStyle w:val="Normaltindrag"/>
              <w:ind w:firstLine="0"/>
              <w:rPr>
                <w:i/>
              </w:rPr>
            </w:pPr>
            <w:r w:rsidRPr="00EE1E0C">
              <w:rPr>
                <w:i/>
              </w:rPr>
              <w:t>Tar varandras mål i tingsrätten</w:t>
            </w:r>
          </w:p>
        </w:tc>
        <w:tc>
          <w:tcPr>
            <w:tcW w:w="1276" w:type="dxa"/>
            <w:gridSpan w:val="2"/>
          </w:tcPr>
          <w:p w:rsidR="00031A3F" w:rsidRPr="00EE1E0C" w:rsidRDefault="00031A3F">
            <w:pPr>
              <w:pStyle w:val="Normaltindrag"/>
              <w:ind w:firstLine="0"/>
              <w:jc w:val="right"/>
            </w:pPr>
            <w:r w:rsidRPr="00EE1E0C">
              <w:t>Ja</w:t>
            </w:r>
          </w:p>
        </w:tc>
        <w:tc>
          <w:tcPr>
            <w:tcW w:w="1417" w:type="dxa"/>
            <w:gridSpan w:val="2"/>
          </w:tcPr>
          <w:p w:rsidR="00031A3F" w:rsidRPr="00EE1E0C" w:rsidRDefault="00031A3F">
            <w:pPr>
              <w:pStyle w:val="Normaltindrag"/>
              <w:ind w:firstLine="0"/>
              <w:jc w:val="right"/>
            </w:pPr>
            <w:r w:rsidRPr="00EE1E0C">
              <w:t>Ja</w:t>
            </w:r>
          </w:p>
        </w:tc>
        <w:tc>
          <w:tcPr>
            <w:tcW w:w="1276" w:type="dxa"/>
            <w:gridSpan w:val="2"/>
          </w:tcPr>
          <w:p w:rsidR="00031A3F" w:rsidRPr="00EE1E0C" w:rsidRDefault="00031A3F">
            <w:pPr>
              <w:pStyle w:val="Normaltindrag"/>
              <w:ind w:firstLine="0"/>
              <w:jc w:val="right"/>
            </w:pPr>
            <w:r w:rsidRPr="00EE1E0C">
              <w:t>Nej</w:t>
            </w:r>
          </w:p>
        </w:tc>
      </w:tr>
    </w:tbl>
    <w:p w:rsidR="00031A3F" w:rsidRPr="00EE1E0C" w:rsidRDefault="00031A3F">
      <w:pPr>
        <w:pStyle w:val="Rubrik3"/>
      </w:pPr>
      <w:bookmarkStart w:id="227" w:name="_Toc448905931"/>
      <w:bookmarkStart w:id="228" w:name="_Toc454180245"/>
      <w:bookmarkStart w:id="229" w:name="_Toc466264204"/>
      <w:r w:rsidRPr="00EE1E0C">
        <w:t>Organisation</w:t>
      </w:r>
      <w:bookmarkEnd w:id="227"/>
      <w:bookmarkEnd w:id="228"/>
      <w:bookmarkEnd w:id="229"/>
    </w:p>
    <w:p w:rsidR="00031A3F" w:rsidRPr="00EE1E0C" w:rsidRDefault="00031A3F">
      <w:r w:rsidRPr="00EE1E0C">
        <w:t>Olika principer har varit vägledande för de olika myndigheterna vad gäller valet av antalet kamrar och deras lokalisering. Överåklagaren i Sundsvall menar att det är viktigt att åklagarna finns nära polisen. Trots att man har centraliserat verksamheten till Sundsvall med lokala åklagare i Örnsköldsvik finns åklagarna i praktiken kvar även i Sollefteå och Härnösand. I Östergö</w:t>
      </w:r>
      <w:r w:rsidRPr="00EE1E0C">
        <w:t>t</w:t>
      </w:r>
      <w:r w:rsidRPr="00EE1E0C">
        <w:t>land menar man att geografisk närhet mellan poliserna och åklagarna inte är lika nödvändig. Man menar att polisen och åklagarna inte behöver träffas varje dag. Den organisation som överåklagaren i Stockholm har valt är i</w:t>
      </w:r>
      <w:r w:rsidRPr="00EE1E0C">
        <w:t>n</w:t>
      </w:r>
      <w:r w:rsidRPr="00EE1E0C">
        <w:t>riktad på att uppnå största möjliga effektivitet vad gäller kostnader och resor. Detta är viktigt då Stockholms län har omkring 130 åklagare, 8 polismästa</w:t>
      </w:r>
      <w:r w:rsidRPr="00EE1E0C">
        <w:t>r</w:t>
      </w:r>
      <w:r w:rsidRPr="00EE1E0C">
        <w:t xml:space="preserve">distrikt, 59 närpolisområden och 10 tingsrätter. Överåklagaren menar att Stockholms centrum är den naturliga utgångspunkten för att nå </w:t>
      </w:r>
      <w:r w:rsidRPr="00EE1E0C">
        <w:t>tingsrätterna i Stockholms län. Vissa kamrar arbetar mot flera tingsrätter  vilket också gör att centrum är den naturligaste platsen för kamrarna.</w:t>
      </w:r>
    </w:p>
    <w:p w:rsidR="00031A3F" w:rsidRPr="00EE1E0C" w:rsidRDefault="00031A3F">
      <w:pPr>
        <w:pStyle w:val="Normaltindrag"/>
      </w:pPr>
      <w:r w:rsidRPr="00EE1E0C">
        <w:t>Var åklagarna bor förefaller också ha en viss betydelse för organisationen i de tre länen. Åklagarna i Sollefteå och Härnösand arbetar främst där de bor, medan de åklagare som tidigare arbetade i Motala numera arbetar på sin bostadsort, Linköping. De åklagare som bor i eller i närheten av Norrtälje handlägger ärenden därifrån och har också förhandlingarna vid tin</w:t>
      </w:r>
      <w:r w:rsidRPr="00EE1E0C">
        <w:t xml:space="preserve">gsrätten. </w:t>
      </w:r>
    </w:p>
    <w:p w:rsidR="00031A3F" w:rsidRPr="00EE1E0C" w:rsidRDefault="00031A3F">
      <w:pPr>
        <w:pStyle w:val="Normaltindrag"/>
      </w:pPr>
      <w:r w:rsidRPr="00EE1E0C">
        <w:t>I del 1 av rapporten har revisorerna redogjort för riktlinjerna för åklagarv</w:t>
      </w:r>
      <w:r w:rsidRPr="00EE1E0C">
        <w:t>ä</w:t>
      </w:r>
      <w:r w:rsidRPr="00EE1E0C">
        <w:t>sendets organisation. Vad gäller kamrarna skulle dessa vara tillräckligt stora för att kunna fungera självständigt och klara förändringar i verksamheten och variationer i arbetsbelastningen. I intervjuer med åklagarna i de tre länen har dock framkommit att kamrarna fortfarande uppfattas som för små för att vara effektiva. De bedöms också fortfarande vara sårbara. Om en åklagare blir sjuk eller blir upptagen av ett större mål under längre tid drabbas verksa</w:t>
      </w:r>
      <w:r w:rsidRPr="00EE1E0C">
        <w:t>m</w:t>
      </w:r>
      <w:r w:rsidRPr="00EE1E0C">
        <w:t xml:space="preserve">heten hårt. </w:t>
      </w:r>
    </w:p>
    <w:p w:rsidR="00031A3F" w:rsidRPr="00EE1E0C" w:rsidRDefault="00031A3F">
      <w:pPr>
        <w:pStyle w:val="Normaltindrag"/>
      </w:pPr>
      <w:r w:rsidRPr="00EE1E0C">
        <w:t>I riktlinjerna för den nya organisati</w:t>
      </w:r>
      <w:r w:rsidRPr="00EE1E0C">
        <w:t>onen angavs dock också att närheten till tingsrätter och till polis var viktig för att åklagarnas arbete skulle kunna bedrivas effektivt. Sundsvallskammaren är den minsta kammaren som ingår i granskningen och också den kammare som har den mest långtgående decen</w:t>
      </w:r>
      <w:r w:rsidRPr="00EE1E0C">
        <w:softHyphen/>
        <w:t>traliseringen. Avvägningen som gjorts när kammarens organisation beslut</w:t>
      </w:r>
      <w:r w:rsidRPr="00EE1E0C">
        <w:t>a</w:t>
      </w:r>
      <w:r w:rsidRPr="00EE1E0C">
        <w:t>des torde framför allt uppfylla behovet av närhet till polis och tingsrätt. Så</w:t>
      </w:r>
      <w:r w:rsidRPr="00EE1E0C">
        <w:t>r</w:t>
      </w:r>
      <w:r w:rsidRPr="00EE1E0C">
        <w:t>barheten förefaller vara oförändrad mot tidigare organisation, eftersom de små enheterna i Sollefte</w:t>
      </w:r>
      <w:r w:rsidRPr="00EE1E0C">
        <w:t>å, Härnösand och Örnsköldsvik i praktiken finns kvar. I Östergötland har framför allt kammaren i Linköping blivit större genom att åklagarna i Motala numera hör dit. Eftersom samtliga åklagare arbetar mot polisen och tingsrätterna i Linköping, Motala och Mjölby för</w:t>
      </w:r>
      <w:r w:rsidRPr="00EE1E0C">
        <w:t>e</w:t>
      </w:r>
      <w:r w:rsidRPr="00EE1E0C">
        <w:t>faller organisationen framför allt ha inriktats mot mindre sårbarhet. Kamra</w:t>
      </w:r>
      <w:r w:rsidRPr="00EE1E0C">
        <w:t>r</w:t>
      </w:r>
      <w:r w:rsidRPr="00EE1E0C">
        <w:t>na i Stockholms län har blivit betydligt större än de tidigare lokala myndi</w:t>
      </w:r>
      <w:r w:rsidRPr="00EE1E0C">
        <w:t>g</w:t>
      </w:r>
      <w:r w:rsidRPr="00EE1E0C">
        <w:t xml:space="preserve">heterna var. Centraliseringen av kamrar har inneburit att åklagarna har längre till polis och </w:t>
      </w:r>
      <w:r w:rsidRPr="00EE1E0C">
        <w:t xml:space="preserve">tingsrätt än tidigare. Stockholms åklagarmyndighet framhåller att det är möjligt att flytta åklagare mellan kamrarna, eftersom myndigheten är centraliserad och budgetansvaret inte är delegerat. Genom detta minskar sårbarheten. Biträdande överåklagaren i Linköping påtalar däremot att det är i stort sett omöjligt att flytta åklagare, eftersom det är få åklagare som vill flytta och eftersom det kostar för mycket. </w:t>
      </w:r>
    </w:p>
    <w:p w:rsidR="00031A3F" w:rsidRPr="00EE1E0C" w:rsidRDefault="00031A3F">
      <w:pPr>
        <w:pStyle w:val="Normaltindrag"/>
      </w:pPr>
      <w:r w:rsidRPr="00EE1E0C">
        <w:t>Flertalet åklagare vid 1:a kammaren i Stockholm och kammaren i Link</w:t>
      </w:r>
      <w:r w:rsidRPr="00EE1E0C">
        <w:t>ö</w:t>
      </w:r>
      <w:r w:rsidRPr="00EE1E0C">
        <w:t>ping framhåller att det är bra för kompetensutvecklingen att det finns fler åklagare än tidigare på arbetsplatsen. Andra fördelar framhålls också, exe</w:t>
      </w:r>
      <w:r w:rsidRPr="00EE1E0C">
        <w:t>m</w:t>
      </w:r>
      <w:r w:rsidRPr="00EE1E0C">
        <w:t>pelvis att åklagarna har lärt sig arbeta med datorer och att samarbetet med polisen har förbättrats. Man menar också att systemet med att mäta åklaga</w:t>
      </w:r>
      <w:r w:rsidRPr="00EE1E0C">
        <w:t>r</w:t>
      </w:r>
      <w:r w:rsidRPr="00EE1E0C">
        <w:t>nas prestationer (se vidare nedan) är bra. Åklagare från samtliga kamrar framhåller att en nackdel med omorganisationen är att de nya uppgifterna skall klaras med samma eller lägre antal åklagare. Arbetsbelastn</w:t>
      </w:r>
      <w:r w:rsidRPr="00EE1E0C">
        <w:t xml:space="preserve">ingen har blivit för hög. </w:t>
      </w:r>
    </w:p>
    <w:p w:rsidR="00031A3F" w:rsidRPr="00EE1E0C" w:rsidRDefault="00031A3F">
      <w:pPr>
        <w:pStyle w:val="Normaltindrag"/>
      </w:pPr>
      <w:r w:rsidRPr="00EE1E0C">
        <w:t>Sammantaget kan sägas att omorganisationen uppfattas olika av de inte</w:t>
      </w:r>
      <w:r w:rsidRPr="00EE1E0C">
        <w:t>r</w:t>
      </w:r>
      <w:r w:rsidRPr="00EE1E0C">
        <w:t>vjuade åklagarna. Vissa åklagare tillskriver dessutom omorganisationen förändringar som inte är en direkt följd av den nya organisationen såsom den försämrade personalsituationen. Andra tillskriver omorganisationen förbät</w:t>
      </w:r>
      <w:r w:rsidRPr="00EE1E0C">
        <w:t>t</w:t>
      </w:r>
      <w:r w:rsidRPr="00EE1E0C">
        <w:t>ringar som inte heller de kan sägas var en direkt följd av den nya organis</w:t>
      </w:r>
      <w:r w:rsidRPr="00EE1E0C">
        <w:t>a</w:t>
      </w:r>
      <w:r w:rsidRPr="00EE1E0C">
        <w:t>tionen, t.ex. den ökade dator</w:t>
      </w:r>
      <w:r w:rsidRPr="00EE1E0C">
        <w:t>i</w:t>
      </w:r>
      <w:r w:rsidRPr="00EE1E0C">
        <w:t xml:space="preserve">seringen och förbättrade kontakter med polisen. </w:t>
      </w:r>
    </w:p>
    <w:p w:rsidR="00031A3F" w:rsidRPr="00EE1E0C" w:rsidRDefault="00031A3F">
      <w:pPr>
        <w:pStyle w:val="Rubrik3"/>
      </w:pPr>
      <w:bookmarkStart w:id="230" w:name="_Toc454180246"/>
      <w:bookmarkStart w:id="231" w:name="_Toc466264205"/>
      <w:r w:rsidRPr="00EE1E0C">
        <w:t>Tillgänglighet</w:t>
      </w:r>
      <w:bookmarkEnd w:id="230"/>
      <w:bookmarkEnd w:id="231"/>
    </w:p>
    <w:p w:rsidR="00031A3F" w:rsidRPr="00EE1E0C" w:rsidRDefault="00031A3F">
      <w:r w:rsidRPr="00EE1E0C">
        <w:t>Myndigheternas organisation påverkar åklagarnas tillgänglighet för allmä</w:t>
      </w:r>
      <w:r w:rsidRPr="00EE1E0C">
        <w:t>n</w:t>
      </w:r>
      <w:r w:rsidRPr="00EE1E0C">
        <w:t>heten. I Östergötlands län har åklagarna mottagning i Mjölby och Motala då allmänheten kan besöka åklagarna. Vad gäller 1:a kammaren i Stockholm har åklagarna endast mottagning i kammarens lokaler i centrala Stockholm. När åklagaren kallar en person till sig måste denne komma till kammaren. T.ex. får ungdomarna och i förekommande fall föräldrar och personal från socia</w:t>
      </w:r>
      <w:r w:rsidRPr="00EE1E0C">
        <w:t>l</w:t>
      </w:r>
      <w:r w:rsidRPr="00EE1E0C">
        <w:t>tjänsten i Sollentuna komma till kammaren i centrala Stockholm vid delgi</w:t>
      </w:r>
      <w:r w:rsidRPr="00EE1E0C">
        <w:t>v</w:t>
      </w:r>
      <w:r w:rsidRPr="00EE1E0C">
        <w:t>ningar i ungdomsmål. Norrtälje är ett undantag, där åklagarna tar e</w:t>
      </w:r>
      <w:r w:rsidRPr="00EE1E0C">
        <w:t>mot besök på polishuset. I granskningen har kritik framkommit vad gäller Stockholms åklagarmyndighets centralisering. Man menar att arbetsplatsen har blivit för stor. Man menar också att många poliser tycker att det är för långt till ka</w:t>
      </w:r>
      <w:r w:rsidRPr="00EE1E0C">
        <w:t>m</w:t>
      </w:r>
      <w:r w:rsidRPr="00EE1E0C">
        <w:t xml:space="preserve">maren för att de skall besöka åklagarna och diskutera sina ärenden. </w:t>
      </w:r>
    </w:p>
    <w:p w:rsidR="00031A3F" w:rsidRPr="00EE1E0C" w:rsidRDefault="00031A3F">
      <w:pPr>
        <w:pStyle w:val="Rubrik3"/>
      </w:pPr>
      <w:bookmarkStart w:id="232" w:name="_Toc454180247"/>
      <w:bookmarkStart w:id="233" w:name="_Toc466264206"/>
      <w:r w:rsidRPr="00EE1E0C">
        <w:t>Överåklagarnas uppgifter</w:t>
      </w:r>
      <w:bookmarkEnd w:id="232"/>
      <w:bookmarkEnd w:id="233"/>
    </w:p>
    <w:p w:rsidR="00031A3F" w:rsidRPr="00EE1E0C" w:rsidRDefault="00031A3F">
      <w:r w:rsidRPr="00EE1E0C">
        <w:t>Överåklagarna i de tre länen menar att deras uppgifter främst är att utöva tillsyn över kamrarna och att sköta administrationen. För Stockholms län innebär detta att överåklagaren inte heller har delegerat budgetansvaret till kamrarna fullt ut. När det gäller tillsyn utövas den framför allt genom överprövningarna. Överåklagarna får därigenom bl.a. inblick i hur åklagarna värderar bevis. Kamrarnas prestationer granskas också av överåklagarna genom diarieföringssystemet. Vissa överåklagare inspekterar även k</w:t>
      </w:r>
      <w:r w:rsidRPr="00EE1E0C">
        <w:t>amra</w:t>
      </w:r>
      <w:r w:rsidRPr="00EE1E0C">
        <w:t>r</w:t>
      </w:r>
      <w:r w:rsidRPr="00EE1E0C">
        <w:t xml:space="preserve">na. </w:t>
      </w:r>
    </w:p>
    <w:p w:rsidR="00031A3F" w:rsidRPr="00EE1E0C" w:rsidRDefault="00031A3F">
      <w:pPr>
        <w:pStyle w:val="Normaltindrag"/>
      </w:pPr>
      <w:r w:rsidRPr="00EE1E0C">
        <w:t>Förutom tillsyn och administration nämns i riktlinjerna för åklagarväse</w:t>
      </w:r>
      <w:r w:rsidRPr="00EE1E0C">
        <w:t>n</w:t>
      </w:r>
      <w:r w:rsidRPr="00EE1E0C">
        <w:t>dets nya organisation att överåklagarna i ökad omfattning kommer att få ägna tid och kraft åt samverkan med andra samhällsorgan. Samverkan med andra myndigheter berörs i liten grad av åklagarna i intervjuerna. Enligt riktlinjerna bör överåklagarna också handlägga s.k. auktoritetsmål. Överåklagarna, bitr</w:t>
      </w:r>
      <w:r w:rsidRPr="00EE1E0C">
        <w:t>ä</w:t>
      </w:r>
      <w:r w:rsidRPr="00EE1E0C">
        <w:t>dande överåklagarna eller kansliåklagarna vid de granskade åklagarmyndi</w:t>
      </w:r>
      <w:r w:rsidRPr="00EE1E0C">
        <w:t>g</w:t>
      </w:r>
      <w:r w:rsidRPr="00EE1E0C">
        <w:t>heterna har enligt uppgift från myndigheterna inte handhaft något mål under 1997 eller 1998.</w:t>
      </w:r>
      <w:r w:rsidRPr="00EE1E0C">
        <w:rPr>
          <w:rStyle w:val="Fotnotsreferens"/>
        </w:rPr>
        <w:footnoteReference w:id="5"/>
      </w:r>
    </w:p>
    <w:p w:rsidR="00031A3F" w:rsidRPr="00EE1E0C" w:rsidRDefault="00031A3F">
      <w:pPr>
        <w:pStyle w:val="Rubrik3"/>
      </w:pPr>
      <w:bookmarkStart w:id="234" w:name="_Toc454180248"/>
      <w:bookmarkStart w:id="235" w:name="_Toc466264207"/>
      <w:r w:rsidRPr="00EE1E0C">
        <w:t>Egna eller andras mål?</w:t>
      </w:r>
      <w:bookmarkEnd w:id="234"/>
      <w:bookmarkEnd w:id="235"/>
    </w:p>
    <w:p w:rsidR="00031A3F" w:rsidRPr="00EE1E0C" w:rsidRDefault="00031A3F">
      <w:r w:rsidRPr="00EE1E0C">
        <w:t>Kamrarna i Stockholm och Linköping uppger att det tar tid att administrera en centraliserad kammare med flera tingsrätter inom sitt område. Det finns trots planering också risk för att en åklagare kan behöva vara på mer än en tingsrätt vid samma tidpunkt eller att två åklagare måste resa till samma tingsrätt samtidigt. Vid båda kamrarna är det vanligt att åklagarna tar varan</w:t>
      </w:r>
      <w:r w:rsidRPr="00EE1E0C">
        <w:t>d</w:t>
      </w:r>
      <w:r w:rsidRPr="00EE1E0C">
        <w:t xml:space="preserve">ras mål i tingsrätten. På så sätt behöver bara en åklagare åka till tingsrätten under en förhandlingsdag. </w:t>
      </w:r>
    </w:p>
    <w:p w:rsidR="00031A3F" w:rsidRPr="00EE1E0C" w:rsidRDefault="00031A3F">
      <w:pPr>
        <w:pStyle w:val="Normaltindrag"/>
      </w:pPr>
      <w:r w:rsidRPr="00EE1E0C">
        <w:t>Kammaråklagarna vid 1:a kammaren i Stockholm och vid Linköping</w:t>
      </w:r>
      <w:r w:rsidRPr="00EE1E0C">
        <w:t>s</w:t>
      </w:r>
      <w:r w:rsidRPr="00EE1E0C">
        <w:t>kammaren menar samtliga att det finns vissa svårigheter med att inte ha sina egna mål. Det tar tid att läsa in andras mål, åklagarna tänker olika och man kan inte svara på frågor i rätten om omständigheter i samband med förunde</w:t>
      </w:r>
      <w:r w:rsidRPr="00EE1E0C">
        <w:t>r</w:t>
      </w:r>
      <w:r w:rsidRPr="00EE1E0C">
        <w:t>sökningen. Samtliga kammaråklagare uttrycker önskemål om att i större utsträckning ha egna mål. Kammarcheferna framhåller dock att det också kan finnas fördelar med att ha varandras mål; man får t.ex. större insyn i var</w:t>
      </w:r>
      <w:r w:rsidRPr="00EE1E0C">
        <w:softHyphen/>
        <w:t xml:space="preserve">andras beslut och man kan lära av varandras sätt att handlägga </w:t>
      </w:r>
      <w:r w:rsidRPr="00EE1E0C">
        <w:t xml:space="preserve">ärenden. Kammarcheferna framhåller också att det är mindre viktigt att ha sina egna mål när det gäller mindre mål. Överåklagaren i Stockholm uppger att man tidigare menade att omkring 50 procent av målen borde följa åklagarna. Detta visade sig vara en för hög andel och man menar numera att behovet torde vara omkring 20 procent. </w:t>
      </w:r>
    </w:p>
    <w:p w:rsidR="00031A3F" w:rsidRPr="00EE1E0C" w:rsidRDefault="00031A3F">
      <w:pPr>
        <w:pStyle w:val="Normaltindrag"/>
      </w:pPr>
      <w:r w:rsidRPr="00EE1E0C">
        <w:t>I Västernorrlands län innebär organisationen att åklagarna arbetar mot var sin tingsrätt. De fyra åklagare som främst arbetar mot Sundsvalls tingsrätt har efter en överenskommelse m</w:t>
      </w:r>
      <w:r w:rsidRPr="00EE1E0C">
        <w:t>ed tingsrätten fasta förhandlingsdagar. I stort sett handlägger åklaga</w:t>
      </w:r>
      <w:r w:rsidRPr="00EE1E0C">
        <w:t>r</w:t>
      </w:r>
      <w:r w:rsidRPr="00EE1E0C">
        <w:t xml:space="preserve">na endast sina egna mål. </w:t>
      </w:r>
    </w:p>
    <w:p w:rsidR="00031A3F" w:rsidRPr="00EE1E0C" w:rsidRDefault="00031A3F">
      <w:pPr>
        <w:pStyle w:val="Normaltindrag"/>
      </w:pPr>
      <w:r w:rsidRPr="00EE1E0C">
        <w:t>Sammantaget kan sägas att kammarcheferna ser vissa fördelar med att åklagarna tar varandras mål, medan kammaråklagarna i allmänhet föredrar att ha sina egna mål–även de som är av mindre omfattning. Som framgår av del 3 av rapporten har även domare vid tingsrätterna synpunkter på frågan hur</w:t>
      </w:r>
      <w:r w:rsidRPr="00EE1E0C">
        <w:t>u</w:t>
      </w:r>
      <w:r w:rsidRPr="00EE1E0C">
        <w:t>vida åklagarna bör ha sina egna mål vid tingsrätten.</w:t>
      </w:r>
    </w:p>
    <w:p w:rsidR="00031A3F" w:rsidRPr="00EE1E0C" w:rsidRDefault="00031A3F">
      <w:pPr>
        <w:pStyle w:val="Rubrik3"/>
      </w:pPr>
      <w:bookmarkStart w:id="236" w:name="_Toc454180249"/>
      <w:bookmarkStart w:id="237" w:name="_Toc466264208"/>
      <w:r w:rsidRPr="00EE1E0C">
        <w:t>Prestationer</w:t>
      </w:r>
      <w:bookmarkEnd w:id="236"/>
      <w:bookmarkEnd w:id="237"/>
      <w:r w:rsidRPr="00EE1E0C">
        <w:t xml:space="preserve"> </w:t>
      </w:r>
    </w:p>
    <w:p w:rsidR="00031A3F" w:rsidRPr="00EE1E0C" w:rsidRDefault="00031A3F">
      <w:r w:rsidRPr="00EE1E0C">
        <w:t>När kamrarna bildades den 1 juli 1996 var utgångspunkterna olika. 1:a ka</w:t>
      </w:r>
      <w:r w:rsidRPr="00EE1E0C">
        <w:t>m</w:t>
      </w:r>
      <w:r w:rsidRPr="00EE1E0C">
        <w:t>maren i Stockholm bildades av tre tidigare lokala myndigheter. Kammaren flyttade också vid två tillfällen. Förändringarna för kammaren i Linköping var något mindre medan förändringarna för kammaren i Sundsvall i prakt</w:t>
      </w:r>
      <w:r w:rsidRPr="00EE1E0C">
        <w:t>i</w:t>
      </w:r>
      <w:r w:rsidRPr="00EE1E0C">
        <w:t>ken var små. Större förändringar kan påverka arbetsresultatet under en öve</w:t>
      </w:r>
      <w:r w:rsidRPr="00EE1E0C">
        <w:t>r</w:t>
      </w:r>
      <w:r w:rsidRPr="00EE1E0C">
        <w:t xml:space="preserve">gångstid. </w:t>
      </w:r>
    </w:p>
    <w:p w:rsidR="00031A3F" w:rsidRPr="00EE1E0C" w:rsidRDefault="00031A3F">
      <w:pPr>
        <w:pStyle w:val="Normaltindrag"/>
      </w:pPr>
      <w:r w:rsidRPr="00EE1E0C">
        <w:t>Som framgår av tabellerna nedan skiljer sig prestationerna något mellan kamrarna. En orsak kan vara att man har valt att organisera arbetet olika, men även andra faktorer kan spela in. Ett exempel är att mål</w:t>
      </w:r>
      <w:r w:rsidRPr="00EE1E0C">
        <w:t>sammansät</w:t>
      </w:r>
      <w:r w:rsidRPr="00EE1E0C">
        <w:t>t</w:t>
      </w:r>
      <w:r w:rsidRPr="00EE1E0C">
        <w:t>ningen kan spela roll för prestationerna, speciellt när jämförelsetiden är kort. Långa, komplicerade mål kan uppehålla en åklagare under lång tid. Priorit</w:t>
      </w:r>
      <w:r w:rsidRPr="00EE1E0C">
        <w:t>e</w:t>
      </w:r>
      <w:r w:rsidRPr="00EE1E0C">
        <w:t>ringar av en viss grupp ärenden under en viss tid kan också påverka prest</w:t>
      </w:r>
      <w:r w:rsidRPr="00EE1E0C">
        <w:t>a</w:t>
      </w:r>
      <w:r w:rsidRPr="00EE1E0C">
        <w:t>tionerna. Balanssituationen vid den nya organisationens början kan också vara en orsak. Vidare kan en ökad arbetsinsats rörande en viss ärendegrupp för att arbeta av balanser höja genomströmningstiden. Andra faktorer är att någon kammare kan ha förlorat åklagare genom pens</w:t>
      </w:r>
      <w:r w:rsidRPr="00EE1E0C">
        <w:t>ioneringar under a</w:t>
      </w:r>
      <w:r w:rsidRPr="00EE1E0C">
        <w:t>n</w:t>
      </w:r>
      <w:r w:rsidRPr="00EE1E0C">
        <w:t>ställningsstoppet. En annan faktor är långa sjukskrivnin</w:t>
      </w:r>
      <w:r w:rsidRPr="00EE1E0C">
        <w:t>g</w:t>
      </w:r>
      <w:r w:rsidRPr="00EE1E0C">
        <w:t>sperioder.</w:t>
      </w:r>
    </w:p>
    <w:p w:rsidR="00031A3F" w:rsidRPr="00EE1E0C" w:rsidRDefault="00031A3F">
      <w:pPr>
        <w:pStyle w:val="Normaltindrag"/>
      </w:pPr>
      <w:r w:rsidRPr="00EE1E0C">
        <w:t>Av den begränsade tid som statistiken över kamrarnas prestationer omfa</w:t>
      </w:r>
      <w:r w:rsidRPr="00EE1E0C">
        <w:t>t</w:t>
      </w:r>
      <w:r w:rsidRPr="00EE1E0C">
        <w:t>tar framgår att prestationerna mellan kamrarna varierar. Utvecklingen av prestationerna har dock varit likartad. Antalet avslutade ärenden har ökat, lagföringsprocenten för avslutade ärenden har minskat medan den har ökat för avslutade brottsmisstankar. Som framhållits ovan försvåras jämförelsen av att kamrarna vid den nya organisationens början hade olika förutsättnin</w:t>
      </w:r>
      <w:r w:rsidRPr="00EE1E0C">
        <w:t>g</w:t>
      </w:r>
      <w:r w:rsidRPr="00EE1E0C">
        <w:t>ar. Sammantaget kan sägas att det inte är möjligt att hänföra skillnaderna i prestationerna till vilken organisation kamrarna har valt efte</w:t>
      </w:r>
      <w:r w:rsidRPr="00EE1E0C">
        <w:t>rsom andra fa</w:t>
      </w:r>
      <w:r w:rsidRPr="00EE1E0C">
        <w:t>k</w:t>
      </w:r>
      <w:r w:rsidRPr="00EE1E0C">
        <w:t>torer också spelar in. I tabellerna som följer redovisas kamrarnas olika pre</w:t>
      </w:r>
      <w:r w:rsidRPr="00EE1E0C">
        <w:t>s</w:t>
      </w:r>
      <w:r w:rsidRPr="00EE1E0C">
        <w:t xml:space="preserve">tationer för 1997 och 1998. För andra halvåret 1996 finns inga uppgifter. Som framhållits ovan är jämförelseperioden kort. </w:t>
      </w:r>
    </w:p>
    <w:p w:rsidR="00031A3F" w:rsidRPr="00EE1E0C" w:rsidRDefault="00031A3F">
      <w:pPr>
        <w:pStyle w:val="Normaltindrag"/>
      </w:pPr>
      <w:r w:rsidRPr="00EE1E0C">
        <w:t>Av tabellen nedan framgår att antalet ärenden som inkommit till Link</w:t>
      </w:r>
      <w:r w:rsidRPr="00EE1E0C">
        <w:t>ö</w:t>
      </w:r>
      <w:r w:rsidRPr="00EE1E0C">
        <w:t>pingskammaren har ökat med knappt 20 procent mellan 1997 och 1998. För de båda andra kamrarna har antalet inkomna ärenden minskat något. Vidare framgår det att kamrarna har avslutat fler ärenden under 1998 än de gjorde under 1997. För samtliga kamrar har dock lagföringsprocenten, dvs. den andel av ärendena som avslutas med strafföreläggande, åtalsunderlåtelse eller med att åtal väcks, minskat mellan 1997 och 1998. Andelen avskrivna äre</w:t>
      </w:r>
      <w:r w:rsidRPr="00EE1E0C">
        <w:t>n</w:t>
      </w:r>
      <w:r w:rsidRPr="00EE1E0C">
        <w:t xml:space="preserve">den har alltså ökat. </w:t>
      </w:r>
    </w:p>
    <w:p w:rsidR="00031A3F" w:rsidRPr="00EE1E0C" w:rsidRDefault="00031A3F">
      <w:pPr>
        <w:pStyle w:val="Tabellrubrik"/>
      </w:pPr>
    </w:p>
    <w:p w:rsidR="00031A3F" w:rsidRPr="00EE1E0C" w:rsidRDefault="00031A3F">
      <w:pPr>
        <w:pStyle w:val="Tabellrubrik"/>
      </w:pPr>
      <w:r w:rsidRPr="00EE1E0C">
        <w:t>Tabell 2.2 Inkomna och avslutade ärenden samt lagföringsprocent vid 1:a ka</w:t>
      </w:r>
      <w:r w:rsidRPr="00EE1E0C">
        <w:t>m</w:t>
      </w:r>
      <w:r w:rsidRPr="00EE1E0C">
        <w:t>m</w:t>
      </w:r>
      <w:r w:rsidRPr="00EE1E0C">
        <w:t>a</w:t>
      </w:r>
      <w:r w:rsidRPr="00EE1E0C">
        <w:t>ren i Stockholm samt kamrarna i Linköping och Sundsvall, 1997 och 1998</w:t>
      </w:r>
    </w:p>
    <w:p w:rsidR="00031A3F" w:rsidRPr="00EE1E0C" w:rsidRDefault="00031A3F">
      <w:pPr>
        <w:pStyle w:val="Tabell"/>
        <w:spacing w:line="6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79"/>
        <w:gridCol w:w="780"/>
        <w:gridCol w:w="811"/>
        <w:gridCol w:w="811"/>
        <w:gridCol w:w="754"/>
        <w:gridCol w:w="755"/>
      </w:tblGrid>
      <w:tr w:rsidR="00000000" w:rsidRPr="00EE1E0C">
        <w:tblPrEx>
          <w:tblCellMar>
            <w:top w:w="0" w:type="dxa"/>
            <w:bottom w:w="0" w:type="dxa"/>
          </w:tblCellMar>
        </w:tblPrEx>
        <w:tc>
          <w:tcPr>
            <w:tcW w:w="1346" w:type="dxa"/>
          </w:tcPr>
          <w:p w:rsidR="00031A3F" w:rsidRPr="00EE1E0C" w:rsidRDefault="00031A3F">
            <w:pPr>
              <w:pStyle w:val="Normaltindrag"/>
              <w:spacing w:line="200" w:lineRule="exact"/>
              <w:ind w:firstLine="0"/>
            </w:pPr>
          </w:p>
        </w:tc>
        <w:tc>
          <w:tcPr>
            <w:tcW w:w="1559" w:type="dxa"/>
            <w:gridSpan w:val="2"/>
          </w:tcPr>
          <w:p w:rsidR="00031A3F" w:rsidRPr="00EE1E0C" w:rsidRDefault="00031A3F">
            <w:pPr>
              <w:pStyle w:val="Normaltindrag"/>
              <w:spacing w:line="200" w:lineRule="exact"/>
              <w:ind w:firstLine="0"/>
              <w:rPr>
                <w:b/>
              </w:rPr>
            </w:pPr>
            <w:r w:rsidRPr="00EE1E0C">
              <w:rPr>
                <w:b/>
              </w:rPr>
              <w:t>Inkomna         ärenden</w:t>
            </w:r>
          </w:p>
        </w:tc>
        <w:tc>
          <w:tcPr>
            <w:tcW w:w="1622" w:type="dxa"/>
            <w:gridSpan w:val="2"/>
          </w:tcPr>
          <w:p w:rsidR="00031A3F" w:rsidRPr="00EE1E0C" w:rsidRDefault="00031A3F">
            <w:pPr>
              <w:pStyle w:val="Normaltindrag"/>
              <w:spacing w:line="200" w:lineRule="exact"/>
              <w:ind w:firstLine="0"/>
              <w:rPr>
                <w:b/>
              </w:rPr>
            </w:pPr>
            <w:r w:rsidRPr="00EE1E0C">
              <w:rPr>
                <w:b/>
              </w:rPr>
              <w:t>Avslutade       ärenden</w:t>
            </w:r>
          </w:p>
        </w:tc>
        <w:tc>
          <w:tcPr>
            <w:tcW w:w="1509" w:type="dxa"/>
            <w:gridSpan w:val="2"/>
          </w:tcPr>
          <w:p w:rsidR="00031A3F" w:rsidRPr="00EE1E0C" w:rsidRDefault="00031A3F">
            <w:pPr>
              <w:pStyle w:val="Normaltindrag"/>
              <w:spacing w:line="200" w:lineRule="exact"/>
              <w:ind w:firstLine="0"/>
              <w:rPr>
                <w:b/>
              </w:rPr>
            </w:pPr>
            <w:r w:rsidRPr="00EE1E0C">
              <w:rPr>
                <w:b/>
              </w:rPr>
              <w:t>Lagföring             i pr</w:t>
            </w:r>
            <w:r w:rsidRPr="00EE1E0C">
              <w:rPr>
                <w:b/>
              </w:rPr>
              <w:t>o</w:t>
            </w:r>
            <w:r w:rsidRPr="00EE1E0C">
              <w:rPr>
                <w:b/>
              </w:rPr>
              <w:t>cent</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p>
        </w:tc>
        <w:tc>
          <w:tcPr>
            <w:tcW w:w="779" w:type="dxa"/>
          </w:tcPr>
          <w:p w:rsidR="00031A3F" w:rsidRPr="00EE1E0C" w:rsidRDefault="00031A3F">
            <w:pPr>
              <w:pStyle w:val="Normaltindrag"/>
              <w:ind w:firstLine="0"/>
              <w:rPr>
                <w:b/>
              </w:rPr>
            </w:pPr>
            <w:r w:rsidRPr="00EE1E0C">
              <w:rPr>
                <w:b/>
              </w:rPr>
              <w:t>1997</w:t>
            </w:r>
          </w:p>
        </w:tc>
        <w:tc>
          <w:tcPr>
            <w:tcW w:w="780" w:type="dxa"/>
          </w:tcPr>
          <w:p w:rsidR="00031A3F" w:rsidRPr="00EE1E0C" w:rsidRDefault="00031A3F">
            <w:pPr>
              <w:pStyle w:val="Normaltindrag"/>
              <w:ind w:firstLine="0"/>
              <w:rPr>
                <w:b/>
              </w:rPr>
            </w:pPr>
            <w:r w:rsidRPr="00EE1E0C">
              <w:rPr>
                <w:b/>
              </w:rPr>
              <w:t>1998</w:t>
            </w:r>
          </w:p>
        </w:tc>
        <w:tc>
          <w:tcPr>
            <w:tcW w:w="811" w:type="dxa"/>
          </w:tcPr>
          <w:p w:rsidR="00031A3F" w:rsidRPr="00EE1E0C" w:rsidRDefault="00031A3F">
            <w:pPr>
              <w:pStyle w:val="Normaltindrag"/>
              <w:ind w:firstLine="0"/>
              <w:rPr>
                <w:b/>
              </w:rPr>
            </w:pPr>
            <w:r w:rsidRPr="00EE1E0C">
              <w:rPr>
                <w:b/>
              </w:rPr>
              <w:t>1997</w:t>
            </w:r>
          </w:p>
        </w:tc>
        <w:tc>
          <w:tcPr>
            <w:tcW w:w="811" w:type="dxa"/>
          </w:tcPr>
          <w:p w:rsidR="00031A3F" w:rsidRPr="00EE1E0C" w:rsidRDefault="00031A3F">
            <w:pPr>
              <w:pStyle w:val="Normaltindrag"/>
              <w:ind w:firstLine="0"/>
              <w:rPr>
                <w:b/>
              </w:rPr>
            </w:pPr>
            <w:r w:rsidRPr="00EE1E0C">
              <w:rPr>
                <w:b/>
              </w:rPr>
              <w:t>1998</w:t>
            </w:r>
          </w:p>
        </w:tc>
        <w:tc>
          <w:tcPr>
            <w:tcW w:w="754" w:type="dxa"/>
          </w:tcPr>
          <w:p w:rsidR="00031A3F" w:rsidRPr="00EE1E0C" w:rsidRDefault="00031A3F">
            <w:pPr>
              <w:pStyle w:val="Normaltindrag"/>
              <w:ind w:firstLine="0"/>
              <w:rPr>
                <w:b/>
              </w:rPr>
            </w:pPr>
            <w:r w:rsidRPr="00EE1E0C">
              <w:rPr>
                <w:b/>
              </w:rPr>
              <w:t>1997</w:t>
            </w:r>
          </w:p>
        </w:tc>
        <w:tc>
          <w:tcPr>
            <w:tcW w:w="755" w:type="dxa"/>
          </w:tcPr>
          <w:p w:rsidR="00031A3F" w:rsidRPr="00EE1E0C" w:rsidRDefault="00031A3F">
            <w:pPr>
              <w:pStyle w:val="Normaltindrag"/>
              <w:ind w:firstLine="0"/>
              <w:rPr>
                <w:b/>
              </w:rPr>
            </w:pPr>
            <w:r w:rsidRPr="00EE1E0C">
              <w:rPr>
                <w:b/>
              </w:rPr>
              <w:t>1998</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r w:rsidRPr="00EE1E0C">
              <w:t>1:a kammaren i Stockholm</w:t>
            </w:r>
          </w:p>
        </w:tc>
        <w:tc>
          <w:tcPr>
            <w:tcW w:w="779" w:type="dxa"/>
          </w:tcPr>
          <w:p w:rsidR="00031A3F" w:rsidRPr="00EE1E0C" w:rsidRDefault="00031A3F">
            <w:pPr>
              <w:pStyle w:val="Normaltindrag"/>
              <w:ind w:firstLine="0"/>
              <w:jc w:val="right"/>
            </w:pPr>
            <w:r w:rsidRPr="00EE1E0C">
              <w:t>7 682</w:t>
            </w:r>
          </w:p>
        </w:tc>
        <w:tc>
          <w:tcPr>
            <w:tcW w:w="780" w:type="dxa"/>
          </w:tcPr>
          <w:p w:rsidR="00031A3F" w:rsidRPr="00EE1E0C" w:rsidRDefault="00031A3F">
            <w:pPr>
              <w:pStyle w:val="Normaltindrag"/>
              <w:ind w:firstLine="0"/>
              <w:jc w:val="right"/>
            </w:pPr>
            <w:r w:rsidRPr="00EE1E0C">
              <w:t>7 514</w:t>
            </w:r>
          </w:p>
        </w:tc>
        <w:tc>
          <w:tcPr>
            <w:tcW w:w="811" w:type="dxa"/>
          </w:tcPr>
          <w:p w:rsidR="00031A3F" w:rsidRPr="00EE1E0C" w:rsidRDefault="00031A3F">
            <w:pPr>
              <w:pStyle w:val="Normaltindrag"/>
              <w:ind w:firstLine="0"/>
              <w:jc w:val="right"/>
            </w:pPr>
            <w:r w:rsidRPr="00EE1E0C">
              <w:t>7 124</w:t>
            </w:r>
          </w:p>
        </w:tc>
        <w:tc>
          <w:tcPr>
            <w:tcW w:w="811" w:type="dxa"/>
          </w:tcPr>
          <w:p w:rsidR="00031A3F" w:rsidRPr="00EE1E0C" w:rsidRDefault="00031A3F">
            <w:pPr>
              <w:pStyle w:val="Normaltindrag"/>
              <w:ind w:firstLine="0"/>
              <w:jc w:val="right"/>
            </w:pPr>
            <w:r w:rsidRPr="00EE1E0C">
              <w:t>8 149</w:t>
            </w:r>
          </w:p>
        </w:tc>
        <w:tc>
          <w:tcPr>
            <w:tcW w:w="754" w:type="dxa"/>
          </w:tcPr>
          <w:p w:rsidR="00031A3F" w:rsidRPr="00EE1E0C" w:rsidRDefault="00031A3F">
            <w:pPr>
              <w:pStyle w:val="Normaltindrag"/>
              <w:ind w:firstLine="0"/>
              <w:jc w:val="right"/>
            </w:pPr>
            <w:r w:rsidRPr="00EE1E0C">
              <w:t>55 %</w:t>
            </w:r>
          </w:p>
        </w:tc>
        <w:tc>
          <w:tcPr>
            <w:tcW w:w="755" w:type="dxa"/>
          </w:tcPr>
          <w:p w:rsidR="00031A3F" w:rsidRPr="00EE1E0C" w:rsidRDefault="00031A3F">
            <w:pPr>
              <w:pStyle w:val="Normaltindrag"/>
              <w:ind w:firstLine="0"/>
              <w:jc w:val="right"/>
            </w:pPr>
            <w:r w:rsidRPr="00EE1E0C">
              <w:t>53 %</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r w:rsidRPr="00EE1E0C">
              <w:t>Linköping</w:t>
            </w:r>
          </w:p>
        </w:tc>
        <w:tc>
          <w:tcPr>
            <w:tcW w:w="779" w:type="dxa"/>
          </w:tcPr>
          <w:p w:rsidR="00031A3F" w:rsidRPr="00EE1E0C" w:rsidRDefault="00031A3F">
            <w:pPr>
              <w:pStyle w:val="Normaltindrag"/>
              <w:ind w:firstLine="0"/>
              <w:jc w:val="right"/>
            </w:pPr>
            <w:r w:rsidRPr="00EE1E0C">
              <w:t>4 501</w:t>
            </w:r>
          </w:p>
        </w:tc>
        <w:tc>
          <w:tcPr>
            <w:tcW w:w="780" w:type="dxa"/>
          </w:tcPr>
          <w:p w:rsidR="00031A3F" w:rsidRPr="00EE1E0C" w:rsidRDefault="00031A3F">
            <w:pPr>
              <w:pStyle w:val="Normaltindrag"/>
              <w:ind w:firstLine="0"/>
              <w:jc w:val="right"/>
            </w:pPr>
            <w:r w:rsidRPr="00EE1E0C">
              <w:t>5 357</w:t>
            </w:r>
          </w:p>
        </w:tc>
        <w:tc>
          <w:tcPr>
            <w:tcW w:w="811" w:type="dxa"/>
          </w:tcPr>
          <w:p w:rsidR="00031A3F" w:rsidRPr="00EE1E0C" w:rsidRDefault="00031A3F">
            <w:pPr>
              <w:pStyle w:val="Normaltindrag"/>
              <w:ind w:firstLine="0"/>
              <w:jc w:val="right"/>
            </w:pPr>
            <w:r w:rsidRPr="00EE1E0C">
              <w:t>3 898</w:t>
            </w:r>
          </w:p>
        </w:tc>
        <w:tc>
          <w:tcPr>
            <w:tcW w:w="811" w:type="dxa"/>
          </w:tcPr>
          <w:p w:rsidR="00031A3F" w:rsidRPr="00EE1E0C" w:rsidRDefault="00031A3F">
            <w:pPr>
              <w:pStyle w:val="Normaltindrag"/>
              <w:ind w:firstLine="0"/>
              <w:jc w:val="right"/>
            </w:pPr>
            <w:r w:rsidRPr="00EE1E0C">
              <w:t>5 864</w:t>
            </w:r>
          </w:p>
        </w:tc>
        <w:tc>
          <w:tcPr>
            <w:tcW w:w="754" w:type="dxa"/>
          </w:tcPr>
          <w:p w:rsidR="00031A3F" w:rsidRPr="00EE1E0C" w:rsidRDefault="00031A3F">
            <w:pPr>
              <w:pStyle w:val="Normaltindrag"/>
              <w:ind w:firstLine="0"/>
              <w:jc w:val="right"/>
            </w:pPr>
            <w:r w:rsidRPr="00EE1E0C">
              <w:t>66 %</w:t>
            </w:r>
          </w:p>
        </w:tc>
        <w:tc>
          <w:tcPr>
            <w:tcW w:w="755" w:type="dxa"/>
          </w:tcPr>
          <w:p w:rsidR="00031A3F" w:rsidRPr="00EE1E0C" w:rsidRDefault="00031A3F">
            <w:pPr>
              <w:pStyle w:val="Normaltindrag"/>
              <w:ind w:firstLine="0"/>
              <w:jc w:val="right"/>
            </w:pPr>
            <w:r w:rsidRPr="00EE1E0C">
              <w:t>61 %</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r w:rsidRPr="00EE1E0C">
              <w:t>Sundsvall</w:t>
            </w:r>
          </w:p>
        </w:tc>
        <w:tc>
          <w:tcPr>
            <w:tcW w:w="779" w:type="dxa"/>
          </w:tcPr>
          <w:p w:rsidR="00031A3F" w:rsidRPr="00EE1E0C" w:rsidRDefault="00031A3F">
            <w:pPr>
              <w:pStyle w:val="Normaltindrag"/>
              <w:ind w:firstLine="0"/>
              <w:jc w:val="right"/>
            </w:pPr>
            <w:r w:rsidRPr="00EE1E0C">
              <w:t>5 313</w:t>
            </w:r>
          </w:p>
        </w:tc>
        <w:tc>
          <w:tcPr>
            <w:tcW w:w="780" w:type="dxa"/>
          </w:tcPr>
          <w:p w:rsidR="00031A3F" w:rsidRPr="00EE1E0C" w:rsidRDefault="00031A3F">
            <w:pPr>
              <w:pStyle w:val="Normaltindrag"/>
              <w:ind w:firstLine="0"/>
              <w:jc w:val="right"/>
            </w:pPr>
            <w:r w:rsidRPr="00EE1E0C">
              <w:t>5 247</w:t>
            </w:r>
          </w:p>
        </w:tc>
        <w:tc>
          <w:tcPr>
            <w:tcW w:w="811" w:type="dxa"/>
          </w:tcPr>
          <w:p w:rsidR="00031A3F" w:rsidRPr="00EE1E0C" w:rsidRDefault="00031A3F">
            <w:pPr>
              <w:pStyle w:val="Normaltindrag"/>
              <w:ind w:firstLine="0"/>
              <w:jc w:val="right"/>
            </w:pPr>
            <w:r w:rsidRPr="00EE1E0C">
              <w:t>4 189</w:t>
            </w:r>
          </w:p>
        </w:tc>
        <w:tc>
          <w:tcPr>
            <w:tcW w:w="811" w:type="dxa"/>
          </w:tcPr>
          <w:p w:rsidR="00031A3F" w:rsidRPr="00EE1E0C" w:rsidRDefault="00031A3F">
            <w:pPr>
              <w:pStyle w:val="Normaltindrag"/>
              <w:ind w:firstLine="0"/>
              <w:jc w:val="right"/>
            </w:pPr>
            <w:r w:rsidRPr="00EE1E0C">
              <w:t>5 533</w:t>
            </w:r>
          </w:p>
        </w:tc>
        <w:tc>
          <w:tcPr>
            <w:tcW w:w="754" w:type="dxa"/>
          </w:tcPr>
          <w:p w:rsidR="00031A3F" w:rsidRPr="00EE1E0C" w:rsidRDefault="00031A3F">
            <w:pPr>
              <w:pStyle w:val="Normaltindrag"/>
              <w:ind w:firstLine="0"/>
              <w:jc w:val="right"/>
            </w:pPr>
            <w:r w:rsidRPr="00EE1E0C">
              <w:t>61 %</w:t>
            </w:r>
          </w:p>
        </w:tc>
        <w:tc>
          <w:tcPr>
            <w:tcW w:w="755" w:type="dxa"/>
          </w:tcPr>
          <w:p w:rsidR="00031A3F" w:rsidRPr="00EE1E0C" w:rsidRDefault="00031A3F">
            <w:pPr>
              <w:pStyle w:val="Normaltindrag"/>
              <w:ind w:firstLine="0"/>
              <w:jc w:val="right"/>
            </w:pPr>
            <w:r w:rsidRPr="00EE1E0C">
              <w:t>51 %</w:t>
            </w:r>
          </w:p>
        </w:tc>
      </w:tr>
    </w:tbl>
    <w:p w:rsidR="00031A3F" w:rsidRPr="00EE1E0C" w:rsidRDefault="00031A3F">
      <w:pPr>
        <w:pStyle w:val="Tabellrubrik"/>
        <w:rPr>
          <w:b w:val="0"/>
          <w:i/>
        </w:rPr>
      </w:pPr>
    </w:p>
    <w:p w:rsidR="00031A3F" w:rsidRPr="00EE1E0C" w:rsidRDefault="00031A3F">
      <w:pPr>
        <w:pStyle w:val="Tabellrubrik"/>
        <w:spacing w:line="140" w:lineRule="exact"/>
        <w:rPr>
          <w:b w:val="0"/>
          <w:i/>
        </w:rPr>
      </w:pPr>
      <w:r w:rsidRPr="00EE1E0C">
        <w:rPr>
          <w:b w:val="0"/>
          <w:i/>
        </w:rPr>
        <w:t>Källa: Riksåklagaren</w:t>
      </w:r>
    </w:p>
    <w:p w:rsidR="00031A3F" w:rsidRPr="00EE1E0C" w:rsidRDefault="00031A3F">
      <w:r w:rsidRPr="00EE1E0C">
        <w:t>Ett annat sätt att mäta prestationer är att följa antalet brottsmisstankar. Efte</w:t>
      </w:r>
      <w:r w:rsidRPr="00EE1E0C">
        <w:t>r</w:t>
      </w:r>
      <w:r w:rsidRPr="00EE1E0C">
        <w:t>som ett ärende kan bestå av fler än en brottsmisstanke kan detta ge ett annat resultat. Av statistiken framgår att ärenden med en brottsmisstanke avskrivs i högre grad. Antalet avslutade brottsmisstankar har ökat kraftigt vid samtliga kamrar. Lagföringsprocenten har ökat något för 1:a kammaren i Stockholm och Sundsvallskammaren, medan den har sjunkit något för Linköpingska</w:t>
      </w:r>
      <w:r w:rsidRPr="00EE1E0C">
        <w:t>m</w:t>
      </w:r>
      <w:r w:rsidRPr="00EE1E0C">
        <w:t xml:space="preserve">maren. </w:t>
      </w:r>
    </w:p>
    <w:p w:rsidR="00031A3F" w:rsidRPr="00EE1E0C" w:rsidRDefault="00031A3F">
      <w:pPr>
        <w:pStyle w:val="Normaltindrag"/>
        <w:spacing w:line="20" w:lineRule="exact"/>
      </w:pPr>
    </w:p>
    <w:p w:rsidR="00031A3F" w:rsidRPr="00EE1E0C" w:rsidRDefault="00031A3F">
      <w:pPr>
        <w:pStyle w:val="Tabellrubrik"/>
      </w:pPr>
      <w:r w:rsidRPr="00EE1E0C">
        <w:t>Tabell 2.3 Inkomna och avslutade brottsmisstankar samt lagföringsprocent vid 1:a kammaren i Stockholm samt kamrarna i Linköping och Sundsvall, 1997 och 1998</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79"/>
        <w:gridCol w:w="780"/>
        <w:gridCol w:w="811"/>
        <w:gridCol w:w="811"/>
        <w:gridCol w:w="754"/>
        <w:gridCol w:w="755"/>
      </w:tblGrid>
      <w:tr w:rsidR="00000000" w:rsidRPr="00EE1E0C">
        <w:tblPrEx>
          <w:tblCellMar>
            <w:top w:w="0" w:type="dxa"/>
            <w:bottom w:w="0" w:type="dxa"/>
          </w:tblCellMar>
        </w:tblPrEx>
        <w:tc>
          <w:tcPr>
            <w:tcW w:w="1346" w:type="dxa"/>
          </w:tcPr>
          <w:p w:rsidR="00031A3F" w:rsidRPr="00EE1E0C" w:rsidRDefault="00031A3F">
            <w:pPr>
              <w:pStyle w:val="Normaltindrag"/>
              <w:ind w:firstLine="0"/>
            </w:pPr>
          </w:p>
        </w:tc>
        <w:tc>
          <w:tcPr>
            <w:tcW w:w="1559" w:type="dxa"/>
            <w:gridSpan w:val="2"/>
          </w:tcPr>
          <w:p w:rsidR="00031A3F" w:rsidRPr="00EE1E0C" w:rsidRDefault="00031A3F">
            <w:pPr>
              <w:pStyle w:val="Normaltindrag"/>
              <w:ind w:firstLine="0"/>
              <w:rPr>
                <w:b/>
              </w:rPr>
            </w:pPr>
            <w:r w:rsidRPr="00EE1E0C">
              <w:rPr>
                <w:b/>
              </w:rPr>
              <w:t>Inkomna         brottsmissta</w:t>
            </w:r>
            <w:r w:rsidRPr="00EE1E0C">
              <w:rPr>
                <w:b/>
              </w:rPr>
              <w:t>n</w:t>
            </w:r>
            <w:r w:rsidRPr="00EE1E0C">
              <w:rPr>
                <w:b/>
              </w:rPr>
              <w:t>kar</w:t>
            </w:r>
          </w:p>
        </w:tc>
        <w:tc>
          <w:tcPr>
            <w:tcW w:w="1622" w:type="dxa"/>
            <w:gridSpan w:val="2"/>
          </w:tcPr>
          <w:p w:rsidR="00031A3F" w:rsidRPr="00EE1E0C" w:rsidRDefault="00031A3F">
            <w:pPr>
              <w:pStyle w:val="Normaltindrag"/>
              <w:ind w:firstLine="0"/>
              <w:rPr>
                <w:b/>
              </w:rPr>
            </w:pPr>
            <w:r w:rsidRPr="00EE1E0C">
              <w:rPr>
                <w:b/>
              </w:rPr>
              <w:t>Avslutade       brottsmissta</w:t>
            </w:r>
            <w:r w:rsidRPr="00EE1E0C">
              <w:rPr>
                <w:b/>
              </w:rPr>
              <w:t>n</w:t>
            </w:r>
            <w:r w:rsidRPr="00EE1E0C">
              <w:rPr>
                <w:b/>
              </w:rPr>
              <w:t>kar</w:t>
            </w:r>
          </w:p>
        </w:tc>
        <w:tc>
          <w:tcPr>
            <w:tcW w:w="1509" w:type="dxa"/>
            <w:gridSpan w:val="2"/>
          </w:tcPr>
          <w:p w:rsidR="00031A3F" w:rsidRPr="00EE1E0C" w:rsidRDefault="00031A3F">
            <w:pPr>
              <w:pStyle w:val="Normaltindrag"/>
              <w:ind w:firstLine="0"/>
              <w:rPr>
                <w:b/>
              </w:rPr>
            </w:pPr>
            <w:r w:rsidRPr="00EE1E0C">
              <w:rPr>
                <w:b/>
              </w:rPr>
              <w:t>Lagföring             i pr</w:t>
            </w:r>
            <w:r w:rsidRPr="00EE1E0C">
              <w:rPr>
                <w:b/>
              </w:rPr>
              <w:t>o</w:t>
            </w:r>
            <w:r w:rsidRPr="00EE1E0C">
              <w:rPr>
                <w:b/>
              </w:rPr>
              <w:t>cent</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p>
        </w:tc>
        <w:tc>
          <w:tcPr>
            <w:tcW w:w="779" w:type="dxa"/>
          </w:tcPr>
          <w:p w:rsidR="00031A3F" w:rsidRPr="00EE1E0C" w:rsidRDefault="00031A3F">
            <w:pPr>
              <w:pStyle w:val="Normaltindrag"/>
              <w:ind w:firstLine="0"/>
              <w:rPr>
                <w:b/>
              </w:rPr>
            </w:pPr>
            <w:r w:rsidRPr="00EE1E0C">
              <w:rPr>
                <w:b/>
              </w:rPr>
              <w:t>1997</w:t>
            </w:r>
          </w:p>
        </w:tc>
        <w:tc>
          <w:tcPr>
            <w:tcW w:w="780" w:type="dxa"/>
          </w:tcPr>
          <w:p w:rsidR="00031A3F" w:rsidRPr="00EE1E0C" w:rsidRDefault="00031A3F">
            <w:pPr>
              <w:pStyle w:val="Normaltindrag"/>
              <w:ind w:firstLine="0"/>
              <w:rPr>
                <w:b/>
              </w:rPr>
            </w:pPr>
            <w:r w:rsidRPr="00EE1E0C">
              <w:rPr>
                <w:b/>
              </w:rPr>
              <w:t>1998</w:t>
            </w:r>
          </w:p>
        </w:tc>
        <w:tc>
          <w:tcPr>
            <w:tcW w:w="811" w:type="dxa"/>
          </w:tcPr>
          <w:p w:rsidR="00031A3F" w:rsidRPr="00EE1E0C" w:rsidRDefault="00031A3F">
            <w:pPr>
              <w:pStyle w:val="Normaltindrag"/>
              <w:ind w:firstLine="0"/>
              <w:rPr>
                <w:b/>
              </w:rPr>
            </w:pPr>
            <w:r w:rsidRPr="00EE1E0C">
              <w:rPr>
                <w:b/>
              </w:rPr>
              <w:t>1997</w:t>
            </w:r>
          </w:p>
        </w:tc>
        <w:tc>
          <w:tcPr>
            <w:tcW w:w="811" w:type="dxa"/>
          </w:tcPr>
          <w:p w:rsidR="00031A3F" w:rsidRPr="00EE1E0C" w:rsidRDefault="00031A3F">
            <w:pPr>
              <w:pStyle w:val="Normaltindrag"/>
              <w:ind w:firstLine="0"/>
              <w:rPr>
                <w:b/>
              </w:rPr>
            </w:pPr>
            <w:r w:rsidRPr="00EE1E0C">
              <w:rPr>
                <w:b/>
              </w:rPr>
              <w:t>1998</w:t>
            </w:r>
          </w:p>
        </w:tc>
        <w:tc>
          <w:tcPr>
            <w:tcW w:w="754" w:type="dxa"/>
          </w:tcPr>
          <w:p w:rsidR="00031A3F" w:rsidRPr="00EE1E0C" w:rsidRDefault="00031A3F">
            <w:pPr>
              <w:pStyle w:val="Normaltindrag"/>
              <w:ind w:firstLine="0"/>
              <w:rPr>
                <w:b/>
              </w:rPr>
            </w:pPr>
            <w:r w:rsidRPr="00EE1E0C">
              <w:rPr>
                <w:b/>
              </w:rPr>
              <w:t>1997</w:t>
            </w:r>
          </w:p>
        </w:tc>
        <w:tc>
          <w:tcPr>
            <w:tcW w:w="755" w:type="dxa"/>
          </w:tcPr>
          <w:p w:rsidR="00031A3F" w:rsidRPr="00EE1E0C" w:rsidRDefault="00031A3F">
            <w:pPr>
              <w:pStyle w:val="Normaltindrag"/>
              <w:ind w:firstLine="0"/>
              <w:rPr>
                <w:b/>
              </w:rPr>
            </w:pPr>
            <w:r w:rsidRPr="00EE1E0C">
              <w:rPr>
                <w:b/>
              </w:rPr>
              <w:t>1998</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r w:rsidRPr="00EE1E0C">
              <w:t>1:a kammaren i Stockholm</w:t>
            </w:r>
          </w:p>
        </w:tc>
        <w:tc>
          <w:tcPr>
            <w:tcW w:w="779" w:type="dxa"/>
          </w:tcPr>
          <w:p w:rsidR="00031A3F" w:rsidRPr="00EE1E0C" w:rsidRDefault="00031A3F">
            <w:pPr>
              <w:pStyle w:val="Normaltindrag"/>
              <w:ind w:firstLine="0"/>
              <w:jc w:val="right"/>
            </w:pPr>
            <w:r w:rsidRPr="00EE1E0C">
              <w:t>10 222</w:t>
            </w:r>
          </w:p>
        </w:tc>
        <w:tc>
          <w:tcPr>
            <w:tcW w:w="780" w:type="dxa"/>
          </w:tcPr>
          <w:p w:rsidR="00031A3F" w:rsidRPr="00EE1E0C" w:rsidRDefault="00031A3F">
            <w:pPr>
              <w:pStyle w:val="Normaltindrag"/>
              <w:ind w:firstLine="0"/>
              <w:jc w:val="right"/>
            </w:pPr>
            <w:r w:rsidRPr="00EE1E0C">
              <w:t>9 578</w:t>
            </w:r>
          </w:p>
        </w:tc>
        <w:tc>
          <w:tcPr>
            <w:tcW w:w="811" w:type="dxa"/>
          </w:tcPr>
          <w:p w:rsidR="00031A3F" w:rsidRPr="00EE1E0C" w:rsidRDefault="00031A3F">
            <w:pPr>
              <w:pStyle w:val="Normaltindrag"/>
              <w:ind w:firstLine="0"/>
              <w:jc w:val="right"/>
            </w:pPr>
            <w:r w:rsidRPr="00EE1E0C">
              <w:t>15 687</w:t>
            </w:r>
          </w:p>
        </w:tc>
        <w:tc>
          <w:tcPr>
            <w:tcW w:w="811" w:type="dxa"/>
          </w:tcPr>
          <w:p w:rsidR="00031A3F" w:rsidRPr="00EE1E0C" w:rsidRDefault="00031A3F">
            <w:pPr>
              <w:pStyle w:val="Normaltindrag"/>
              <w:ind w:firstLine="0"/>
              <w:jc w:val="right"/>
            </w:pPr>
            <w:r w:rsidRPr="00EE1E0C">
              <w:t>19 341</w:t>
            </w:r>
          </w:p>
        </w:tc>
        <w:tc>
          <w:tcPr>
            <w:tcW w:w="754" w:type="dxa"/>
          </w:tcPr>
          <w:p w:rsidR="00031A3F" w:rsidRPr="00EE1E0C" w:rsidRDefault="00031A3F">
            <w:pPr>
              <w:pStyle w:val="Normaltindrag"/>
              <w:ind w:firstLine="0"/>
              <w:jc w:val="right"/>
            </w:pPr>
            <w:r w:rsidRPr="00EE1E0C">
              <w:t>77 %</w:t>
            </w:r>
          </w:p>
        </w:tc>
        <w:tc>
          <w:tcPr>
            <w:tcW w:w="755" w:type="dxa"/>
          </w:tcPr>
          <w:p w:rsidR="00031A3F" w:rsidRPr="00EE1E0C" w:rsidRDefault="00031A3F">
            <w:pPr>
              <w:pStyle w:val="Normaltindrag"/>
              <w:ind w:firstLine="0"/>
              <w:jc w:val="right"/>
            </w:pPr>
            <w:r w:rsidRPr="00EE1E0C">
              <w:t>78 %</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r w:rsidRPr="00EE1E0C">
              <w:t>Linköping</w:t>
            </w:r>
          </w:p>
        </w:tc>
        <w:tc>
          <w:tcPr>
            <w:tcW w:w="779" w:type="dxa"/>
          </w:tcPr>
          <w:p w:rsidR="00031A3F" w:rsidRPr="00EE1E0C" w:rsidRDefault="00031A3F">
            <w:pPr>
              <w:pStyle w:val="Normaltindrag"/>
              <w:ind w:firstLine="0"/>
              <w:jc w:val="right"/>
            </w:pPr>
            <w:r w:rsidRPr="00EE1E0C">
              <w:t>6 504</w:t>
            </w:r>
          </w:p>
        </w:tc>
        <w:tc>
          <w:tcPr>
            <w:tcW w:w="780" w:type="dxa"/>
          </w:tcPr>
          <w:p w:rsidR="00031A3F" w:rsidRPr="00EE1E0C" w:rsidRDefault="00031A3F">
            <w:pPr>
              <w:pStyle w:val="Normaltindrag"/>
              <w:ind w:firstLine="0"/>
              <w:jc w:val="right"/>
            </w:pPr>
            <w:r w:rsidRPr="00EE1E0C">
              <w:t>7 222</w:t>
            </w:r>
          </w:p>
        </w:tc>
        <w:tc>
          <w:tcPr>
            <w:tcW w:w="811" w:type="dxa"/>
          </w:tcPr>
          <w:p w:rsidR="00031A3F" w:rsidRPr="00EE1E0C" w:rsidRDefault="00031A3F">
            <w:pPr>
              <w:pStyle w:val="Normaltindrag"/>
              <w:ind w:firstLine="0"/>
              <w:jc w:val="right"/>
            </w:pPr>
            <w:r w:rsidRPr="00EE1E0C">
              <w:t>7 621</w:t>
            </w:r>
          </w:p>
        </w:tc>
        <w:tc>
          <w:tcPr>
            <w:tcW w:w="811" w:type="dxa"/>
          </w:tcPr>
          <w:p w:rsidR="00031A3F" w:rsidRPr="00EE1E0C" w:rsidRDefault="00031A3F">
            <w:pPr>
              <w:pStyle w:val="Normaltindrag"/>
              <w:ind w:firstLine="0"/>
              <w:jc w:val="right"/>
            </w:pPr>
            <w:r w:rsidRPr="00EE1E0C">
              <w:t>13 559</w:t>
            </w:r>
          </w:p>
        </w:tc>
        <w:tc>
          <w:tcPr>
            <w:tcW w:w="754" w:type="dxa"/>
          </w:tcPr>
          <w:p w:rsidR="00031A3F" w:rsidRPr="00EE1E0C" w:rsidRDefault="00031A3F">
            <w:pPr>
              <w:pStyle w:val="Normaltindrag"/>
              <w:ind w:firstLine="0"/>
              <w:jc w:val="right"/>
            </w:pPr>
            <w:r w:rsidRPr="00EE1E0C">
              <w:t>80 %</w:t>
            </w:r>
          </w:p>
        </w:tc>
        <w:tc>
          <w:tcPr>
            <w:tcW w:w="755" w:type="dxa"/>
          </w:tcPr>
          <w:p w:rsidR="00031A3F" w:rsidRPr="00EE1E0C" w:rsidRDefault="00031A3F">
            <w:pPr>
              <w:pStyle w:val="Normaltindrag"/>
              <w:ind w:firstLine="0"/>
              <w:jc w:val="right"/>
            </w:pPr>
            <w:r w:rsidRPr="00EE1E0C">
              <w:t>79 %</w:t>
            </w:r>
          </w:p>
        </w:tc>
      </w:tr>
      <w:tr w:rsidR="00000000" w:rsidRPr="00EE1E0C">
        <w:tblPrEx>
          <w:tblCellMar>
            <w:top w:w="0" w:type="dxa"/>
            <w:bottom w:w="0" w:type="dxa"/>
          </w:tblCellMar>
        </w:tblPrEx>
        <w:tc>
          <w:tcPr>
            <w:tcW w:w="1346" w:type="dxa"/>
          </w:tcPr>
          <w:p w:rsidR="00031A3F" w:rsidRPr="00EE1E0C" w:rsidRDefault="00031A3F">
            <w:pPr>
              <w:pStyle w:val="Normaltindrag"/>
              <w:ind w:firstLine="0"/>
            </w:pPr>
            <w:r w:rsidRPr="00EE1E0C">
              <w:t>Sundsvall</w:t>
            </w:r>
          </w:p>
        </w:tc>
        <w:tc>
          <w:tcPr>
            <w:tcW w:w="779" w:type="dxa"/>
          </w:tcPr>
          <w:p w:rsidR="00031A3F" w:rsidRPr="00EE1E0C" w:rsidRDefault="00031A3F">
            <w:pPr>
              <w:pStyle w:val="Normaltindrag"/>
              <w:ind w:firstLine="0"/>
              <w:jc w:val="right"/>
            </w:pPr>
            <w:r w:rsidRPr="00EE1E0C">
              <w:t>6 220</w:t>
            </w:r>
          </w:p>
        </w:tc>
        <w:tc>
          <w:tcPr>
            <w:tcW w:w="780" w:type="dxa"/>
          </w:tcPr>
          <w:p w:rsidR="00031A3F" w:rsidRPr="00EE1E0C" w:rsidRDefault="00031A3F">
            <w:pPr>
              <w:pStyle w:val="Normaltindrag"/>
              <w:ind w:firstLine="0"/>
              <w:jc w:val="right"/>
            </w:pPr>
            <w:r w:rsidRPr="00EE1E0C">
              <w:t>5 919</w:t>
            </w:r>
          </w:p>
        </w:tc>
        <w:tc>
          <w:tcPr>
            <w:tcW w:w="811" w:type="dxa"/>
          </w:tcPr>
          <w:p w:rsidR="00031A3F" w:rsidRPr="00EE1E0C" w:rsidRDefault="00031A3F">
            <w:pPr>
              <w:pStyle w:val="Normaltindrag"/>
              <w:ind w:firstLine="0"/>
              <w:jc w:val="right"/>
            </w:pPr>
            <w:r w:rsidRPr="00EE1E0C">
              <w:t>8 201</w:t>
            </w:r>
          </w:p>
        </w:tc>
        <w:tc>
          <w:tcPr>
            <w:tcW w:w="811" w:type="dxa"/>
          </w:tcPr>
          <w:p w:rsidR="00031A3F" w:rsidRPr="00EE1E0C" w:rsidRDefault="00031A3F">
            <w:pPr>
              <w:pStyle w:val="Normaltindrag"/>
              <w:ind w:firstLine="0"/>
              <w:jc w:val="right"/>
            </w:pPr>
            <w:r w:rsidRPr="00EE1E0C">
              <w:t>12 460</w:t>
            </w:r>
          </w:p>
        </w:tc>
        <w:tc>
          <w:tcPr>
            <w:tcW w:w="754" w:type="dxa"/>
          </w:tcPr>
          <w:p w:rsidR="00031A3F" w:rsidRPr="00EE1E0C" w:rsidRDefault="00031A3F">
            <w:pPr>
              <w:pStyle w:val="Normaltindrag"/>
              <w:ind w:firstLine="0"/>
              <w:jc w:val="right"/>
            </w:pPr>
            <w:r w:rsidRPr="00EE1E0C">
              <w:t>78 %</w:t>
            </w:r>
          </w:p>
        </w:tc>
        <w:tc>
          <w:tcPr>
            <w:tcW w:w="755" w:type="dxa"/>
          </w:tcPr>
          <w:p w:rsidR="00031A3F" w:rsidRPr="00EE1E0C" w:rsidRDefault="00031A3F">
            <w:pPr>
              <w:pStyle w:val="Normaltindrag"/>
              <w:ind w:firstLine="0"/>
              <w:jc w:val="right"/>
            </w:pPr>
            <w:r w:rsidRPr="00EE1E0C">
              <w:t>80 %</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Riksåklagaren</w:t>
      </w:r>
    </w:p>
    <w:p w:rsidR="00031A3F" w:rsidRPr="00EE1E0C" w:rsidRDefault="00031A3F">
      <w:r w:rsidRPr="00EE1E0C">
        <w:t>Av tabellen nedan framgår genomströmningstiderna för ett antal brottsgru</w:t>
      </w:r>
      <w:r w:rsidRPr="00EE1E0C">
        <w:t>p</w:t>
      </w:r>
      <w:r w:rsidRPr="00EE1E0C">
        <w:t>per. Under denna korta jämförelseperiod kan antalet mål och målsamma</w:t>
      </w:r>
      <w:r w:rsidRPr="00EE1E0C">
        <w:t>n</w:t>
      </w:r>
      <w:r w:rsidRPr="00EE1E0C">
        <w:t>sättningen påverka tiderna. Genomströmningstiderna har minskat mellan 1997 och 1998 för narkotikabrott för 1:a kammaren i Stockholm och kamm</w:t>
      </w:r>
      <w:r w:rsidRPr="00EE1E0C">
        <w:t>a</w:t>
      </w:r>
      <w:r w:rsidRPr="00EE1E0C">
        <w:t>ren i Sundsvall, medan den har ökat för kammaren i Linköping. Geno</w:t>
      </w:r>
      <w:r w:rsidRPr="00EE1E0C">
        <w:t>m</w:t>
      </w:r>
      <w:r w:rsidRPr="00EE1E0C">
        <w:t>strömningstiden för våldsbrott har minskat för kammaren i Sundsvall medan den har ökat för de andra kamrarna. För övriga brott med fängelse i straf</w:t>
      </w:r>
      <w:r w:rsidRPr="00EE1E0C">
        <w:t>f</w:t>
      </w:r>
      <w:r w:rsidRPr="00EE1E0C">
        <w:t>skalan har genomströmningstiden ökat något för 1:a kammaren i Stockholm mellan åren 19</w:t>
      </w:r>
      <w:r w:rsidRPr="00EE1E0C">
        <w:t>97 och 1998. För kamrarna i Linköping och i Sundsvall har genomströmningstiden för övriga brott minskat medan den har ökat svagt för 1:a kammaren i Stoc</w:t>
      </w:r>
      <w:r w:rsidRPr="00EE1E0C">
        <w:t>k</w:t>
      </w:r>
      <w:r w:rsidRPr="00EE1E0C">
        <w:t>holm.</w:t>
      </w:r>
    </w:p>
    <w:p w:rsidR="00031A3F" w:rsidRPr="00EE1E0C" w:rsidRDefault="00031A3F">
      <w:pPr>
        <w:pStyle w:val="Normaltindrag"/>
      </w:pPr>
    </w:p>
    <w:p w:rsidR="00031A3F" w:rsidRPr="00EE1E0C" w:rsidRDefault="00031A3F">
      <w:pPr>
        <w:pStyle w:val="Tabellrubrik"/>
      </w:pPr>
      <w:r w:rsidRPr="00EE1E0C">
        <w:t>Tabell 2.4 Genomsnittliga genomströmningstider för brottsmisstankar för 1997 och 1998, antal dagar</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08"/>
        <w:gridCol w:w="709"/>
        <w:gridCol w:w="567"/>
        <w:gridCol w:w="569"/>
        <w:gridCol w:w="709"/>
        <w:gridCol w:w="579"/>
      </w:tblGrid>
      <w:tr w:rsidR="00000000" w:rsidRPr="00EE1E0C">
        <w:tblPrEx>
          <w:tblCellMar>
            <w:top w:w="0" w:type="dxa"/>
            <w:bottom w:w="0" w:type="dxa"/>
          </w:tblCellMar>
        </w:tblPrEx>
        <w:tc>
          <w:tcPr>
            <w:tcW w:w="2197" w:type="dxa"/>
          </w:tcPr>
          <w:p w:rsidR="00031A3F" w:rsidRPr="00EE1E0C" w:rsidRDefault="00031A3F">
            <w:pPr>
              <w:pStyle w:val="Normaltindrag"/>
              <w:ind w:firstLine="0"/>
            </w:pPr>
          </w:p>
        </w:tc>
        <w:tc>
          <w:tcPr>
            <w:tcW w:w="1417" w:type="dxa"/>
            <w:gridSpan w:val="2"/>
          </w:tcPr>
          <w:p w:rsidR="00031A3F" w:rsidRPr="00EE1E0C" w:rsidRDefault="00031A3F">
            <w:pPr>
              <w:pStyle w:val="Normaltindrag"/>
              <w:ind w:firstLine="0"/>
              <w:rPr>
                <w:b/>
              </w:rPr>
            </w:pPr>
            <w:r w:rsidRPr="00EE1E0C">
              <w:rPr>
                <w:b/>
              </w:rPr>
              <w:t>1:a kammaren, Stockholm</w:t>
            </w:r>
          </w:p>
        </w:tc>
        <w:tc>
          <w:tcPr>
            <w:tcW w:w="1134" w:type="dxa"/>
            <w:gridSpan w:val="2"/>
          </w:tcPr>
          <w:p w:rsidR="00031A3F" w:rsidRPr="00EE1E0C" w:rsidRDefault="00031A3F">
            <w:pPr>
              <w:pStyle w:val="Normaltindrag"/>
              <w:ind w:firstLine="0"/>
              <w:rPr>
                <w:b/>
              </w:rPr>
            </w:pPr>
            <w:r w:rsidRPr="00EE1E0C">
              <w:rPr>
                <w:b/>
              </w:rPr>
              <w:t>Linköpings-</w:t>
            </w:r>
          </w:p>
          <w:p w:rsidR="00031A3F" w:rsidRPr="00EE1E0C" w:rsidRDefault="00031A3F">
            <w:pPr>
              <w:pStyle w:val="Normaltindrag"/>
              <w:ind w:firstLine="0"/>
              <w:rPr>
                <w:b/>
              </w:rPr>
            </w:pPr>
            <w:r w:rsidRPr="00EE1E0C">
              <w:rPr>
                <w:b/>
              </w:rPr>
              <w:t>ka</w:t>
            </w:r>
            <w:r w:rsidRPr="00EE1E0C">
              <w:rPr>
                <w:b/>
              </w:rPr>
              <w:t>m</w:t>
            </w:r>
            <w:r w:rsidRPr="00EE1E0C">
              <w:rPr>
                <w:b/>
              </w:rPr>
              <w:t>maren</w:t>
            </w:r>
          </w:p>
        </w:tc>
        <w:tc>
          <w:tcPr>
            <w:tcW w:w="1288" w:type="dxa"/>
            <w:gridSpan w:val="2"/>
          </w:tcPr>
          <w:p w:rsidR="00031A3F" w:rsidRPr="00EE1E0C" w:rsidRDefault="00031A3F">
            <w:pPr>
              <w:pStyle w:val="Normaltindrag"/>
              <w:ind w:firstLine="0"/>
              <w:rPr>
                <w:b/>
              </w:rPr>
            </w:pPr>
            <w:r w:rsidRPr="00EE1E0C">
              <w:rPr>
                <w:b/>
              </w:rPr>
              <w:t>Sund</w:t>
            </w:r>
            <w:r w:rsidRPr="00EE1E0C">
              <w:rPr>
                <w:b/>
              </w:rPr>
              <w:t>s</w:t>
            </w:r>
            <w:r w:rsidRPr="00EE1E0C">
              <w:rPr>
                <w:b/>
              </w:rPr>
              <w:t>valls-kamm</w:t>
            </w:r>
            <w:r w:rsidRPr="00EE1E0C">
              <w:rPr>
                <w:b/>
              </w:rPr>
              <w:t>a</w:t>
            </w:r>
            <w:r w:rsidRPr="00EE1E0C">
              <w:rPr>
                <w:b/>
              </w:rPr>
              <w:t>ren</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p>
        </w:tc>
        <w:tc>
          <w:tcPr>
            <w:tcW w:w="708" w:type="dxa"/>
          </w:tcPr>
          <w:p w:rsidR="00031A3F" w:rsidRPr="00EE1E0C" w:rsidRDefault="00031A3F">
            <w:pPr>
              <w:pStyle w:val="Normaltindrag"/>
              <w:ind w:firstLine="0"/>
              <w:rPr>
                <w:b/>
              </w:rPr>
            </w:pPr>
            <w:r w:rsidRPr="00EE1E0C">
              <w:rPr>
                <w:b/>
              </w:rPr>
              <w:t>1997</w:t>
            </w:r>
          </w:p>
        </w:tc>
        <w:tc>
          <w:tcPr>
            <w:tcW w:w="709" w:type="dxa"/>
          </w:tcPr>
          <w:p w:rsidR="00031A3F" w:rsidRPr="00EE1E0C" w:rsidRDefault="00031A3F">
            <w:pPr>
              <w:pStyle w:val="Normaltindrag"/>
              <w:ind w:firstLine="0"/>
              <w:rPr>
                <w:b/>
              </w:rPr>
            </w:pPr>
            <w:r w:rsidRPr="00EE1E0C">
              <w:rPr>
                <w:b/>
              </w:rPr>
              <w:t>1998</w:t>
            </w:r>
          </w:p>
        </w:tc>
        <w:tc>
          <w:tcPr>
            <w:tcW w:w="567" w:type="dxa"/>
          </w:tcPr>
          <w:p w:rsidR="00031A3F" w:rsidRPr="00EE1E0C" w:rsidRDefault="00031A3F">
            <w:pPr>
              <w:pStyle w:val="Normaltindrag"/>
              <w:ind w:firstLine="0"/>
              <w:rPr>
                <w:b/>
              </w:rPr>
            </w:pPr>
            <w:r w:rsidRPr="00EE1E0C">
              <w:rPr>
                <w:b/>
              </w:rPr>
              <w:t>1997</w:t>
            </w:r>
          </w:p>
        </w:tc>
        <w:tc>
          <w:tcPr>
            <w:tcW w:w="569" w:type="dxa"/>
          </w:tcPr>
          <w:p w:rsidR="00031A3F" w:rsidRPr="00EE1E0C" w:rsidRDefault="00031A3F">
            <w:pPr>
              <w:pStyle w:val="Normaltindrag"/>
              <w:ind w:firstLine="0"/>
              <w:rPr>
                <w:b/>
              </w:rPr>
            </w:pPr>
            <w:r w:rsidRPr="00EE1E0C">
              <w:rPr>
                <w:b/>
              </w:rPr>
              <w:t>1998</w:t>
            </w:r>
          </w:p>
        </w:tc>
        <w:tc>
          <w:tcPr>
            <w:tcW w:w="709" w:type="dxa"/>
          </w:tcPr>
          <w:p w:rsidR="00031A3F" w:rsidRPr="00EE1E0C" w:rsidRDefault="00031A3F">
            <w:pPr>
              <w:pStyle w:val="Normaltindrag"/>
              <w:ind w:firstLine="0"/>
              <w:rPr>
                <w:b/>
              </w:rPr>
            </w:pPr>
            <w:r w:rsidRPr="00EE1E0C">
              <w:rPr>
                <w:b/>
              </w:rPr>
              <w:t>1997</w:t>
            </w:r>
          </w:p>
        </w:tc>
        <w:tc>
          <w:tcPr>
            <w:tcW w:w="579" w:type="dxa"/>
          </w:tcPr>
          <w:p w:rsidR="00031A3F" w:rsidRPr="00EE1E0C" w:rsidRDefault="00031A3F">
            <w:pPr>
              <w:pStyle w:val="Normaltindrag"/>
              <w:ind w:firstLine="0"/>
              <w:rPr>
                <w:b/>
              </w:rPr>
            </w:pPr>
            <w:r w:rsidRPr="00EE1E0C">
              <w:rPr>
                <w:b/>
              </w:rPr>
              <w:t>1998</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Narkotika</w:t>
            </w:r>
          </w:p>
        </w:tc>
        <w:tc>
          <w:tcPr>
            <w:tcW w:w="708" w:type="dxa"/>
          </w:tcPr>
          <w:p w:rsidR="00031A3F" w:rsidRPr="00EE1E0C" w:rsidRDefault="00031A3F">
            <w:pPr>
              <w:pStyle w:val="Normaltindrag"/>
              <w:ind w:firstLine="0"/>
            </w:pPr>
            <w:r w:rsidRPr="00EE1E0C">
              <w:t>145</w:t>
            </w:r>
          </w:p>
        </w:tc>
        <w:tc>
          <w:tcPr>
            <w:tcW w:w="709" w:type="dxa"/>
          </w:tcPr>
          <w:p w:rsidR="00031A3F" w:rsidRPr="00EE1E0C" w:rsidRDefault="00031A3F">
            <w:pPr>
              <w:pStyle w:val="Normaltindrag"/>
              <w:ind w:firstLine="0"/>
            </w:pPr>
            <w:r w:rsidRPr="00EE1E0C">
              <w:t>113</w:t>
            </w:r>
          </w:p>
        </w:tc>
        <w:tc>
          <w:tcPr>
            <w:tcW w:w="567" w:type="dxa"/>
          </w:tcPr>
          <w:p w:rsidR="00031A3F" w:rsidRPr="00EE1E0C" w:rsidRDefault="00031A3F">
            <w:pPr>
              <w:pStyle w:val="Normaltindrag"/>
              <w:ind w:firstLine="0"/>
            </w:pPr>
            <w:r w:rsidRPr="00EE1E0C">
              <w:t>114</w:t>
            </w:r>
          </w:p>
        </w:tc>
        <w:tc>
          <w:tcPr>
            <w:tcW w:w="569" w:type="dxa"/>
          </w:tcPr>
          <w:p w:rsidR="00031A3F" w:rsidRPr="00EE1E0C" w:rsidRDefault="00031A3F">
            <w:pPr>
              <w:pStyle w:val="Normaltindrag"/>
              <w:ind w:firstLine="0"/>
            </w:pPr>
            <w:r w:rsidRPr="00EE1E0C">
              <w:t>145</w:t>
            </w:r>
          </w:p>
        </w:tc>
        <w:tc>
          <w:tcPr>
            <w:tcW w:w="709" w:type="dxa"/>
          </w:tcPr>
          <w:p w:rsidR="00031A3F" w:rsidRPr="00EE1E0C" w:rsidRDefault="00031A3F">
            <w:pPr>
              <w:pStyle w:val="Normaltindrag"/>
              <w:ind w:firstLine="0"/>
            </w:pPr>
            <w:r w:rsidRPr="00EE1E0C">
              <w:t>114</w:t>
            </w:r>
          </w:p>
        </w:tc>
        <w:tc>
          <w:tcPr>
            <w:tcW w:w="579" w:type="dxa"/>
          </w:tcPr>
          <w:p w:rsidR="00031A3F" w:rsidRPr="00EE1E0C" w:rsidRDefault="00031A3F">
            <w:pPr>
              <w:pStyle w:val="Normaltindrag"/>
              <w:ind w:firstLine="0"/>
            </w:pPr>
            <w:r w:rsidRPr="00EE1E0C">
              <w:t>62</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Våld</w:t>
            </w:r>
          </w:p>
        </w:tc>
        <w:tc>
          <w:tcPr>
            <w:tcW w:w="708" w:type="dxa"/>
          </w:tcPr>
          <w:p w:rsidR="00031A3F" w:rsidRPr="00EE1E0C" w:rsidRDefault="00031A3F">
            <w:pPr>
              <w:pStyle w:val="Normaltindrag"/>
              <w:ind w:firstLine="0"/>
            </w:pPr>
            <w:r w:rsidRPr="00EE1E0C">
              <w:t>147</w:t>
            </w:r>
          </w:p>
        </w:tc>
        <w:tc>
          <w:tcPr>
            <w:tcW w:w="709" w:type="dxa"/>
          </w:tcPr>
          <w:p w:rsidR="00031A3F" w:rsidRPr="00EE1E0C" w:rsidRDefault="00031A3F">
            <w:pPr>
              <w:pStyle w:val="Normaltindrag"/>
              <w:ind w:firstLine="0"/>
            </w:pPr>
            <w:r w:rsidRPr="00EE1E0C">
              <w:t>163</w:t>
            </w:r>
          </w:p>
        </w:tc>
        <w:tc>
          <w:tcPr>
            <w:tcW w:w="567" w:type="dxa"/>
          </w:tcPr>
          <w:p w:rsidR="00031A3F" w:rsidRPr="00EE1E0C" w:rsidRDefault="00031A3F">
            <w:pPr>
              <w:pStyle w:val="Normaltindrag"/>
              <w:ind w:firstLine="0"/>
            </w:pPr>
            <w:r w:rsidRPr="00EE1E0C">
              <w:t>109</w:t>
            </w:r>
          </w:p>
        </w:tc>
        <w:tc>
          <w:tcPr>
            <w:tcW w:w="569" w:type="dxa"/>
          </w:tcPr>
          <w:p w:rsidR="00031A3F" w:rsidRPr="00EE1E0C" w:rsidRDefault="00031A3F">
            <w:pPr>
              <w:pStyle w:val="Normaltindrag"/>
              <w:ind w:firstLine="0"/>
            </w:pPr>
            <w:r w:rsidRPr="00EE1E0C">
              <w:t>151</w:t>
            </w:r>
          </w:p>
        </w:tc>
        <w:tc>
          <w:tcPr>
            <w:tcW w:w="709" w:type="dxa"/>
          </w:tcPr>
          <w:p w:rsidR="00031A3F" w:rsidRPr="00EE1E0C" w:rsidRDefault="00031A3F">
            <w:pPr>
              <w:pStyle w:val="Normaltindrag"/>
              <w:ind w:firstLine="0"/>
            </w:pPr>
            <w:r w:rsidRPr="00EE1E0C">
              <w:t>120</w:t>
            </w:r>
          </w:p>
        </w:tc>
        <w:tc>
          <w:tcPr>
            <w:tcW w:w="579" w:type="dxa"/>
          </w:tcPr>
          <w:p w:rsidR="00031A3F" w:rsidRPr="00EE1E0C" w:rsidRDefault="00031A3F">
            <w:pPr>
              <w:pStyle w:val="Normaltindrag"/>
              <w:ind w:firstLine="0"/>
            </w:pPr>
            <w:r w:rsidRPr="00EE1E0C">
              <w:t>95</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 xml:space="preserve">Övriga brott med fängelse i straffskalan, ej ekobrott </w:t>
            </w:r>
          </w:p>
        </w:tc>
        <w:tc>
          <w:tcPr>
            <w:tcW w:w="708" w:type="dxa"/>
          </w:tcPr>
          <w:p w:rsidR="00031A3F" w:rsidRPr="00EE1E0C" w:rsidRDefault="00031A3F">
            <w:pPr>
              <w:pStyle w:val="Normaltindrag"/>
              <w:ind w:firstLine="0"/>
            </w:pPr>
            <w:r w:rsidRPr="00EE1E0C">
              <w:t>183</w:t>
            </w:r>
          </w:p>
        </w:tc>
        <w:tc>
          <w:tcPr>
            <w:tcW w:w="709" w:type="dxa"/>
          </w:tcPr>
          <w:p w:rsidR="00031A3F" w:rsidRPr="00EE1E0C" w:rsidRDefault="00031A3F">
            <w:pPr>
              <w:pStyle w:val="Normaltindrag"/>
              <w:ind w:firstLine="0"/>
            </w:pPr>
            <w:r w:rsidRPr="00EE1E0C">
              <w:t>185</w:t>
            </w:r>
          </w:p>
        </w:tc>
        <w:tc>
          <w:tcPr>
            <w:tcW w:w="567" w:type="dxa"/>
          </w:tcPr>
          <w:p w:rsidR="00031A3F" w:rsidRPr="00EE1E0C" w:rsidRDefault="00031A3F">
            <w:pPr>
              <w:pStyle w:val="Normaltindrag"/>
              <w:ind w:firstLine="0"/>
            </w:pPr>
            <w:r w:rsidRPr="00EE1E0C">
              <w:t>145</w:t>
            </w:r>
          </w:p>
        </w:tc>
        <w:tc>
          <w:tcPr>
            <w:tcW w:w="569" w:type="dxa"/>
          </w:tcPr>
          <w:p w:rsidR="00031A3F" w:rsidRPr="00EE1E0C" w:rsidRDefault="00031A3F">
            <w:pPr>
              <w:pStyle w:val="Normaltindrag"/>
              <w:ind w:firstLine="0"/>
            </w:pPr>
            <w:r w:rsidRPr="00EE1E0C">
              <w:t>137</w:t>
            </w:r>
          </w:p>
        </w:tc>
        <w:tc>
          <w:tcPr>
            <w:tcW w:w="709" w:type="dxa"/>
          </w:tcPr>
          <w:p w:rsidR="00031A3F" w:rsidRPr="00EE1E0C" w:rsidRDefault="00031A3F">
            <w:pPr>
              <w:pStyle w:val="Normaltindrag"/>
              <w:ind w:firstLine="0"/>
            </w:pPr>
            <w:r w:rsidRPr="00EE1E0C">
              <w:t>89</w:t>
            </w:r>
          </w:p>
        </w:tc>
        <w:tc>
          <w:tcPr>
            <w:tcW w:w="579" w:type="dxa"/>
          </w:tcPr>
          <w:p w:rsidR="00031A3F" w:rsidRPr="00EE1E0C" w:rsidRDefault="00031A3F">
            <w:pPr>
              <w:pStyle w:val="Normaltindrag"/>
              <w:ind w:firstLine="0"/>
            </w:pPr>
            <w:r w:rsidRPr="00EE1E0C">
              <w:t>71</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Riksåklagaren</w:t>
      </w:r>
    </w:p>
    <w:p w:rsidR="00031A3F" w:rsidRPr="00EE1E0C" w:rsidRDefault="00031A3F">
      <w:pPr>
        <w:pStyle w:val="Rubrik3"/>
      </w:pPr>
      <w:bookmarkStart w:id="238" w:name="_Toc454180250"/>
      <w:bookmarkStart w:id="239" w:name="_Toc466264209"/>
      <w:r w:rsidRPr="00EE1E0C">
        <w:t>Hur fördelar sig arbetstiden?</w:t>
      </w:r>
      <w:bookmarkEnd w:id="238"/>
      <w:bookmarkEnd w:id="239"/>
    </w:p>
    <w:p w:rsidR="00031A3F" w:rsidRPr="00EE1E0C" w:rsidRDefault="00031A3F">
      <w:r w:rsidRPr="00EE1E0C">
        <w:t>Under hösten 1997 infördes tidsredovisning för åklagarna. Någon uppskat</w:t>
      </w:r>
      <w:r w:rsidRPr="00EE1E0C">
        <w:t>t</w:t>
      </w:r>
      <w:r w:rsidRPr="00EE1E0C">
        <w:t>ning av åklagarnas tidsanvändning har inte förekommit tidigare. Enligt up</w:t>
      </w:r>
      <w:r w:rsidRPr="00EE1E0C">
        <w:t>p</w:t>
      </w:r>
      <w:r w:rsidRPr="00EE1E0C">
        <w:t>gifter från åklagarmyndigheterna är det möjligt att tidsredovisningssystemet tillämpas något olika av olika åklag</w:t>
      </w:r>
      <w:r w:rsidRPr="00EE1E0C">
        <w:t>a</w:t>
      </w:r>
      <w:r w:rsidRPr="00EE1E0C">
        <w:t xml:space="preserve">re och mellan myndigheterna. </w:t>
      </w:r>
    </w:p>
    <w:p w:rsidR="00031A3F" w:rsidRPr="00EE1E0C" w:rsidRDefault="00031A3F">
      <w:pPr>
        <w:pStyle w:val="Normaltindrag"/>
      </w:pPr>
      <w:r w:rsidRPr="00EE1E0C">
        <w:t>Av tidsredovisningen för 1998 framgår att åklagarna på 1:a kammaren a</w:t>
      </w:r>
      <w:r w:rsidRPr="00EE1E0C">
        <w:t>n</w:t>
      </w:r>
      <w:r w:rsidRPr="00EE1E0C">
        <w:t>vänder 54 procent av sin arbetstid till förundersökningsledning och till att fatta beslut i förundersökningsfrågor. Andelen för Linköpingskammaren är 43 procent och för Västernorrland 47 procent. Åklagarna på 1:a kammaren i Stockholm använder omkring 18 procent av sin arbetstid till huvudförhan</w:t>
      </w:r>
      <w:r w:rsidRPr="00EE1E0C">
        <w:t>d</w:t>
      </w:r>
      <w:r w:rsidRPr="00EE1E0C">
        <w:t>lingar i tingsrätt och hovrätt, Linköpingskammaren använder omkring 26 procent, medan andelen för Sundsvallskammaren är 23 procent. Åklagarna på 1:a kammaren och Linköpingskammaren använder 11 procent av arbetst</w:t>
      </w:r>
      <w:r w:rsidRPr="00EE1E0C">
        <w:t>i</w:t>
      </w:r>
      <w:r w:rsidRPr="00EE1E0C">
        <w:t>den</w:t>
      </w:r>
      <w:r w:rsidRPr="00EE1E0C">
        <w:t xml:space="preserve"> till ärendeadministration medan Sundsvallskammaren använder 7 pr</w:t>
      </w:r>
      <w:r w:rsidRPr="00EE1E0C">
        <w:t>o</w:t>
      </w:r>
      <w:r w:rsidRPr="00EE1E0C">
        <w:t xml:space="preserve">cent. </w:t>
      </w:r>
    </w:p>
    <w:p w:rsidR="00031A3F" w:rsidRPr="00EE1E0C" w:rsidRDefault="00031A3F">
      <w:pPr>
        <w:pStyle w:val="Normaltindrag"/>
      </w:pPr>
      <w:r w:rsidRPr="00EE1E0C">
        <w:t>Åklagare från samtliga län påtalar att den nya organisationen har inneburit att resorna ökat. Vissa av de intervjuade åklagarna framhåller dock att åkl</w:t>
      </w:r>
      <w:r w:rsidRPr="00EE1E0C">
        <w:t>a</w:t>
      </w:r>
      <w:r w:rsidRPr="00EE1E0C">
        <w:t>garna reste även före omorganisationen. Man menar att det kan vara svårt att veta hur stor ökningen är. Resor görs dels till tingsrätt och hovrätt, dels till sammanträffande med polisen i förundersökningsfrågor och vid mentorsk</w:t>
      </w:r>
      <w:r w:rsidRPr="00EE1E0C">
        <w:t>a</w:t>
      </w:r>
      <w:r w:rsidRPr="00EE1E0C">
        <w:t>pet. Åklagarna på Linköpingskammaren måste ofta åka till Jönköping då man har hovrättsförhandling medan de andra kamrarna har hovrätten på samma ort. Tidsredovisningen för 1998 visar att 1:a kammaren i Stockholm använder knappt sex procent av sin arbetstid till resor vid förundersök</w:t>
      </w:r>
      <w:r w:rsidRPr="00EE1E0C">
        <w:t>ning</w:t>
      </w:r>
      <w:r w:rsidRPr="00EE1E0C">
        <w:t>s</w:t>
      </w:r>
      <w:r w:rsidRPr="00EE1E0C">
        <w:t>ledning och samverkan med polisen samt till förhandlingar i tingsrätt och hovrätt. Kammaren har fått kompensation för resorna genom att man är fler åklagare på kammaren än man annars skulle ha varit. Linköpingskammaren använder drygt fem procent av sin arbetstid till resor. För Sundsvallskamm</w:t>
      </w:r>
      <w:r w:rsidRPr="00EE1E0C">
        <w:t>a</w:t>
      </w:r>
      <w:r w:rsidRPr="00EE1E0C">
        <w:t>rens del motsvarar andelen resor knappt två procent av arbetstiden. Förkl</w:t>
      </w:r>
      <w:r w:rsidRPr="00EE1E0C">
        <w:t>a</w:t>
      </w:r>
      <w:r w:rsidRPr="00EE1E0C">
        <w:t>ringen till den låga andelen resor för Sundsvallskammaren torde vara att åklagarna fortfarande i stor utsträckning bor och arbetar på en or</w:t>
      </w:r>
      <w:r w:rsidRPr="00EE1E0C">
        <w:t xml:space="preserve">t. Påståendet att resorna har ökat används ibland av åklagare även för att beskriva att de själva har fått längre resväg till arbetet. I stället för att ha gångavstånd till arbetet har vissa åklagare fått en timmes resväg eller mer till arbetet. Detta innebär å andra sidan att det blir färre resor i tjänsten eftersom man i många fall kan gå direkt till tingsrätten och polisen från hemmet. </w:t>
      </w:r>
    </w:p>
    <w:p w:rsidR="00031A3F" w:rsidRPr="00EE1E0C" w:rsidRDefault="00031A3F">
      <w:pPr>
        <w:pStyle w:val="Normaltindrag"/>
      </w:pPr>
      <w:r w:rsidRPr="00EE1E0C">
        <w:t>Genom det s.k. mentorssystemet har åklagarnas kontakter med polisen ökat. 1:a kammaren i Stockholm och Sundsvallskammar</w:t>
      </w:r>
      <w:r w:rsidRPr="00EE1E0C">
        <w:t>en använder tre procent av sin arbetstid till sådana kontakter medan Linköpingskammaren använder två procent.</w:t>
      </w:r>
    </w:p>
    <w:p w:rsidR="00031A3F" w:rsidRPr="00EE1E0C" w:rsidRDefault="00031A3F">
      <w:pPr>
        <w:pStyle w:val="Normaltindrag"/>
        <w:rPr>
          <w:i/>
        </w:rPr>
      </w:pPr>
      <w:r w:rsidRPr="00EE1E0C">
        <w:t>Av tabellen nedan framgår tidsanvändningen vid de tre kamrarna. I tiden Övrigt ingår bl.a. utbildning, chefsåklagarnas ledning och administration samt övriga samverkansuppgifter.</w:t>
      </w:r>
    </w:p>
    <w:p w:rsidR="00031A3F" w:rsidRPr="00EE1E0C" w:rsidRDefault="00031A3F">
      <w:pPr>
        <w:pStyle w:val="Tabellrubrik"/>
      </w:pPr>
    </w:p>
    <w:p w:rsidR="00031A3F" w:rsidRPr="00EE1E0C" w:rsidRDefault="00031A3F">
      <w:pPr>
        <w:pStyle w:val="Tabellrubrik"/>
      </w:pPr>
      <w:r w:rsidRPr="00EE1E0C">
        <w:t>Tabell 2.5 Tidsåtgång under 1998</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134"/>
        <w:gridCol w:w="1134"/>
      </w:tblGrid>
      <w:tr w:rsidR="00000000" w:rsidRPr="00EE1E0C">
        <w:tblPrEx>
          <w:tblCellMar>
            <w:top w:w="0" w:type="dxa"/>
            <w:bottom w:w="0" w:type="dxa"/>
          </w:tblCellMar>
        </w:tblPrEx>
        <w:tc>
          <w:tcPr>
            <w:tcW w:w="2197" w:type="dxa"/>
          </w:tcPr>
          <w:p w:rsidR="00031A3F" w:rsidRPr="00EE1E0C" w:rsidRDefault="00031A3F">
            <w:pPr>
              <w:pStyle w:val="Normaltindrag"/>
              <w:ind w:firstLine="0"/>
            </w:pPr>
          </w:p>
        </w:tc>
        <w:tc>
          <w:tcPr>
            <w:tcW w:w="1275" w:type="dxa"/>
          </w:tcPr>
          <w:p w:rsidR="00031A3F" w:rsidRPr="00EE1E0C" w:rsidRDefault="00031A3F">
            <w:pPr>
              <w:pStyle w:val="Normaltindrag"/>
              <w:ind w:firstLine="0"/>
            </w:pPr>
            <w:r w:rsidRPr="00EE1E0C">
              <w:t>1:a kammaren i Stockholm</w:t>
            </w:r>
          </w:p>
        </w:tc>
        <w:tc>
          <w:tcPr>
            <w:tcW w:w="1134" w:type="dxa"/>
          </w:tcPr>
          <w:p w:rsidR="00031A3F" w:rsidRPr="00EE1E0C" w:rsidRDefault="00031A3F">
            <w:pPr>
              <w:pStyle w:val="Normaltindrag"/>
              <w:ind w:firstLine="0"/>
            </w:pPr>
            <w:r w:rsidRPr="00EE1E0C">
              <w:t>Linköping</w:t>
            </w:r>
            <w:r w:rsidRPr="00EE1E0C">
              <w:t>s</w:t>
            </w:r>
            <w:r w:rsidRPr="00EE1E0C">
              <w:t>kammaren</w:t>
            </w:r>
          </w:p>
        </w:tc>
        <w:tc>
          <w:tcPr>
            <w:tcW w:w="1134" w:type="dxa"/>
          </w:tcPr>
          <w:p w:rsidR="00031A3F" w:rsidRPr="00EE1E0C" w:rsidRDefault="00031A3F">
            <w:pPr>
              <w:pStyle w:val="Normaltindrag"/>
              <w:ind w:firstLine="0"/>
            </w:pPr>
            <w:r w:rsidRPr="00EE1E0C">
              <w:t>Sundsvalls–kamm</w:t>
            </w:r>
            <w:r w:rsidRPr="00EE1E0C">
              <w:t>a</w:t>
            </w:r>
            <w:r w:rsidRPr="00EE1E0C">
              <w:t>ren</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Förundersökning</w:t>
            </w:r>
          </w:p>
        </w:tc>
        <w:tc>
          <w:tcPr>
            <w:tcW w:w="1275" w:type="dxa"/>
          </w:tcPr>
          <w:p w:rsidR="00031A3F" w:rsidRPr="00EE1E0C" w:rsidRDefault="00031A3F">
            <w:pPr>
              <w:pStyle w:val="Normaltindrag"/>
              <w:ind w:firstLine="0"/>
              <w:jc w:val="right"/>
            </w:pPr>
            <w:r w:rsidRPr="00EE1E0C">
              <w:t>54 %</w:t>
            </w:r>
          </w:p>
        </w:tc>
        <w:tc>
          <w:tcPr>
            <w:tcW w:w="1134" w:type="dxa"/>
          </w:tcPr>
          <w:p w:rsidR="00031A3F" w:rsidRPr="00EE1E0C" w:rsidRDefault="00031A3F">
            <w:pPr>
              <w:pStyle w:val="Normaltindrag"/>
              <w:ind w:firstLine="0"/>
              <w:jc w:val="right"/>
            </w:pPr>
            <w:r w:rsidRPr="00EE1E0C">
              <w:t>43 %</w:t>
            </w:r>
          </w:p>
        </w:tc>
        <w:tc>
          <w:tcPr>
            <w:tcW w:w="1134" w:type="dxa"/>
          </w:tcPr>
          <w:p w:rsidR="00031A3F" w:rsidRPr="00EE1E0C" w:rsidRDefault="00031A3F">
            <w:pPr>
              <w:pStyle w:val="Normaltindrag"/>
              <w:ind w:firstLine="0"/>
              <w:jc w:val="right"/>
            </w:pPr>
            <w:r w:rsidRPr="00EE1E0C">
              <w:t>47 %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Förhandling</w:t>
            </w:r>
          </w:p>
        </w:tc>
        <w:tc>
          <w:tcPr>
            <w:tcW w:w="1275" w:type="dxa"/>
          </w:tcPr>
          <w:p w:rsidR="00031A3F" w:rsidRPr="00EE1E0C" w:rsidRDefault="00031A3F">
            <w:pPr>
              <w:pStyle w:val="Normaltindrag"/>
              <w:ind w:firstLine="0"/>
              <w:jc w:val="right"/>
            </w:pPr>
            <w:r w:rsidRPr="00EE1E0C">
              <w:t>18 %</w:t>
            </w:r>
          </w:p>
        </w:tc>
        <w:tc>
          <w:tcPr>
            <w:tcW w:w="1134" w:type="dxa"/>
          </w:tcPr>
          <w:p w:rsidR="00031A3F" w:rsidRPr="00EE1E0C" w:rsidRDefault="00031A3F">
            <w:pPr>
              <w:pStyle w:val="Normaltindrag"/>
              <w:ind w:firstLine="0"/>
              <w:jc w:val="right"/>
            </w:pPr>
            <w:r w:rsidRPr="00EE1E0C">
              <w:t>26 %</w:t>
            </w:r>
          </w:p>
        </w:tc>
        <w:tc>
          <w:tcPr>
            <w:tcW w:w="1134" w:type="dxa"/>
          </w:tcPr>
          <w:p w:rsidR="00031A3F" w:rsidRPr="00EE1E0C" w:rsidRDefault="00031A3F">
            <w:pPr>
              <w:pStyle w:val="Normaltindrag"/>
              <w:ind w:firstLine="0"/>
              <w:jc w:val="right"/>
            </w:pPr>
            <w:r w:rsidRPr="00EE1E0C">
              <w:t>23 %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Ärendeadministr</w:t>
            </w:r>
            <w:r w:rsidRPr="00EE1E0C">
              <w:t>a</w:t>
            </w:r>
            <w:r w:rsidRPr="00EE1E0C">
              <w:t>tion</w:t>
            </w:r>
          </w:p>
        </w:tc>
        <w:tc>
          <w:tcPr>
            <w:tcW w:w="1275" w:type="dxa"/>
          </w:tcPr>
          <w:p w:rsidR="00031A3F" w:rsidRPr="00EE1E0C" w:rsidRDefault="00031A3F">
            <w:pPr>
              <w:pStyle w:val="Normaltindrag"/>
              <w:ind w:firstLine="0"/>
              <w:jc w:val="right"/>
            </w:pPr>
            <w:r w:rsidRPr="00EE1E0C">
              <w:t>11 %</w:t>
            </w:r>
          </w:p>
        </w:tc>
        <w:tc>
          <w:tcPr>
            <w:tcW w:w="1134" w:type="dxa"/>
          </w:tcPr>
          <w:p w:rsidR="00031A3F" w:rsidRPr="00EE1E0C" w:rsidRDefault="00031A3F">
            <w:pPr>
              <w:pStyle w:val="Normaltindrag"/>
              <w:ind w:firstLine="0"/>
              <w:jc w:val="right"/>
            </w:pPr>
            <w:r w:rsidRPr="00EE1E0C">
              <w:t>11 %</w:t>
            </w:r>
          </w:p>
        </w:tc>
        <w:tc>
          <w:tcPr>
            <w:tcW w:w="1134" w:type="dxa"/>
          </w:tcPr>
          <w:p w:rsidR="00031A3F" w:rsidRPr="00EE1E0C" w:rsidRDefault="00031A3F">
            <w:pPr>
              <w:pStyle w:val="Normaltindrag"/>
              <w:ind w:firstLine="0"/>
              <w:jc w:val="right"/>
            </w:pPr>
            <w:r w:rsidRPr="00EE1E0C">
              <w:t>7 %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Resor</w:t>
            </w:r>
          </w:p>
        </w:tc>
        <w:tc>
          <w:tcPr>
            <w:tcW w:w="1275" w:type="dxa"/>
          </w:tcPr>
          <w:p w:rsidR="00031A3F" w:rsidRPr="00EE1E0C" w:rsidRDefault="00031A3F">
            <w:pPr>
              <w:pStyle w:val="Normaltindrag"/>
              <w:ind w:firstLine="0"/>
              <w:jc w:val="right"/>
            </w:pPr>
            <w:r w:rsidRPr="00EE1E0C">
              <w:t>knappt 6 %</w:t>
            </w:r>
          </w:p>
        </w:tc>
        <w:tc>
          <w:tcPr>
            <w:tcW w:w="1134" w:type="dxa"/>
          </w:tcPr>
          <w:p w:rsidR="00031A3F" w:rsidRPr="00EE1E0C" w:rsidRDefault="00031A3F">
            <w:pPr>
              <w:pStyle w:val="Normaltindrag"/>
              <w:ind w:firstLine="0"/>
              <w:jc w:val="right"/>
            </w:pPr>
            <w:r w:rsidRPr="00EE1E0C">
              <w:t>drygt 5 %</w:t>
            </w:r>
          </w:p>
        </w:tc>
        <w:tc>
          <w:tcPr>
            <w:tcW w:w="1134" w:type="dxa"/>
          </w:tcPr>
          <w:p w:rsidR="00031A3F" w:rsidRPr="00EE1E0C" w:rsidRDefault="00031A3F">
            <w:pPr>
              <w:pStyle w:val="Normaltindrag"/>
              <w:ind w:firstLine="0"/>
              <w:jc w:val="right"/>
            </w:pPr>
            <w:r w:rsidRPr="00EE1E0C">
              <w:t>knappt 2 %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Samverkan med pol</w:t>
            </w:r>
            <w:r w:rsidRPr="00EE1E0C">
              <w:t>i</w:t>
            </w:r>
            <w:r w:rsidRPr="00EE1E0C">
              <w:t>sen</w:t>
            </w:r>
          </w:p>
        </w:tc>
        <w:tc>
          <w:tcPr>
            <w:tcW w:w="1275" w:type="dxa"/>
          </w:tcPr>
          <w:p w:rsidR="00031A3F" w:rsidRPr="00EE1E0C" w:rsidRDefault="00031A3F">
            <w:pPr>
              <w:pStyle w:val="Normaltindrag"/>
              <w:ind w:firstLine="0"/>
              <w:jc w:val="right"/>
            </w:pPr>
            <w:r w:rsidRPr="00EE1E0C">
              <w:t>3 %</w:t>
            </w:r>
          </w:p>
        </w:tc>
        <w:tc>
          <w:tcPr>
            <w:tcW w:w="1134" w:type="dxa"/>
          </w:tcPr>
          <w:p w:rsidR="00031A3F" w:rsidRPr="00EE1E0C" w:rsidRDefault="00031A3F">
            <w:pPr>
              <w:pStyle w:val="Normaltindrag"/>
              <w:ind w:firstLine="0"/>
              <w:jc w:val="right"/>
            </w:pPr>
            <w:r w:rsidRPr="00EE1E0C">
              <w:t>2 %</w:t>
            </w:r>
          </w:p>
        </w:tc>
        <w:tc>
          <w:tcPr>
            <w:tcW w:w="1134" w:type="dxa"/>
          </w:tcPr>
          <w:p w:rsidR="00031A3F" w:rsidRPr="00EE1E0C" w:rsidRDefault="00031A3F">
            <w:pPr>
              <w:pStyle w:val="Normaltindrag"/>
              <w:ind w:firstLine="0"/>
              <w:jc w:val="right"/>
            </w:pPr>
            <w:r w:rsidRPr="00EE1E0C">
              <w:t>3 %</w:t>
            </w:r>
          </w:p>
        </w:tc>
      </w:tr>
      <w:tr w:rsidR="00000000" w:rsidRPr="00EE1E0C">
        <w:tblPrEx>
          <w:tblCellMar>
            <w:top w:w="0" w:type="dxa"/>
            <w:bottom w:w="0" w:type="dxa"/>
          </w:tblCellMar>
        </w:tblPrEx>
        <w:tc>
          <w:tcPr>
            <w:tcW w:w="2197" w:type="dxa"/>
          </w:tcPr>
          <w:p w:rsidR="00031A3F" w:rsidRPr="00EE1E0C" w:rsidRDefault="00031A3F">
            <w:pPr>
              <w:pStyle w:val="Normaltindrag"/>
              <w:ind w:firstLine="0"/>
            </w:pPr>
            <w:r w:rsidRPr="00EE1E0C">
              <w:t>Övrigt</w:t>
            </w:r>
          </w:p>
        </w:tc>
        <w:tc>
          <w:tcPr>
            <w:tcW w:w="1275" w:type="dxa"/>
          </w:tcPr>
          <w:p w:rsidR="00031A3F" w:rsidRPr="00EE1E0C" w:rsidRDefault="00031A3F">
            <w:pPr>
              <w:pStyle w:val="Normaltindrag"/>
              <w:ind w:firstLine="0"/>
              <w:jc w:val="right"/>
            </w:pPr>
            <w:r w:rsidRPr="00EE1E0C">
              <w:t>8  %</w:t>
            </w:r>
          </w:p>
        </w:tc>
        <w:tc>
          <w:tcPr>
            <w:tcW w:w="1134" w:type="dxa"/>
          </w:tcPr>
          <w:p w:rsidR="00031A3F" w:rsidRPr="00EE1E0C" w:rsidRDefault="00031A3F">
            <w:pPr>
              <w:pStyle w:val="Normaltindrag"/>
              <w:ind w:firstLine="0"/>
              <w:jc w:val="right"/>
            </w:pPr>
            <w:r w:rsidRPr="00EE1E0C">
              <w:t>13 %</w:t>
            </w:r>
          </w:p>
        </w:tc>
        <w:tc>
          <w:tcPr>
            <w:tcW w:w="1134" w:type="dxa"/>
          </w:tcPr>
          <w:p w:rsidR="00031A3F" w:rsidRPr="00EE1E0C" w:rsidRDefault="00031A3F">
            <w:pPr>
              <w:pStyle w:val="Normaltindrag"/>
              <w:ind w:firstLine="0"/>
              <w:jc w:val="right"/>
            </w:pPr>
            <w:r w:rsidRPr="00EE1E0C">
              <w:t>18 %</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Kamrarnas tidsredovisning. Egen bearbetning</w:t>
      </w:r>
    </w:p>
    <w:p w:rsidR="00031A3F" w:rsidRPr="00EE1E0C" w:rsidRDefault="00031A3F">
      <w:pPr>
        <w:pStyle w:val="Rubrik3"/>
      </w:pPr>
      <w:bookmarkStart w:id="240" w:name="_Toc448905932"/>
      <w:bookmarkStart w:id="241" w:name="_Toc454180251"/>
      <w:bookmarkStart w:id="242" w:name="_Toc466264210"/>
      <w:r w:rsidRPr="00EE1E0C">
        <w:t>Personal</w:t>
      </w:r>
      <w:bookmarkEnd w:id="240"/>
      <w:bookmarkEnd w:id="241"/>
      <w:bookmarkEnd w:id="242"/>
    </w:p>
    <w:p w:rsidR="00031A3F" w:rsidRPr="00EE1E0C" w:rsidRDefault="00031A3F">
      <w:r w:rsidRPr="00EE1E0C">
        <w:t>Som framgått av del 1 av rapporten rådde det anställningsstopp för åklagare mellan 1995 och 1998. Dessutom sades 192 administratörer upp hösten 1996. Samtliga intervjuade åklagare vid myndigheterna och kamrarna fra</w:t>
      </w:r>
      <w:r w:rsidRPr="00EE1E0C">
        <w:t>m</w:t>
      </w:r>
      <w:r w:rsidRPr="00EE1E0C">
        <w:t>håller att antalet åklagare är för lågt. Uppsägningarna av administratörerna har dessutom inneburit att åklagarna har fått överta vissa av deras uppgifter. Av tabellen nedan framgår att antalet åklagare i Stockholms län har ökat, om de som tidigare arbetade med ekobrottsärenden vid Stockholmsmyndigheten räknas in som om de tillhörde myndigheten. För 1:a kammarens vidko</w:t>
      </w:r>
      <w:r w:rsidRPr="00EE1E0C">
        <w:t>m</w:t>
      </w:r>
      <w:r w:rsidRPr="00EE1E0C">
        <w:t xml:space="preserve">mande har antalet åklagare minskat. Vidare framgår att antalet åklagare ökat något i Östergötlands län. För Åklagarmyndigheten i Linköping </w:t>
      </w:r>
      <w:r w:rsidRPr="00EE1E0C">
        <w:t>och för Linköpingskammaren är det svårt att göra en jämförelse, eftersom den gamla och nya myndigheten inte överensstämmer geografiskt. För Västernorrlands del har antalet åklagare sjunkit något. Antalet övrig personal har sjunkit i samtl</w:t>
      </w:r>
      <w:r w:rsidRPr="00EE1E0C">
        <w:t>i</w:t>
      </w:r>
      <w:r w:rsidRPr="00EE1E0C">
        <w:t>ga län. Personalutvecklingen framgår av tabellen nedan.</w:t>
      </w:r>
    </w:p>
    <w:p w:rsidR="00031A3F" w:rsidRPr="00EE1E0C" w:rsidRDefault="00031A3F">
      <w:pPr>
        <w:pStyle w:val="Tabell"/>
        <w:rPr>
          <w:b/>
        </w:rPr>
      </w:pPr>
    </w:p>
    <w:p w:rsidR="00031A3F" w:rsidRPr="00EE1E0C" w:rsidRDefault="00031A3F">
      <w:pPr>
        <w:pStyle w:val="Tabell"/>
        <w:rPr>
          <w:b/>
        </w:rPr>
      </w:pPr>
      <w:r w:rsidRPr="00EE1E0C">
        <w:rPr>
          <w:b/>
        </w:rPr>
        <w:t>Tabell 2.6 Antalet åklagare och övrig personal före och efter omorganisationen</w:t>
      </w:r>
    </w:p>
    <w:p w:rsidR="00031A3F" w:rsidRPr="00EE1E0C" w:rsidRDefault="00031A3F">
      <w:pPr>
        <w:pStyle w:val="Tabell"/>
        <w:rPr>
          <w:b/>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1686"/>
        <w:gridCol w:w="1720"/>
      </w:tblGrid>
      <w:tr w:rsidR="00000000" w:rsidRPr="00EE1E0C">
        <w:tblPrEx>
          <w:tblCellMar>
            <w:top w:w="0" w:type="dxa"/>
            <w:bottom w:w="0" w:type="dxa"/>
          </w:tblCellMar>
        </w:tblPrEx>
        <w:trPr>
          <w:cantSplit/>
        </w:trPr>
        <w:tc>
          <w:tcPr>
            <w:tcW w:w="5740" w:type="dxa"/>
            <w:gridSpan w:val="3"/>
          </w:tcPr>
          <w:p w:rsidR="00031A3F" w:rsidRPr="00EE1E0C" w:rsidRDefault="00031A3F">
            <w:pPr>
              <w:pStyle w:val="Normaltindrag"/>
              <w:ind w:firstLine="0"/>
              <w:jc w:val="center"/>
              <w:rPr>
                <w:b/>
              </w:rPr>
            </w:pPr>
            <w:r w:rsidRPr="00EE1E0C">
              <w:rPr>
                <w:b/>
              </w:rPr>
              <w:t>Stockholms län</w:t>
            </w:r>
          </w:p>
        </w:tc>
      </w:tr>
      <w:tr w:rsidR="00000000" w:rsidRPr="00EE1E0C">
        <w:tblPrEx>
          <w:tblCellMar>
            <w:top w:w="0" w:type="dxa"/>
            <w:bottom w:w="0" w:type="dxa"/>
          </w:tblCellMar>
        </w:tblPrEx>
        <w:trPr>
          <w:cantSplit/>
        </w:trPr>
        <w:tc>
          <w:tcPr>
            <w:tcW w:w="2340" w:type="dxa"/>
            <w:tcBorders>
              <w:right w:val="single" w:sz="4" w:space="0" w:color="auto"/>
            </w:tcBorders>
          </w:tcPr>
          <w:p w:rsidR="00031A3F" w:rsidRPr="00EE1E0C" w:rsidRDefault="00031A3F">
            <w:pPr>
              <w:pStyle w:val="Normaltindrag"/>
              <w:ind w:firstLine="0"/>
              <w:jc w:val="left"/>
              <w:rPr>
                <w:b/>
              </w:rPr>
            </w:pPr>
            <w:r w:rsidRPr="00EE1E0C">
              <w:rPr>
                <w:b/>
              </w:rPr>
              <w:t>Myndigheten</w:t>
            </w:r>
          </w:p>
        </w:tc>
        <w:tc>
          <w:tcPr>
            <w:tcW w:w="1680" w:type="dxa"/>
            <w:tcBorders>
              <w:left w:val="nil"/>
              <w:right w:val="single" w:sz="4" w:space="0" w:color="auto"/>
            </w:tcBorders>
          </w:tcPr>
          <w:p w:rsidR="00031A3F" w:rsidRPr="00EE1E0C" w:rsidRDefault="00031A3F">
            <w:pPr>
              <w:pStyle w:val="Normaltindrag"/>
              <w:ind w:firstLine="0"/>
              <w:jc w:val="left"/>
              <w:rPr>
                <w:b/>
              </w:rPr>
            </w:pPr>
            <w:r w:rsidRPr="00EE1E0C">
              <w:rPr>
                <w:b/>
              </w:rPr>
              <w:t>Åklagare</w:t>
            </w:r>
          </w:p>
        </w:tc>
        <w:tc>
          <w:tcPr>
            <w:tcW w:w="1720" w:type="dxa"/>
            <w:tcBorders>
              <w:left w:val="nil"/>
            </w:tcBorders>
          </w:tcPr>
          <w:p w:rsidR="00031A3F" w:rsidRPr="00EE1E0C" w:rsidRDefault="00031A3F">
            <w:pPr>
              <w:pStyle w:val="Normaltindrag"/>
              <w:ind w:firstLine="0"/>
              <w:jc w:val="left"/>
              <w:rPr>
                <w:b/>
              </w:rPr>
            </w:pPr>
            <w:r w:rsidRPr="00EE1E0C">
              <w:rPr>
                <w:b/>
              </w:rPr>
              <w:t>Övrig personal</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Före den 1 juli 1996</w:t>
            </w:r>
          </w:p>
        </w:tc>
        <w:tc>
          <w:tcPr>
            <w:tcW w:w="1686" w:type="dxa"/>
          </w:tcPr>
          <w:p w:rsidR="00031A3F" w:rsidRPr="00EE1E0C" w:rsidRDefault="00031A3F">
            <w:pPr>
              <w:pStyle w:val="Normaltindrag"/>
              <w:ind w:firstLine="0"/>
              <w:jc w:val="center"/>
            </w:pPr>
            <w:r w:rsidRPr="00EE1E0C">
              <w:t>179</w:t>
            </w:r>
          </w:p>
        </w:tc>
        <w:tc>
          <w:tcPr>
            <w:tcW w:w="1716" w:type="dxa"/>
            <w:tcBorders>
              <w:top w:val="nil"/>
            </w:tcBorders>
          </w:tcPr>
          <w:p w:rsidR="00031A3F" w:rsidRPr="00EE1E0C" w:rsidRDefault="00031A3F">
            <w:pPr>
              <w:pStyle w:val="Normaltindrag"/>
              <w:ind w:firstLine="0"/>
              <w:jc w:val="center"/>
            </w:pPr>
            <w:r w:rsidRPr="00EE1E0C">
              <w:t>125</w:t>
            </w:r>
          </w:p>
        </w:tc>
      </w:tr>
      <w:tr w:rsidR="00000000" w:rsidRPr="00EE1E0C">
        <w:tblPrEx>
          <w:tblCellMar>
            <w:top w:w="0" w:type="dxa"/>
            <w:bottom w:w="0" w:type="dxa"/>
          </w:tblCellMar>
        </w:tblPrEx>
        <w:tc>
          <w:tcPr>
            <w:tcW w:w="2338" w:type="dxa"/>
            <w:tcBorders>
              <w:bottom w:val="single" w:sz="4" w:space="0" w:color="auto"/>
            </w:tcBorders>
          </w:tcPr>
          <w:p w:rsidR="00031A3F" w:rsidRPr="00EE1E0C" w:rsidRDefault="00031A3F">
            <w:pPr>
              <w:pStyle w:val="Normaltindrag"/>
              <w:ind w:firstLine="0"/>
            </w:pPr>
            <w:r w:rsidRPr="00EE1E0C">
              <w:t>Efter den 1 juli 1996</w:t>
            </w:r>
          </w:p>
        </w:tc>
        <w:tc>
          <w:tcPr>
            <w:tcW w:w="1686" w:type="dxa"/>
            <w:tcBorders>
              <w:bottom w:val="single" w:sz="4" w:space="0" w:color="auto"/>
            </w:tcBorders>
          </w:tcPr>
          <w:p w:rsidR="00031A3F" w:rsidRPr="00EE1E0C" w:rsidRDefault="00031A3F">
            <w:pPr>
              <w:pStyle w:val="Normaltindrag"/>
              <w:ind w:firstLine="0"/>
              <w:jc w:val="center"/>
            </w:pPr>
            <w:r w:rsidRPr="00EE1E0C">
              <w:t xml:space="preserve">  199*                                         </w:t>
            </w:r>
          </w:p>
        </w:tc>
        <w:tc>
          <w:tcPr>
            <w:tcW w:w="1716" w:type="dxa"/>
            <w:tcBorders>
              <w:bottom w:val="single" w:sz="4" w:space="0" w:color="auto"/>
            </w:tcBorders>
          </w:tcPr>
          <w:p w:rsidR="00031A3F" w:rsidRPr="00EE1E0C" w:rsidRDefault="00031A3F">
            <w:pPr>
              <w:pStyle w:val="Normaltindrag"/>
              <w:ind w:firstLine="0"/>
              <w:jc w:val="center"/>
            </w:pPr>
            <w:r w:rsidRPr="00EE1E0C">
              <w:t>84</w:t>
            </w:r>
          </w:p>
        </w:tc>
      </w:tr>
      <w:tr w:rsidR="00000000" w:rsidRPr="00EE1E0C">
        <w:tblPrEx>
          <w:tblCellMar>
            <w:top w:w="0" w:type="dxa"/>
            <w:bottom w:w="0" w:type="dxa"/>
          </w:tblCellMar>
        </w:tblPrEx>
        <w:trPr>
          <w:cantSplit/>
        </w:trPr>
        <w:tc>
          <w:tcPr>
            <w:tcW w:w="5740" w:type="dxa"/>
            <w:gridSpan w:val="3"/>
            <w:tcBorders>
              <w:top w:val="single" w:sz="4" w:space="0" w:color="auto"/>
            </w:tcBorders>
          </w:tcPr>
          <w:p w:rsidR="00031A3F" w:rsidRPr="00EE1E0C" w:rsidRDefault="00031A3F">
            <w:pPr>
              <w:pStyle w:val="Normaltindrag"/>
              <w:ind w:firstLine="0"/>
            </w:pPr>
            <w:r w:rsidRPr="00EE1E0C">
              <w:rPr>
                <w:b/>
              </w:rPr>
              <w:t>1:a kammaren i Stockholm</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Före den 1 juli 1996</w:t>
            </w:r>
          </w:p>
        </w:tc>
        <w:tc>
          <w:tcPr>
            <w:tcW w:w="1686" w:type="dxa"/>
          </w:tcPr>
          <w:p w:rsidR="00031A3F" w:rsidRPr="00EE1E0C" w:rsidRDefault="00031A3F">
            <w:pPr>
              <w:pStyle w:val="Normaltindrag"/>
              <w:ind w:firstLine="0"/>
              <w:jc w:val="center"/>
            </w:pPr>
            <w:r w:rsidRPr="00EE1E0C">
              <w:t>23</w:t>
            </w:r>
          </w:p>
        </w:tc>
        <w:tc>
          <w:tcPr>
            <w:tcW w:w="1716" w:type="dxa"/>
          </w:tcPr>
          <w:p w:rsidR="00031A3F" w:rsidRPr="00EE1E0C" w:rsidRDefault="00031A3F">
            <w:pPr>
              <w:pStyle w:val="Normaltindrag"/>
              <w:ind w:firstLine="0"/>
              <w:jc w:val="center"/>
            </w:pPr>
            <w:r w:rsidRPr="00EE1E0C">
              <w:t>16</w:t>
            </w:r>
          </w:p>
        </w:tc>
      </w:tr>
      <w:tr w:rsidR="00000000" w:rsidRPr="00EE1E0C">
        <w:tblPrEx>
          <w:tblCellMar>
            <w:top w:w="0" w:type="dxa"/>
            <w:bottom w:w="0" w:type="dxa"/>
          </w:tblCellMar>
        </w:tblPrEx>
        <w:tc>
          <w:tcPr>
            <w:tcW w:w="2338" w:type="dxa"/>
            <w:tcBorders>
              <w:bottom w:val="single" w:sz="12" w:space="0" w:color="auto"/>
            </w:tcBorders>
          </w:tcPr>
          <w:p w:rsidR="00031A3F" w:rsidRPr="00EE1E0C" w:rsidRDefault="00031A3F">
            <w:pPr>
              <w:pStyle w:val="Normaltindrag"/>
              <w:ind w:firstLine="0"/>
            </w:pPr>
            <w:r w:rsidRPr="00EE1E0C">
              <w:t>Efter den 1 juli 1996</w:t>
            </w:r>
          </w:p>
        </w:tc>
        <w:tc>
          <w:tcPr>
            <w:tcW w:w="1686" w:type="dxa"/>
            <w:tcBorders>
              <w:bottom w:val="single" w:sz="12" w:space="0" w:color="auto"/>
            </w:tcBorders>
          </w:tcPr>
          <w:p w:rsidR="00031A3F" w:rsidRPr="00EE1E0C" w:rsidRDefault="00031A3F">
            <w:pPr>
              <w:pStyle w:val="Normaltindrag"/>
              <w:ind w:firstLine="0"/>
              <w:jc w:val="center"/>
            </w:pPr>
            <w:r w:rsidRPr="00EE1E0C">
              <w:t>19-20</w:t>
            </w:r>
          </w:p>
        </w:tc>
        <w:tc>
          <w:tcPr>
            <w:tcW w:w="1716" w:type="dxa"/>
            <w:tcBorders>
              <w:bottom w:val="single" w:sz="12" w:space="0" w:color="auto"/>
            </w:tcBorders>
          </w:tcPr>
          <w:p w:rsidR="00031A3F" w:rsidRPr="00EE1E0C" w:rsidRDefault="00031A3F">
            <w:pPr>
              <w:pStyle w:val="Normaltindrag"/>
              <w:ind w:firstLine="0"/>
              <w:jc w:val="center"/>
            </w:pPr>
            <w:r w:rsidRPr="00EE1E0C">
              <w:t>9</w:t>
            </w:r>
          </w:p>
        </w:tc>
      </w:tr>
      <w:tr w:rsidR="00000000" w:rsidRPr="00EE1E0C">
        <w:tblPrEx>
          <w:tblCellMar>
            <w:top w:w="0" w:type="dxa"/>
            <w:bottom w:w="0" w:type="dxa"/>
          </w:tblCellMar>
        </w:tblPrEx>
        <w:trPr>
          <w:cantSplit/>
        </w:trPr>
        <w:tc>
          <w:tcPr>
            <w:tcW w:w="5740" w:type="dxa"/>
            <w:gridSpan w:val="3"/>
            <w:tcBorders>
              <w:top w:val="single" w:sz="12" w:space="0" w:color="auto"/>
            </w:tcBorders>
          </w:tcPr>
          <w:p w:rsidR="00031A3F" w:rsidRPr="00EE1E0C" w:rsidRDefault="00031A3F">
            <w:pPr>
              <w:pStyle w:val="Normaltindrag"/>
              <w:ind w:firstLine="0"/>
              <w:jc w:val="center"/>
              <w:rPr>
                <w:b/>
              </w:rPr>
            </w:pPr>
            <w:r w:rsidRPr="00EE1E0C">
              <w:rPr>
                <w:b/>
              </w:rPr>
              <w:t>Östergötlands län</w:t>
            </w:r>
          </w:p>
        </w:tc>
      </w:tr>
      <w:tr w:rsidR="00000000" w:rsidRPr="00EE1E0C">
        <w:tblPrEx>
          <w:tblCellMar>
            <w:top w:w="0" w:type="dxa"/>
            <w:bottom w:w="0" w:type="dxa"/>
          </w:tblCellMar>
        </w:tblPrEx>
        <w:trPr>
          <w:cantSplit/>
        </w:trPr>
        <w:tc>
          <w:tcPr>
            <w:tcW w:w="2340" w:type="dxa"/>
            <w:tcBorders>
              <w:right w:val="single" w:sz="4" w:space="0" w:color="auto"/>
            </w:tcBorders>
          </w:tcPr>
          <w:p w:rsidR="00031A3F" w:rsidRPr="00EE1E0C" w:rsidRDefault="00031A3F">
            <w:pPr>
              <w:pStyle w:val="Normaltindrag"/>
              <w:ind w:firstLine="0"/>
              <w:jc w:val="left"/>
              <w:rPr>
                <w:b/>
              </w:rPr>
            </w:pPr>
            <w:r w:rsidRPr="00EE1E0C">
              <w:rPr>
                <w:b/>
              </w:rPr>
              <w:t>Myndigheten**</w:t>
            </w:r>
          </w:p>
        </w:tc>
        <w:tc>
          <w:tcPr>
            <w:tcW w:w="1680" w:type="dxa"/>
            <w:tcBorders>
              <w:left w:val="nil"/>
              <w:right w:val="single" w:sz="4" w:space="0" w:color="auto"/>
            </w:tcBorders>
          </w:tcPr>
          <w:p w:rsidR="00031A3F" w:rsidRPr="00EE1E0C" w:rsidRDefault="00031A3F">
            <w:pPr>
              <w:pStyle w:val="Normaltindrag"/>
              <w:ind w:firstLine="0"/>
              <w:jc w:val="left"/>
              <w:rPr>
                <w:b/>
              </w:rPr>
            </w:pPr>
            <w:r w:rsidRPr="00EE1E0C">
              <w:rPr>
                <w:b/>
              </w:rPr>
              <w:t>Åklagare</w:t>
            </w:r>
          </w:p>
        </w:tc>
        <w:tc>
          <w:tcPr>
            <w:tcW w:w="1720" w:type="dxa"/>
            <w:tcBorders>
              <w:left w:val="nil"/>
            </w:tcBorders>
          </w:tcPr>
          <w:p w:rsidR="00031A3F" w:rsidRPr="00EE1E0C" w:rsidRDefault="00031A3F">
            <w:pPr>
              <w:pStyle w:val="Normaltindrag"/>
              <w:ind w:firstLine="0"/>
              <w:jc w:val="left"/>
              <w:rPr>
                <w:b/>
              </w:rPr>
            </w:pPr>
            <w:r w:rsidRPr="00EE1E0C">
              <w:rPr>
                <w:b/>
              </w:rPr>
              <w:t>Övrig personal</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Före den 1 juli 1996</w:t>
            </w:r>
          </w:p>
        </w:tc>
        <w:tc>
          <w:tcPr>
            <w:tcW w:w="1686" w:type="dxa"/>
          </w:tcPr>
          <w:p w:rsidR="00031A3F" w:rsidRPr="00EE1E0C" w:rsidRDefault="00031A3F">
            <w:pPr>
              <w:pStyle w:val="Normaltindrag"/>
              <w:ind w:firstLine="0"/>
              <w:jc w:val="center"/>
            </w:pPr>
            <w:r w:rsidRPr="00EE1E0C">
              <w:t>28</w:t>
            </w:r>
          </w:p>
        </w:tc>
        <w:tc>
          <w:tcPr>
            <w:tcW w:w="1716" w:type="dxa"/>
            <w:tcBorders>
              <w:top w:val="nil"/>
            </w:tcBorders>
          </w:tcPr>
          <w:p w:rsidR="00031A3F" w:rsidRPr="00EE1E0C" w:rsidRDefault="00031A3F">
            <w:pPr>
              <w:pStyle w:val="Normaltindrag"/>
              <w:ind w:firstLine="0"/>
              <w:jc w:val="center"/>
            </w:pPr>
            <w:r w:rsidRPr="00EE1E0C">
              <w:t>23</w:t>
            </w:r>
          </w:p>
        </w:tc>
      </w:tr>
      <w:tr w:rsidR="00000000" w:rsidRPr="00EE1E0C">
        <w:tblPrEx>
          <w:tblCellMar>
            <w:top w:w="0" w:type="dxa"/>
            <w:bottom w:w="0" w:type="dxa"/>
          </w:tblCellMar>
        </w:tblPrEx>
        <w:tc>
          <w:tcPr>
            <w:tcW w:w="2338" w:type="dxa"/>
            <w:tcBorders>
              <w:bottom w:val="single" w:sz="4" w:space="0" w:color="auto"/>
            </w:tcBorders>
          </w:tcPr>
          <w:p w:rsidR="00031A3F" w:rsidRPr="00EE1E0C" w:rsidRDefault="00031A3F">
            <w:pPr>
              <w:pStyle w:val="Normaltindrag"/>
              <w:ind w:firstLine="0"/>
            </w:pPr>
            <w:r w:rsidRPr="00EE1E0C">
              <w:t>Efter den 1 juli 1996</w:t>
            </w:r>
          </w:p>
        </w:tc>
        <w:tc>
          <w:tcPr>
            <w:tcW w:w="1686" w:type="dxa"/>
            <w:tcBorders>
              <w:bottom w:val="single" w:sz="4" w:space="0" w:color="auto"/>
            </w:tcBorders>
          </w:tcPr>
          <w:p w:rsidR="00031A3F" w:rsidRPr="00EE1E0C" w:rsidRDefault="00031A3F">
            <w:pPr>
              <w:pStyle w:val="Normaltindrag"/>
              <w:ind w:firstLine="0"/>
              <w:jc w:val="center"/>
            </w:pPr>
            <w:r w:rsidRPr="00EE1E0C">
              <w:t>30</w:t>
            </w:r>
          </w:p>
        </w:tc>
        <w:tc>
          <w:tcPr>
            <w:tcW w:w="1716" w:type="dxa"/>
            <w:tcBorders>
              <w:bottom w:val="single" w:sz="4" w:space="0" w:color="auto"/>
            </w:tcBorders>
          </w:tcPr>
          <w:p w:rsidR="00031A3F" w:rsidRPr="00EE1E0C" w:rsidRDefault="00031A3F">
            <w:pPr>
              <w:pStyle w:val="Normaltindrag"/>
              <w:ind w:firstLine="0"/>
              <w:jc w:val="center"/>
            </w:pPr>
            <w:r w:rsidRPr="00EE1E0C">
              <w:t>18</w:t>
            </w:r>
          </w:p>
        </w:tc>
      </w:tr>
      <w:tr w:rsidR="00000000" w:rsidRPr="00EE1E0C">
        <w:tblPrEx>
          <w:tblCellMar>
            <w:top w:w="0" w:type="dxa"/>
            <w:bottom w:w="0" w:type="dxa"/>
          </w:tblCellMar>
        </w:tblPrEx>
        <w:trPr>
          <w:cantSplit/>
        </w:trPr>
        <w:tc>
          <w:tcPr>
            <w:tcW w:w="5740" w:type="dxa"/>
            <w:gridSpan w:val="3"/>
            <w:tcBorders>
              <w:top w:val="single" w:sz="4" w:space="0" w:color="auto"/>
            </w:tcBorders>
          </w:tcPr>
          <w:p w:rsidR="00031A3F" w:rsidRPr="00EE1E0C" w:rsidRDefault="00031A3F">
            <w:pPr>
              <w:pStyle w:val="Normaltindrag"/>
              <w:ind w:firstLine="0"/>
            </w:pPr>
            <w:r w:rsidRPr="00EE1E0C">
              <w:rPr>
                <w:b/>
              </w:rPr>
              <w:t>Linköpingskammaren</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Före den 1 juli 1996</w:t>
            </w:r>
          </w:p>
        </w:tc>
        <w:tc>
          <w:tcPr>
            <w:tcW w:w="1686" w:type="dxa"/>
          </w:tcPr>
          <w:p w:rsidR="00031A3F" w:rsidRPr="00EE1E0C" w:rsidRDefault="00031A3F">
            <w:pPr>
              <w:pStyle w:val="Normaltindrag"/>
              <w:ind w:firstLine="0"/>
              <w:jc w:val="center"/>
            </w:pPr>
            <w:r w:rsidRPr="00EE1E0C">
              <w:t>15</w:t>
            </w:r>
          </w:p>
        </w:tc>
        <w:tc>
          <w:tcPr>
            <w:tcW w:w="1716" w:type="dxa"/>
          </w:tcPr>
          <w:p w:rsidR="00031A3F" w:rsidRPr="00EE1E0C" w:rsidRDefault="00031A3F">
            <w:pPr>
              <w:pStyle w:val="Normaltindrag"/>
              <w:ind w:firstLine="0"/>
              <w:jc w:val="center"/>
            </w:pPr>
            <w:r w:rsidRPr="00EE1E0C">
              <w:t>10</w:t>
            </w:r>
          </w:p>
        </w:tc>
      </w:tr>
      <w:tr w:rsidR="00000000" w:rsidRPr="00EE1E0C">
        <w:tblPrEx>
          <w:tblCellMar>
            <w:top w:w="0" w:type="dxa"/>
            <w:bottom w:w="0" w:type="dxa"/>
          </w:tblCellMar>
        </w:tblPrEx>
        <w:tc>
          <w:tcPr>
            <w:tcW w:w="2338" w:type="dxa"/>
            <w:tcBorders>
              <w:bottom w:val="single" w:sz="12" w:space="0" w:color="auto"/>
            </w:tcBorders>
          </w:tcPr>
          <w:p w:rsidR="00031A3F" w:rsidRPr="00EE1E0C" w:rsidRDefault="00031A3F">
            <w:pPr>
              <w:pStyle w:val="Normaltindrag"/>
              <w:ind w:firstLine="0"/>
            </w:pPr>
            <w:r w:rsidRPr="00EE1E0C">
              <w:t>Efter den 1 juli 1996</w:t>
            </w:r>
          </w:p>
        </w:tc>
        <w:tc>
          <w:tcPr>
            <w:tcW w:w="1686" w:type="dxa"/>
            <w:tcBorders>
              <w:bottom w:val="single" w:sz="12" w:space="0" w:color="auto"/>
            </w:tcBorders>
          </w:tcPr>
          <w:p w:rsidR="00031A3F" w:rsidRPr="00EE1E0C" w:rsidRDefault="00031A3F">
            <w:pPr>
              <w:pStyle w:val="Normaltindrag"/>
              <w:ind w:firstLine="0"/>
              <w:jc w:val="center"/>
            </w:pPr>
            <w:r w:rsidRPr="00EE1E0C">
              <w:t>16</w:t>
            </w:r>
          </w:p>
        </w:tc>
        <w:tc>
          <w:tcPr>
            <w:tcW w:w="1716" w:type="dxa"/>
            <w:tcBorders>
              <w:bottom w:val="single" w:sz="12" w:space="0" w:color="auto"/>
            </w:tcBorders>
          </w:tcPr>
          <w:p w:rsidR="00031A3F" w:rsidRPr="00EE1E0C" w:rsidRDefault="00031A3F">
            <w:pPr>
              <w:pStyle w:val="Normaltindrag"/>
              <w:ind w:firstLine="0"/>
              <w:jc w:val="center"/>
            </w:pPr>
            <w:r w:rsidRPr="00EE1E0C">
              <w:t>7</w:t>
            </w:r>
          </w:p>
        </w:tc>
      </w:tr>
      <w:tr w:rsidR="00000000" w:rsidRPr="00EE1E0C">
        <w:tblPrEx>
          <w:tblCellMar>
            <w:top w:w="0" w:type="dxa"/>
            <w:bottom w:w="0" w:type="dxa"/>
          </w:tblCellMar>
        </w:tblPrEx>
        <w:trPr>
          <w:cantSplit/>
        </w:trPr>
        <w:tc>
          <w:tcPr>
            <w:tcW w:w="5740" w:type="dxa"/>
            <w:gridSpan w:val="3"/>
            <w:tcBorders>
              <w:top w:val="single" w:sz="12" w:space="0" w:color="auto"/>
            </w:tcBorders>
          </w:tcPr>
          <w:p w:rsidR="00031A3F" w:rsidRPr="00EE1E0C" w:rsidRDefault="00031A3F">
            <w:pPr>
              <w:pStyle w:val="Normaltindrag"/>
              <w:ind w:firstLine="0"/>
              <w:jc w:val="center"/>
              <w:rPr>
                <w:b/>
              </w:rPr>
            </w:pPr>
            <w:r w:rsidRPr="00EE1E0C">
              <w:rPr>
                <w:b/>
              </w:rPr>
              <w:t xml:space="preserve">Västernorrlands län </w:t>
            </w:r>
          </w:p>
        </w:tc>
      </w:tr>
      <w:tr w:rsidR="00000000" w:rsidRPr="00EE1E0C">
        <w:tblPrEx>
          <w:tblCellMar>
            <w:top w:w="0" w:type="dxa"/>
            <w:bottom w:w="0" w:type="dxa"/>
          </w:tblCellMar>
        </w:tblPrEx>
        <w:trPr>
          <w:cantSplit/>
        </w:trPr>
        <w:tc>
          <w:tcPr>
            <w:tcW w:w="2340" w:type="dxa"/>
            <w:tcBorders>
              <w:right w:val="single" w:sz="4" w:space="0" w:color="auto"/>
            </w:tcBorders>
          </w:tcPr>
          <w:p w:rsidR="00031A3F" w:rsidRPr="00EE1E0C" w:rsidRDefault="00031A3F">
            <w:pPr>
              <w:pStyle w:val="Normaltindrag"/>
              <w:ind w:firstLine="0"/>
              <w:jc w:val="left"/>
              <w:rPr>
                <w:b/>
              </w:rPr>
            </w:pPr>
            <w:r w:rsidRPr="00EE1E0C">
              <w:rPr>
                <w:b/>
              </w:rPr>
              <w:t>Myndigheten</w:t>
            </w:r>
          </w:p>
        </w:tc>
        <w:tc>
          <w:tcPr>
            <w:tcW w:w="1680" w:type="dxa"/>
            <w:tcBorders>
              <w:left w:val="nil"/>
              <w:right w:val="single" w:sz="4" w:space="0" w:color="auto"/>
            </w:tcBorders>
          </w:tcPr>
          <w:p w:rsidR="00031A3F" w:rsidRPr="00EE1E0C" w:rsidRDefault="00031A3F">
            <w:pPr>
              <w:pStyle w:val="Normaltindrag"/>
              <w:ind w:firstLine="0"/>
              <w:jc w:val="left"/>
              <w:rPr>
                <w:b/>
              </w:rPr>
            </w:pPr>
            <w:r w:rsidRPr="00EE1E0C">
              <w:rPr>
                <w:b/>
              </w:rPr>
              <w:t>Åklagare</w:t>
            </w:r>
          </w:p>
        </w:tc>
        <w:tc>
          <w:tcPr>
            <w:tcW w:w="1720" w:type="dxa"/>
            <w:tcBorders>
              <w:left w:val="nil"/>
            </w:tcBorders>
          </w:tcPr>
          <w:p w:rsidR="00031A3F" w:rsidRPr="00EE1E0C" w:rsidRDefault="00031A3F">
            <w:pPr>
              <w:pStyle w:val="Normaltindrag"/>
              <w:ind w:firstLine="0"/>
              <w:jc w:val="left"/>
              <w:rPr>
                <w:b/>
              </w:rPr>
            </w:pPr>
            <w:r w:rsidRPr="00EE1E0C">
              <w:rPr>
                <w:b/>
              </w:rPr>
              <w:t>Övrig personal</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Före den 1 juli 1996</w:t>
            </w:r>
          </w:p>
        </w:tc>
        <w:tc>
          <w:tcPr>
            <w:tcW w:w="1686" w:type="dxa"/>
          </w:tcPr>
          <w:p w:rsidR="00031A3F" w:rsidRPr="00EE1E0C" w:rsidRDefault="00031A3F">
            <w:pPr>
              <w:pStyle w:val="Normaltindrag"/>
              <w:ind w:firstLine="0"/>
              <w:jc w:val="center"/>
            </w:pPr>
            <w:r w:rsidRPr="00EE1E0C">
              <w:t>18</w:t>
            </w:r>
          </w:p>
        </w:tc>
        <w:tc>
          <w:tcPr>
            <w:tcW w:w="1716" w:type="dxa"/>
            <w:tcBorders>
              <w:top w:val="nil"/>
            </w:tcBorders>
          </w:tcPr>
          <w:p w:rsidR="00031A3F" w:rsidRPr="00EE1E0C" w:rsidRDefault="00031A3F">
            <w:pPr>
              <w:pStyle w:val="Normaltindrag"/>
              <w:ind w:firstLine="0"/>
              <w:jc w:val="center"/>
            </w:pPr>
            <w:r w:rsidRPr="00EE1E0C">
              <w:t>13,5</w:t>
            </w:r>
          </w:p>
        </w:tc>
      </w:tr>
      <w:tr w:rsidR="00000000" w:rsidRPr="00EE1E0C">
        <w:tblPrEx>
          <w:tblCellMar>
            <w:top w:w="0" w:type="dxa"/>
            <w:bottom w:w="0" w:type="dxa"/>
          </w:tblCellMar>
        </w:tblPrEx>
        <w:tc>
          <w:tcPr>
            <w:tcW w:w="2338" w:type="dxa"/>
            <w:tcBorders>
              <w:bottom w:val="single" w:sz="4" w:space="0" w:color="auto"/>
            </w:tcBorders>
          </w:tcPr>
          <w:p w:rsidR="00031A3F" w:rsidRPr="00EE1E0C" w:rsidRDefault="00031A3F">
            <w:pPr>
              <w:pStyle w:val="Normaltindrag"/>
              <w:ind w:firstLine="0"/>
            </w:pPr>
            <w:r w:rsidRPr="00EE1E0C">
              <w:t>Efter den 1 juli 1996</w:t>
            </w:r>
          </w:p>
        </w:tc>
        <w:tc>
          <w:tcPr>
            <w:tcW w:w="1686" w:type="dxa"/>
            <w:tcBorders>
              <w:bottom w:val="single" w:sz="4" w:space="0" w:color="auto"/>
            </w:tcBorders>
          </w:tcPr>
          <w:p w:rsidR="00031A3F" w:rsidRPr="00EE1E0C" w:rsidRDefault="00031A3F">
            <w:pPr>
              <w:pStyle w:val="Normaltindrag"/>
              <w:ind w:firstLine="0"/>
              <w:jc w:val="center"/>
            </w:pPr>
            <w:r w:rsidRPr="00EE1E0C">
              <w:t>16</w:t>
            </w:r>
          </w:p>
        </w:tc>
        <w:tc>
          <w:tcPr>
            <w:tcW w:w="1716" w:type="dxa"/>
            <w:tcBorders>
              <w:bottom w:val="single" w:sz="4" w:space="0" w:color="auto"/>
            </w:tcBorders>
          </w:tcPr>
          <w:p w:rsidR="00031A3F" w:rsidRPr="00EE1E0C" w:rsidRDefault="00031A3F">
            <w:pPr>
              <w:pStyle w:val="Normaltindrag"/>
              <w:ind w:firstLine="0"/>
              <w:jc w:val="center"/>
            </w:pPr>
            <w:r w:rsidRPr="00EE1E0C">
              <w:t>9,5</w:t>
            </w:r>
          </w:p>
        </w:tc>
      </w:tr>
      <w:tr w:rsidR="00000000" w:rsidRPr="00EE1E0C">
        <w:tblPrEx>
          <w:tblCellMar>
            <w:top w:w="0" w:type="dxa"/>
            <w:bottom w:w="0" w:type="dxa"/>
          </w:tblCellMar>
        </w:tblPrEx>
        <w:trPr>
          <w:cantSplit/>
        </w:trPr>
        <w:tc>
          <w:tcPr>
            <w:tcW w:w="5740" w:type="dxa"/>
            <w:gridSpan w:val="3"/>
            <w:tcBorders>
              <w:top w:val="single" w:sz="4" w:space="0" w:color="auto"/>
            </w:tcBorders>
          </w:tcPr>
          <w:p w:rsidR="00031A3F" w:rsidRPr="00EE1E0C" w:rsidRDefault="00031A3F">
            <w:pPr>
              <w:pStyle w:val="Normaltindrag"/>
              <w:ind w:firstLine="0"/>
            </w:pPr>
            <w:r w:rsidRPr="00EE1E0C">
              <w:rPr>
                <w:b/>
              </w:rPr>
              <w:t>Sundsvallskammaren</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Före den 1 juli 1996</w:t>
            </w:r>
          </w:p>
        </w:tc>
        <w:tc>
          <w:tcPr>
            <w:tcW w:w="1686" w:type="dxa"/>
          </w:tcPr>
          <w:p w:rsidR="00031A3F" w:rsidRPr="00EE1E0C" w:rsidRDefault="00031A3F">
            <w:pPr>
              <w:pStyle w:val="Normaltindrag"/>
              <w:ind w:firstLine="0"/>
              <w:jc w:val="center"/>
            </w:pPr>
            <w:r w:rsidRPr="00EE1E0C">
              <w:t>16</w:t>
            </w:r>
          </w:p>
        </w:tc>
        <w:tc>
          <w:tcPr>
            <w:tcW w:w="1716" w:type="dxa"/>
          </w:tcPr>
          <w:p w:rsidR="00031A3F" w:rsidRPr="00EE1E0C" w:rsidRDefault="00031A3F">
            <w:pPr>
              <w:pStyle w:val="Normaltindrag"/>
              <w:ind w:firstLine="0"/>
              <w:jc w:val="center"/>
            </w:pPr>
            <w:r w:rsidRPr="00EE1E0C">
              <w:t>11</w:t>
            </w:r>
          </w:p>
        </w:tc>
      </w:tr>
      <w:tr w:rsidR="00000000" w:rsidRPr="00EE1E0C">
        <w:tblPrEx>
          <w:tblCellMar>
            <w:top w:w="0" w:type="dxa"/>
            <w:bottom w:w="0" w:type="dxa"/>
          </w:tblCellMar>
        </w:tblPrEx>
        <w:tc>
          <w:tcPr>
            <w:tcW w:w="2338" w:type="dxa"/>
          </w:tcPr>
          <w:p w:rsidR="00031A3F" w:rsidRPr="00EE1E0C" w:rsidRDefault="00031A3F">
            <w:pPr>
              <w:pStyle w:val="Normaltindrag"/>
              <w:ind w:firstLine="0"/>
            </w:pPr>
            <w:r w:rsidRPr="00EE1E0C">
              <w:t>Efter den 1 juli 1996</w:t>
            </w:r>
          </w:p>
        </w:tc>
        <w:tc>
          <w:tcPr>
            <w:tcW w:w="1686" w:type="dxa"/>
          </w:tcPr>
          <w:p w:rsidR="00031A3F" w:rsidRPr="00EE1E0C" w:rsidRDefault="00031A3F">
            <w:pPr>
              <w:pStyle w:val="Normaltindrag"/>
              <w:ind w:firstLine="0"/>
              <w:jc w:val="center"/>
            </w:pPr>
            <w:r w:rsidRPr="00EE1E0C">
              <w:t>15</w:t>
            </w:r>
          </w:p>
        </w:tc>
        <w:tc>
          <w:tcPr>
            <w:tcW w:w="1716" w:type="dxa"/>
          </w:tcPr>
          <w:p w:rsidR="00031A3F" w:rsidRPr="00EE1E0C" w:rsidRDefault="00031A3F">
            <w:pPr>
              <w:pStyle w:val="Normaltindrag"/>
              <w:ind w:firstLine="0"/>
              <w:jc w:val="center"/>
            </w:pPr>
            <w:r w:rsidRPr="00EE1E0C">
              <w:t>5,4</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*Inklusive Specialkommissionen och f.d. Ekokammaren, exklusive de</w:t>
      </w:r>
    </w:p>
    <w:p w:rsidR="00031A3F" w:rsidRPr="00EE1E0C" w:rsidRDefault="00031A3F">
      <w:pPr>
        <w:pStyle w:val="Tabellrubrik"/>
        <w:rPr>
          <w:b w:val="0"/>
          <w:i/>
        </w:rPr>
      </w:pPr>
      <w:r w:rsidRPr="00EE1E0C">
        <w:rPr>
          <w:b w:val="0"/>
          <w:i/>
        </w:rPr>
        <w:t xml:space="preserve"> lokala åklagarna i Visby</w:t>
      </w:r>
    </w:p>
    <w:p w:rsidR="00031A3F" w:rsidRPr="00EE1E0C" w:rsidRDefault="00031A3F">
      <w:pPr>
        <w:pStyle w:val="Tabell"/>
        <w:rPr>
          <w:i/>
        </w:rPr>
      </w:pPr>
      <w:r w:rsidRPr="00EE1E0C">
        <w:rPr>
          <w:i/>
        </w:rPr>
        <w:t>**Jämförelsen försvåras av att den regionala indelningen var olika före och efter omorganisationen</w:t>
      </w:r>
    </w:p>
    <w:p w:rsidR="00031A3F" w:rsidRPr="00EE1E0C" w:rsidRDefault="00031A3F">
      <w:pPr>
        <w:pStyle w:val="Tabellrubrik"/>
        <w:rPr>
          <w:b w:val="0"/>
          <w:i/>
        </w:rPr>
      </w:pPr>
      <w:r w:rsidRPr="00EE1E0C">
        <w:rPr>
          <w:b w:val="0"/>
          <w:i/>
        </w:rPr>
        <w:t>Källa: Åklagarmyndigheterna i Stockholm, Linköping och Sundsvall</w:t>
      </w:r>
    </w:p>
    <w:p w:rsidR="00031A3F" w:rsidRPr="00EE1E0C" w:rsidRDefault="00031A3F">
      <w:r w:rsidRPr="00EE1E0C">
        <w:t>Gemensamt för flertalet av de intervjuade åklagarna är också att man sa</w:t>
      </w:r>
      <w:r w:rsidRPr="00EE1E0C">
        <w:t>m</w:t>
      </w:r>
      <w:r w:rsidRPr="00EE1E0C">
        <w:t>mankopplar det låga antalet åklagare med omorganisationen. På orter där man minskat antalet åklagare läggs skulden för den ökade arbetsbördan i vissa fall på omorganisationen. En del åklagare menar att omorganisationen misslyckats eftersom antalet åklag</w:t>
      </w:r>
      <w:r w:rsidRPr="00EE1E0C">
        <w:t>a</w:t>
      </w:r>
      <w:r w:rsidRPr="00EE1E0C">
        <w:t>re är för litet.</w:t>
      </w:r>
    </w:p>
    <w:p w:rsidR="00031A3F" w:rsidRPr="00EE1E0C" w:rsidRDefault="00031A3F">
      <w:pPr>
        <w:pStyle w:val="Rubrik3"/>
      </w:pPr>
      <w:bookmarkStart w:id="243" w:name="_Toc448905933"/>
      <w:bookmarkStart w:id="244" w:name="_Toc454180252"/>
      <w:bookmarkStart w:id="245" w:name="_Toc466264211"/>
      <w:r w:rsidRPr="00EE1E0C">
        <w:t>Samarbetet med polisen</w:t>
      </w:r>
      <w:bookmarkEnd w:id="243"/>
      <w:bookmarkEnd w:id="244"/>
      <w:bookmarkEnd w:id="245"/>
    </w:p>
    <w:p w:rsidR="00031A3F" w:rsidRPr="00EE1E0C" w:rsidRDefault="00031A3F">
      <w:r w:rsidRPr="00EE1E0C">
        <w:t>I propositionen om riktlinjer för den nya åklagarorganisationen framhöll regeringen att det är viktigt att åklagarna bedrev sitt arbete i nära samarbete med närpoliserna. Enligt propositionen skulle detta ske t.ex. genom att varje närpoliskontor regelbundet fick besök av en åklagare. Systemet med ment</w:t>
      </w:r>
      <w:r w:rsidRPr="00EE1E0C">
        <w:t>o</w:t>
      </w:r>
      <w:r w:rsidRPr="00EE1E0C">
        <w:t>rer har utvecklats efter ett regeringsbeslut den 12 september 1996 som gällde att höja effektiviteten i myndigheternas samlade insatser för att förebygga och lagföra brott. Av intervjuerna har framgått att åklagarna ser två anle</w:t>
      </w:r>
      <w:r w:rsidRPr="00EE1E0C">
        <w:t>d</w:t>
      </w:r>
      <w:r w:rsidRPr="00EE1E0C">
        <w:t>ningar till att systemet med mentorer infördes. En anledningen är att polisv</w:t>
      </w:r>
      <w:r w:rsidRPr="00EE1E0C">
        <w:t>ä</w:t>
      </w:r>
      <w:r w:rsidRPr="00EE1E0C">
        <w:t xml:space="preserve">sendet och därmed utredningsverksamheten genom närpolisreformen är geografiskt decentraliserat. Oavsett åklagarnas omorganisation skulle det ha funnits närpolisområden utan egen åklagare, exempelvis Rimbo </w:t>
      </w:r>
      <w:r w:rsidRPr="00EE1E0C">
        <w:t>närpoliso</w:t>
      </w:r>
      <w:r w:rsidRPr="00EE1E0C">
        <w:t>m</w:t>
      </w:r>
      <w:r w:rsidRPr="00EE1E0C">
        <w:t>råde i Stockholms län och Valdemarsviks närpolisområde i Östergötlands län. Den undervisning i t.ex. förenklad förundersökning och förhörsteknik som åklagarna bedriver torde kunna hänföras till behov hos polisen. Den andra anledningen är åklagarnas egen omorganisation. Genom systemet med mentorer kan det geografiska avstånd som uppstår mellan åklagare och pol</w:t>
      </w:r>
      <w:r w:rsidRPr="00EE1E0C">
        <w:t>i</w:t>
      </w:r>
      <w:r w:rsidRPr="00EE1E0C">
        <w:t>ser och som gör att man inte träffas dagligen öve</w:t>
      </w:r>
      <w:r w:rsidRPr="00EE1E0C">
        <w:t>r</w:t>
      </w:r>
      <w:r w:rsidRPr="00EE1E0C">
        <w:t xml:space="preserve">bryggas. </w:t>
      </w:r>
    </w:p>
    <w:p w:rsidR="00031A3F" w:rsidRPr="00EE1E0C" w:rsidRDefault="00031A3F">
      <w:pPr>
        <w:pStyle w:val="Normaltindrag"/>
      </w:pPr>
      <w:r w:rsidRPr="00EE1E0C">
        <w:t>I del 1 av rapporten har systemet med s.k. mentorer beskrivits. I korthet innebä</w:t>
      </w:r>
      <w:r w:rsidRPr="00EE1E0C">
        <w:t>r systemet att en åklagare på varje kammare fungerar som samordnare av åklagarnas kontakter med polisen. Mentorn har huvudansvaret för utbil</w:t>
      </w:r>
      <w:r w:rsidRPr="00EE1E0C">
        <w:t>d</w:t>
      </w:r>
      <w:r w:rsidRPr="00EE1E0C">
        <w:t>ningen av polisen. På kammaren finns också ofta s.k. undermentorer som har ansvaret för polisens utbildning i ett visst närpolisområde. Undermentorn är också behjälplig i utredningsarbetet i närpolisområdet. Systemet med ment</w:t>
      </w:r>
      <w:r w:rsidRPr="00EE1E0C">
        <w:t>o</w:t>
      </w:r>
      <w:r w:rsidRPr="00EE1E0C">
        <w:t>rer har införts vid samtliga granskade myndigheter. Vid kammaren i Sund</w:t>
      </w:r>
      <w:r w:rsidRPr="00EE1E0C">
        <w:t>s</w:t>
      </w:r>
      <w:r w:rsidRPr="00EE1E0C">
        <w:t>vall finns dock enligt kammarchefen inget behov av undermentorer eftersom</w:t>
      </w:r>
      <w:r w:rsidRPr="00EE1E0C">
        <w:t xml:space="preserve"> varje åklagare arbetar mot ett och samma närpolisområde i sitt dagliga arb</w:t>
      </w:r>
      <w:r w:rsidRPr="00EE1E0C">
        <w:t>e</w:t>
      </w:r>
      <w:r w:rsidRPr="00EE1E0C">
        <w:t>te. Dessa utför då samma uppgifter som en unde</w:t>
      </w:r>
      <w:r w:rsidRPr="00EE1E0C">
        <w:t>r</w:t>
      </w:r>
      <w:r w:rsidRPr="00EE1E0C">
        <w:t xml:space="preserve">mentor skulle ha gjort. </w:t>
      </w:r>
    </w:p>
    <w:p w:rsidR="00031A3F" w:rsidRPr="00EE1E0C" w:rsidRDefault="00031A3F">
      <w:pPr>
        <w:pStyle w:val="Normaltindrag"/>
      </w:pPr>
      <w:r w:rsidRPr="00EE1E0C">
        <w:t>Undermentorerna på 1:a kammaren i Stockholm besöker sina närpoliso</w:t>
      </w:r>
      <w:r w:rsidRPr="00EE1E0C">
        <w:t>m</w:t>
      </w:r>
      <w:r w:rsidRPr="00EE1E0C">
        <w:t>råden olika ofta. Uppgifterna skiftar från ”ofta” och ”så ofta man hinner” till ”ett besök varannan månad”. Överåklagaren i Stockholm framhåller att åkl</w:t>
      </w:r>
      <w:r w:rsidRPr="00EE1E0C">
        <w:t>a</w:t>
      </w:r>
      <w:r w:rsidRPr="00EE1E0C">
        <w:t>garna före omorganisationen kände till de olika poliserna och deras kunskap på olika områden. Genom att undermentorerna besöker polismästardistrikten och närpolisen kompenserar man för att polis och åklagare inte längre finns på samma ort och därmed inte träffas så ofta som tidigare.</w:t>
      </w:r>
    </w:p>
    <w:p w:rsidR="00031A3F" w:rsidRPr="00EE1E0C" w:rsidRDefault="00031A3F">
      <w:pPr>
        <w:pStyle w:val="Normaltindrag"/>
      </w:pPr>
      <w:r w:rsidRPr="00EE1E0C">
        <w:t>I Östergötlands län fungerar kontakterna mellan undermentorerna och p</w:t>
      </w:r>
      <w:r w:rsidRPr="00EE1E0C">
        <w:t>o</w:t>
      </w:r>
      <w:r w:rsidRPr="00EE1E0C">
        <w:t>liserna olika bra och med olika intensitet för olika närpolisområden. På vissa håll förekommer regelbunden kontakt genom ett besök av undermentorn var fjortonde dag. För att förbättra förundersökningarnas kvalitet har polisen och åklagarna gemensamt framställt en återkopplingsblankett där åklagarna skall fylla i 20 omdömen om förundersökningen och ge enskilda kommentarer till utredningarna. På så vis skall polisen få kännedom om åklagarnas uppfat</w:t>
      </w:r>
      <w:r w:rsidRPr="00EE1E0C">
        <w:t>t</w:t>
      </w:r>
      <w:r w:rsidRPr="00EE1E0C">
        <w:t>ning om deras arbete.</w:t>
      </w:r>
    </w:p>
    <w:p w:rsidR="00031A3F" w:rsidRPr="00EE1E0C" w:rsidRDefault="00031A3F">
      <w:pPr>
        <w:pStyle w:val="Normaltindrag"/>
      </w:pPr>
      <w:r w:rsidRPr="00EE1E0C">
        <w:t>De intervjuade åklagarna har i stort s</w:t>
      </w:r>
      <w:r w:rsidRPr="00EE1E0C">
        <w:t>ätt alla goda erfarenheter av mentor</w:t>
      </w:r>
      <w:r w:rsidRPr="00EE1E0C">
        <w:t>s</w:t>
      </w:r>
      <w:r w:rsidRPr="00EE1E0C">
        <w:t>systemet. Man menar att utbildningen och rådgivningen lönar sig genom att förundersökningarna blir bättre. På så sätt underlättas arbetet för åklagarna. Åklagarna menar att undervisningen av polisen i och för sig tar tid från egentligt åklagararbete. Vissa åklagare menar att undervisning som åklagarna nu står för borde ges av Polishögskolan. Liksom när det gäller resorna i tjänsten är det svårt att jämföra tidsåtgången för undervisning av polisen med vad som förekom före</w:t>
      </w:r>
      <w:r w:rsidRPr="00EE1E0C">
        <w:t xml:space="preserve"> regeringsbeslutet om samverkan. Rådgivning i föru</w:t>
      </w:r>
      <w:r w:rsidRPr="00EE1E0C">
        <w:t>n</w:t>
      </w:r>
      <w:r w:rsidRPr="00EE1E0C">
        <w:t>dersökningsfrågor förekom även före omorganisationen. Enligt de intervju</w:t>
      </w:r>
      <w:r w:rsidRPr="00EE1E0C">
        <w:t>a</w:t>
      </w:r>
      <w:r w:rsidRPr="00EE1E0C">
        <w:t>de åklagarna har undervisningen och rådgivningen ökat efter omorganisati</w:t>
      </w:r>
      <w:r w:rsidRPr="00EE1E0C">
        <w:t>o</w:t>
      </w:r>
      <w:r w:rsidRPr="00EE1E0C">
        <w:t>nen. Under 1998 använde 1:a kammaren i Stockholm och kammaren i Sundsvall ca tre procent och kammaren i Linköping ca två procent av a</w:t>
      </w:r>
      <w:r w:rsidRPr="00EE1E0C">
        <w:t>r</w:t>
      </w:r>
      <w:r w:rsidRPr="00EE1E0C">
        <w:t>betst</w:t>
      </w:r>
      <w:r w:rsidRPr="00EE1E0C">
        <w:t>i</w:t>
      </w:r>
      <w:r w:rsidRPr="00EE1E0C">
        <w:t>den till samverkan med polisen.</w:t>
      </w:r>
    </w:p>
    <w:p w:rsidR="00031A3F" w:rsidRPr="00EE1E0C" w:rsidRDefault="00031A3F">
      <w:pPr>
        <w:pStyle w:val="Rubrik2"/>
      </w:pPr>
      <w:bookmarkStart w:id="246" w:name="_Toc448905934"/>
      <w:bookmarkStart w:id="247" w:name="_Toc466264212"/>
      <w:r w:rsidRPr="00EE1E0C">
        <w:t>Tingsrätterna</w:t>
      </w:r>
      <w:bookmarkEnd w:id="246"/>
      <w:bookmarkEnd w:id="247"/>
    </w:p>
    <w:p w:rsidR="00031A3F" w:rsidRPr="00EE1E0C" w:rsidRDefault="00031A3F">
      <w:r w:rsidRPr="00EE1E0C">
        <w:t>I Stockholms län finns tio tingsrätter. I Östergötlands län finns fyra, liksom i Västernorrlands län. I detta avsnitt redovisas framför allt synpunkter från intervjuer med lagmännen vid Norrtälje, Linköpings, Motala och Sundsvalls tingsrätter. Intervjuerna har gällt frågan om huruvida polisens och åklagarnas omorganisation har påverkat domstolens arbete. Därmed har även frågor om polisens och åklagarnas förundersökningar tagits upp. Förundersökningarnas kvalitet behandlas ingående i del 3 av rapporten. Där</w:t>
      </w:r>
      <w:r w:rsidRPr="00EE1E0C">
        <w:t xml:space="preserve"> kommer att redovisas en enkät där domare i de tre länen besvarat ett antal frågor om polisens och åklagarnas förundersökningar. Vissa kommentarer som rör förundersöknin</w:t>
      </w:r>
      <w:r w:rsidRPr="00EE1E0C">
        <w:t>g</w:t>
      </w:r>
      <w:r w:rsidRPr="00EE1E0C">
        <w:t>arnas kvalitet kommer dock att pr</w:t>
      </w:r>
      <w:r w:rsidRPr="00EE1E0C">
        <w:t>e</w:t>
      </w:r>
      <w:r w:rsidRPr="00EE1E0C">
        <w:t>senteras här.</w:t>
      </w:r>
    </w:p>
    <w:p w:rsidR="00031A3F" w:rsidRPr="00EE1E0C" w:rsidRDefault="00031A3F">
      <w:pPr>
        <w:pStyle w:val="Rubrik4"/>
      </w:pPr>
      <w:bookmarkStart w:id="248" w:name="_Toc466264213"/>
      <w:r w:rsidRPr="00EE1E0C">
        <w:t>Polisens organisation</w:t>
      </w:r>
      <w:bookmarkEnd w:id="248"/>
    </w:p>
    <w:p w:rsidR="00031A3F" w:rsidRPr="00EE1E0C" w:rsidRDefault="00031A3F">
      <w:r w:rsidRPr="00EE1E0C">
        <w:t>De intervjuade domarna är i stort sett överens om att införandet av närpolisen innebar en tillfällig nedgång i förundersökningarnas kvalitet. Vissa menar att utredningsverksamheten har förbättrats under senare år, medan andra menar att kvaliteten fortfarande är varierande. Detta kan enligt dessa domare bero på att polisen tidigare hade större möjligheter att rådfråga åklagarna eftersom sådana fanns på orten före omorganisationen. Frågor som rör förundersö</w:t>
      </w:r>
      <w:r w:rsidRPr="00EE1E0C">
        <w:t>k</w:t>
      </w:r>
      <w:r w:rsidRPr="00EE1E0C">
        <w:t>nin</w:t>
      </w:r>
      <w:r w:rsidRPr="00EE1E0C">
        <w:t>g</w:t>
      </w:r>
      <w:r w:rsidRPr="00EE1E0C">
        <w:t xml:space="preserve">arnas kvalitet behandlas också i del 3. </w:t>
      </w:r>
    </w:p>
    <w:p w:rsidR="00031A3F" w:rsidRPr="00EE1E0C" w:rsidRDefault="00031A3F">
      <w:pPr>
        <w:pStyle w:val="Rubrik4"/>
      </w:pPr>
      <w:bookmarkStart w:id="249" w:name="_Toc466264214"/>
      <w:r w:rsidRPr="00EE1E0C">
        <w:t>Åklagarnas organisation</w:t>
      </w:r>
      <w:bookmarkEnd w:id="249"/>
    </w:p>
    <w:p w:rsidR="00031A3F" w:rsidRPr="00EE1E0C" w:rsidRDefault="00031A3F">
      <w:r w:rsidRPr="00EE1E0C">
        <w:t>Ett antal domare anser att åklagarnas prestationer sjönk tillfälligt vid tiden för åklagarnas omorganisation. Vissa domare anser dock att det finns kva</w:t>
      </w:r>
      <w:r w:rsidRPr="00EE1E0C">
        <w:t>r</w:t>
      </w:r>
      <w:r w:rsidRPr="00EE1E0C">
        <w:t>stående problem med den nya organisationen. De intervjuade domarna vid Norrtälje och Motala tingsrätter anser att åklagarnas förmåga att leda föru</w:t>
      </w:r>
      <w:r w:rsidRPr="00EE1E0C">
        <w:t>n</w:t>
      </w:r>
      <w:r w:rsidRPr="00EE1E0C">
        <w:t>dersökningarna och deras framträdande i rätten har försämrats efter omorg</w:t>
      </w:r>
      <w:r w:rsidRPr="00EE1E0C">
        <w:t>a</w:t>
      </w:r>
      <w:r w:rsidRPr="00EE1E0C">
        <w:t>nisationen. Man menar bl.a. att åklagare som inte är lokaliserade till den ort där tingsrätten ligger saknar kännedom om förhållandena där. Detta leder till att de fullgör sina uppgifter sämre. Denna uppfattning får stöd av vissa åkl</w:t>
      </w:r>
      <w:r w:rsidRPr="00EE1E0C">
        <w:t>a</w:t>
      </w:r>
      <w:r w:rsidRPr="00EE1E0C">
        <w:t xml:space="preserve">gare. Lagmannen vid Norrtälje tingsrätt menar också att </w:t>
      </w:r>
      <w:r w:rsidRPr="00EE1E0C">
        <w:t>1:a kammaren är för stor för att vara effektiv vilket bl.a. leder till att äre</w:t>
      </w:r>
      <w:r w:rsidRPr="00EE1E0C">
        <w:t>n</w:t>
      </w:r>
      <w:r w:rsidRPr="00EE1E0C">
        <w:t xml:space="preserve">den preskriberas. </w:t>
      </w:r>
    </w:p>
    <w:p w:rsidR="00031A3F" w:rsidRPr="00EE1E0C" w:rsidRDefault="00031A3F">
      <w:pPr>
        <w:pStyle w:val="Normaltindrag"/>
      </w:pPr>
      <w:r w:rsidRPr="00EE1E0C">
        <w:t>Sammantaget menar ofta domare på tingsrätter som har berörts lite eller inte alls av omorganisationen att förundersökningarna och åklagarnas arbete inte nämnvärt har påverkats av åklagarnas omorganisation. Tingsrätter som före omorganisationen hade ”egna” åklagare menar tvärtom att omorganis</w:t>
      </w:r>
      <w:r w:rsidRPr="00EE1E0C">
        <w:t>a</w:t>
      </w:r>
      <w:r w:rsidRPr="00EE1E0C">
        <w:t>tionen försämrar kvaliteten på åklagarnas arbete. De olika ståndpunkterna bekräftas genom enkäterna (se del 3). Exempelvis görs ingen koppling me</w:t>
      </w:r>
      <w:r w:rsidRPr="00EE1E0C">
        <w:t>l</w:t>
      </w:r>
      <w:r w:rsidRPr="00EE1E0C">
        <w:t>lan kvalitetsfrågor och organisationsform av domarna på tingsrätterna i Vä</w:t>
      </w:r>
      <w:r w:rsidRPr="00EE1E0C">
        <w:t>s</w:t>
      </w:r>
      <w:r w:rsidRPr="00EE1E0C">
        <w:t>ternorrland. Tingsrätterna i Solna, Nacka och Jakobsberg, som inte längre har några lokala åklagare, menar tvärtom att åklagarnas organisation har betyde</w:t>
      </w:r>
      <w:r w:rsidRPr="00EE1E0C">
        <w:t>l</w:t>
      </w:r>
      <w:r w:rsidRPr="00EE1E0C">
        <w:t>se för den sämre kvaliteten på förundersöknin</w:t>
      </w:r>
      <w:r w:rsidRPr="00EE1E0C">
        <w:t>g</w:t>
      </w:r>
      <w:r w:rsidRPr="00EE1E0C">
        <w:t xml:space="preserve">arna. </w:t>
      </w:r>
    </w:p>
    <w:p w:rsidR="00031A3F" w:rsidRPr="00EE1E0C" w:rsidRDefault="00031A3F">
      <w:pPr>
        <w:pStyle w:val="Rubrik4"/>
      </w:pPr>
      <w:bookmarkStart w:id="250" w:name="_Toc466264215"/>
      <w:r w:rsidRPr="00EE1E0C">
        <w:t>Egna mål i tingsrätten?</w:t>
      </w:r>
      <w:bookmarkEnd w:id="250"/>
    </w:p>
    <w:p w:rsidR="00031A3F" w:rsidRPr="00EE1E0C" w:rsidRDefault="00031A3F">
      <w:r w:rsidRPr="00EE1E0C">
        <w:t>Flertalet domare menar att det är bättre att åklagarna har sina egna mål i tingsrätten. Man lägger dock olika vikt vid frågan. Flera domare menar att det är tillräckligt att de större målen binds till den åklagare som har varit förundersökningsledare. Andra menar att det är viktigt att åklagarna har sina egna mål. De intervjuade lagmännen vid Motala och Norrtälje tingsrätter menar att fler åtalspunkter ogillas för att åklagarna inte engagerar sig i de mål där de inte själva har varit förundersökningsledare</w:t>
      </w:r>
      <w:r w:rsidRPr="00EE1E0C">
        <w:t xml:space="preserve">. </w:t>
      </w:r>
    </w:p>
    <w:p w:rsidR="00031A3F" w:rsidRPr="00EE1E0C" w:rsidRDefault="00031A3F">
      <w:pPr>
        <w:pStyle w:val="Normaltindrag"/>
      </w:pPr>
      <w:r w:rsidRPr="00EE1E0C">
        <w:t>Av avsnittet om åklagarväsendet ovan framgår att flertalet av de intervju</w:t>
      </w:r>
      <w:r w:rsidRPr="00EE1E0C">
        <w:t>a</w:t>
      </w:r>
      <w:r w:rsidRPr="00EE1E0C">
        <w:t>de åklagarna skulle föredra att ha egna mål i tingsrätten vid samlade huvu</w:t>
      </w:r>
      <w:r w:rsidRPr="00EE1E0C">
        <w:t>d</w:t>
      </w:r>
      <w:r w:rsidRPr="00EE1E0C">
        <w:t>förhandlingsdagar. I Sundsvall har efter önskemål från åklagarna ett system där varje åklagare handlägger sina egna ärenden nyligen införts. Där arbetar varje åklagare mot en viss domare vid tingsrätten. Vid Norrtälje tingsrätt har de två åklagarna som arbetar mot tingsrätten var sin huvudförhandlingsdag i veckan med sina egna mål. Lagmannen i Linköping menar däremot att det inte är önskvärt att en domare arbetar mot en åklagare, ef</w:t>
      </w:r>
      <w:r w:rsidRPr="00EE1E0C">
        <w:t>tersom det då finns en risk att domaren och åklagarna kan komma att uppfattas som ett team av allmänheten. Såsom nämnts ovan menar kammarchefen i Linköping inte heller att det är önskvärt att åklagarna alltid arbetar mot samma domare. Lagmannen vid Motala tingsrätt menar att det inte är möjligt att samla mål från samma åklagare under en förhandlingsdag, eftersom åklagarna är så många vid kammaren i Linköping och alla handlägger mål som skall avgöras vid ting</w:t>
      </w:r>
      <w:r w:rsidRPr="00EE1E0C">
        <w:t>s</w:t>
      </w:r>
      <w:r w:rsidRPr="00EE1E0C">
        <w:t xml:space="preserve">rätten. </w:t>
      </w:r>
    </w:p>
    <w:p w:rsidR="00031A3F" w:rsidRPr="00EE1E0C" w:rsidRDefault="00031A3F">
      <w:pPr>
        <w:pStyle w:val="Rubrik4"/>
      </w:pPr>
      <w:bookmarkStart w:id="251" w:name="_Toc466264216"/>
      <w:r w:rsidRPr="00EE1E0C">
        <w:t>Sammanläggning av mål</w:t>
      </w:r>
      <w:bookmarkEnd w:id="251"/>
    </w:p>
    <w:p w:rsidR="00031A3F" w:rsidRPr="00EE1E0C" w:rsidRDefault="00031A3F">
      <w:r w:rsidRPr="00EE1E0C">
        <w:t>Det är inte ovanligt att en tilltalad har begått brott inom flera tingsrätters domkrets. Det är då i vissa fall möjligt att sammanlägga målen till en ting</w:t>
      </w:r>
      <w:r w:rsidRPr="00EE1E0C">
        <w:t>s</w:t>
      </w:r>
      <w:r w:rsidRPr="00EE1E0C">
        <w:t>rätt. Lagmannen i Linköping menar att åklagarna oftare nu än tidigare väljer att stämma vid Linköpings tingsrätt när så är möjligt. Även lagmannen i Sundsvall uppger att en viss ökning  av antalet mål där den huvudsakliga brottsligheten ägt rum utanför tingsrättens domkrets kan märkas. Mål som tidigare handlagts vid tingsrätterna i Härnösand och Sollefteå instäms num</w:t>
      </w:r>
      <w:r w:rsidRPr="00EE1E0C">
        <w:t>e</w:t>
      </w:r>
      <w:r w:rsidRPr="00EE1E0C">
        <w:t xml:space="preserve">ra i viss utsträckning vid Sundsvalls tingsrätt.  </w:t>
      </w:r>
    </w:p>
    <w:p w:rsidR="00031A3F" w:rsidRPr="00EE1E0C" w:rsidRDefault="00031A3F">
      <w:pPr>
        <w:pStyle w:val="Rubrik1"/>
        <w:sectPr w:rsidR="00000000" w:rsidRPr="00EE1E0C">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567" w:right="4876" w:bottom="4508" w:left="1134" w:header="0" w:footer="0" w:gutter="0"/>
          <w:cols w:space="397"/>
          <w:titlePg/>
        </w:sectPr>
      </w:pPr>
    </w:p>
    <w:p w:rsidR="00031A3F" w:rsidRPr="00EE1E0C" w:rsidRDefault="00031A3F">
      <w:pPr>
        <w:pStyle w:val="Rubrik1"/>
      </w:pPr>
      <w:bookmarkStart w:id="252" w:name="_Toc443275890"/>
      <w:bookmarkStart w:id="253" w:name="_Toc466264217"/>
      <w:r w:rsidRPr="00EE1E0C">
        <w:t>Del 3  Förundersökningarnas kvalitet</w:t>
      </w:r>
      <w:bookmarkEnd w:id="253"/>
    </w:p>
    <w:p w:rsidR="00031A3F" w:rsidRPr="00EE1E0C" w:rsidRDefault="00031A3F">
      <w:r w:rsidRPr="00EE1E0C">
        <w:t>Förundersökningen syftar till att utröna om brott föreligger och vem som är misstänkt. Under förundersökningens gång skall material för åtalsfrågan och bevis till huvudförhandlingen samlas in. Få medborgare kommer dock i kontakt med polisens och åklagarnas förundersökningar men när ett brott begåtts är det av stor vikt att offret och den misstänkta behandlas rättssäkert. För den enskilde är det också viktigt att ärendet avgörs inom rimlig tid.</w:t>
      </w:r>
      <w:r w:rsidRPr="00EE1E0C">
        <w:rPr>
          <w:b/>
        </w:rPr>
        <w:t xml:space="preserve"> </w:t>
      </w:r>
      <w:r w:rsidRPr="00EE1E0C">
        <w:t xml:space="preserve">I denna del av granskningen presenteras två undersökningar som gjorts med syfte att mäta förundersökningarnas kvalitet.  </w:t>
      </w:r>
    </w:p>
    <w:p w:rsidR="00031A3F" w:rsidRPr="00EE1E0C" w:rsidRDefault="00031A3F">
      <w:pPr>
        <w:pStyle w:val="Normaltindrag"/>
        <w:rPr>
          <w:spacing w:val="-3"/>
        </w:rPr>
      </w:pPr>
      <w:r w:rsidRPr="00EE1E0C">
        <w:rPr>
          <w:spacing w:val="-3"/>
        </w:rPr>
        <w:t>Polisen och åklagarna har framför allt kontakt med varandra i förundersö</w:t>
      </w:r>
      <w:r w:rsidRPr="00EE1E0C">
        <w:rPr>
          <w:spacing w:val="-3"/>
        </w:rPr>
        <w:t>k</w:t>
      </w:r>
      <w:r w:rsidRPr="00EE1E0C">
        <w:rPr>
          <w:spacing w:val="-3"/>
        </w:rPr>
        <w:t xml:space="preserve">ningsarbetet. </w:t>
      </w:r>
      <w:r w:rsidRPr="00EE1E0C">
        <w:t>Polisen och åklagarnas samarbete utgör en särställning inom rättsväsendet eftersom det är detta arbete som avgör om åtal skall väckas eller inte.</w:t>
      </w:r>
      <w:r w:rsidRPr="00EE1E0C">
        <w:rPr>
          <w:spacing w:val="-3"/>
        </w:rPr>
        <w:t xml:space="preserve"> Samhällets möjlighet att beivra brott är beroende av resultatet av deras gemensamma arbete. Revisorerna har därför valt att särskilt granska fö</w:t>
      </w:r>
      <w:r w:rsidRPr="00EE1E0C">
        <w:rPr>
          <w:spacing w:val="-3"/>
        </w:rPr>
        <w:t>r</w:t>
      </w:r>
      <w:r w:rsidRPr="00EE1E0C">
        <w:rPr>
          <w:spacing w:val="-3"/>
        </w:rPr>
        <w:t>undersökningsarbetet och förundersökningarnas kvalitet. Förundersökningarnas kv</w:t>
      </w:r>
      <w:r w:rsidRPr="00EE1E0C">
        <w:rPr>
          <w:spacing w:val="-3"/>
        </w:rPr>
        <w:t>a</w:t>
      </w:r>
      <w:r w:rsidRPr="00EE1E0C">
        <w:rPr>
          <w:spacing w:val="-3"/>
        </w:rPr>
        <w:t>litet är ett viktigt mått på hur polisens och åklagarnas arbete fungerar.</w:t>
      </w:r>
    </w:p>
    <w:p w:rsidR="00031A3F" w:rsidRPr="00EE1E0C" w:rsidRDefault="00031A3F">
      <w:pPr>
        <w:pStyle w:val="Normaltindrag"/>
      </w:pPr>
      <w:r w:rsidRPr="00EE1E0C">
        <w:t>Rättsväsendets prestationer debatteras ständigt. Brot</w:t>
      </w:r>
      <w:r w:rsidRPr="00EE1E0C">
        <w:t>tslighetens storlek, antalet uppklarade brott och balanserna inom rättsväsendet är ofta föremål för diskussioner, inte minst i massmedierna. Debatten har tidvis varit inte</w:t>
      </w:r>
      <w:r w:rsidRPr="00EE1E0C">
        <w:t>n</w:t>
      </w:r>
      <w:r w:rsidRPr="00EE1E0C">
        <w:t>siv. Bland annat har förundersökningarnas längd och kvalitet diskuterats. Den vanligaste framförda åsikten i massmedierna har varit att polisen utreder alltför få brott. Det har påpekats att enbart snatterier och mord utreds av polisen, medan övriga brott försummas. Man har menat att decentraliserin</w:t>
      </w:r>
      <w:r w:rsidRPr="00EE1E0C">
        <w:t>g</w:t>
      </w:r>
      <w:r w:rsidRPr="00EE1E0C">
        <w:t>en inom polisen har inneburit att krimi</w:t>
      </w:r>
      <w:r w:rsidRPr="00EE1E0C">
        <w:t>nalpolisen försvagats. Vidare har</w:t>
      </w:r>
      <w:r w:rsidRPr="00EE1E0C">
        <w:rPr>
          <w:b/>
        </w:rPr>
        <w:t xml:space="preserve"> </w:t>
      </w:r>
      <w:r w:rsidRPr="00EE1E0C">
        <w:t>i debatten påpekats att</w:t>
      </w:r>
    </w:p>
    <w:p w:rsidR="00031A3F" w:rsidRPr="00EE1E0C" w:rsidRDefault="00031A3F">
      <w:pPr>
        <w:pStyle w:val="Normaltindrag"/>
        <w:numPr>
          <w:ilvl w:val="0"/>
          <w:numId w:val="258"/>
        </w:numPr>
      </w:pPr>
      <w:r w:rsidRPr="00EE1E0C">
        <w:t xml:space="preserve">för få utredare finns i tjänst under nätterna varför förhör med misstänkta och vittnen dröjer länge </w:t>
      </w:r>
    </w:p>
    <w:p w:rsidR="00031A3F" w:rsidRPr="00EE1E0C" w:rsidRDefault="00031A3F">
      <w:pPr>
        <w:pStyle w:val="Normaltindrag"/>
        <w:numPr>
          <w:ilvl w:val="0"/>
          <w:numId w:val="258"/>
        </w:numPr>
      </w:pPr>
      <w:r w:rsidRPr="00EE1E0C">
        <w:t>stora avstånd mellan polis och åklagare försvårar utredningsarbetet</w:t>
      </w:r>
    </w:p>
    <w:p w:rsidR="00031A3F" w:rsidRPr="00EE1E0C" w:rsidRDefault="00031A3F">
      <w:pPr>
        <w:pStyle w:val="Normaltindrag"/>
        <w:numPr>
          <w:ilvl w:val="0"/>
          <w:numId w:val="258"/>
        </w:numPr>
      </w:pPr>
      <w:r w:rsidRPr="00EE1E0C">
        <w:t>det höga antalet outredda brott beror på ett omodernt arbetssätt inom polisen samt på illa genomtänkt samverkan och arbetsfördelning mellan åkl</w:t>
      </w:r>
      <w:r w:rsidRPr="00EE1E0C">
        <w:t>a</w:t>
      </w:r>
      <w:r w:rsidRPr="00EE1E0C">
        <w:t>gare och polis</w:t>
      </w:r>
    </w:p>
    <w:p w:rsidR="00031A3F" w:rsidRPr="00EE1E0C" w:rsidRDefault="00031A3F">
      <w:pPr>
        <w:pStyle w:val="Normaltindrag"/>
        <w:numPr>
          <w:ilvl w:val="0"/>
          <w:numId w:val="258"/>
        </w:numPr>
      </w:pPr>
      <w:r w:rsidRPr="00EE1E0C">
        <w:t>målen vid domstolarna blir allt äldre vilket försämrar kvaliteten på det slutliga avg</w:t>
      </w:r>
      <w:r w:rsidRPr="00EE1E0C">
        <w:t>ö</w:t>
      </w:r>
      <w:r w:rsidRPr="00EE1E0C">
        <w:t>randet</w:t>
      </w:r>
    </w:p>
    <w:p w:rsidR="00031A3F" w:rsidRPr="00EE1E0C" w:rsidRDefault="00031A3F">
      <w:pPr>
        <w:pStyle w:val="Normaltindrag"/>
        <w:numPr>
          <w:ilvl w:val="0"/>
          <w:numId w:val="258"/>
        </w:numPr>
      </w:pPr>
      <w:r w:rsidRPr="00EE1E0C">
        <w:t xml:space="preserve">målen har blivit alltmer komplicerade och utsträckta i tiden </w:t>
      </w:r>
    </w:p>
    <w:p w:rsidR="00031A3F" w:rsidRPr="00EE1E0C" w:rsidRDefault="00031A3F">
      <w:pPr>
        <w:pStyle w:val="Normaltindrag"/>
        <w:numPr>
          <w:ilvl w:val="0"/>
          <w:numId w:val="258"/>
        </w:numPr>
      </w:pPr>
      <w:r w:rsidRPr="00EE1E0C">
        <w:t>det finns risk för att allmänhetens förtroende för rättsväsendet minskar eftersom uppklarningsprocenten minskar. Ett effektivt och pålitligt rättsväsende är en nödvändig förutsättning för demokratin.</w:t>
      </w:r>
    </w:p>
    <w:p w:rsidR="00031A3F" w:rsidRPr="00EE1E0C" w:rsidRDefault="00031A3F">
      <w:r w:rsidRPr="00EE1E0C">
        <w:t>Parallellt med debatten om förundersökningarnas kvalitet har en debatt om genomförandet och effekterna av närpolisreformen pågått. Den debatten berör dock enbart i begränsad utsträckning förundersökningarnas kvalitet och återges därför inte här.</w:t>
      </w:r>
    </w:p>
    <w:p w:rsidR="00031A3F" w:rsidRPr="00EE1E0C" w:rsidRDefault="00031A3F">
      <w:pPr>
        <w:pStyle w:val="Normaltindrag"/>
      </w:pPr>
      <w:r w:rsidRPr="00EE1E0C">
        <w:t>I regleringsbrevet till polisväsendet för budgetåret 1998 fick Rikspolisst</w:t>
      </w:r>
      <w:r w:rsidRPr="00EE1E0C">
        <w:t>y</w:t>
      </w:r>
      <w:r w:rsidRPr="00EE1E0C">
        <w:t>relsen i uppdrag att leda och samordna ett projekt för att minska geno</w:t>
      </w:r>
      <w:r w:rsidRPr="00EE1E0C">
        <w:t>m</w:t>
      </w:r>
      <w:r w:rsidRPr="00EE1E0C">
        <w:t>strömningstiderna för utredningar av våldsbrott. I regleringsbrevet angavs att det långsiktiga målet skall vara att, med bibehållen kvalitet, minska geno</w:t>
      </w:r>
      <w:r w:rsidRPr="00EE1E0C">
        <w:t>m</w:t>
      </w:r>
      <w:r w:rsidRPr="00EE1E0C">
        <w:t>strömningstiderna för sådana utredningar med 40 procent. Vid rikspolisst</w:t>
      </w:r>
      <w:r w:rsidRPr="00EE1E0C">
        <w:t>y</w:t>
      </w:r>
      <w:r w:rsidRPr="00EE1E0C">
        <w:t>relsen pågår nu ett arbete med att utveckla utredningsarbetet.</w:t>
      </w:r>
    </w:p>
    <w:p w:rsidR="00031A3F" w:rsidRPr="00EE1E0C" w:rsidRDefault="00031A3F">
      <w:pPr>
        <w:pStyle w:val="Rubrik2"/>
      </w:pPr>
      <w:bookmarkStart w:id="254" w:name="_Toc448905433"/>
      <w:bookmarkStart w:id="255" w:name="_Toc466264218"/>
      <w:r w:rsidRPr="00EE1E0C">
        <w:t>Går det att mäta rättsväsendets prestationer</w:t>
      </w:r>
      <w:bookmarkEnd w:id="254"/>
      <w:r w:rsidRPr="00EE1E0C">
        <w:t>?</w:t>
      </w:r>
      <w:bookmarkEnd w:id="255"/>
    </w:p>
    <w:p w:rsidR="00031A3F" w:rsidRPr="00EE1E0C" w:rsidRDefault="00031A3F">
      <w:r w:rsidRPr="00EE1E0C">
        <w:t>Som mått på rättsväsendets resultat används ofta den anmälda brottsligheten och uppklarningsprocenten. Sedan 1950, då mätningarna började, har antalet anmälda brott per år sexdubblats. År 1950 anmäldes knappt 200 000 brott. År 1997 hade antalet stigit till nästan 1,2 miljoner. Den anmälda brottsligh</w:t>
      </w:r>
      <w:r w:rsidRPr="00EE1E0C">
        <w:t>e</w:t>
      </w:r>
      <w:r w:rsidRPr="00EE1E0C">
        <w:t>ten överensstämmer dock inte med den faktiska. Den faktiska brottsligheten är okänd då inte alla brott kommer till polisens kännedom. Brottsutvecklin</w:t>
      </w:r>
      <w:r w:rsidRPr="00EE1E0C">
        <w:t>g</w:t>
      </w:r>
      <w:r w:rsidRPr="00EE1E0C">
        <w:t>en kan därför vara mer dramatisk, men också mer dämpad beroende på al</w:t>
      </w:r>
      <w:r w:rsidRPr="00EE1E0C">
        <w:t>l</w:t>
      </w:r>
      <w:r w:rsidRPr="00EE1E0C">
        <w:t>mä</w:t>
      </w:r>
      <w:r w:rsidRPr="00EE1E0C">
        <w:t>n</w:t>
      </w:r>
      <w:r w:rsidRPr="00EE1E0C">
        <w:t xml:space="preserve">hetens benägenhet att anmäla brott. </w:t>
      </w:r>
    </w:p>
    <w:p w:rsidR="00031A3F" w:rsidRPr="00EE1E0C" w:rsidRDefault="00031A3F">
      <w:pPr>
        <w:pStyle w:val="Normaltindrag"/>
      </w:pPr>
      <w:r w:rsidRPr="00EE1E0C">
        <w:t>Anmälningsbenägenheten kan bero på flera förhållanden. När det gäller t.ex. våldsbrott kan det enligt Brottsförebyggande rådet vara av betydelse huruvida offret och gärningsmannen känner varandra (BRÅ 1993). Även brottets omfattning spelar in. Grova v</w:t>
      </w:r>
      <w:r w:rsidRPr="00EE1E0C">
        <w:t>åldsbrott anmäls oftare än mindre al</w:t>
      </w:r>
      <w:r w:rsidRPr="00EE1E0C">
        <w:t>l</w:t>
      </w:r>
      <w:r w:rsidRPr="00EE1E0C">
        <w:t xml:space="preserve">varliga. När det gäller egendomsbrott kan anmälningsbenägenheten enligt BRÅ bero på om den som utsatts för brottet är ett företag eller en enskild person, om det finns försäkringsskydd och hur stor skadan är. </w:t>
      </w:r>
    </w:p>
    <w:p w:rsidR="00031A3F" w:rsidRPr="00EE1E0C" w:rsidRDefault="00031A3F">
      <w:pPr>
        <w:pStyle w:val="Normaltindrag"/>
      </w:pPr>
      <w:r w:rsidRPr="00EE1E0C">
        <w:t>En annan orsak till att inte anmäla ett brott som man utsatts för kan vara att man inte tror att det finns några utsikter att polisen klarar upp brottet. I en rapport till Expertgruppen för studier i offentlig ekonomi (Ds 1998) konstat</w:t>
      </w:r>
      <w:r w:rsidRPr="00EE1E0C">
        <w:t>e</w:t>
      </w:r>
      <w:r w:rsidRPr="00EE1E0C">
        <w:t>ras att Kemikalieinspektionen, Yrkesinspektionen och Naturvårdsverket har dåliga erfarenheter av polisanmälningar då de flesta brottsundersökningar läggs ned utan att åtal väcks. Detta anses påverka myndigheternas benäge</w:t>
      </w:r>
      <w:r w:rsidRPr="00EE1E0C">
        <w:t>n</w:t>
      </w:r>
      <w:r w:rsidRPr="00EE1E0C">
        <w:t>het att anmäla brott till polisen. Vidare visar en studie av försäkringsbedräg</w:t>
      </w:r>
      <w:r w:rsidRPr="00EE1E0C">
        <w:t>e</w:t>
      </w:r>
      <w:r w:rsidRPr="00EE1E0C">
        <w:t>rier (Persson 1998) att denna brottslighet sjunkit enligt statistiken. Detta beror dock enligt författarna till studien inte på någon nedgång i den faktiska brottsligheten utan på minskad anmälningsbenägenhet ho</w:t>
      </w:r>
      <w:r w:rsidRPr="00EE1E0C">
        <w:t>s försäkringsbol</w:t>
      </w:r>
      <w:r w:rsidRPr="00EE1E0C">
        <w:t>a</w:t>
      </w:r>
      <w:r w:rsidRPr="00EE1E0C">
        <w:t>gen. Utredarna vid bolagen menar att anmälningarna alltför sällan åtgärdas av polisen.</w:t>
      </w:r>
    </w:p>
    <w:p w:rsidR="00031A3F" w:rsidRPr="00EE1E0C" w:rsidRDefault="00031A3F">
      <w:pPr>
        <w:pStyle w:val="Normaltindrag"/>
      </w:pPr>
      <w:r w:rsidRPr="00EE1E0C">
        <w:t>Polisens prioriteringar ger också utslag på den anmälda brottsligheten. G</w:t>
      </w:r>
      <w:r w:rsidRPr="00EE1E0C">
        <w:t>e</w:t>
      </w:r>
      <w:r w:rsidRPr="00EE1E0C">
        <w:t>nom att prioritera sitt arbete mot att avslöja viss brottslighet under en period påverkar polisen antalet anmälda brott. Narkotikabrott och trafikbrott är  exempel på brottslighet där antalet anmälningar ökar med polisens aktiv</w:t>
      </w:r>
      <w:r w:rsidRPr="00EE1E0C">
        <w:t>i</w:t>
      </w:r>
      <w:r w:rsidRPr="00EE1E0C">
        <w:t>tet.</w:t>
      </w:r>
    </w:p>
    <w:p w:rsidR="00031A3F" w:rsidRPr="00EE1E0C" w:rsidRDefault="00031A3F">
      <w:pPr>
        <w:pStyle w:val="Normaltindrag"/>
      </w:pPr>
      <w:r w:rsidRPr="00EE1E0C">
        <w:t>Uppklarningsprocenten uttrycks oftast som antalet uppklarade brott under ett visst år i procent av antalet anmälda brott samma år. Andelen uppklarade brott har sjunkit från drygt 57 procent 1950 till knappt 25 procent 1997. Brott med hög uppklarningsprocent är trafikbrott och b</w:t>
      </w:r>
      <w:r w:rsidRPr="00EE1E0C">
        <w:t>utiksstölder. Det beror på att dessa brott upptäcks av polis eller butiksanställda när någon tagits på bar gärning. Brott med låg uppklarningsprocent är inbrott, stöld ur motorfordon, cykelstöld och skadegörelse. Om antalet anmälda brott med låg uppkla</w:t>
      </w:r>
      <w:r w:rsidRPr="00EE1E0C">
        <w:t>r</w:t>
      </w:r>
      <w:r w:rsidRPr="00EE1E0C">
        <w:t>ningsprocent ökar, är också risken stor att uppklarningsprocenten sju</w:t>
      </w:r>
      <w:r w:rsidRPr="00EE1E0C">
        <w:t>n</w:t>
      </w:r>
      <w:r w:rsidRPr="00EE1E0C">
        <w:t>ker.</w:t>
      </w:r>
    </w:p>
    <w:p w:rsidR="00031A3F" w:rsidRPr="00EE1E0C" w:rsidRDefault="00031A3F">
      <w:pPr>
        <w:pStyle w:val="Normaltindrag"/>
      </w:pPr>
      <w:r w:rsidRPr="00EE1E0C">
        <w:t>Polis- och åklagarväsendet använder en mängd mått på sin verksamhet. Begrepp som handläggningstider, genomströmningstider, effektiva balanser, beslutsbalanser, administrativ balans, la</w:t>
      </w:r>
      <w:r w:rsidRPr="00EE1E0C">
        <w:t xml:space="preserve">gföringsprocent och styckkostnader förekommer. Ett traditionellt mått på förundersökningarnas kvalitet är att ett ärende avslutas så snabbt som möjligt. </w:t>
      </w:r>
    </w:p>
    <w:p w:rsidR="00031A3F" w:rsidRPr="00EE1E0C" w:rsidRDefault="00031A3F">
      <w:pPr>
        <w:pStyle w:val="Normaltindrag"/>
      </w:pPr>
      <w:r w:rsidRPr="00EE1E0C">
        <w:t>Riksrevisionsverket har i en rapport (F1992:36) granskat polisens brottsu</w:t>
      </w:r>
      <w:r w:rsidRPr="00EE1E0C">
        <w:t>t</w:t>
      </w:r>
      <w:r w:rsidRPr="00EE1E0C">
        <w:t>redande verksamhet. Syftet med granskningen var att identifiera hinder för en effektiv utredningsverksamhet. Riksrevisionsverket fann bl.a. att resur</w:t>
      </w:r>
      <w:r w:rsidRPr="00EE1E0C">
        <w:t>s</w:t>
      </w:r>
      <w:r w:rsidRPr="00EE1E0C">
        <w:t>fördelningen inte var anpassad till arbetsbelastningen vid de olika polismy</w:t>
      </w:r>
      <w:r w:rsidRPr="00EE1E0C">
        <w:t>n</w:t>
      </w:r>
      <w:r w:rsidRPr="00EE1E0C">
        <w:t>digheterna. Därmed varierade myndigheternas förutsättningar att bedriva utredningsverksamhet. Man fann att utredningarna inte alltid uppfyllde de krav som ställdes i den fortsatta handläggningen inom rättsväsendet. Detta ledde till att utredningar måste kompletteras. RRV ansåg att utr</w:t>
      </w:r>
      <w:r w:rsidRPr="00EE1E0C">
        <w:t>edarnas ko</w:t>
      </w:r>
      <w:r w:rsidRPr="00EE1E0C">
        <w:t>m</w:t>
      </w:r>
      <w:r w:rsidRPr="00EE1E0C">
        <w:t>petens inte utnyttjades tillräckligt. Man påpekade vidare att det fanns brister i samordningen och samarbetet mellan kriminalpolisen och ordningspolisen. RRV ansåg att den bristande samordningen skulle åtgärdas genom att exe</w:t>
      </w:r>
      <w:r w:rsidRPr="00EE1E0C">
        <w:t>m</w:t>
      </w:r>
      <w:r w:rsidRPr="00EE1E0C">
        <w:t>pelvis jourgrupper inrättades. Det fanns inte heller tillräckligt teknikstöd för polisens utredningsa</w:t>
      </w:r>
      <w:r w:rsidRPr="00EE1E0C">
        <w:t>r</w:t>
      </w:r>
      <w:r w:rsidRPr="00EE1E0C">
        <w:t>bete.</w:t>
      </w:r>
    </w:p>
    <w:p w:rsidR="00031A3F" w:rsidRPr="00EE1E0C" w:rsidRDefault="00031A3F">
      <w:pPr>
        <w:pStyle w:val="Normaltindrag"/>
      </w:pPr>
      <w:r w:rsidRPr="00EE1E0C">
        <w:t>Riksrevisionsverket har i en rapport (1999:3) granskat produktionen av statistik rörande brottsutredningar. Rapporten var tänkt att vara ett bidrag i utvecklingsarbetet</w:t>
      </w:r>
      <w:r w:rsidRPr="00EE1E0C">
        <w:t xml:space="preserve"> med att göra rättsväsendets statistik mer ändamålsenlig i polisens och åklagarnas arbete. RRV har granskat statistiken ur tre aspekter: registrering i samband med brottsutredning, beslut att inte lagföra på grund av motivet att brott inte kan styrkas samt balanser och genomströmningst</w:t>
      </w:r>
      <w:r w:rsidRPr="00EE1E0C">
        <w:t>i</w:t>
      </w:r>
      <w:r w:rsidRPr="00EE1E0C">
        <w:t>der. Sammanfattningsvis konstaterade RRV att det inte är möjligt att på ett enkelt sätt följa ett ärende från brottsanmälan till avgörande i domstol. Överlappningar i registreringen och redovisningen av olika ärenden gör stat</w:t>
      </w:r>
      <w:r w:rsidRPr="00EE1E0C">
        <w:t>istiken svårtolkad. Olika praxis vid de skilda polismyndigheterna innebär att balansmåttet har olika innebörd vid de olika myndigheterna. RRV menar även att förändringar i balanser och genomströmningstider inte är ett til</w:t>
      </w:r>
      <w:r w:rsidRPr="00EE1E0C">
        <w:t>l</w:t>
      </w:r>
      <w:r w:rsidRPr="00EE1E0C">
        <w:t>räckligt mått på effektivitet i verksamheten och heller inte tillräckligt som underlag för styrning och resursfördelning.</w:t>
      </w:r>
    </w:p>
    <w:p w:rsidR="00031A3F" w:rsidRPr="00EE1E0C" w:rsidRDefault="00031A3F">
      <w:pPr>
        <w:pStyle w:val="Normaltindrag"/>
      </w:pPr>
      <w:r w:rsidRPr="00EE1E0C">
        <w:t>Sammanfattningsvis kan sägas att den befintliga kriminalstatistiken och myndigheternas statistik har brister. Det är tveksamt om dessa mått till fullo kan utgöra en gru</w:t>
      </w:r>
      <w:r w:rsidRPr="00EE1E0C">
        <w:t xml:space="preserve">nd för att bedöma rättsväsendets prestationer. </w:t>
      </w:r>
    </w:p>
    <w:p w:rsidR="00031A3F" w:rsidRPr="00EE1E0C" w:rsidRDefault="00031A3F">
      <w:pPr>
        <w:pStyle w:val="Rubrik2"/>
      </w:pPr>
      <w:bookmarkStart w:id="256" w:name="_Toc443275895"/>
      <w:bookmarkStart w:id="257" w:name="_Toc448905434"/>
      <w:bookmarkStart w:id="258" w:name="_Toc466264219"/>
      <w:bookmarkEnd w:id="252"/>
      <w:r w:rsidRPr="00EE1E0C">
        <w:t>Från anmälan till dom</w:t>
      </w:r>
      <w:bookmarkEnd w:id="256"/>
      <w:bookmarkEnd w:id="257"/>
      <w:bookmarkEnd w:id="258"/>
    </w:p>
    <w:p w:rsidR="00031A3F" w:rsidRPr="00EE1E0C" w:rsidRDefault="00031A3F">
      <w:pPr>
        <w:rPr>
          <w:i/>
        </w:rPr>
      </w:pPr>
      <w:r w:rsidRPr="00EE1E0C">
        <w:rPr>
          <w:i/>
        </w:rPr>
        <w:t>Nedan presenteras statistik över anmälda och uppklarade brott. Därefter  beskrivs vissa av de regler som omger polisens och åklagarnas förundersö</w:t>
      </w:r>
      <w:r w:rsidRPr="00EE1E0C">
        <w:rPr>
          <w:i/>
        </w:rPr>
        <w:t>k</w:t>
      </w:r>
      <w:r w:rsidRPr="00EE1E0C">
        <w:rPr>
          <w:i/>
        </w:rPr>
        <w:t>ningsarbete. Vidare redovisas resultaten av revisorernas undersökning av hur lång tid rättsväsendets myndigheter i olika län behöver för att behandla ett äre</w:t>
      </w:r>
      <w:r w:rsidRPr="00EE1E0C">
        <w:rPr>
          <w:i/>
        </w:rPr>
        <w:t>n</w:t>
      </w:r>
      <w:r w:rsidRPr="00EE1E0C">
        <w:rPr>
          <w:i/>
        </w:rPr>
        <w:t>de.</w:t>
      </w:r>
    </w:p>
    <w:p w:rsidR="00031A3F" w:rsidRPr="00EE1E0C" w:rsidRDefault="00031A3F">
      <w:pPr>
        <w:pStyle w:val="Rubrik3"/>
      </w:pPr>
      <w:bookmarkStart w:id="259" w:name="_Toc448905435"/>
      <w:bookmarkStart w:id="260" w:name="_Toc454180257"/>
      <w:bookmarkStart w:id="261" w:name="_Toc466264220"/>
      <w:r w:rsidRPr="00EE1E0C">
        <w:t>Kriminalstatistik – ett sätt att mäta prestationer</w:t>
      </w:r>
      <w:bookmarkEnd w:id="259"/>
      <w:bookmarkEnd w:id="260"/>
      <w:bookmarkEnd w:id="261"/>
    </w:p>
    <w:p w:rsidR="00031A3F" w:rsidRPr="00EE1E0C" w:rsidRDefault="00031A3F">
      <w:r w:rsidRPr="00EE1E0C">
        <w:t>Polisens och åklagarnas prestationer kan beskrivas genom kriminalstatist</w:t>
      </w:r>
      <w:r w:rsidRPr="00EE1E0C">
        <w:t>i</w:t>
      </w:r>
      <w:r w:rsidRPr="00EE1E0C">
        <w:t>ken. Statistiken över anmälda brott omfattar alla händelser som anmälts som brott och blivit registrerade av polisen. Således inkluderar brottsstatistiken sådana anmälda ärenden som efter utredning inte visar sig vara något brott. Termen ”uppklarade brott” innebär inte att någon dömts för brotten utan anger att brotten fått ett ”polisiärt klarläggande”. Enligt Brottsförebyggande rådet är de vanligaste besluten som innebär att brott redovisas i statistiken som uppklarade att</w:t>
      </w:r>
    </w:p>
    <w:p w:rsidR="00031A3F" w:rsidRPr="00EE1E0C" w:rsidRDefault="00031A3F">
      <w:pPr>
        <w:pStyle w:val="Normaltindrag"/>
        <w:numPr>
          <w:ilvl w:val="0"/>
          <w:numId w:val="256"/>
        </w:numPr>
      </w:pPr>
      <w:r w:rsidRPr="00EE1E0C">
        <w:t>åtal väcks</w:t>
      </w:r>
    </w:p>
    <w:p w:rsidR="00031A3F" w:rsidRPr="00EE1E0C" w:rsidRDefault="00031A3F">
      <w:pPr>
        <w:pStyle w:val="Normaltindrag"/>
        <w:numPr>
          <w:ilvl w:val="0"/>
          <w:numId w:val="256"/>
        </w:numPr>
      </w:pPr>
      <w:r w:rsidRPr="00EE1E0C">
        <w:t>strafföreläggande utfärdas</w:t>
      </w:r>
    </w:p>
    <w:p w:rsidR="00031A3F" w:rsidRPr="00EE1E0C" w:rsidRDefault="00031A3F">
      <w:pPr>
        <w:pStyle w:val="Normaltindrag"/>
        <w:numPr>
          <w:ilvl w:val="0"/>
          <w:numId w:val="256"/>
        </w:numPr>
      </w:pPr>
      <w:r w:rsidRPr="00EE1E0C">
        <w:t>åtalsunderlåtelse meddelas</w:t>
      </w:r>
    </w:p>
    <w:p w:rsidR="00031A3F" w:rsidRPr="00EE1E0C" w:rsidRDefault="00031A3F">
      <w:pPr>
        <w:pStyle w:val="Normaltindrag"/>
        <w:numPr>
          <w:ilvl w:val="0"/>
          <w:numId w:val="256"/>
        </w:numPr>
      </w:pPr>
      <w:r w:rsidRPr="00EE1E0C">
        <w:t>det, utan att någon person skäligen misstänks, inte kan styrkas att ett brott begåtts</w:t>
      </w:r>
    </w:p>
    <w:p w:rsidR="00031A3F" w:rsidRPr="00EE1E0C" w:rsidRDefault="00031A3F">
      <w:pPr>
        <w:pStyle w:val="Normaltindrag"/>
        <w:numPr>
          <w:ilvl w:val="0"/>
          <w:numId w:val="256"/>
        </w:numPr>
      </w:pPr>
      <w:r w:rsidRPr="00EE1E0C">
        <w:t>den anmälda gärningen inte bedöms vara brott</w:t>
      </w:r>
    </w:p>
    <w:p w:rsidR="00031A3F" w:rsidRPr="00EE1E0C" w:rsidRDefault="00031A3F">
      <w:pPr>
        <w:pStyle w:val="Normaltindrag"/>
        <w:numPr>
          <w:ilvl w:val="0"/>
          <w:numId w:val="256"/>
        </w:numPr>
      </w:pPr>
      <w:r w:rsidRPr="00EE1E0C">
        <w:t>den misstänkta personen är under 15 år.</w:t>
      </w:r>
    </w:p>
    <w:p w:rsidR="00031A3F" w:rsidRPr="00EE1E0C" w:rsidRDefault="00031A3F">
      <w:r w:rsidRPr="00EE1E0C">
        <w:t>De vanligaste orsakerna till att brott anses som ouppklarade är att</w:t>
      </w:r>
    </w:p>
    <w:p w:rsidR="00031A3F" w:rsidRPr="00EE1E0C" w:rsidRDefault="00031A3F">
      <w:pPr>
        <w:pStyle w:val="Normaltindrag"/>
        <w:numPr>
          <w:ilvl w:val="0"/>
          <w:numId w:val="257"/>
        </w:numPr>
      </w:pPr>
      <w:r w:rsidRPr="00EE1E0C">
        <w:t>det inte finns någon misstänkt person och att ”spaningsuppslag sa</w:t>
      </w:r>
      <w:r w:rsidRPr="00EE1E0C">
        <w:t>k</w:t>
      </w:r>
      <w:r w:rsidRPr="00EE1E0C">
        <w:t xml:space="preserve">nas” </w:t>
      </w:r>
    </w:p>
    <w:p w:rsidR="00031A3F" w:rsidRPr="00EE1E0C" w:rsidRDefault="00031A3F">
      <w:pPr>
        <w:pStyle w:val="Normaltindrag"/>
        <w:numPr>
          <w:ilvl w:val="0"/>
          <w:numId w:val="257"/>
        </w:numPr>
      </w:pPr>
      <w:r w:rsidRPr="00EE1E0C">
        <w:t xml:space="preserve">spaningar inte leder till något resultat </w:t>
      </w:r>
    </w:p>
    <w:p w:rsidR="00031A3F" w:rsidRPr="00EE1E0C" w:rsidRDefault="00031A3F">
      <w:pPr>
        <w:pStyle w:val="Normaltindrag"/>
        <w:numPr>
          <w:ilvl w:val="0"/>
          <w:numId w:val="257"/>
        </w:numPr>
      </w:pPr>
      <w:r w:rsidRPr="00EE1E0C">
        <w:t xml:space="preserve">det, trots utredning, inte kan styrkas att den skäligen misstänkte begått brottet </w:t>
      </w:r>
    </w:p>
    <w:p w:rsidR="00031A3F" w:rsidRPr="00EE1E0C" w:rsidRDefault="00031A3F">
      <w:pPr>
        <w:pStyle w:val="Normaltindrag"/>
        <w:numPr>
          <w:ilvl w:val="0"/>
          <w:numId w:val="257"/>
        </w:numPr>
      </w:pPr>
      <w:r w:rsidRPr="00EE1E0C">
        <w:t>utredning visar att den skäligen misstänkte är oskyldig.</w:t>
      </w:r>
    </w:p>
    <w:p w:rsidR="00031A3F" w:rsidRPr="00EE1E0C" w:rsidRDefault="00031A3F">
      <w:r w:rsidRPr="00EE1E0C">
        <w:t>Ett mått på antalet uppklarade brott är uppklaringsprocent. Två begrepp förekommer. Dels andelen uppklarade brott under ett visst år oberoende av vilket år brotten anmälts, dels andelen uppklarade brott som klaras upp det år de anmäls eller senare (Olsson 1998). Nedan avser uppklaringsprocenten samtliga uppklarade brott under ett år. Vad beträffar måttet uppklaringspr</w:t>
      </w:r>
      <w:r w:rsidRPr="00EE1E0C">
        <w:t>o</w:t>
      </w:r>
      <w:r w:rsidRPr="00EE1E0C">
        <w:t>cent kan sägas att det inte mäter det som man utifrån ordets innebörd tror att det mäter. Att åtal väcks innebär knappast utifrån allmänhetens synpunkt att ett brott är uppklarat. Enligt Brottsförebyggande rådet är termen uppklarade brott under prövning och kommer eventuellt att ändras, i dagsläget är det främst en adminis</w:t>
      </w:r>
      <w:r w:rsidRPr="00EE1E0C">
        <w:t>t</w:t>
      </w:r>
      <w:r w:rsidRPr="00EE1E0C">
        <w:t xml:space="preserve">rativ term. </w:t>
      </w:r>
    </w:p>
    <w:p w:rsidR="00031A3F" w:rsidRPr="00EE1E0C" w:rsidRDefault="00031A3F">
      <w:pPr>
        <w:pStyle w:val="Normaltindrag"/>
      </w:pPr>
      <w:r w:rsidRPr="00EE1E0C">
        <w:t>Av regleringsbrevet för 1998 framgår att Brottsförebyggande rådet (BRÅ) skall utforma den officiella statistiken för rättsväsendet så att den kan anvä</w:t>
      </w:r>
      <w:r w:rsidRPr="00EE1E0C">
        <w:t>n</w:t>
      </w:r>
      <w:r w:rsidRPr="00EE1E0C">
        <w:t>das för att följa flödet genom rättsprocessen.</w:t>
      </w:r>
    </w:p>
    <w:p w:rsidR="00031A3F" w:rsidRPr="00EE1E0C" w:rsidRDefault="00031A3F">
      <w:pPr>
        <w:pStyle w:val="Rubrik3"/>
      </w:pPr>
      <w:bookmarkStart w:id="262" w:name="_Toc448905436"/>
      <w:bookmarkStart w:id="263" w:name="_Toc454180258"/>
      <w:bookmarkStart w:id="264" w:name="_Toc466264221"/>
      <w:r w:rsidRPr="00EE1E0C">
        <w:t>Anmälda och uppklarade brott</w:t>
      </w:r>
      <w:bookmarkEnd w:id="262"/>
      <w:bookmarkEnd w:id="263"/>
      <w:bookmarkEnd w:id="264"/>
    </w:p>
    <w:p w:rsidR="00031A3F" w:rsidRPr="00EE1E0C" w:rsidRDefault="00031A3F">
      <w:r w:rsidRPr="00EE1E0C">
        <w:t>Antalet poliser har ökat sedan förstatligandet av polisen 1965, liksom m</w:t>
      </w:r>
      <w:r w:rsidRPr="00EE1E0C">
        <w:t>e</w:t>
      </w:r>
      <w:r w:rsidRPr="00EE1E0C">
        <w:t>delsförbrukningen i fasta priser. Antalet anmälda brott ökade med 153 pr</w:t>
      </w:r>
      <w:r w:rsidRPr="00EE1E0C">
        <w:t>o</w:t>
      </w:r>
      <w:r w:rsidRPr="00EE1E0C">
        <w:t>cent mellan åren 1966 och 1997. Antalet uppklarade brott har ökat, uppkl</w:t>
      </w:r>
      <w:r w:rsidRPr="00EE1E0C">
        <w:t>a</w:t>
      </w:r>
      <w:r w:rsidRPr="00EE1E0C">
        <w:t>ringsprocenten har däremot minskat, både vad gäller samtliga brott och misshandelsbrott. År 1966 anmäldes 40 brott per polis och 1997 uppgick antalet anmälda brott per polis till 71. Antal uppklarade brott per polis up</w:t>
      </w:r>
      <w:r w:rsidRPr="00EE1E0C">
        <w:t>p</w:t>
      </w:r>
      <w:r w:rsidRPr="00EE1E0C">
        <w:t xml:space="preserve">gick 1966 till 17 brott. Under de efterföljande åren ökade antalet uppklarade brott per polis men minskade åter därefter. År 1997 uppgick antalet </w:t>
      </w:r>
      <w:r w:rsidRPr="00EE1E0C">
        <w:t>uppkl</w:t>
      </w:r>
      <w:r w:rsidRPr="00EE1E0C">
        <w:t>a</w:t>
      </w:r>
      <w:r w:rsidRPr="00EE1E0C">
        <w:t xml:space="preserve">rade brott per polis till 18.  </w:t>
      </w:r>
    </w:p>
    <w:p w:rsidR="00031A3F" w:rsidRPr="00EE1E0C" w:rsidRDefault="00031A3F">
      <w:pPr>
        <w:pStyle w:val="Normaltindrag"/>
      </w:pPr>
      <w:r w:rsidRPr="00EE1E0C">
        <w:t>I Stockholms län har antalet anmälda brott ökat mellan 1970 och 1997. Uppklaringsprocenten har minskat med 6 procentenheter för samtliga anmä</w:t>
      </w:r>
      <w:r w:rsidRPr="00EE1E0C">
        <w:t>l</w:t>
      </w:r>
      <w:r w:rsidRPr="00EE1E0C">
        <w:t>da brott och med 19 procentenheter för misshandelsbrott. Tas i stället hänsyn till antalet uppklarade brott visar statistiken att de ökade, med undantag för  1990, fram till och med 1993. Efter 1993 har antalet uppklarade brott min</w:t>
      </w:r>
      <w:r w:rsidRPr="00EE1E0C">
        <w:t>s</w:t>
      </w:r>
      <w:r w:rsidRPr="00EE1E0C">
        <w:t xml:space="preserve">kat varje år fram till 1997 då de åter ökade. </w:t>
      </w:r>
    </w:p>
    <w:p w:rsidR="00031A3F" w:rsidRPr="00EE1E0C" w:rsidRDefault="00031A3F">
      <w:pPr>
        <w:pStyle w:val="Normaltindrag"/>
      </w:pPr>
      <w:r w:rsidRPr="00EE1E0C">
        <w:t>I Östergötlands län ökade antalet anmälda brott och antalet misshandel</w:t>
      </w:r>
      <w:r w:rsidRPr="00EE1E0C">
        <w:t>s</w:t>
      </w:r>
      <w:r w:rsidRPr="00EE1E0C">
        <w:t>brott mellan åren 1970 och 1997 med 89 procent respektive 162 procent. Uppklaringsprocenten för samtliga brott minskat med 30 procentenheter. Beträffande antalet uppklarade brott klarades mellan 14 000 och 16 000 brott upp varje år. År 1995 minskade antalet anmälda brott men ökade åter 1997.</w:t>
      </w:r>
    </w:p>
    <w:p w:rsidR="00031A3F" w:rsidRPr="00EE1E0C" w:rsidRDefault="00031A3F">
      <w:pPr>
        <w:pStyle w:val="Normaltindrag"/>
      </w:pPr>
      <w:r w:rsidRPr="00EE1E0C">
        <w:t>I Västernorrlands län har antalet anmälda brott fördubblats mellan 1970 och 1997. Uppklaringsprocenten för samtliga brott har minskat med 22 pr</w:t>
      </w:r>
      <w:r w:rsidRPr="00EE1E0C">
        <w:t>o</w:t>
      </w:r>
      <w:r w:rsidRPr="00EE1E0C">
        <w:t>centenheter. Beträffande misshandelsbrott har uppklaringsprocenten från 79 procent till 56 procent medan antalet anmälda misshandelsbrott tredub</w:t>
      </w:r>
      <w:r w:rsidRPr="00EE1E0C">
        <w:t>b</w:t>
      </w:r>
      <w:r w:rsidRPr="00EE1E0C">
        <w:t>lats. Antalet uppklarade brott har ökat, med undantag för 1992, fram till år 1994. År 1997 ökade åter ant</w:t>
      </w:r>
      <w:r w:rsidRPr="00EE1E0C">
        <w:t>a</w:t>
      </w:r>
      <w:r w:rsidRPr="00EE1E0C">
        <w:t xml:space="preserve">let uppklarade brott.  </w:t>
      </w:r>
    </w:p>
    <w:p w:rsidR="00031A3F" w:rsidRPr="00EE1E0C" w:rsidRDefault="00031A3F">
      <w:pPr>
        <w:pStyle w:val="Rubrik3"/>
      </w:pPr>
      <w:bookmarkStart w:id="265" w:name="_Toc448905437"/>
      <w:bookmarkStart w:id="266" w:name="_Toc454180259"/>
      <w:bookmarkStart w:id="267" w:name="_Toc466264222"/>
      <w:r w:rsidRPr="00EE1E0C">
        <w:t>Genomströmningstider</w:t>
      </w:r>
      <w:bookmarkEnd w:id="265"/>
      <w:bookmarkEnd w:id="266"/>
      <w:bookmarkEnd w:id="267"/>
    </w:p>
    <w:p w:rsidR="00031A3F" w:rsidRPr="00EE1E0C" w:rsidRDefault="00031A3F">
      <w:r w:rsidRPr="00EE1E0C">
        <w:t>Genomströmningstid är den tid det tar från den dag en anmälan görs till den dag ärendet har avslutats hos polisen. Polismyndigheterna rapporterar g</w:t>
      </w:r>
      <w:r w:rsidRPr="00EE1E0C">
        <w:t>e</w:t>
      </w:r>
      <w:r w:rsidRPr="00EE1E0C">
        <w:t>nomströmningstiden per ärende inom respektive resultatområde i polisens resultatmodell (jfr del 1). Redovisning av genomströmningstider har inte gjorts före 1996.</w:t>
      </w:r>
    </w:p>
    <w:p w:rsidR="00031A3F" w:rsidRPr="00EE1E0C" w:rsidRDefault="00031A3F">
      <w:pPr>
        <w:pStyle w:val="Normaltindrag"/>
      </w:pPr>
      <w:r w:rsidRPr="00EE1E0C">
        <w:t>Den genomsnittliga genomströmningstiden för samtliga ärenden i hela landet redovisas i nedanstående tabell. Av tabellen framgår att antalet dagar ökat mellan 1996 och 1998. Enligt Rikspolisstyrelsen påverkas genomströ</w:t>
      </w:r>
      <w:r w:rsidRPr="00EE1E0C">
        <w:t>m</w:t>
      </w:r>
      <w:r w:rsidRPr="00EE1E0C">
        <w:t>ningstiden av att sat</w:t>
      </w:r>
      <w:r w:rsidRPr="00EE1E0C">
        <w:t>s</w:t>
      </w:r>
      <w:r w:rsidRPr="00EE1E0C">
        <w:t>ningar gjorts för att avgöra gamla ärenden.</w:t>
      </w:r>
    </w:p>
    <w:p w:rsidR="00031A3F" w:rsidRPr="00EE1E0C" w:rsidRDefault="00031A3F">
      <w:pPr>
        <w:pStyle w:val="Tabellrubrik"/>
      </w:pPr>
    </w:p>
    <w:p w:rsidR="00031A3F" w:rsidRPr="00EE1E0C" w:rsidRDefault="00031A3F">
      <w:pPr>
        <w:pStyle w:val="Tabellrubrik"/>
      </w:pPr>
      <w:r w:rsidRPr="00EE1E0C">
        <w:t>Tabell 3.1 Genomsnittlig genomströmningstid per ärende hos polisen 1996–1998</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945"/>
        <w:gridCol w:w="945"/>
        <w:gridCol w:w="945"/>
      </w:tblGrid>
      <w:tr w:rsidR="00000000" w:rsidRPr="00EE1E0C">
        <w:tblPrEx>
          <w:tblCellMar>
            <w:top w:w="0" w:type="dxa"/>
            <w:bottom w:w="0" w:type="dxa"/>
          </w:tblCellMar>
        </w:tblPrEx>
        <w:tc>
          <w:tcPr>
            <w:tcW w:w="2905" w:type="dxa"/>
          </w:tcPr>
          <w:p w:rsidR="00031A3F" w:rsidRPr="00EE1E0C" w:rsidRDefault="00031A3F">
            <w:pPr>
              <w:pStyle w:val="Normaltindrag"/>
              <w:ind w:firstLine="0"/>
            </w:pPr>
            <w:r w:rsidRPr="00EE1E0C">
              <w:t>År</w:t>
            </w:r>
          </w:p>
        </w:tc>
        <w:tc>
          <w:tcPr>
            <w:tcW w:w="945" w:type="dxa"/>
          </w:tcPr>
          <w:p w:rsidR="00031A3F" w:rsidRPr="00EE1E0C" w:rsidRDefault="00031A3F">
            <w:pPr>
              <w:pStyle w:val="Normaltindrag"/>
              <w:ind w:firstLine="0"/>
              <w:jc w:val="center"/>
            </w:pPr>
            <w:r w:rsidRPr="00EE1E0C">
              <w:t>1996</w:t>
            </w:r>
          </w:p>
        </w:tc>
        <w:tc>
          <w:tcPr>
            <w:tcW w:w="945" w:type="dxa"/>
          </w:tcPr>
          <w:p w:rsidR="00031A3F" w:rsidRPr="00EE1E0C" w:rsidRDefault="00031A3F">
            <w:pPr>
              <w:pStyle w:val="Normaltindrag"/>
              <w:ind w:firstLine="0"/>
              <w:jc w:val="center"/>
            </w:pPr>
            <w:r w:rsidRPr="00EE1E0C">
              <w:t>1997</w:t>
            </w:r>
          </w:p>
        </w:tc>
        <w:tc>
          <w:tcPr>
            <w:tcW w:w="945" w:type="dxa"/>
          </w:tcPr>
          <w:p w:rsidR="00031A3F" w:rsidRPr="00EE1E0C" w:rsidRDefault="00031A3F">
            <w:pPr>
              <w:pStyle w:val="Normaltindrag"/>
              <w:ind w:firstLine="0"/>
              <w:jc w:val="center"/>
            </w:pPr>
            <w:r w:rsidRPr="00EE1E0C">
              <w:t>1998</w:t>
            </w:r>
          </w:p>
        </w:tc>
      </w:tr>
      <w:tr w:rsidR="00000000" w:rsidRPr="00EE1E0C">
        <w:tblPrEx>
          <w:tblCellMar>
            <w:top w:w="0" w:type="dxa"/>
            <w:bottom w:w="0" w:type="dxa"/>
          </w:tblCellMar>
        </w:tblPrEx>
        <w:tc>
          <w:tcPr>
            <w:tcW w:w="2905" w:type="dxa"/>
          </w:tcPr>
          <w:p w:rsidR="00031A3F" w:rsidRPr="00EE1E0C" w:rsidRDefault="00031A3F">
            <w:pPr>
              <w:pStyle w:val="Normaltindrag"/>
              <w:ind w:firstLine="0"/>
            </w:pPr>
            <w:r w:rsidRPr="00EE1E0C">
              <w:t>Genomsnittligt antal dagar</w:t>
            </w:r>
          </w:p>
        </w:tc>
        <w:tc>
          <w:tcPr>
            <w:tcW w:w="945" w:type="dxa"/>
          </w:tcPr>
          <w:p w:rsidR="00031A3F" w:rsidRPr="00EE1E0C" w:rsidRDefault="00031A3F">
            <w:pPr>
              <w:pStyle w:val="Normaltindrag"/>
              <w:ind w:firstLine="0"/>
              <w:jc w:val="right"/>
            </w:pPr>
            <w:r w:rsidRPr="00EE1E0C">
              <w:t>*99</w:t>
            </w:r>
          </w:p>
        </w:tc>
        <w:tc>
          <w:tcPr>
            <w:tcW w:w="945" w:type="dxa"/>
          </w:tcPr>
          <w:p w:rsidR="00031A3F" w:rsidRPr="00EE1E0C" w:rsidRDefault="00031A3F">
            <w:pPr>
              <w:pStyle w:val="Normaltindrag"/>
              <w:ind w:firstLine="0"/>
              <w:jc w:val="right"/>
            </w:pPr>
            <w:r w:rsidRPr="00EE1E0C">
              <w:t>111</w:t>
            </w:r>
          </w:p>
        </w:tc>
        <w:tc>
          <w:tcPr>
            <w:tcW w:w="945" w:type="dxa"/>
          </w:tcPr>
          <w:p w:rsidR="00031A3F" w:rsidRPr="00EE1E0C" w:rsidRDefault="00031A3F">
            <w:pPr>
              <w:pStyle w:val="Normaltindrag"/>
              <w:ind w:firstLine="0"/>
              <w:jc w:val="right"/>
            </w:pPr>
            <w:r w:rsidRPr="00EE1E0C">
              <w:t>119</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 Uppgifter om trafikbrott saknas</w:t>
      </w:r>
    </w:p>
    <w:p w:rsidR="00031A3F" w:rsidRPr="00EE1E0C" w:rsidRDefault="00031A3F">
      <w:pPr>
        <w:pStyle w:val="Tabellrubrik"/>
        <w:rPr>
          <w:b w:val="0"/>
          <w:i/>
        </w:rPr>
      </w:pPr>
      <w:r w:rsidRPr="00EE1E0C">
        <w:rPr>
          <w:b w:val="0"/>
          <w:i/>
        </w:rPr>
        <w:t xml:space="preserve">Källa: Polisväsendets årsredovisning 1998. </w:t>
      </w:r>
    </w:p>
    <w:p w:rsidR="00031A3F" w:rsidRPr="00EE1E0C" w:rsidRDefault="00031A3F">
      <w:r w:rsidRPr="00EE1E0C">
        <w:t>Under 1997 och 1998 ökade genomströmningstiden för anmälda våldsbrott i Stockholms och Östergötlands län samt för riket som helhet. I Västernor</w:t>
      </w:r>
      <w:r w:rsidRPr="00EE1E0C">
        <w:t>r</w:t>
      </w:r>
      <w:r w:rsidRPr="00EE1E0C">
        <w:t>lands län min</w:t>
      </w:r>
      <w:r w:rsidRPr="00EE1E0C">
        <w:t>s</w:t>
      </w:r>
      <w:r w:rsidRPr="00EE1E0C">
        <w:t>kade däremot genomströmningstiden.</w:t>
      </w:r>
    </w:p>
    <w:p w:rsidR="00031A3F" w:rsidRPr="00EE1E0C" w:rsidRDefault="00031A3F">
      <w:pPr>
        <w:pStyle w:val="Normaltindrag"/>
      </w:pPr>
    </w:p>
    <w:p w:rsidR="00031A3F" w:rsidRPr="00EE1E0C" w:rsidRDefault="00031A3F">
      <w:pPr>
        <w:pStyle w:val="Tabellrubrik"/>
      </w:pPr>
      <w:r w:rsidRPr="00EE1E0C">
        <w:br w:type="page"/>
        <w:t>Tabell 3.2 Genomströmningstid per ärende hos polisen, resultatområde våld</w:t>
      </w:r>
      <w:r w:rsidRPr="00EE1E0C">
        <w:t>s</w:t>
      </w:r>
      <w:r w:rsidRPr="00EE1E0C">
        <w:t>brott</w:t>
      </w:r>
      <w:r w:rsidRPr="00EE1E0C">
        <w:t>s</w:t>
      </w:r>
      <w:r w:rsidRPr="00EE1E0C">
        <w:t>lighet 1996–1998</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370"/>
        <w:gridCol w:w="1370"/>
        <w:gridCol w:w="1371"/>
      </w:tblGrid>
      <w:tr w:rsidR="00000000" w:rsidRPr="00EE1E0C">
        <w:tblPrEx>
          <w:tblCellMar>
            <w:top w:w="0" w:type="dxa"/>
            <w:bottom w:w="0" w:type="dxa"/>
          </w:tblCellMar>
        </w:tblPrEx>
        <w:tc>
          <w:tcPr>
            <w:tcW w:w="1488" w:type="dxa"/>
          </w:tcPr>
          <w:p w:rsidR="00031A3F" w:rsidRPr="00EE1E0C" w:rsidRDefault="00031A3F">
            <w:pPr>
              <w:pStyle w:val="Normaltindrag"/>
              <w:ind w:firstLine="0"/>
            </w:pPr>
            <w:r w:rsidRPr="00EE1E0C">
              <w:t>Län</w:t>
            </w:r>
          </w:p>
        </w:tc>
        <w:tc>
          <w:tcPr>
            <w:tcW w:w="1370" w:type="dxa"/>
          </w:tcPr>
          <w:p w:rsidR="00031A3F" w:rsidRPr="00EE1E0C" w:rsidRDefault="00031A3F">
            <w:pPr>
              <w:pStyle w:val="Normaltindrag"/>
              <w:ind w:firstLine="0"/>
              <w:jc w:val="left"/>
            </w:pPr>
            <w:r w:rsidRPr="00EE1E0C">
              <w:t>Genomströ</w:t>
            </w:r>
            <w:r w:rsidRPr="00EE1E0C">
              <w:t>m</w:t>
            </w:r>
            <w:r w:rsidRPr="00EE1E0C">
              <w:t>ningstid per ärende, 1996</w:t>
            </w:r>
          </w:p>
        </w:tc>
        <w:tc>
          <w:tcPr>
            <w:tcW w:w="1370" w:type="dxa"/>
          </w:tcPr>
          <w:p w:rsidR="00031A3F" w:rsidRPr="00EE1E0C" w:rsidRDefault="00031A3F">
            <w:pPr>
              <w:pStyle w:val="Normaltindrag"/>
              <w:ind w:firstLine="0"/>
              <w:jc w:val="left"/>
            </w:pPr>
            <w:r w:rsidRPr="00EE1E0C">
              <w:t>Genomströ</w:t>
            </w:r>
            <w:r w:rsidRPr="00EE1E0C">
              <w:t>m</w:t>
            </w:r>
            <w:r w:rsidRPr="00EE1E0C">
              <w:t>ningstid per äre</w:t>
            </w:r>
            <w:r w:rsidRPr="00EE1E0C">
              <w:t>n</w:t>
            </w:r>
            <w:r w:rsidRPr="00EE1E0C">
              <w:t>de, 1997</w:t>
            </w:r>
          </w:p>
        </w:tc>
        <w:tc>
          <w:tcPr>
            <w:tcW w:w="1371" w:type="dxa"/>
          </w:tcPr>
          <w:p w:rsidR="00031A3F" w:rsidRPr="00EE1E0C" w:rsidRDefault="00031A3F">
            <w:pPr>
              <w:pStyle w:val="Normaltindrag"/>
              <w:ind w:firstLine="0"/>
              <w:jc w:val="left"/>
            </w:pPr>
            <w:r w:rsidRPr="00EE1E0C">
              <w:t>Genomströ</w:t>
            </w:r>
            <w:r w:rsidRPr="00EE1E0C">
              <w:t>m</w:t>
            </w:r>
            <w:r w:rsidRPr="00EE1E0C">
              <w:t>ningstid per ärende, 1998</w:t>
            </w:r>
          </w:p>
        </w:tc>
      </w:tr>
      <w:tr w:rsidR="00000000" w:rsidRPr="00EE1E0C">
        <w:tblPrEx>
          <w:tblCellMar>
            <w:top w:w="0" w:type="dxa"/>
            <w:bottom w:w="0" w:type="dxa"/>
          </w:tblCellMar>
        </w:tblPrEx>
        <w:tc>
          <w:tcPr>
            <w:tcW w:w="1488" w:type="dxa"/>
          </w:tcPr>
          <w:p w:rsidR="00031A3F" w:rsidRPr="00EE1E0C" w:rsidRDefault="00031A3F">
            <w:pPr>
              <w:pStyle w:val="Normaltindrag"/>
              <w:ind w:firstLine="0"/>
            </w:pPr>
            <w:r w:rsidRPr="00EE1E0C">
              <w:t>Stockholm</w:t>
            </w:r>
          </w:p>
        </w:tc>
        <w:tc>
          <w:tcPr>
            <w:tcW w:w="1370" w:type="dxa"/>
          </w:tcPr>
          <w:p w:rsidR="00031A3F" w:rsidRPr="00EE1E0C" w:rsidRDefault="00031A3F">
            <w:pPr>
              <w:pStyle w:val="Normaltindrag"/>
              <w:ind w:firstLine="0"/>
              <w:jc w:val="right"/>
            </w:pPr>
            <w:r w:rsidRPr="00EE1E0C">
              <w:t>128 dagar</w:t>
            </w:r>
          </w:p>
        </w:tc>
        <w:tc>
          <w:tcPr>
            <w:tcW w:w="1370" w:type="dxa"/>
          </w:tcPr>
          <w:p w:rsidR="00031A3F" w:rsidRPr="00EE1E0C" w:rsidRDefault="00031A3F">
            <w:pPr>
              <w:pStyle w:val="Normaltindrag"/>
              <w:ind w:firstLine="0"/>
              <w:jc w:val="right"/>
            </w:pPr>
            <w:r w:rsidRPr="00EE1E0C">
              <w:t>155 dagar</w:t>
            </w:r>
          </w:p>
        </w:tc>
        <w:tc>
          <w:tcPr>
            <w:tcW w:w="1371" w:type="dxa"/>
          </w:tcPr>
          <w:p w:rsidR="00031A3F" w:rsidRPr="00EE1E0C" w:rsidRDefault="00031A3F">
            <w:pPr>
              <w:pStyle w:val="Normaltindrag"/>
              <w:ind w:firstLine="0"/>
              <w:jc w:val="right"/>
            </w:pPr>
            <w:r w:rsidRPr="00EE1E0C">
              <w:t>169 dagar</w:t>
            </w:r>
          </w:p>
        </w:tc>
      </w:tr>
      <w:tr w:rsidR="00000000" w:rsidRPr="00EE1E0C">
        <w:tblPrEx>
          <w:tblCellMar>
            <w:top w:w="0" w:type="dxa"/>
            <w:bottom w:w="0" w:type="dxa"/>
          </w:tblCellMar>
        </w:tblPrEx>
        <w:tc>
          <w:tcPr>
            <w:tcW w:w="1488" w:type="dxa"/>
          </w:tcPr>
          <w:p w:rsidR="00031A3F" w:rsidRPr="00EE1E0C" w:rsidRDefault="00031A3F">
            <w:pPr>
              <w:pStyle w:val="Normaltindrag"/>
              <w:ind w:firstLine="0"/>
            </w:pPr>
            <w:r w:rsidRPr="00EE1E0C">
              <w:t>Östergötland</w:t>
            </w:r>
          </w:p>
        </w:tc>
        <w:tc>
          <w:tcPr>
            <w:tcW w:w="1370" w:type="dxa"/>
          </w:tcPr>
          <w:p w:rsidR="00031A3F" w:rsidRPr="00EE1E0C" w:rsidRDefault="00031A3F">
            <w:pPr>
              <w:pStyle w:val="Normaltindrag"/>
              <w:ind w:firstLine="0"/>
              <w:jc w:val="right"/>
            </w:pPr>
            <w:r w:rsidRPr="00EE1E0C">
              <w:t>83 dagar</w:t>
            </w:r>
          </w:p>
        </w:tc>
        <w:tc>
          <w:tcPr>
            <w:tcW w:w="1370" w:type="dxa"/>
          </w:tcPr>
          <w:p w:rsidR="00031A3F" w:rsidRPr="00EE1E0C" w:rsidRDefault="00031A3F">
            <w:pPr>
              <w:pStyle w:val="Normaltindrag"/>
              <w:ind w:firstLine="0"/>
              <w:jc w:val="right"/>
            </w:pPr>
            <w:r w:rsidRPr="00EE1E0C">
              <w:t>100 dagar</w:t>
            </w:r>
          </w:p>
        </w:tc>
        <w:tc>
          <w:tcPr>
            <w:tcW w:w="1371" w:type="dxa"/>
          </w:tcPr>
          <w:p w:rsidR="00031A3F" w:rsidRPr="00EE1E0C" w:rsidRDefault="00031A3F">
            <w:pPr>
              <w:pStyle w:val="Normaltindrag"/>
              <w:ind w:firstLine="0"/>
              <w:jc w:val="right"/>
            </w:pPr>
            <w:r w:rsidRPr="00EE1E0C">
              <w:t>121 dagar</w:t>
            </w:r>
          </w:p>
        </w:tc>
      </w:tr>
      <w:tr w:rsidR="00000000" w:rsidRPr="00EE1E0C">
        <w:tblPrEx>
          <w:tblCellMar>
            <w:top w:w="0" w:type="dxa"/>
            <w:bottom w:w="0" w:type="dxa"/>
          </w:tblCellMar>
        </w:tblPrEx>
        <w:tc>
          <w:tcPr>
            <w:tcW w:w="1488" w:type="dxa"/>
          </w:tcPr>
          <w:p w:rsidR="00031A3F" w:rsidRPr="00EE1E0C" w:rsidRDefault="00031A3F">
            <w:pPr>
              <w:pStyle w:val="Normaltindrag"/>
              <w:ind w:firstLine="0"/>
            </w:pPr>
            <w:r w:rsidRPr="00EE1E0C">
              <w:t>Västernorrland</w:t>
            </w:r>
          </w:p>
        </w:tc>
        <w:tc>
          <w:tcPr>
            <w:tcW w:w="1370" w:type="dxa"/>
          </w:tcPr>
          <w:p w:rsidR="00031A3F" w:rsidRPr="00EE1E0C" w:rsidRDefault="00031A3F">
            <w:pPr>
              <w:pStyle w:val="Normaltindrag"/>
              <w:ind w:firstLine="0"/>
              <w:jc w:val="right"/>
            </w:pPr>
            <w:r w:rsidRPr="00EE1E0C">
              <w:t>135 dagar</w:t>
            </w:r>
          </w:p>
        </w:tc>
        <w:tc>
          <w:tcPr>
            <w:tcW w:w="1370" w:type="dxa"/>
          </w:tcPr>
          <w:p w:rsidR="00031A3F" w:rsidRPr="00EE1E0C" w:rsidRDefault="00031A3F">
            <w:pPr>
              <w:pStyle w:val="Normaltindrag"/>
              <w:ind w:firstLine="0"/>
              <w:jc w:val="right"/>
            </w:pPr>
            <w:r w:rsidRPr="00EE1E0C">
              <w:t>132 dagar</w:t>
            </w:r>
          </w:p>
        </w:tc>
        <w:tc>
          <w:tcPr>
            <w:tcW w:w="1371" w:type="dxa"/>
          </w:tcPr>
          <w:p w:rsidR="00031A3F" w:rsidRPr="00EE1E0C" w:rsidRDefault="00031A3F">
            <w:pPr>
              <w:pStyle w:val="Normaltindrag"/>
              <w:ind w:firstLine="0"/>
              <w:jc w:val="right"/>
            </w:pPr>
            <w:r w:rsidRPr="00EE1E0C">
              <w:t>116 dagar</w:t>
            </w:r>
          </w:p>
        </w:tc>
      </w:tr>
      <w:tr w:rsidR="00000000" w:rsidRPr="00EE1E0C">
        <w:tblPrEx>
          <w:tblCellMar>
            <w:top w:w="0" w:type="dxa"/>
            <w:bottom w:w="0" w:type="dxa"/>
          </w:tblCellMar>
        </w:tblPrEx>
        <w:tc>
          <w:tcPr>
            <w:tcW w:w="1488" w:type="dxa"/>
          </w:tcPr>
          <w:p w:rsidR="00031A3F" w:rsidRPr="00EE1E0C" w:rsidRDefault="00031A3F">
            <w:pPr>
              <w:pStyle w:val="Normaltindrag"/>
              <w:ind w:firstLine="0"/>
            </w:pPr>
            <w:r w:rsidRPr="00EE1E0C">
              <w:t>Riket</w:t>
            </w:r>
          </w:p>
        </w:tc>
        <w:tc>
          <w:tcPr>
            <w:tcW w:w="1370" w:type="dxa"/>
          </w:tcPr>
          <w:p w:rsidR="00031A3F" w:rsidRPr="00EE1E0C" w:rsidRDefault="00031A3F">
            <w:pPr>
              <w:pStyle w:val="Normaltindrag"/>
              <w:ind w:firstLine="0"/>
              <w:jc w:val="right"/>
            </w:pPr>
            <w:r w:rsidRPr="00EE1E0C">
              <w:t>92 dagar</w:t>
            </w:r>
          </w:p>
        </w:tc>
        <w:tc>
          <w:tcPr>
            <w:tcW w:w="1370" w:type="dxa"/>
          </w:tcPr>
          <w:p w:rsidR="00031A3F" w:rsidRPr="00EE1E0C" w:rsidRDefault="00031A3F">
            <w:pPr>
              <w:pStyle w:val="Normaltindrag"/>
              <w:ind w:firstLine="0"/>
              <w:jc w:val="right"/>
            </w:pPr>
            <w:r w:rsidRPr="00EE1E0C">
              <w:t>127 dagar</w:t>
            </w:r>
          </w:p>
        </w:tc>
        <w:tc>
          <w:tcPr>
            <w:tcW w:w="1371" w:type="dxa"/>
          </w:tcPr>
          <w:p w:rsidR="00031A3F" w:rsidRPr="00EE1E0C" w:rsidRDefault="00031A3F">
            <w:pPr>
              <w:pStyle w:val="Normaltindrag"/>
              <w:ind w:firstLine="0"/>
              <w:jc w:val="right"/>
            </w:pPr>
            <w:r w:rsidRPr="00EE1E0C">
              <w:t>138 dagar</w:t>
            </w:r>
          </w:p>
        </w:tc>
      </w:tr>
    </w:tbl>
    <w:p w:rsidR="00031A3F" w:rsidRPr="00EE1E0C" w:rsidRDefault="00031A3F">
      <w:pPr>
        <w:pStyle w:val="Tabellrubrik"/>
        <w:rPr>
          <w:b w:val="0"/>
          <w:i/>
        </w:rPr>
      </w:pPr>
      <w:bookmarkStart w:id="268" w:name="_Toc443275897"/>
    </w:p>
    <w:p w:rsidR="00031A3F" w:rsidRPr="00EE1E0C" w:rsidRDefault="00031A3F">
      <w:pPr>
        <w:pStyle w:val="Tabellrubrik"/>
        <w:rPr>
          <w:b w:val="0"/>
          <w:i/>
        </w:rPr>
      </w:pPr>
      <w:r w:rsidRPr="00EE1E0C">
        <w:rPr>
          <w:b w:val="0"/>
          <w:i/>
        </w:rPr>
        <w:t>Källa: Rikspolisstyrelsens årsredovisning 1998</w:t>
      </w:r>
    </w:p>
    <w:p w:rsidR="00031A3F" w:rsidRPr="00EE1E0C" w:rsidRDefault="00031A3F">
      <w:r w:rsidRPr="00EE1E0C">
        <w:t>I nedanstående tabell redovisas genomströmningstiden för brottsmisstankar med fängelse i straffskalan för åklagarväsendet. För att underlätta jämföre</w:t>
      </w:r>
      <w:r w:rsidRPr="00EE1E0C">
        <w:t>l</w:t>
      </w:r>
      <w:r w:rsidRPr="00EE1E0C">
        <w:t>sen har ekobrott uteslutits ur tabellen. Ekobrottsmyndighetens bildande den 1 januari 1998 har inneburit att åklagarmyndigheten i Stockholm i stort sett inte längre handlägger ekobrott. Den genomströmningstid som redovisas här är den tid det tar för åklagaren att handlägga ett ärende efter det att förunde</w:t>
      </w:r>
      <w:r w:rsidRPr="00EE1E0C">
        <w:t>r</w:t>
      </w:r>
      <w:r w:rsidRPr="00EE1E0C">
        <w:t>sökningen är avslutad till dess att beslut om åtal fattas. Som framgår nedan är genomströmningstiden för våldsbrott i de undersökta länen längre än geno</w:t>
      </w:r>
      <w:r w:rsidRPr="00EE1E0C">
        <w:t>m</w:t>
      </w:r>
      <w:r w:rsidRPr="00EE1E0C">
        <w:t>strömningstiden i riket för 1997. För 1998 var geno</w:t>
      </w:r>
      <w:r w:rsidRPr="00EE1E0C">
        <w:t>mströmningstiden kortare än den för riket vad gäller Stockholms och Västernorrlands län, medan den var längre i Östergötland. Genomströmningstiden för samtliga brott låg i Stockholms och Östergötlands län över riksgenomsnittet 1997. I Västernor</w:t>
      </w:r>
      <w:r w:rsidRPr="00EE1E0C">
        <w:t>r</w:t>
      </w:r>
      <w:r w:rsidRPr="00EE1E0C">
        <w:t>lands län understeg antalet dagar genomsnittet för riket såväl 1997 som 1998. För 1998 överstiger genomströmningstiden i Östergötlands län den i hela riket. Genomströmningstiden i Stockholms län var däremot kortare. Enligt Riksåklagaren tyder den ökade genomströmning</w:t>
      </w:r>
      <w:r w:rsidRPr="00EE1E0C">
        <w:t>stiden i riket på att åklagarna i större utsträckning än tidigare avgör äldre ärenden.</w:t>
      </w:r>
    </w:p>
    <w:p w:rsidR="00031A3F" w:rsidRPr="00EE1E0C" w:rsidRDefault="00031A3F">
      <w:pPr>
        <w:pStyle w:val="Tabellrubrik"/>
      </w:pPr>
    </w:p>
    <w:p w:rsidR="00031A3F" w:rsidRPr="00EE1E0C" w:rsidRDefault="00031A3F">
      <w:pPr>
        <w:pStyle w:val="Tabellrubrik"/>
      </w:pPr>
      <w:r w:rsidRPr="00EE1E0C">
        <w:t>Tabell 3.3 Genomströmningstid per brottsmisstanke med fängelse i straffskalan hos åkl</w:t>
      </w:r>
      <w:r w:rsidRPr="00EE1E0C">
        <w:t>a</w:t>
      </w:r>
      <w:r w:rsidRPr="00EE1E0C">
        <w:t>garna utom ekobrott</w:t>
      </w:r>
    </w:p>
    <w:p w:rsidR="00031A3F" w:rsidRPr="00EE1E0C" w:rsidRDefault="00031A3F">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134"/>
        <w:gridCol w:w="992"/>
        <w:gridCol w:w="1135"/>
        <w:gridCol w:w="992"/>
      </w:tblGrid>
      <w:tr w:rsidR="00000000" w:rsidRPr="00EE1E0C">
        <w:tblPrEx>
          <w:tblCellMar>
            <w:top w:w="0" w:type="dxa"/>
            <w:bottom w:w="0" w:type="dxa"/>
          </w:tblCellMar>
        </w:tblPrEx>
        <w:trPr>
          <w:cantSplit/>
        </w:trPr>
        <w:tc>
          <w:tcPr>
            <w:tcW w:w="1771" w:type="dxa"/>
          </w:tcPr>
          <w:p w:rsidR="00031A3F" w:rsidRPr="00EE1E0C" w:rsidRDefault="00031A3F">
            <w:pPr>
              <w:pStyle w:val="Normaltindrag"/>
              <w:ind w:firstLine="0"/>
            </w:pPr>
            <w:r w:rsidRPr="00EE1E0C">
              <w:t>År</w:t>
            </w:r>
          </w:p>
        </w:tc>
        <w:tc>
          <w:tcPr>
            <w:tcW w:w="2126" w:type="dxa"/>
            <w:gridSpan w:val="2"/>
          </w:tcPr>
          <w:p w:rsidR="00031A3F" w:rsidRPr="00EE1E0C" w:rsidRDefault="00031A3F">
            <w:pPr>
              <w:pStyle w:val="Normaltindrag"/>
              <w:ind w:firstLine="0"/>
              <w:jc w:val="center"/>
            </w:pPr>
            <w:r w:rsidRPr="00EE1E0C">
              <w:t>1997</w:t>
            </w:r>
          </w:p>
        </w:tc>
        <w:tc>
          <w:tcPr>
            <w:tcW w:w="2127" w:type="dxa"/>
            <w:gridSpan w:val="2"/>
          </w:tcPr>
          <w:p w:rsidR="00031A3F" w:rsidRPr="00EE1E0C" w:rsidRDefault="00031A3F">
            <w:pPr>
              <w:pStyle w:val="Normaltindrag"/>
              <w:ind w:firstLine="0"/>
              <w:jc w:val="center"/>
            </w:pPr>
            <w:r w:rsidRPr="00EE1E0C">
              <w:t>1998</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Brottstyp</w:t>
            </w:r>
          </w:p>
        </w:tc>
        <w:tc>
          <w:tcPr>
            <w:tcW w:w="1134" w:type="dxa"/>
          </w:tcPr>
          <w:p w:rsidR="00031A3F" w:rsidRPr="00EE1E0C" w:rsidRDefault="00031A3F">
            <w:pPr>
              <w:pStyle w:val="Normaltindrag"/>
              <w:ind w:firstLine="0"/>
            </w:pPr>
            <w:r w:rsidRPr="00EE1E0C">
              <w:t>Samtliga brott (ej eko)</w:t>
            </w:r>
          </w:p>
        </w:tc>
        <w:tc>
          <w:tcPr>
            <w:tcW w:w="992" w:type="dxa"/>
          </w:tcPr>
          <w:p w:rsidR="00031A3F" w:rsidRPr="00EE1E0C" w:rsidRDefault="00031A3F">
            <w:pPr>
              <w:pStyle w:val="Normaltindrag"/>
              <w:ind w:firstLine="0"/>
            </w:pPr>
            <w:r w:rsidRPr="00EE1E0C">
              <w:t>Våld</w:t>
            </w:r>
            <w:r w:rsidRPr="00EE1E0C">
              <w:t>s</w:t>
            </w:r>
            <w:r w:rsidRPr="00EE1E0C">
              <w:t>brott</w:t>
            </w:r>
          </w:p>
        </w:tc>
        <w:tc>
          <w:tcPr>
            <w:tcW w:w="1135" w:type="dxa"/>
          </w:tcPr>
          <w:p w:rsidR="00031A3F" w:rsidRPr="00EE1E0C" w:rsidRDefault="00031A3F">
            <w:pPr>
              <w:pStyle w:val="Normaltindrag"/>
              <w:ind w:firstLine="0"/>
            </w:pPr>
            <w:r w:rsidRPr="00EE1E0C">
              <w:t>Samtliga brott (ej eko)</w:t>
            </w:r>
          </w:p>
        </w:tc>
        <w:tc>
          <w:tcPr>
            <w:tcW w:w="992" w:type="dxa"/>
          </w:tcPr>
          <w:p w:rsidR="00031A3F" w:rsidRPr="00EE1E0C" w:rsidRDefault="00031A3F">
            <w:pPr>
              <w:pStyle w:val="Normaltindrag"/>
              <w:ind w:firstLine="0"/>
            </w:pPr>
            <w:r w:rsidRPr="00EE1E0C">
              <w:t>Våld</w:t>
            </w:r>
            <w:r w:rsidRPr="00EE1E0C">
              <w:t>s</w:t>
            </w:r>
            <w:r w:rsidRPr="00EE1E0C">
              <w:t>brott</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Stockholms län*</w:t>
            </w:r>
          </w:p>
        </w:tc>
        <w:tc>
          <w:tcPr>
            <w:tcW w:w="1134" w:type="dxa"/>
          </w:tcPr>
          <w:p w:rsidR="00031A3F" w:rsidRPr="00EE1E0C" w:rsidRDefault="00031A3F">
            <w:pPr>
              <w:pStyle w:val="Normaltindrag"/>
              <w:ind w:firstLine="0"/>
              <w:jc w:val="right"/>
            </w:pPr>
            <w:r w:rsidRPr="00EE1E0C">
              <w:t>51 dagar</w:t>
            </w:r>
          </w:p>
        </w:tc>
        <w:tc>
          <w:tcPr>
            <w:tcW w:w="992" w:type="dxa"/>
          </w:tcPr>
          <w:p w:rsidR="00031A3F" w:rsidRPr="00EE1E0C" w:rsidRDefault="00031A3F">
            <w:pPr>
              <w:pStyle w:val="Normaltindrag"/>
              <w:ind w:firstLine="0"/>
              <w:jc w:val="right"/>
            </w:pPr>
            <w:r w:rsidRPr="00EE1E0C">
              <w:t>36 dagar</w:t>
            </w:r>
          </w:p>
        </w:tc>
        <w:tc>
          <w:tcPr>
            <w:tcW w:w="1135" w:type="dxa"/>
          </w:tcPr>
          <w:p w:rsidR="00031A3F" w:rsidRPr="00EE1E0C" w:rsidRDefault="00031A3F">
            <w:pPr>
              <w:pStyle w:val="Normaltindrag"/>
              <w:ind w:firstLine="0"/>
              <w:jc w:val="right"/>
            </w:pPr>
            <w:r w:rsidRPr="00EE1E0C">
              <w:t>41dagar</w:t>
            </w:r>
          </w:p>
        </w:tc>
        <w:tc>
          <w:tcPr>
            <w:tcW w:w="992" w:type="dxa"/>
          </w:tcPr>
          <w:p w:rsidR="00031A3F" w:rsidRPr="00EE1E0C" w:rsidRDefault="00031A3F">
            <w:pPr>
              <w:pStyle w:val="Normaltindrag"/>
              <w:ind w:firstLine="0"/>
              <w:jc w:val="right"/>
            </w:pPr>
            <w:r w:rsidRPr="00EE1E0C">
              <w:t>44 dagar</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Östergötlands län</w:t>
            </w:r>
          </w:p>
        </w:tc>
        <w:tc>
          <w:tcPr>
            <w:tcW w:w="1134" w:type="dxa"/>
          </w:tcPr>
          <w:p w:rsidR="00031A3F" w:rsidRPr="00EE1E0C" w:rsidRDefault="00031A3F">
            <w:pPr>
              <w:pStyle w:val="Normaltindrag"/>
              <w:ind w:firstLine="0"/>
              <w:jc w:val="right"/>
            </w:pPr>
            <w:r w:rsidRPr="00EE1E0C">
              <w:t>45 dagar</w:t>
            </w:r>
          </w:p>
        </w:tc>
        <w:tc>
          <w:tcPr>
            <w:tcW w:w="992" w:type="dxa"/>
          </w:tcPr>
          <w:p w:rsidR="00031A3F" w:rsidRPr="00EE1E0C" w:rsidRDefault="00031A3F">
            <w:pPr>
              <w:pStyle w:val="Normaltindrag"/>
              <w:ind w:firstLine="0"/>
              <w:jc w:val="right"/>
            </w:pPr>
            <w:r w:rsidRPr="00EE1E0C">
              <w:t>38 dagar</w:t>
            </w:r>
          </w:p>
        </w:tc>
        <w:tc>
          <w:tcPr>
            <w:tcW w:w="1135" w:type="dxa"/>
          </w:tcPr>
          <w:p w:rsidR="00031A3F" w:rsidRPr="00EE1E0C" w:rsidRDefault="00031A3F">
            <w:pPr>
              <w:pStyle w:val="Normaltindrag"/>
              <w:ind w:firstLine="0"/>
              <w:jc w:val="right"/>
            </w:pPr>
            <w:r w:rsidRPr="00EE1E0C">
              <w:t>65 dagar</w:t>
            </w:r>
          </w:p>
        </w:tc>
        <w:tc>
          <w:tcPr>
            <w:tcW w:w="992" w:type="dxa"/>
          </w:tcPr>
          <w:p w:rsidR="00031A3F" w:rsidRPr="00EE1E0C" w:rsidRDefault="00031A3F">
            <w:pPr>
              <w:pStyle w:val="Normaltindrag"/>
              <w:ind w:firstLine="0"/>
              <w:jc w:val="right"/>
            </w:pPr>
            <w:r w:rsidRPr="00EE1E0C">
              <w:t>60 dagar</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Västernorrlands län</w:t>
            </w:r>
          </w:p>
        </w:tc>
        <w:tc>
          <w:tcPr>
            <w:tcW w:w="1134" w:type="dxa"/>
          </w:tcPr>
          <w:p w:rsidR="00031A3F" w:rsidRPr="00EE1E0C" w:rsidRDefault="00031A3F">
            <w:pPr>
              <w:pStyle w:val="Normaltindrag"/>
              <w:ind w:firstLine="0"/>
              <w:jc w:val="right"/>
            </w:pPr>
            <w:r w:rsidRPr="00EE1E0C">
              <w:t>39 dagar</w:t>
            </w:r>
          </w:p>
        </w:tc>
        <w:tc>
          <w:tcPr>
            <w:tcW w:w="992" w:type="dxa"/>
          </w:tcPr>
          <w:p w:rsidR="00031A3F" w:rsidRPr="00EE1E0C" w:rsidRDefault="00031A3F">
            <w:pPr>
              <w:pStyle w:val="Normaltindrag"/>
              <w:ind w:firstLine="0"/>
              <w:jc w:val="right"/>
            </w:pPr>
            <w:r w:rsidRPr="00EE1E0C">
              <w:t>48 dagar</w:t>
            </w:r>
          </w:p>
        </w:tc>
        <w:tc>
          <w:tcPr>
            <w:tcW w:w="1135" w:type="dxa"/>
          </w:tcPr>
          <w:p w:rsidR="00031A3F" w:rsidRPr="00EE1E0C" w:rsidRDefault="00031A3F">
            <w:pPr>
              <w:pStyle w:val="Normaltindrag"/>
              <w:ind w:firstLine="0"/>
              <w:jc w:val="right"/>
            </w:pPr>
            <w:r w:rsidRPr="00EE1E0C">
              <w:t>30 dagar</w:t>
            </w:r>
          </w:p>
        </w:tc>
        <w:tc>
          <w:tcPr>
            <w:tcW w:w="992" w:type="dxa"/>
          </w:tcPr>
          <w:p w:rsidR="00031A3F" w:rsidRPr="00EE1E0C" w:rsidRDefault="00031A3F">
            <w:pPr>
              <w:pStyle w:val="Normaltindrag"/>
              <w:ind w:firstLine="0"/>
              <w:jc w:val="right"/>
            </w:pPr>
            <w:r w:rsidRPr="00EE1E0C">
              <w:t>40 dagar</w:t>
            </w:r>
          </w:p>
        </w:tc>
      </w:tr>
      <w:tr w:rsidR="00000000" w:rsidRPr="00EE1E0C">
        <w:tblPrEx>
          <w:tblCellMar>
            <w:top w:w="0" w:type="dxa"/>
            <w:bottom w:w="0" w:type="dxa"/>
          </w:tblCellMar>
        </w:tblPrEx>
        <w:tc>
          <w:tcPr>
            <w:tcW w:w="1771" w:type="dxa"/>
          </w:tcPr>
          <w:p w:rsidR="00031A3F" w:rsidRPr="00EE1E0C" w:rsidRDefault="00031A3F">
            <w:pPr>
              <w:pStyle w:val="Normaltindrag"/>
              <w:ind w:firstLine="0"/>
            </w:pPr>
            <w:r w:rsidRPr="00EE1E0C">
              <w:t>Riket</w:t>
            </w:r>
          </w:p>
        </w:tc>
        <w:tc>
          <w:tcPr>
            <w:tcW w:w="1134" w:type="dxa"/>
          </w:tcPr>
          <w:p w:rsidR="00031A3F" w:rsidRPr="00EE1E0C" w:rsidRDefault="00031A3F">
            <w:pPr>
              <w:pStyle w:val="Normaltindrag"/>
              <w:ind w:firstLine="0"/>
              <w:jc w:val="right"/>
            </w:pPr>
            <w:r w:rsidRPr="00EE1E0C">
              <w:t>42 dagar</w:t>
            </w:r>
          </w:p>
        </w:tc>
        <w:tc>
          <w:tcPr>
            <w:tcW w:w="992" w:type="dxa"/>
          </w:tcPr>
          <w:p w:rsidR="00031A3F" w:rsidRPr="00EE1E0C" w:rsidRDefault="00031A3F">
            <w:pPr>
              <w:pStyle w:val="Normaltindrag"/>
              <w:ind w:firstLine="0"/>
              <w:jc w:val="right"/>
            </w:pPr>
            <w:r w:rsidRPr="00EE1E0C">
              <w:t>33 dagar</w:t>
            </w:r>
          </w:p>
        </w:tc>
        <w:tc>
          <w:tcPr>
            <w:tcW w:w="1135" w:type="dxa"/>
          </w:tcPr>
          <w:p w:rsidR="00031A3F" w:rsidRPr="00EE1E0C" w:rsidRDefault="00031A3F">
            <w:pPr>
              <w:pStyle w:val="Normaltindrag"/>
              <w:ind w:firstLine="0"/>
              <w:jc w:val="right"/>
            </w:pPr>
            <w:r w:rsidRPr="00EE1E0C">
              <w:t>47 dagar</w:t>
            </w:r>
          </w:p>
        </w:tc>
        <w:tc>
          <w:tcPr>
            <w:tcW w:w="992" w:type="dxa"/>
          </w:tcPr>
          <w:p w:rsidR="00031A3F" w:rsidRPr="00EE1E0C" w:rsidRDefault="00031A3F">
            <w:pPr>
              <w:pStyle w:val="Normaltindrag"/>
              <w:ind w:firstLine="0"/>
              <w:jc w:val="right"/>
            </w:pPr>
            <w:r w:rsidRPr="00EE1E0C">
              <w:t>46 dagar</w:t>
            </w:r>
          </w:p>
        </w:tc>
      </w:tr>
    </w:tbl>
    <w:p w:rsidR="00031A3F" w:rsidRPr="00EE1E0C" w:rsidRDefault="00031A3F">
      <w:pPr>
        <w:pStyle w:val="Tabellrubrik"/>
        <w:rPr>
          <w:rFonts w:ascii="Helv" w:hAnsi="Helv"/>
          <w:snapToGrid w:val="0"/>
          <w:color w:val="000000"/>
          <w:lang w:eastAsia="sv-SE"/>
        </w:rPr>
      </w:pPr>
      <w:r w:rsidRPr="00EE1E0C">
        <w:rPr>
          <w:b w:val="0"/>
        </w:rPr>
        <w:t>* Inklusive lokala åklagare i Visby</w:t>
      </w:r>
      <w:r w:rsidRPr="00EE1E0C">
        <w:rPr>
          <w:rFonts w:ascii="Helv" w:hAnsi="Helv"/>
          <w:snapToGrid w:val="0"/>
          <w:color w:val="000000"/>
          <w:lang w:eastAsia="sv-SE"/>
        </w:rPr>
        <w:t xml:space="preserve"> </w:t>
      </w:r>
      <w:r w:rsidRPr="00EE1E0C">
        <w:rPr>
          <w:rFonts w:ascii="Helv" w:hAnsi="Helv"/>
          <w:snapToGrid w:val="0"/>
          <w:color w:val="000000"/>
          <w:lang w:eastAsia="sv-SE"/>
        </w:rPr>
        <w:tab/>
      </w:r>
    </w:p>
    <w:p w:rsidR="00031A3F" w:rsidRPr="00EE1E0C" w:rsidRDefault="00031A3F">
      <w:pPr>
        <w:pStyle w:val="Tabellrubrik"/>
        <w:rPr>
          <w:b w:val="0"/>
          <w:i/>
        </w:rPr>
      </w:pPr>
      <w:r w:rsidRPr="00EE1E0C">
        <w:rPr>
          <w:b w:val="0"/>
          <w:i/>
        </w:rPr>
        <w:t>Källa: Riksåklagaren</w:t>
      </w:r>
    </w:p>
    <w:p w:rsidR="00031A3F" w:rsidRPr="00EE1E0C" w:rsidRDefault="00031A3F">
      <w:bookmarkStart w:id="269" w:name="_Toc448905438"/>
      <w:r w:rsidRPr="00EE1E0C">
        <w:t>Enligt Domstolsverkets årsredovisning för 1998 tar det i genomsnitt ca 66 dagar från det att beslut om att åtal skall väckas har fattats tills ärendet blir avgjort i domstol.</w:t>
      </w:r>
    </w:p>
    <w:p w:rsidR="00031A3F" w:rsidRPr="00EE1E0C" w:rsidRDefault="00031A3F">
      <w:pPr>
        <w:pStyle w:val="Rubrik3"/>
      </w:pPr>
      <w:bookmarkStart w:id="270" w:name="_Toc454180260"/>
      <w:bookmarkStart w:id="271" w:name="_Toc466264223"/>
      <w:r w:rsidRPr="00EE1E0C">
        <w:t>Om förundersökningen</w:t>
      </w:r>
      <w:bookmarkEnd w:id="269"/>
      <w:bookmarkEnd w:id="270"/>
      <w:bookmarkEnd w:id="271"/>
    </w:p>
    <w:p w:rsidR="00031A3F" w:rsidRPr="00EE1E0C" w:rsidRDefault="00031A3F">
      <w:r w:rsidRPr="00EE1E0C">
        <w:t xml:space="preserve">Förundersökning skall inledas så snart någon anmäler ett brott eller om det finns anledning att anta att ett brott som hör under allmänt åtal har begåtts. En förundersökning behöver inte inledas om det är uppenbart att brottet inte går att utreda. Förundersökning behöver inte heller inledas </w:t>
      </w:r>
    </w:p>
    <w:p w:rsidR="00031A3F" w:rsidRPr="00EE1E0C" w:rsidRDefault="00031A3F">
      <w:pPr>
        <w:numPr>
          <w:ilvl w:val="0"/>
          <w:numId w:val="271"/>
        </w:numPr>
      </w:pPr>
      <w:r w:rsidRPr="00EE1E0C">
        <w:t xml:space="preserve">då en utredning skulle kräva resurser som inte står i rimligt förhållande till sakens betydelse och påföljden inte skulle bli svårare än böter </w:t>
      </w:r>
    </w:p>
    <w:p w:rsidR="00031A3F" w:rsidRPr="00EE1E0C" w:rsidRDefault="00031A3F">
      <w:pPr>
        <w:pStyle w:val="Normaltindrag"/>
        <w:numPr>
          <w:ilvl w:val="0"/>
          <w:numId w:val="269"/>
        </w:numPr>
      </w:pPr>
      <w:r w:rsidRPr="00EE1E0C">
        <w:t>om det kan antas att åtal inte skulle väckas till följd av åtalsunderlåtelse eller särskild åtalsprövning samt att något väsentligt allmänt eller enskilt intresse inte åsidosätts genom att förundersökningen inte inleds</w:t>
      </w:r>
    </w:p>
    <w:p w:rsidR="00031A3F" w:rsidRPr="00EE1E0C" w:rsidRDefault="00031A3F">
      <w:pPr>
        <w:pStyle w:val="Normaltindrag"/>
        <w:numPr>
          <w:ilvl w:val="0"/>
          <w:numId w:val="269"/>
        </w:numPr>
      </w:pPr>
      <w:r w:rsidRPr="00EE1E0C">
        <w:t>om det ändå finns tillräckliga skäl för åtal och det gäller ett brott som inte kan antas ge annan påföljd än böter.</w:t>
      </w:r>
    </w:p>
    <w:p w:rsidR="00031A3F" w:rsidRPr="00EE1E0C" w:rsidRDefault="00031A3F">
      <w:r w:rsidRPr="00EE1E0C">
        <w:t>Beslutet att inleda en förundersökning fattas av en polismyndighet eller åklagaren. I praktiken fattas beslutet oftast av vakthavande befäl hos polisen. Har förundersökning inletts och anmälan gäller en allvarlig händelse skall ledningen av förundersökningen övertas av åklagaren när någon skäligen kan misstänkas för brottet. Åklagaren skall också överta ledningen om det finns särskilda skäl. Vid samtliga polismyndigheter och åklagarkamrar har avtal om ansvarsfördelning mellan polisen och åklagare träffats.</w:t>
      </w:r>
      <w:r w:rsidRPr="00EE1E0C">
        <w:t xml:space="preserve"> I allmänhet är polismyndigheten förundersökningsledare i ärenden av s.k. vardagskaraktär och åklagarna är förundersökningsledare när det gäller mer komplicerade äre</w:t>
      </w:r>
      <w:r w:rsidRPr="00EE1E0C">
        <w:t>n</w:t>
      </w:r>
      <w:r w:rsidRPr="00EE1E0C">
        <w:t xml:space="preserve">den. </w:t>
      </w:r>
    </w:p>
    <w:p w:rsidR="00031A3F" w:rsidRPr="00EE1E0C" w:rsidRDefault="00031A3F">
      <w:pPr>
        <w:pStyle w:val="Normaltindrag"/>
      </w:pPr>
      <w:r w:rsidRPr="00EE1E0C">
        <w:t>En förundersökning kan avslutas på två sätt. Finns det inte längre anle</w:t>
      </w:r>
      <w:r w:rsidRPr="00EE1E0C">
        <w:t>d</w:t>
      </w:r>
      <w:r w:rsidRPr="00EE1E0C">
        <w:t>ning att fullfölja förundersökningen skall den läggas ned. I reglerna om fö</w:t>
      </w:r>
      <w:r w:rsidRPr="00EE1E0C">
        <w:t>r</w:t>
      </w:r>
      <w:r w:rsidRPr="00EE1E0C">
        <w:t>undersökningsbegränsning anges ett antal förhållanden under vilka en föru</w:t>
      </w:r>
      <w:r w:rsidRPr="00EE1E0C">
        <w:t>n</w:t>
      </w:r>
      <w:r w:rsidRPr="00EE1E0C">
        <w:t>dersökning får läggas ned. Förutsättningar för att lägga ned en förundersö</w:t>
      </w:r>
      <w:r w:rsidRPr="00EE1E0C">
        <w:t>k</w:t>
      </w:r>
      <w:r w:rsidRPr="00EE1E0C">
        <w:t>ning är desamma som gäller för att förundersökning inte behöver inledas (jfr ovan).</w:t>
      </w:r>
    </w:p>
    <w:p w:rsidR="00031A3F" w:rsidRPr="00EE1E0C" w:rsidRDefault="00031A3F">
      <w:pPr>
        <w:pStyle w:val="Normaltindrag"/>
      </w:pPr>
      <w:r w:rsidRPr="00EE1E0C">
        <w:t>Har en fullständig förundersökning utförts avslutas denna genom att åkl</w:t>
      </w:r>
      <w:r w:rsidRPr="00EE1E0C">
        <w:t>a</w:t>
      </w:r>
      <w:r w:rsidRPr="00EE1E0C">
        <w:t>garen beslutar om åtal skall väckas eller om ärendet skall avskrivas. En åkl</w:t>
      </w:r>
      <w:r w:rsidRPr="00EE1E0C">
        <w:t>a</w:t>
      </w:r>
      <w:r w:rsidRPr="00EE1E0C">
        <w:t>gare kan också besluta om strafföreläggande eller åtalsunderlåtelse. Straff</w:t>
      </w:r>
      <w:r w:rsidRPr="00EE1E0C">
        <w:t>ö</w:t>
      </w:r>
      <w:r w:rsidRPr="00EE1E0C">
        <w:t>reläggande innebär att den misstänkte skall godkänna ett bötesstraff. Under vissa förutsättningar får strafföreläggande avse villkorlig dom i förening med böter. Åklagare får besluta om åtalsunderlåtelse i vissa fall under förutsät</w:t>
      </w:r>
      <w:r w:rsidRPr="00EE1E0C">
        <w:t>t</w:t>
      </w:r>
      <w:r w:rsidRPr="00EE1E0C">
        <w:t>ning att något väsentligt allmänt eller enskilt intresse inte åsid</w:t>
      </w:r>
      <w:r w:rsidRPr="00EE1E0C">
        <w:t>o</w:t>
      </w:r>
      <w:r w:rsidRPr="00EE1E0C">
        <w:t xml:space="preserve">sätts. </w:t>
      </w:r>
    </w:p>
    <w:p w:rsidR="00031A3F" w:rsidRPr="00EE1E0C" w:rsidRDefault="00031A3F">
      <w:pPr>
        <w:pStyle w:val="Normaltindrag"/>
      </w:pPr>
      <w:r w:rsidRPr="00EE1E0C">
        <w:t>I praktiken använder såväl polis som åklagare ett f</w:t>
      </w:r>
      <w:r w:rsidRPr="00EE1E0C">
        <w:t>lertal grunder för beslut om att inte inleda förundersökning och för att lägga ner förundersökningen. Hos polisen förekommer 25 beslutskoder och hos åklagarna 60. Exempel på sådana grunder är att gärningen inte är brott, den misstänkte inte har fyllt 15 år eller att den mis</w:t>
      </w:r>
      <w:r w:rsidRPr="00EE1E0C">
        <w:t>s</w:t>
      </w:r>
      <w:r w:rsidRPr="00EE1E0C">
        <w:t>tänkte är avliden.</w:t>
      </w:r>
    </w:p>
    <w:p w:rsidR="00031A3F" w:rsidRPr="00EE1E0C" w:rsidRDefault="00031A3F">
      <w:pPr>
        <w:pStyle w:val="Rubrik2"/>
      </w:pPr>
      <w:bookmarkStart w:id="272" w:name="_Toc448905439"/>
      <w:bookmarkStart w:id="273" w:name="_Toc466264224"/>
      <w:r w:rsidRPr="00EE1E0C">
        <w:t>Revisorernas undersökning</w:t>
      </w:r>
      <w:bookmarkEnd w:id="268"/>
      <w:bookmarkEnd w:id="272"/>
      <w:bookmarkEnd w:id="273"/>
    </w:p>
    <w:p w:rsidR="00031A3F" w:rsidRPr="00EE1E0C" w:rsidRDefault="00031A3F">
      <w:r w:rsidRPr="00EE1E0C">
        <w:t>Revisorerna har undersökt samtliga ärenden som anmälts till polisen under 1997 där en person född 1973 är skäligen misstänkt för misshandel. Unde</w:t>
      </w:r>
      <w:r w:rsidRPr="00EE1E0C">
        <w:t>r</w:t>
      </w:r>
      <w:r w:rsidRPr="00EE1E0C">
        <w:t>sökningen har avsett anmälda brott i Stockholms, Östergötlands och Väste</w:t>
      </w:r>
      <w:r w:rsidRPr="00EE1E0C">
        <w:t>r</w:t>
      </w:r>
      <w:r w:rsidRPr="00EE1E0C">
        <w:t>norrlands län. Syftet har varit att belysa hur lång tid olika myndigheter har använt för att behandla ett ärende och att jämföra myndigheterna i de tre länen med varandra. Det som skiljer revisorernas undersökning från befintlig statistik är att undersökningen enbart omfattar ärenden där det finns en skäl</w:t>
      </w:r>
      <w:r w:rsidRPr="00EE1E0C">
        <w:t>i</w:t>
      </w:r>
      <w:r w:rsidRPr="00EE1E0C">
        <w:t>gen misstänkt, vilket innebär att dessa ärenden rimligtvis borde hanteras snabbare än andra ärenden.</w:t>
      </w:r>
    </w:p>
    <w:p w:rsidR="00031A3F" w:rsidRPr="00EE1E0C" w:rsidRDefault="00031A3F">
      <w:pPr>
        <w:pStyle w:val="Rubrik3"/>
      </w:pPr>
      <w:bookmarkStart w:id="274" w:name="_Toc443275898"/>
      <w:bookmarkStart w:id="275" w:name="_Toc448905440"/>
      <w:bookmarkStart w:id="276" w:name="_Toc454180262"/>
      <w:bookmarkStart w:id="277" w:name="_Toc466264225"/>
      <w:r w:rsidRPr="00EE1E0C">
        <w:t>Metod</w:t>
      </w:r>
      <w:bookmarkEnd w:id="274"/>
      <w:bookmarkEnd w:id="275"/>
      <w:bookmarkEnd w:id="276"/>
      <w:bookmarkEnd w:id="277"/>
    </w:p>
    <w:p w:rsidR="00031A3F" w:rsidRPr="00EE1E0C" w:rsidRDefault="00031A3F">
      <w:r w:rsidRPr="00EE1E0C">
        <w:t xml:space="preserve">Ärendena har hämtats ur polisens databas </w:t>
      </w:r>
      <w:r w:rsidRPr="00EE1E0C">
        <w:rPr>
          <w:i/>
        </w:rPr>
        <w:t xml:space="preserve">Rationell anmälningsrutin </w:t>
      </w:r>
      <w:r w:rsidRPr="00EE1E0C">
        <w:t>(RAR). I förekommande fall har ärendena följts till den åklagarkammare som han</w:t>
      </w:r>
      <w:r w:rsidRPr="00EE1E0C">
        <w:t>d</w:t>
      </w:r>
      <w:r w:rsidRPr="00EE1E0C">
        <w:t>lagt ärendet. Uppgifter om de ärenden som ingår i undersökningen har hä</w:t>
      </w:r>
      <w:r w:rsidRPr="00EE1E0C">
        <w:t>m</w:t>
      </w:r>
      <w:r w:rsidRPr="00EE1E0C">
        <w:t xml:space="preserve">tats ur åklagarnas databas </w:t>
      </w:r>
      <w:r w:rsidRPr="00EE1E0C">
        <w:rPr>
          <w:i/>
        </w:rPr>
        <w:t xml:space="preserve">Diarieföring i brottmål. </w:t>
      </w:r>
      <w:r w:rsidRPr="00EE1E0C">
        <w:t xml:space="preserve">Då åtal har väckts har också ärendet följts till tingsrätten. Undersökningen visar således </w:t>
      </w:r>
      <w:r w:rsidRPr="00EE1E0C">
        <w:rPr>
          <w:i/>
        </w:rPr>
        <w:t>vilka</w:t>
      </w:r>
      <w:r w:rsidRPr="00EE1E0C">
        <w:t xml:space="preserve"> beslut som fattats av polis, åklagare respektive domstol samt </w:t>
      </w:r>
      <w:r w:rsidRPr="00EE1E0C">
        <w:rPr>
          <w:i/>
        </w:rPr>
        <w:t>hur lång tid</w:t>
      </w:r>
      <w:r w:rsidRPr="00EE1E0C">
        <w:t xml:space="preserve"> det har tagit innan b</w:t>
      </w:r>
      <w:r w:rsidRPr="00EE1E0C">
        <w:t>e</w:t>
      </w:r>
      <w:r w:rsidRPr="00EE1E0C">
        <w:t>slutet har fattats.</w:t>
      </w:r>
    </w:p>
    <w:p w:rsidR="00031A3F" w:rsidRPr="00EE1E0C" w:rsidRDefault="00031A3F">
      <w:pPr>
        <w:pStyle w:val="Normaltindrag"/>
      </w:pPr>
      <w:r w:rsidRPr="00EE1E0C">
        <w:t>Begreppet slutredovisning används i kartläggningen i betydelsen att e</w:t>
      </w:r>
      <w:r w:rsidRPr="00EE1E0C">
        <w:t>tt ärende har avslutats vid en myndighet. För polisen kan det innebära beslut om att lägga ned förundersökningen i de fall där polisen är förundersö</w:t>
      </w:r>
      <w:r w:rsidRPr="00EE1E0C">
        <w:t>k</w:t>
      </w:r>
      <w:r w:rsidRPr="00EE1E0C">
        <w:t>ningsledare. Det kan också innebära att ett färdigt förundersökningsprotokoll har överlämnats till åklagaren. Ett ärende avslutas hos åklagaren genom att åklagaren fattar beslut om att väcka åtal eller om att lägga ned ett ärende. I tingsrätten avslutas ett ärende genom att dom avku</w:t>
      </w:r>
      <w:r w:rsidRPr="00EE1E0C">
        <w:t>n</w:t>
      </w:r>
      <w:r w:rsidRPr="00EE1E0C">
        <w:t>nas.</w:t>
      </w:r>
    </w:p>
    <w:p w:rsidR="00031A3F" w:rsidRPr="00EE1E0C" w:rsidRDefault="00031A3F">
      <w:pPr>
        <w:pStyle w:val="Rubrik3"/>
      </w:pPr>
      <w:bookmarkStart w:id="278" w:name="_Toc443275899"/>
      <w:bookmarkStart w:id="279" w:name="_Toc448905441"/>
      <w:bookmarkStart w:id="280" w:name="_Toc454180263"/>
      <w:bookmarkStart w:id="281" w:name="_Toc466264226"/>
      <w:r w:rsidRPr="00EE1E0C">
        <w:t>Förutsättningar</w:t>
      </w:r>
      <w:bookmarkEnd w:id="278"/>
      <w:bookmarkEnd w:id="279"/>
      <w:bookmarkEnd w:id="280"/>
      <w:bookmarkEnd w:id="281"/>
    </w:p>
    <w:p w:rsidR="00031A3F" w:rsidRPr="00EE1E0C" w:rsidRDefault="00031A3F">
      <w:pPr>
        <w:numPr>
          <w:ilvl w:val="0"/>
          <w:numId w:val="64"/>
        </w:numPr>
      </w:pPr>
      <w:r w:rsidRPr="00EE1E0C">
        <w:t>Beslut om åtal som fattats efter den 14 augusti 1998 omfattas inte av undersökningen. Vidare är de domar som avkunnats efter den 30 se</w:t>
      </w:r>
      <w:r w:rsidRPr="00EE1E0C">
        <w:t>p</w:t>
      </w:r>
      <w:r w:rsidRPr="00EE1E0C">
        <w:t>tember 1998 inte redovisade här. Det innebär att medelvärdena för g</w:t>
      </w:r>
      <w:r w:rsidRPr="00EE1E0C">
        <w:t>e</w:t>
      </w:r>
      <w:r w:rsidRPr="00EE1E0C">
        <w:t>nomströmningstiderna kommer att förändras när samtliga ärenden fä</w:t>
      </w:r>
      <w:r w:rsidRPr="00EE1E0C">
        <w:t>r</w:t>
      </w:r>
      <w:r w:rsidRPr="00EE1E0C">
        <w:t>digbehandlats. Det begränsar även möjligheterna att generellt bedöma geno</w:t>
      </w:r>
      <w:r w:rsidRPr="00EE1E0C">
        <w:t>m</w:t>
      </w:r>
      <w:r w:rsidRPr="00EE1E0C">
        <w:t>strömningstiden.</w:t>
      </w:r>
    </w:p>
    <w:p w:rsidR="00031A3F" w:rsidRPr="00EE1E0C" w:rsidRDefault="00031A3F">
      <w:pPr>
        <w:numPr>
          <w:ilvl w:val="0"/>
          <w:numId w:val="64"/>
        </w:numPr>
      </w:pPr>
      <w:r w:rsidRPr="00EE1E0C">
        <w:t xml:space="preserve">Ett ärende avser i denna undersökning en person, född 1973, som i anmälan angivits som skäligen misstänkt för misshandel vid ett tillfälle. I Stockholms län hade 279 ärenden anmälts, i Östergötlands län 47 ärenden och i Västernorrlands län 15 ärenden. </w:t>
      </w:r>
    </w:p>
    <w:p w:rsidR="00031A3F" w:rsidRPr="00EE1E0C" w:rsidRDefault="00031A3F">
      <w:pPr>
        <w:pStyle w:val="Rubrik3"/>
      </w:pPr>
      <w:bookmarkStart w:id="282" w:name="_Toc448905442"/>
      <w:bookmarkStart w:id="283" w:name="_Toc454180264"/>
      <w:bookmarkStart w:id="284" w:name="_Toc466264227"/>
      <w:r w:rsidRPr="00EE1E0C">
        <w:t>Resultat</w:t>
      </w:r>
      <w:bookmarkEnd w:id="282"/>
      <w:bookmarkEnd w:id="283"/>
      <w:bookmarkEnd w:id="284"/>
    </w:p>
    <w:p w:rsidR="00031A3F" w:rsidRPr="00EE1E0C" w:rsidRDefault="00031A3F">
      <w:r w:rsidRPr="00EE1E0C">
        <w:t>Nedan redovisas utfallet för samtliga ärenden som ingår i undersökningen. Av tabellen framgår att 57 procent av ärendena lades ned, av polis eller åkl</w:t>
      </w:r>
      <w:r w:rsidRPr="00EE1E0C">
        <w:t>a</w:t>
      </w:r>
      <w:r w:rsidRPr="00EE1E0C">
        <w:t>gare,  och att sammanlagt 24 procent av ärendena fortfarande var under u</w:t>
      </w:r>
      <w:r w:rsidRPr="00EE1E0C">
        <w:t>t</w:t>
      </w:r>
      <w:r w:rsidRPr="00EE1E0C">
        <w:t>redning i mitten av augusti 1998. Endast 18 procent hade lett till dom, stra</w:t>
      </w:r>
      <w:r w:rsidRPr="00EE1E0C">
        <w:t>f</w:t>
      </w:r>
      <w:r w:rsidRPr="00EE1E0C">
        <w:t>föreläggande eller åtalsu</w:t>
      </w:r>
      <w:r w:rsidRPr="00EE1E0C">
        <w:t>n</w:t>
      </w:r>
      <w:r w:rsidRPr="00EE1E0C">
        <w:t>derlåtelse före utgången av september 1998.</w:t>
      </w:r>
    </w:p>
    <w:p w:rsidR="00031A3F" w:rsidRPr="00EE1E0C" w:rsidRDefault="00031A3F">
      <w:r w:rsidRPr="00EE1E0C">
        <w:br w:type="page"/>
        <w:t>Samtliga ärenden</w:t>
      </w:r>
    </w:p>
    <w:p w:rsidR="00031A3F" w:rsidRPr="00EE1E0C" w:rsidRDefault="00EE1E0C">
      <w:pPr>
        <w:pStyle w:val="Normaltindrag"/>
      </w:pPr>
      <w:r w:rsidRPr="00EE1E0C">
        <w:rPr>
          <w:i/>
          <w:noProof/>
        </w:rPr>
        <mc:AlternateContent>
          <mc:Choice Requires="wps">
            <w:drawing>
              <wp:anchor distT="0" distB="0" distL="114300" distR="114300" simplePos="0" relativeHeight="251630080" behindDoc="0" locked="0" layoutInCell="0" allowOverlap="1">
                <wp:simplePos x="0" y="0"/>
                <wp:positionH relativeFrom="column">
                  <wp:posOffset>1383030</wp:posOffset>
                </wp:positionH>
                <wp:positionV relativeFrom="paragraph">
                  <wp:posOffset>33020</wp:posOffset>
                </wp:positionV>
                <wp:extent cx="914400" cy="457200"/>
                <wp:effectExtent l="0" t="0" r="0" b="0"/>
                <wp:wrapNone/>
                <wp:docPr id="8630862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341 anmälda ärenden.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108.9pt;margin-top:2.6pt;width:1in;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" o:allowincell="f">
                <v:textbox>
                  <w:txbxContent>
                    <w:p w:rsidR="00031A3F" w:rsidRPr="00EE1E0C" w:rsidRDefault="00031A3F">
                      <w:r w:rsidRPr="00EE1E0C">
                        <w:t>341 anmälda ärenden.</w:t>
                      </w:r>
                    </w:p>
                  </w:txbxContent>
                </v:textbox>
              </v:shape>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632128" behindDoc="0" locked="0" layoutInCell="0" allowOverlap="1">
                <wp:simplePos x="0" y="0"/>
                <wp:positionH relativeFrom="column">
                  <wp:posOffset>2571750</wp:posOffset>
                </wp:positionH>
                <wp:positionV relativeFrom="paragraph">
                  <wp:posOffset>58420</wp:posOffset>
                </wp:positionV>
                <wp:extent cx="914400" cy="457200"/>
                <wp:effectExtent l="0" t="0" r="0" b="0"/>
                <wp:wrapNone/>
                <wp:docPr id="8655182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Uppgift sa</w:t>
                            </w:r>
                            <w:r w:rsidRPr="00EE1E0C">
                              <w:t>k</w:t>
                            </w:r>
                            <w:r w:rsidRPr="00EE1E0C">
                              <w:t>nas i ett fall.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202.5pt;margin-top:4.6pt;width:1in;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" o:allowincell="f">
                <v:textbox>
                  <w:txbxContent>
                    <w:p w:rsidR="00031A3F" w:rsidRPr="00EE1E0C" w:rsidRDefault="00031A3F">
                      <w:r w:rsidRPr="00EE1E0C">
                        <w:t>Uppgift sa</w:t>
                      </w:r>
                      <w:r w:rsidRPr="00EE1E0C">
                        <w:t>k</w:t>
                      </w:r>
                      <w:r w:rsidRPr="00EE1E0C">
                        <w:t>nas i ett fall.</w:t>
                      </w:r>
                    </w:p>
                  </w:txbxContent>
                </v:textbox>
              </v:shape>
            </w:pict>
          </mc:Fallback>
        </mc:AlternateContent>
      </w: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85376" behindDoc="0" locked="0" layoutInCell="0" allowOverlap="1">
                <wp:simplePos x="0" y="0"/>
                <wp:positionH relativeFrom="column">
                  <wp:posOffset>1200150</wp:posOffset>
                </wp:positionH>
                <wp:positionV relativeFrom="paragraph">
                  <wp:posOffset>21590</wp:posOffset>
                </wp:positionV>
                <wp:extent cx="182880" cy="91440"/>
                <wp:effectExtent l="0" t="0" r="0" b="0"/>
                <wp:wrapNone/>
                <wp:docPr id="19401770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110BB" id="Line 72"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7pt" to="108.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" o:allowincell="f"/>
            </w:pict>
          </mc:Fallback>
        </mc:AlternateContent>
      </w:r>
      <w:r w:rsidRPr="00EE1E0C">
        <w:rPr>
          <w:noProof/>
        </w:rPr>
        <mc:AlternateContent>
          <mc:Choice Requires="wps">
            <w:drawing>
              <wp:anchor distT="0" distB="0" distL="114300" distR="114300" simplePos="0" relativeHeight="251684352" behindDoc="0" locked="0" layoutInCell="0" allowOverlap="1">
                <wp:simplePos x="0" y="0"/>
                <wp:positionH relativeFrom="column">
                  <wp:posOffset>1840230</wp:posOffset>
                </wp:positionH>
                <wp:positionV relativeFrom="paragraph">
                  <wp:posOffset>21590</wp:posOffset>
                </wp:positionV>
                <wp:extent cx="0" cy="91440"/>
                <wp:effectExtent l="0" t="0" r="0" b="0"/>
                <wp:wrapNone/>
                <wp:docPr id="179991322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7AD7E" id="Line 7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7pt" to="144.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" o:allowincell="f"/>
            </w:pict>
          </mc:Fallback>
        </mc:AlternateContent>
      </w:r>
      <w:r w:rsidRPr="00EE1E0C">
        <w:rPr>
          <w:noProof/>
        </w:rPr>
        <mc:AlternateContent>
          <mc:Choice Requires="wps">
            <w:drawing>
              <wp:anchor distT="0" distB="0" distL="114300" distR="114300" simplePos="0" relativeHeight="251683328" behindDoc="0" locked="0" layoutInCell="0" allowOverlap="1">
                <wp:simplePos x="0" y="0"/>
                <wp:positionH relativeFrom="column">
                  <wp:posOffset>2297430</wp:posOffset>
                </wp:positionH>
                <wp:positionV relativeFrom="paragraph">
                  <wp:posOffset>21590</wp:posOffset>
                </wp:positionV>
                <wp:extent cx="182880" cy="274320"/>
                <wp:effectExtent l="0" t="0" r="0" b="0"/>
                <wp:wrapNone/>
                <wp:docPr id="2120175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D5ED8" id="Line 7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1.7pt" to="195.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" o:allowincell="f"/>
            </w:pict>
          </mc:Fallback>
        </mc:AlternateContent>
      </w:r>
      <w:r w:rsidRPr="00EE1E0C">
        <w:rPr>
          <w:noProof/>
        </w:rPr>
        <mc:AlternateContent>
          <mc:Choice Requires="wps">
            <w:drawing>
              <wp:anchor distT="0" distB="0" distL="114300" distR="114300" simplePos="0" relativeHeight="251682304" behindDoc="0" locked="0" layoutInCell="0" allowOverlap="1">
                <wp:simplePos x="0" y="0"/>
                <wp:positionH relativeFrom="column">
                  <wp:posOffset>2297430</wp:posOffset>
                </wp:positionH>
                <wp:positionV relativeFrom="paragraph">
                  <wp:posOffset>21590</wp:posOffset>
                </wp:positionV>
                <wp:extent cx="274320" cy="91440"/>
                <wp:effectExtent l="0" t="0" r="0" b="0"/>
                <wp:wrapNone/>
                <wp:docPr id="91654754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DF5F2" id="Line 6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1.7pt" to="20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" o:allowincell="f"/>
            </w:pict>
          </mc:Fallback>
        </mc:AlternateContent>
      </w:r>
      <w:r w:rsidRPr="00EE1E0C">
        <w:rPr>
          <w:noProof/>
        </w:rPr>
        <mc:AlternateContent>
          <mc:Choice Requires="wps">
            <w:drawing>
              <wp:anchor distT="0" distB="0" distL="114300" distR="114300" simplePos="0" relativeHeight="251633152" behindDoc="0" locked="0" layoutInCell="0" allowOverlap="1">
                <wp:simplePos x="0" y="0"/>
                <wp:positionH relativeFrom="column">
                  <wp:posOffset>11430</wp:posOffset>
                </wp:positionH>
                <wp:positionV relativeFrom="paragraph">
                  <wp:posOffset>113030</wp:posOffset>
                </wp:positionV>
                <wp:extent cx="1188720" cy="822960"/>
                <wp:effectExtent l="0" t="0" r="0" b="0"/>
                <wp:wrapNone/>
                <wp:docPr id="1129060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8229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 xml:space="preserve">145 ärenden (43 %) lades ned efter handläggningen av polis.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9pt;margin-top:8.9pt;width:93.6pt;height:64.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" o:allowincell="f">
                <v:textbox>
                  <w:txbxContent>
                    <w:p w:rsidR="00031A3F" w:rsidRPr="00EE1E0C" w:rsidRDefault="00031A3F">
                      <w:r w:rsidRPr="00EE1E0C">
                        <w:t xml:space="preserve">145 ärenden (43 %) lades ned efter handläggningen av polis. </w:t>
                      </w:r>
                    </w:p>
                  </w:txbxContent>
                </v:textbox>
              </v:shape>
            </w:pict>
          </mc:Fallback>
        </mc:AlternateContent>
      </w:r>
      <w:r w:rsidRPr="00EE1E0C">
        <w:rPr>
          <w:noProof/>
        </w:rPr>
        <mc:AlternateContent>
          <mc:Choice Requires="wps">
            <w:drawing>
              <wp:anchor distT="0" distB="0" distL="114300" distR="114300" simplePos="0" relativeHeight="251634176" behindDoc="0" locked="0" layoutInCell="0" allowOverlap="1">
                <wp:simplePos x="0" y="0"/>
                <wp:positionH relativeFrom="column">
                  <wp:posOffset>1383030</wp:posOffset>
                </wp:positionH>
                <wp:positionV relativeFrom="paragraph">
                  <wp:posOffset>113030</wp:posOffset>
                </wp:positionV>
                <wp:extent cx="914400" cy="822960"/>
                <wp:effectExtent l="0" t="0" r="0" b="0"/>
                <wp:wrapNone/>
                <wp:docPr id="164308829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29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138 ärenden (43 %) öve</w:t>
                            </w:r>
                            <w:r w:rsidRPr="00EE1E0C">
                              <w:t>r</w:t>
                            </w:r>
                            <w:r w:rsidRPr="00EE1E0C">
                              <w:t>lämnades till åklagaren.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108.9pt;margin-top:8.9pt;width:1in;height:64.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" o:allowincell="f">
                <v:textbox>
                  <w:txbxContent>
                    <w:p w:rsidR="00031A3F" w:rsidRPr="00EE1E0C" w:rsidRDefault="00031A3F">
                      <w:r w:rsidRPr="00EE1E0C">
                        <w:t>138 ärenden (43 %) öve</w:t>
                      </w:r>
                      <w:r w:rsidRPr="00EE1E0C">
                        <w:t>r</w:t>
                      </w:r>
                      <w:r w:rsidRPr="00EE1E0C">
                        <w:t>lämnades till åklagaren.</w:t>
                      </w:r>
                    </w:p>
                  </w:txbxContent>
                </v:textbox>
              </v:shape>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635200" behindDoc="0" locked="0" layoutInCell="0" allowOverlap="1">
                <wp:simplePos x="0" y="0"/>
                <wp:positionH relativeFrom="column">
                  <wp:posOffset>2480310</wp:posOffset>
                </wp:positionH>
                <wp:positionV relativeFrom="paragraph">
                  <wp:posOffset>140335</wp:posOffset>
                </wp:positionV>
                <wp:extent cx="1097280" cy="640080"/>
                <wp:effectExtent l="0" t="0" r="0" b="0"/>
                <wp:wrapNone/>
                <wp:docPr id="124099128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57 ärenden (17 %) handläggs fortf</w:t>
                            </w:r>
                            <w:r w:rsidRPr="00EE1E0C">
                              <w:t>a</w:t>
                            </w:r>
                            <w:r w:rsidRPr="00EE1E0C">
                              <w:t>rande av polis.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195.3pt;margin-top:11.05pt;width:86.4pt;height:50.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T7GAIAADM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" o:allowincell="f">
                <v:textbox>
                  <w:txbxContent>
                    <w:p w:rsidR="00031A3F" w:rsidRPr="00EE1E0C" w:rsidRDefault="00031A3F">
                      <w:r w:rsidRPr="00EE1E0C">
                        <w:t>57 ärenden (17 %) handläggs fortf</w:t>
                      </w:r>
                      <w:r w:rsidRPr="00EE1E0C">
                        <w:t>a</w:t>
                      </w:r>
                      <w:r w:rsidRPr="00EE1E0C">
                        <w:t>rande av polis.</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89472" behindDoc="0" locked="0" layoutInCell="0" allowOverlap="1">
                <wp:simplePos x="0" y="0"/>
                <wp:positionH relativeFrom="column">
                  <wp:posOffset>1291590</wp:posOffset>
                </wp:positionH>
                <wp:positionV relativeFrom="paragraph">
                  <wp:posOffset>2540</wp:posOffset>
                </wp:positionV>
                <wp:extent cx="91440" cy="182880"/>
                <wp:effectExtent l="0" t="0" r="0" b="0"/>
                <wp:wrapNone/>
                <wp:docPr id="120556828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34F5" id="Line 76"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2pt" to="108.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" o:allowincell="f"/>
            </w:pict>
          </mc:Fallback>
        </mc:AlternateContent>
      </w:r>
      <w:r w:rsidRPr="00EE1E0C">
        <w:rPr>
          <w:noProof/>
        </w:rPr>
        <mc:AlternateContent>
          <mc:Choice Requires="wps">
            <w:drawing>
              <wp:anchor distT="0" distB="0" distL="114300" distR="114300" simplePos="0" relativeHeight="251688448" behindDoc="0" locked="0" layoutInCell="0" allowOverlap="1">
                <wp:simplePos x="0" y="0"/>
                <wp:positionH relativeFrom="column">
                  <wp:posOffset>1474470</wp:posOffset>
                </wp:positionH>
                <wp:positionV relativeFrom="paragraph">
                  <wp:posOffset>2540</wp:posOffset>
                </wp:positionV>
                <wp:extent cx="0" cy="914400"/>
                <wp:effectExtent l="0" t="0" r="0" b="0"/>
                <wp:wrapNone/>
                <wp:docPr id="36859280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6B3EC" id="Line 7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pt" to="116.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" o:allowincell="f"/>
            </w:pict>
          </mc:Fallback>
        </mc:AlternateContent>
      </w:r>
      <w:r w:rsidRPr="00EE1E0C">
        <w:rPr>
          <w:noProof/>
        </w:rPr>
        <mc:AlternateContent>
          <mc:Choice Requires="wps">
            <w:drawing>
              <wp:anchor distT="0" distB="0" distL="114300" distR="114300" simplePos="0" relativeHeight="251687424" behindDoc="0" locked="0" layoutInCell="0" allowOverlap="1">
                <wp:simplePos x="0" y="0"/>
                <wp:positionH relativeFrom="column">
                  <wp:posOffset>2023110</wp:posOffset>
                </wp:positionH>
                <wp:positionV relativeFrom="paragraph">
                  <wp:posOffset>2540</wp:posOffset>
                </wp:positionV>
                <wp:extent cx="0" cy="182880"/>
                <wp:effectExtent l="0" t="0" r="0" b="0"/>
                <wp:wrapNone/>
                <wp:docPr id="136993502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81174" id="Line 7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2pt" to="159.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" o:allowincell="f"/>
            </w:pict>
          </mc:Fallback>
        </mc:AlternateContent>
      </w:r>
      <w:r w:rsidRPr="00EE1E0C">
        <w:rPr>
          <w:noProof/>
        </w:rPr>
        <mc:AlternateContent>
          <mc:Choice Requires="wps">
            <w:drawing>
              <wp:anchor distT="0" distB="0" distL="114300" distR="114300" simplePos="0" relativeHeight="251686400" behindDoc="0" locked="0" layoutInCell="0" allowOverlap="1">
                <wp:simplePos x="0" y="0"/>
                <wp:positionH relativeFrom="column">
                  <wp:posOffset>2297430</wp:posOffset>
                </wp:positionH>
                <wp:positionV relativeFrom="paragraph">
                  <wp:posOffset>2540</wp:posOffset>
                </wp:positionV>
                <wp:extent cx="457200" cy="182880"/>
                <wp:effectExtent l="0" t="0" r="0" b="0"/>
                <wp:wrapNone/>
                <wp:docPr id="126584026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3946D" id="Line 73"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2pt" to="216.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" o:allowincell="f"/>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631104" behindDoc="0" locked="0" layoutInCell="0" allowOverlap="1">
                <wp:simplePos x="0" y="0"/>
                <wp:positionH relativeFrom="column">
                  <wp:posOffset>1565910</wp:posOffset>
                </wp:positionH>
                <wp:positionV relativeFrom="paragraph">
                  <wp:posOffset>29845</wp:posOffset>
                </wp:positionV>
                <wp:extent cx="1097280" cy="640080"/>
                <wp:effectExtent l="0" t="0" r="0" b="0"/>
                <wp:wrapNone/>
                <wp:docPr id="1560296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24 ärenden (7 %) handläggs fortf</w:t>
                            </w:r>
                            <w:r w:rsidRPr="00EE1E0C">
                              <w:t>a</w:t>
                            </w:r>
                            <w:r w:rsidRPr="00EE1E0C">
                              <w:t>rande av åkl</w:t>
                            </w:r>
                            <w:r w:rsidRPr="00EE1E0C">
                              <w:t>a</w:t>
                            </w:r>
                            <w:r w:rsidRPr="00EE1E0C">
                              <w:t>gare.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23.3pt;margin-top:2.35pt;width:86.4pt;height:50.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EXGAIAADM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" o:allowincell="f">
                <v:textbox>
                  <w:txbxContent>
                    <w:p w:rsidR="00031A3F" w:rsidRPr="00EE1E0C" w:rsidRDefault="00031A3F">
                      <w:r w:rsidRPr="00EE1E0C">
                        <w:t>24 ärenden (7 %) handläggs fortf</w:t>
                      </w:r>
                      <w:r w:rsidRPr="00EE1E0C">
                        <w:t>a</w:t>
                      </w:r>
                      <w:r w:rsidRPr="00EE1E0C">
                        <w:t>rande av åkl</w:t>
                      </w:r>
                      <w:r w:rsidRPr="00EE1E0C">
                        <w:t>a</w:t>
                      </w:r>
                      <w:r w:rsidRPr="00EE1E0C">
                        <w:t>gare.</w:t>
                      </w:r>
                    </w:p>
                  </w:txbxContent>
                </v:textbox>
              </v:shape>
            </w:pict>
          </mc:Fallback>
        </mc:AlternateContent>
      </w:r>
      <w:r w:rsidRPr="00EE1E0C">
        <w:rPr>
          <w:noProof/>
        </w:rPr>
        <mc:AlternateContent>
          <mc:Choice Requires="wps">
            <w:drawing>
              <wp:anchor distT="0" distB="0" distL="114300" distR="114300" simplePos="0" relativeHeight="251663872" behindDoc="0" locked="0" layoutInCell="0" allowOverlap="1">
                <wp:simplePos x="0" y="0"/>
                <wp:positionH relativeFrom="column">
                  <wp:posOffset>2754630</wp:posOffset>
                </wp:positionH>
                <wp:positionV relativeFrom="paragraph">
                  <wp:posOffset>29845</wp:posOffset>
                </wp:positionV>
                <wp:extent cx="914400" cy="457200"/>
                <wp:effectExtent l="0" t="0" r="0" b="0"/>
                <wp:wrapNone/>
                <wp:docPr id="81481537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Uppgift sa</w:t>
                            </w:r>
                            <w:r w:rsidRPr="00EE1E0C">
                              <w:t>k</w:t>
                            </w:r>
                            <w:r w:rsidRPr="00EE1E0C">
                              <w:t>nas i två fall.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9" type="#_x0000_t202" style="position:absolute;left:0;text-align:left;margin-left:216.9pt;margin-top:2.35pt;width:1in;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" o:allowincell="f">
                <v:textbox>
                  <w:txbxContent>
                    <w:p w:rsidR="00031A3F" w:rsidRPr="00EE1E0C" w:rsidRDefault="00031A3F">
                      <w:r w:rsidRPr="00EE1E0C">
                        <w:t>Uppgift sa</w:t>
                      </w:r>
                      <w:r w:rsidRPr="00EE1E0C">
                        <w:t>k</w:t>
                      </w:r>
                      <w:r w:rsidRPr="00EE1E0C">
                        <w:t>nas i två fall.</w:t>
                      </w:r>
                    </w:p>
                  </w:txbxContent>
                </v:textbox>
              </v:shape>
            </w:pict>
          </mc:Fallback>
        </mc:AlternateContent>
      </w:r>
      <w:r w:rsidRPr="00EE1E0C">
        <w:rPr>
          <w:noProof/>
        </w:rPr>
        <mc:AlternateContent>
          <mc:Choice Requires="wps">
            <w:drawing>
              <wp:anchor distT="0" distB="0" distL="114300" distR="114300" simplePos="0" relativeHeight="251636224" behindDoc="0" locked="0" layoutInCell="0" allowOverlap="1">
                <wp:simplePos x="0" y="0"/>
                <wp:positionH relativeFrom="column">
                  <wp:posOffset>-80010</wp:posOffset>
                </wp:positionH>
                <wp:positionV relativeFrom="paragraph">
                  <wp:posOffset>29845</wp:posOffset>
                </wp:positionV>
                <wp:extent cx="1371600" cy="640080"/>
                <wp:effectExtent l="0" t="0" r="0" b="0"/>
                <wp:wrapNone/>
                <wp:docPr id="6149636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50 ärenden (15 %) lades ned efter handläggning en av åklag</w:t>
                            </w:r>
                            <w:r w:rsidRPr="00EE1E0C">
                              <w:t>a</w:t>
                            </w:r>
                            <w:r w:rsidRPr="00EE1E0C">
                              <w: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6.3pt;margin-top:2.35pt;width:108pt;height:50.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NQGwIAADM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" o:allowincell="f">
                <v:textbox>
                  <w:txbxContent>
                    <w:p w:rsidR="00031A3F" w:rsidRPr="00EE1E0C" w:rsidRDefault="00031A3F">
                      <w:r w:rsidRPr="00EE1E0C">
                        <w:t>50 ärenden (15 %) lades ned efter handläggning en av åklag</w:t>
                      </w:r>
                      <w:r w:rsidRPr="00EE1E0C">
                        <w:t>a</w:t>
                      </w:r>
                      <w:r w:rsidRPr="00EE1E0C">
                        <w:t>re.</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62848" behindDoc="0" locked="0" layoutInCell="0" allowOverlap="1">
                <wp:simplePos x="0" y="0"/>
                <wp:positionH relativeFrom="column">
                  <wp:posOffset>468630</wp:posOffset>
                </wp:positionH>
                <wp:positionV relativeFrom="paragraph">
                  <wp:posOffset>139065</wp:posOffset>
                </wp:positionV>
                <wp:extent cx="2194560" cy="548640"/>
                <wp:effectExtent l="0" t="0" r="0" b="0"/>
                <wp:wrapNone/>
                <wp:docPr id="12176172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4864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62 ärenden (18 %) ledde till dom, stra</w:t>
                            </w:r>
                            <w:r w:rsidRPr="00EE1E0C">
                              <w:t>f</w:t>
                            </w:r>
                            <w:r w:rsidRPr="00EE1E0C">
                              <w:t>föreläggande eller åtalsunderlåte</w:t>
                            </w:r>
                            <w:r w:rsidRPr="00EE1E0C">
                              <w:t>l</w:t>
                            </w:r>
                            <w:r w:rsidRPr="00EE1E0C">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left:0;text-align:left;margin-left:36.9pt;margin-top:10.95pt;width:172.8pt;height:4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" o:allowincell="f">
                <v:textbox>
                  <w:txbxContent>
                    <w:p w:rsidR="00031A3F" w:rsidRPr="00EE1E0C" w:rsidRDefault="00031A3F">
                      <w:r w:rsidRPr="00EE1E0C">
                        <w:t>62 ärenden (18 %) ledde till dom, stra</w:t>
                      </w:r>
                      <w:r w:rsidRPr="00EE1E0C">
                        <w:t>f</w:t>
                      </w:r>
                      <w:r w:rsidRPr="00EE1E0C">
                        <w:t>föreläggande eller åtalsunderlåte</w:t>
                      </w:r>
                      <w:r w:rsidRPr="00EE1E0C">
                        <w:t>l</w:t>
                      </w:r>
                      <w:r w:rsidRPr="00EE1E0C">
                        <w:t>se.</w:t>
                      </w:r>
                    </w:p>
                  </w:txbxContent>
                </v:textbox>
              </v:shape>
            </w:pict>
          </mc:Fallback>
        </mc:AlternateContent>
      </w:r>
    </w:p>
    <w:p w:rsidR="00031A3F" w:rsidRPr="00EE1E0C" w:rsidRDefault="00031A3F">
      <w:pPr>
        <w:pStyle w:val="Normaltindrag"/>
      </w:pPr>
    </w:p>
    <w:p w:rsidR="00031A3F" w:rsidRPr="00EE1E0C" w:rsidRDefault="00031A3F"/>
    <w:p w:rsidR="00031A3F" w:rsidRPr="00EE1E0C" w:rsidRDefault="00031A3F"/>
    <w:p w:rsidR="00031A3F" w:rsidRPr="00EE1E0C" w:rsidRDefault="00031A3F">
      <w:r w:rsidRPr="00EE1E0C">
        <w:t>Nedan redovisas hur de undersökta ärendena fördelats i respektive län samt antalet dagar som det tagit för olika instanser av rättsväsendet att hantera ärendena. Som framgår nedan är skillnaderna mellan länen störst beträffande åklagarens han</w:t>
      </w:r>
      <w:r w:rsidRPr="00EE1E0C">
        <w:t>d</w:t>
      </w:r>
      <w:r w:rsidRPr="00EE1E0C">
        <w:t>läggningstider.</w:t>
      </w:r>
    </w:p>
    <w:p w:rsidR="00031A3F" w:rsidRPr="00EE1E0C" w:rsidRDefault="00EE1E0C">
      <w:pPr>
        <w:rPr>
          <w:i/>
        </w:rPr>
      </w:pPr>
      <w:r w:rsidRPr="00EE1E0C">
        <w:rPr>
          <w:noProof/>
        </w:rPr>
        <mc:AlternateContent>
          <mc:Choice Requires="wps">
            <w:drawing>
              <wp:anchor distT="0" distB="0" distL="114300" distR="114300" simplePos="0" relativeHeight="251637248" behindDoc="0" locked="0" layoutInCell="0" allowOverlap="1">
                <wp:simplePos x="0" y="0"/>
                <wp:positionH relativeFrom="column">
                  <wp:posOffset>1474470</wp:posOffset>
                </wp:positionH>
                <wp:positionV relativeFrom="paragraph">
                  <wp:posOffset>23495</wp:posOffset>
                </wp:positionV>
                <wp:extent cx="914400" cy="457200"/>
                <wp:effectExtent l="0" t="0" r="0" b="0"/>
                <wp:wrapNone/>
                <wp:docPr id="15579762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279 anmälda ärenden.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left:0;text-align:left;margin-left:116.1pt;margin-top:1.85pt;width:1in;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3duFQIAADI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" o:allowincell="f">
                <v:textbox>
                  <w:txbxContent>
                    <w:p w:rsidR="00031A3F" w:rsidRPr="00EE1E0C" w:rsidRDefault="00031A3F">
                      <w:r w:rsidRPr="00EE1E0C">
                        <w:t>279 anmälda ärenden.</w:t>
                      </w:r>
                    </w:p>
                  </w:txbxContent>
                </v:textbox>
              </v:shape>
            </w:pict>
          </mc:Fallback>
        </mc:AlternateContent>
      </w:r>
      <w:r w:rsidR="00031A3F" w:rsidRPr="00EE1E0C">
        <w:rPr>
          <w:i/>
        </w:rPr>
        <w:t>Stockholms län</w:t>
      </w:r>
    </w:p>
    <w:p w:rsidR="00031A3F" w:rsidRPr="00EE1E0C" w:rsidRDefault="00031A3F">
      <w:r w:rsidRPr="00EE1E0C">
        <w:t xml:space="preserve"> </w:t>
      </w:r>
    </w:p>
    <w:p w:rsidR="00031A3F" w:rsidRPr="00EE1E0C" w:rsidRDefault="00EE1E0C">
      <w:pPr>
        <w:pStyle w:val="Normaltindrag"/>
      </w:pPr>
      <w:r w:rsidRPr="00EE1E0C">
        <w:rPr>
          <w:noProof/>
        </w:rPr>
        <mc:AlternateContent>
          <mc:Choice Requires="wps">
            <w:drawing>
              <wp:anchor distT="0" distB="0" distL="114300" distR="114300" simplePos="0" relativeHeight="251665920" behindDoc="0" locked="0" layoutInCell="0" allowOverlap="1">
                <wp:simplePos x="0" y="0"/>
                <wp:positionH relativeFrom="column">
                  <wp:posOffset>2388870</wp:posOffset>
                </wp:positionH>
                <wp:positionV relativeFrom="paragraph">
                  <wp:posOffset>14605</wp:posOffset>
                </wp:positionV>
                <wp:extent cx="457200" cy="182880"/>
                <wp:effectExtent l="0" t="0" r="0" b="0"/>
                <wp:wrapNone/>
                <wp:docPr id="179569066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F289C" id="Line 5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1.15pt" to="224.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" o:allowincell="f"/>
            </w:pict>
          </mc:Fallback>
        </mc:AlternateContent>
      </w:r>
      <w:r w:rsidRPr="00EE1E0C">
        <w:rPr>
          <w:noProof/>
        </w:rPr>
        <mc:AlternateContent>
          <mc:Choice Requires="wps">
            <w:drawing>
              <wp:anchor distT="0" distB="0" distL="114300" distR="114300" simplePos="0" relativeHeight="251664896" behindDoc="0" locked="0" layoutInCell="0" allowOverlap="1">
                <wp:simplePos x="0" y="0"/>
                <wp:positionH relativeFrom="column">
                  <wp:posOffset>1017270</wp:posOffset>
                </wp:positionH>
                <wp:positionV relativeFrom="paragraph">
                  <wp:posOffset>14605</wp:posOffset>
                </wp:positionV>
                <wp:extent cx="457200" cy="182880"/>
                <wp:effectExtent l="0" t="0" r="0" b="0"/>
                <wp:wrapNone/>
                <wp:docPr id="35455208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CB62" id="Line 5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15pt" to="116.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" o:allowincell="f"/>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643392" behindDoc="0" locked="0" layoutInCell="0" allowOverlap="1">
                <wp:simplePos x="0" y="0"/>
                <wp:positionH relativeFrom="column">
                  <wp:posOffset>-80010</wp:posOffset>
                </wp:positionH>
                <wp:positionV relativeFrom="paragraph">
                  <wp:posOffset>41910</wp:posOffset>
                </wp:positionV>
                <wp:extent cx="1188720" cy="981075"/>
                <wp:effectExtent l="0" t="0" r="0" b="0"/>
                <wp:wrapNone/>
                <wp:docPr id="6026974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981075"/>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130 ärenden lades ned  efter i geno</w:t>
                            </w:r>
                            <w:r w:rsidRPr="00EE1E0C">
                              <w:t>m</w:t>
                            </w:r>
                            <w:r w:rsidRPr="00EE1E0C">
                              <w:t>snitt 111 dagars handläggning av polisen.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left:0;text-align:left;margin-left:-6.3pt;margin-top:3.3pt;width:93.6pt;height:7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" o:allowincell="f">
                <v:textbox>
                  <w:txbxContent>
                    <w:p w:rsidR="00031A3F" w:rsidRPr="00EE1E0C" w:rsidRDefault="00031A3F">
                      <w:r w:rsidRPr="00EE1E0C">
                        <w:t>130 ärenden lades ned  efter i geno</w:t>
                      </w:r>
                      <w:r w:rsidRPr="00EE1E0C">
                        <w:t>m</w:t>
                      </w:r>
                      <w:r w:rsidRPr="00EE1E0C">
                        <w:t>snitt 111 dagars handläggning av polisen.</w:t>
                      </w:r>
                    </w:p>
                  </w:txbxContent>
                </v:textbox>
              </v:shape>
            </w:pict>
          </mc:Fallback>
        </mc:AlternateContent>
      </w:r>
      <w:r w:rsidRPr="00EE1E0C">
        <w:rPr>
          <w:noProof/>
        </w:rPr>
        <mc:AlternateContent>
          <mc:Choice Requires="wps">
            <w:drawing>
              <wp:anchor distT="0" distB="0" distL="114300" distR="114300" simplePos="0" relativeHeight="251641344" behindDoc="0" locked="0" layoutInCell="0" allowOverlap="1">
                <wp:simplePos x="0" y="0"/>
                <wp:positionH relativeFrom="column">
                  <wp:posOffset>1291590</wp:posOffset>
                </wp:positionH>
                <wp:positionV relativeFrom="paragraph">
                  <wp:posOffset>41910</wp:posOffset>
                </wp:positionV>
                <wp:extent cx="1371600" cy="1156970"/>
                <wp:effectExtent l="0" t="0" r="0" b="0"/>
                <wp:wrapNone/>
                <wp:docPr id="17811906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5697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I genomsnitt tog det 110 dagar från anmälan tills ärendet slutredov</w:t>
                            </w:r>
                            <w:r w:rsidRPr="00EE1E0C">
                              <w:t>i</w:t>
                            </w:r>
                            <w:r w:rsidRPr="00EE1E0C">
                              <w:t>sades av polisen. Till åklagaren överlämnades 96 ärenden.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101.7pt;margin-top:3.3pt;width:108pt;height:91.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" o:allowincell="f">
                <v:textbox>
                  <w:txbxContent>
                    <w:p w:rsidR="00031A3F" w:rsidRPr="00EE1E0C" w:rsidRDefault="00031A3F">
                      <w:r w:rsidRPr="00EE1E0C">
                        <w:t>I genomsnitt tog det 110 dagar från anmälan tills ärendet slutredov</w:t>
                      </w:r>
                      <w:r w:rsidRPr="00EE1E0C">
                        <w:t>i</w:t>
                      </w:r>
                      <w:r w:rsidRPr="00EE1E0C">
                        <w:t>sades av polisen. Till åklagaren överlämnades 96 ärenden.</w:t>
                      </w:r>
                    </w:p>
                  </w:txbxContent>
                </v:textbox>
              </v:shape>
            </w:pict>
          </mc:Fallback>
        </mc:AlternateContent>
      </w:r>
      <w:r w:rsidRPr="00EE1E0C">
        <w:rPr>
          <w:noProof/>
        </w:rPr>
        <mc:AlternateContent>
          <mc:Choice Requires="wps">
            <w:drawing>
              <wp:anchor distT="0" distB="0" distL="114300" distR="114300" simplePos="0" relativeHeight="251640320" behindDoc="0" locked="0" layoutInCell="0" allowOverlap="1">
                <wp:simplePos x="0" y="0"/>
                <wp:positionH relativeFrom="column">
                  <wp:posOffset>2754630</wp:posOffset>
                </wp:positionH>
                <wp:positionV relativeFrom="paragraph">
                  <wp:posOffset>41910</wp:posOffset>
                </wp:positionV>
                <wp:extent cx="1188720" cy="608330"/>
                <wp:effectExtent l="0" t="0" r="0" b="0"/>
                <wp:wrapNone/>
                <wp:docPr id="4196151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0833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53 ärenden handl</w:t>
                            </w:r>
                            <w:r w:rsidRPr="00EE1E0C">
                              <w:t>a</w:t>
                            </w:r>
                            <w:r w:rsidRPr="00EE1E0C">
                              <w:t>des fortfarande av polisen.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left:0;text-align:left;margin-left:216.9pt;margin-top:3.3pt;width:93.6pt;height:47.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" o:allowincell="f">
                <v:textbox>
                  <w:txbxContent>
                    <w:p w:rsidR="00031A3F" w:rsidRPr="00EE1E0C" w:rsidRDefault="00031A3F">
                      <w:r w:rsidRPr="00EE1E0C">
                        <w:t>53 ärenden handl</w:t>
                      </w:r>
                      <w:r w:rsidRPr="00EE1E0C">
                        <w:t>a</w:t>
                      </w:r>
                      <w:r w:rsidRPr="00EE1E0C">
                        <w:t>des fortfarande av polisen.</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 w:rsidR="00031A3F" w:rsidRPr="00EE1E0C" w:rsidRDefault="00031A3F"/>
    <w:p w:rsidR="00031A3F" w:rsidRPr="00EE1E0C" w:rsidRDefault="00EE1E0C">
      <w:r w:rsidRPr="00EE1E0C">
        <w:rPr>
          <w:noProof/>
        </w:rPr>
        <mc:AlternateContent>
          <mc:Choice Requires="wps">
            <w:drawing>
              <wp:anchor distT="0" distB="0" distL="114300" distR="114300" simplePos="0" relativeHeight="251678208" behindDoc="0" locked="0" layoutInCell="0" allowOverlap="1">
                <wp:simplePos x="0" y="0"/>
                <wp:positionH relativeFrom="column">
                  <wp:posOffset>1017270</wp:posOffset>
                </wp:positionH>
                <wp:positionV relativeFrom="paragraph">
                  <wp:posOffset>174625</wp:posOffset>
                </wp:positionV>
                <wp:extent cx="274320" cy="182880"/>
                <wp:effectExtent l="0" t="0" r="0" b="0"/>
                <wp:wrapNone/>
                <wp:docPr id="39434067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C2E2B" id="Line 65"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3.75pt" to="101.7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" o:allowincell="f"/>
            </w:pict>
          </mc:Fallback>
        </mc:AlternateContent>
      </w:r>
    </w:p>
    <w:p w:rsidR="00031A3F" w:rsidRPr="00EE1E0C" w:rsidRDefault="00EE1E0C">
      <w:r w:rsidRPr="00EE1E0C">
        <w:rPr>
          <w:noProof/>
        </w:rPr>
        <mc:AlternateContent>
          <mc:Choice Requires="wps">
            <w:drawing>
              <wp:anchor distT="0" distB="0" distL="114300" distR="114300" simplePos="0" relativeHeight="251694592" behindDoc="0" locked="0" layoutInCell="0" allowOverlap="1">
                <wp:simplePos x="0" y="0"/>
                <wp:positionH relativeFrom="column">
                  <wp:posOffset>2480310</wp:posOffset>
                </wp:positionH>
                <wp:positionV relativeFrom="paragraph">
                  <wp:posOffset>76835</wp:posOffset>
                </wp:positionV>
                <wp:extent cx="0" cy="1097280"/>
                <wp:effectExtent l="0" t="0" r="0" b="0"/>
                <wp:wrapNone/>
                <wp:docPr id="107480371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82F21" id="Line 8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6.05pt" to="195.3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" o:allowincell="f"/>
            </w:pict>
          </mc:Fallback>
        </mc:AlternateContent>
      </w:r>
      <w:r w:rsidRPr="00EE1E0C">
        <w:rPr>
          <w:noProof/>
        </w:rPr>
        <mc:AlternateContent>
          <mc:Choice Requires="wps">
            <w:drawing>
              <wp:anchor distT="0" distB="0" distL="114300" distR="114300" simplePos="0" relativeHeight="251639296" behindDoc="0" locked="0" layoutInCell="0" allowOverlap="1">
                <wp:simplePos x="0" y="0"/>
                <wp:positionH relativeFrom="column">
                  <wp:posOffset>1383030</wp:posOffset>
                </wp:positionH>
                <wp:positionV relativeFrom="paragraph">
                  <wp:posOffset>124460</wp:posOffset>
                </wp:positionV>
                <wp:extent cx="914400" cy="829945"/>
                <wp:effectExtent l="0" t="0" r="0" b="0"/>
                <wp:wrapNone/>
                <wp:docPr id="1957267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9945"/>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17 ärenden handlades fortfarande av åklag</w:t>
                            </w:r>
                            <w:r w:rsidRPr="00EE1E0C">
                              <w:t>a</w:t>
                            </w:r>
                            <w:r w:rsidRPr="00EE1E0C">
                              <w:t>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108.9pt;margin-top:9.8pt;width:1in;height:65.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" o:allowincell="f">
                <v:textbox>
                  <w:txbxContent>
                    <w:p w:rsidR="00031A3F" w:rsidRPr="00EE1E0C" w:rsidRDefault="00031A3F">
                      <w:r w:rsidRPr="00EE1E0C">
                        <w:t>17 ärenden handlades fortfarande av åklag</w:t>
                      </w:r>
                      <w:r w:rsidRPr="00EE1E0C">
                        <w:t>a</w:t>
                      </w:r>
                      <w:r w:rsidRPr="00EE1E0C">
                        <w:t>ren.</w:t>
                      </w:r>
                    </w:p>
                  </w:txbxContent>
                </v:textbox>
              </v:shape>
            </w:pict>
          </mc:Fallback>
        </mc:AlternateContent>
      </w:r>
      <w:r w:rsidRPr="00EE1E0C">
        <w:rPr>
          <w:noProof/>
        </w:rPr>
        <mc:AlternateContent>
          <mc:Choice Requires="wps">
            <w:drawing>
              <wp:anchor distT="0" distB="0" distL="114300" distR="114300" simplePos="0" relativeHeight="251690496" behindDoc="0" locked="0" layoutInCell="0" allowOverlap="1">
                <wp:simplePos x="0" y="0"/>
                <wp:positionH relativeFrom="column">
                  <wp:posOffset>2663190</wp:posOffset>
                </wp:positionH>
                <wp:positionV relativeFrom="paragraph">
                  <wp:posOffset>27940</wp:posOffset>
                </wp:positionV>
                <wp:extent cx="457200" cy="91440"/>
                <wp:effectExtent l="0" t="0" r="0" b="0"/>
                <wp:wrapNone/>
                <wp:docPr id="90168459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BB33" id="Line 7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2.2pt" to="24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" o:allowincell="f"/>
            </w:pict>
          </mc:Fallback>
        </mc:AlternateContent>
      </w:r>
      <w:r w:rsidRPr="00EE1E0C">
        <w:rPr>
          <w:noProof/>
        </w:rPr>
        <mc:AlternateContent>
          <mc:Choice Requires="wps">
            <w:drawing>
              <wp:anchor distT="0" distB="0" distL="114300" distR="114300" simplePos="0" relativeHeight="251679232" behindDoc="0" locked="0" layoutInCell="0" allowOverlap="1">
                <wp:simplePos x="0" y="0"/>
                <wp:positionH relativeFrom="column">
                  <wp:posOffset>1840230</wp:posOffset>
                </wp:positionH>
                <wp:positionV relativeFrom="paragraph">
                  <wp:posOffset>33020</wp:posOffset>
                </wp:positionV>
                <wp:extent cx="0" cy="91440"/>
                <wp:effectExtent l="0" t="0" r="0" b="0"/>
                <wp:wrapNone/>
                <wp:docPr id="148569746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D57A" id="Line 6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6pt" to="144.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" o:allowincell="f"/>
            </w:pict>
          </mc:Fallback>
        </mc:AlternateContent>
      </w:r>
      <w:r w:rsidRPr="00EE1E0C">
        <w:rPr>
          <w:noProof/>
        </w:rPr>
        <mc:AlternateContent>
          <mc:Choice Requires="wps">
            <w:drawing>
              <wp:anchor distT="0" distB="0" distL="114300" distR="114300" simplePos="0" relativeHeight="251638272" behindDoc="0" locked="0" layoutInCell="0" allowOverlap="1">
                <wp:simplePos x="0" y="0"/>
                <wp:positionH relativeFrom="column">
                  <wp:posOffset>-80010</wp:posOffset>
                </wp:positionH>
                <wp:positionV relativeFrom="paragraph">
                  <wp:posOffset>124460</wp:posOffset>
                </wp:positionV>
                <wp:extent cx="1371600" cy="822960"/>
                <wp:effectExtent l="0" t="0" r="0" b="0"/>
                <wp:wrapNone/>
                <wp:docPr id="14071936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35 ärenden lades ned av åklagaren i genomsnitt 124 dagar efter det anmälts.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6.3pt;margin-top:9.8pt;width:108pt;height:64.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" o:allowincell="f">
                <v:textbox>
                  <w:txbxContent>
                    <w:p w:rsidR="00031A3F" w:rsidRPr="00EE1E0C" w:rsidRDefault="00031A3F">
                      <w:r w:rsidRPr="00EE1E0C">
                        <w:t>35 ärenden lades ned av åklagaren i genomsnitt 124 dagar efter det anmälts.</w:t>
                      </w:r>
                    </w:p>
                  </w:txbxContent>
                </v:textbox>
              </v:shape>
            </w:pict>
          </mc:Fallback>
        </mc:AlternateContent>
      </w:r>
      <w:r w:rsidRPr="00EE1E0C">
        <w:rPr>
          <w:noProof/>
        </w:rPr>
        <mc:AlternateContent>
          <mc:Choice Requires="wps">
            <w:drawing>
              <wp:anchor distT="0" distB="0" distL="114300" distR="114300" simplePos="0" relativeHeight="251642368" behindDoc="0" locked="0" layoutInCell="0" allowOverlap="1">
                <wp:simplePos x="0" y="0"/>
                <wp:positionH relativeFrom="column">
                  <wp:posOffset>3120390</wp:posOffset>
                </wp:positionH>
                <wp:positionV relativeFrom="paragraph">
                  <wp:posOffset>124460</wp:posOffset>
                </wp:positionV>
                <wp:extent cx="914400" cy="548640"/>
                <wp:effectExtent l="0" t="0" r="0" b="0"/>
                <wp:wrapNone/>
                <wp:docPr id="19057447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Uppgift sa</w:t>
                            </w:r>
                            <w:r w:rsidRPr="00EE1E0C">
                              <w:t>k</w:t>
                            </w:r>
                            <w:r w:rsidRPr="00EE1E0C">
                              <w:t>nas i två fall.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left:0;text-align:left;margin-left:245.7pt;margin-top:9.8pt;width:1in;height:43.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" o:allowincell="f">
                <v:textbox>
                  <w:txbxContent>
                    <w:p w:rsidR="00031A3F" w:rsidRPr="00EE1E0C" w:rsidRDefault="00031A3F">
                      <w:r w:rsidRPr="00EE1E0C">
                        <w:t>Uppgift sa</w:t>
                      </w:r>
                      <w:r w:rsidRPr="00EE1E0C">
                        <w:t>k</w:t>
                      </w:r>
                      <w:r w:rsidRPr="00EE1E0C">
                        <w:t>nas i två fall.</w:t>
                      </w:r>
                    </w:p>
                  </w:txbxContent>
                </v:textbox>
              </v:shape>
            </w:pict>
          </mc:Fallback>
        </mc:AlternateContent>
      </w:r>
    </w:p>
    <w:p w:rsidR="00031A3F" w:rsidRPr="00EE1E0C" w:rsidRDefault="00031A3F"/>
    <w:p w:rsidR="00031A3F" w:rsidRPr="00EE1E0C" w:rsidRDefault="00EE1E0C">
      <w:r w:rsidRPr="00EE1E0C">
        <w:rPr>
          <w:noProof/>
        </w:rPr>
        <mc:AlternateContent>
          <mc:Choice Requires="wps">
            <w:drawing>
              <wp:anchor distT="0" distB="0" distL="114300" distR="114300" simplePos="0" relativeHeight="251695616" behindDoc="0" locked="0" layoutInCell="0" allowOverlap="1">
                <wp:simplePos x="0" y="0"/>
                <wp:positionH relativeFrom="column">
                  <wp:posOffset>1840230</wp:posOffset>
                </wp:positionH>
                <wp:positionV relativeFrom="paragraph">
                  <wp:posOffset>525145</wp:posOffset>
                </wp:positionV>
                <wp:extent cx="0" cy="182880"/>
                <wp:effectExtent l="0" t="0" r="0" b="0"/>
                <wp:wrapNone/>
                <wp:docPr id="20995338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D5A17" id="Line 8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41.35pt" to="144.9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" o:allowincell="f"/>
            </w:pict>
          </mc:Fallback>
        </mc:AlternateContent>
      </w:r>
      <w:r w:rsidRPr="00EE1E0C">
        <w:rPr>
          <w:noProof/>
        </w:rPr>
        <mc:AlternateContent>
          <mc:Choice Requires="wps">
            <w:drawing>
              <wp:anchor distT="0" distB="0" distL="114300" distR="114300" simplePos="0" relativeHeight="251644416" behindDoc="0" locked="0" layoutInCell="0" allowOverlap="1">
                <wp:simplePos x="0" y="0"/>
                <wp:positionH relativeFrom="column">
                  <wp:posOffset>1474470</wp:posOffset>
                </wp:positionH>
                <wp:positionV relativeFrom="paragraph">
                  <wp:posOffset>708025</wp:posOffset>
                </wp:positionV>
                <wp:extent cx="2651760" cy="822960"/>
                <wp:effectExtent l="0" t="0" r="0" b="0"/>
                <wp:wrapNone/>
                <wp:docPr id="6309913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8229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42 ärenden ledde till dom, strafföreläggande eller åtalsunderlåtelse i genomsnitt 231 dagar efter det att anmälan gjorts och 77 dagar efter det att åtal väckts.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left:0;text-align:left;margin-left:116.1pt;margin-top:55.75pt;width:208.8pt;height:6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" o:allowincell="f">
                <v:textbox>
                  <w:txbxContent>
                    <w:p w:rsidR="00031A3F" w:rsidRPr="00EE1E0C" w:rsidRDefault="00031A3F">
                      <w:r w:rsidRPr="00EE1E0C">
                        <w:t>42 ärenden ledde till dom, strafföreläggande eller åtalsunderlåtelse i genomsnitt 231 dagar efter det att anmälan gjorts och 77 dagar efter det att åtal väckts.</w:t>
                      </w:r>
                    </w:p>
                  </w:txbxContent>
                </v:textbox>
              </v:shape>
            </w:pict>
          </mc:Fallback>
        </mc:AlternateContent>
      </w:r>
      <w:r w:rsidRPr="00EE1E0C">
        <w:rPr>
          <w:noProof/>
        </w:rPr>
        <mc:AlternateContent>
          <mc:Choice Requires="wps">
            <w:drawing>
              <wp:anchor distT="0" distB="0" distL="114300" distR="114300" simplePos="0" relativeHeight="251693568" behindDoc="0" locked="0" layoutInCell="0" allowOverlap="1">
                <wp:simplePos x="0" y="0"/>
                <wp:positionH relativeFrom="column">
                  <wp:posOffset>560070</wp:posOffset>
                </wp:positionH>
                <wp:positionV relativeFrom="paragraph">
                  <wp:posOffset>433705</wp:posOffset>
                </wp:positionV>
                <wp:extent cx="0" cy="182880"/>
                <wp:effectExtent l="0" t="0" r="0" b="0"/>
                <wp:wrapNone/>
                <wp:docPr id="124001000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9DAC" id="Line 80"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34.15pt" to="44.1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" o:allowincell="f">
                <v:stroke endarrow="block"/>
              </v:line>
            </w:pict>
          </mc:Fallback>
        </mc:AlternateContent>
      </w:r>
      <w:r w:rsidRPr="00EE1E0C">
        <w:rPr>
          <w:noProof/>
        </w:rPr>
        <mc:AlternateContent>
          <mc:Choice Requires="wps">
            <w:drawing>
              <wp:anchor distT="0" distB="0" distL="114300" distR="114300" simplePos="0" relativeHeight="251692544" behindDoc="0" locked="0" layoutInCell="0" allowOverlap="1">
                <wp:simplePos x="0" y="0"/>
                <wp:positionH relativeFrom="column">
                  <wp:posOffset>1291590</wp:posOffset>
                </wp:positionH>
                <wp:positionV relativeFrom="paragraph">
                  <wp:posOffset>1073785</wp:posOffset>
                </wp:positionV>
                <wp:extent cx="182880" cy="0"/>
                <wp:effectExtent l="0" t="0" r="0" b="0"/>
                <wp:wrapNone/>
                <wp:docPr id="86123321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337B" id="Line 7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84.55pt" to="116.1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" o:allowincell="f">
                <v:stroke endarrow="block"/>
              </v:line>
            </w:pict>
          </mc:Fallback>
        </mc:AlternateContent>
      </w:r>
      <w:r w:rsidRPr="00EE1E0C">
        <w:rPr>
          <w:noProof/>
        </w:rPr>
        <mc:AlternateContent>
          <mc:Choice Requires="wps">
            <w:drawing>
              <wp:anchor distT="0" distB="0" distL="114300" distR="114300" simplePos="0" relativeHeight="251661824" behindDoc="0" locked="0" layoutInCell="0" allowOverlap="1">
                <wp:simplePos x="0" y="0"/>
                <wp:positionH relativeFrom="column">
                  <wp:posOffset>11430</wp:posOffset>
                </wp:positionH>
                <wp:positionV relativeFrom="paragraph">
                  <wp:posOffset>616585</wp:posOffset>
                </wp:positionV>
                <wp:extent cx="1280160" cy="914400"/>
                <wp:effectExtent l="0" t="0" r="0" b="0"/>
                <wp:wrapNone/>
                <wp:docPr id="7816167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144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Det tog i genomsnitt 41 dagar från det att ärendet slutredovis</w:t>
                            </w:r>
                            <w:r w:rsidRPr="00EE1E0C">
                              <w:t>a</w:t>
                            </w:r>
                            <w:r w:rsidRPr="00EE1E0C">
                              <w:t>des till beslut om att väcka åtal.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0" type="#_x0000_t202" style="position:absolute;left:0;text-align:left;margin-left:.9pt;margin-top:48.55pt;width:100.8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yQGAIAADMEAAAOAAAAZHJzL2Uyb0RvYy54bWysU1Fv0zAQfkfiP1h+p0mrdit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" o:allowincell="f">
                <v:textbox>
                  <w:txbxContent>
                    <w:p w:rsidR="00031A3F" w:rsidRPr="00EE1E0C" w:rsidRDefault="00031A3F">
                      <w:r w:rsidRPr="00EE1E0C">
                        <w:t>Det tog i genomsnitt 41 dagar från det att ärendet slutredovis</w:t>
                      </w:r>
                      <w:r w:rsidRPr="00EE1E0C">
                        <w:t>a</w:t>
                      </w:r>
                      <w:r w:rsidRPr="00EE1E0C">
                        <w:t>des till beslut om att väcka åtal.</w:t>
                      </w:r>
                    </w:p>
                  </w:txbxContent>
                </v:textbox>
              </v:shape>
            </w:pict>
          </mc:Fallback>
        </mc:AlternateContent>
      </w:r>
    </w:p>
    <w:p w:rsidR="00031A3F" w:rsidRPr="00EE1E0C" w:rsidRDefault="00031A3F">
      <w:pPr>
        <w:pStyle w:val="Rubrik4"/>
      </w:pPr>
    </w:p>
    <w:p w:rsidR="00031A3F" w:rsidRPr="00EE1E0C" w:rsidRDefault="00031A3F">
      <w:pPr>
        <w:rPr>
          <w:i/>
        </w:rPr>
      </w:pPr>
      <w:r w:rsidRPr="00EE1E0C">
        <w:rPr>
          <w:i/>
        </w:rPr>
        <w:br w:type="page"/>
      </w:r>
    </w:p>
    <w:p w:rsidR="00031A3F" w:rsidRPr="00EE1E0C" w:rsidRDefault="00031A3F">
      <w:pPr>
        <w:rPr>
          <w:i/>
        </w:rPr>
      </w:pPr>
    </w:p>
    <w:p w:rsidR="00031A3F" w:rsidRPr="00EE1E0C" w:rsidRDefault="00031A3F">
      <w:pPr>
        <w:rPr>
          <w:i/>
        </w:rPr>
      </w:pPr>
      <w:r w:rsidRPr="00EE1E0C">
        <w:rPr>
          <w:i/>
        </w:rPr>
        <w:t>Östergötlands län</w:t>
      </w:r>
    </w:p>
    <w:p w:rsidR="00031A3F" w:rsidRPr="00EE1E0C" w:rsidRDefault="00EE1E0C">
      <w:r w:rsidRPr="00EE1E0C">
        <w:rPr>
          <w:noProof/>
        </w:rPr>
        <mc:AlternateContent>
          <mc:Choice Requires="wps">
            <w:drawing>
              <wp:anchor distT="0" distB="0" distL="114300" distR="114300" simplePos="0" relativeHeight="251645440" behindDoc="0" locked="0" layoutInCell="0" allowOverlap="1">
                <wp:simplePos x="0" y="0"/>
                <wp:positionH relativeFrom="column">
                  <wp:posOffset>1474470</wp:posOffset>
                </wp:positionH>
                <wp:positionV relativeFrom="paragraph">
                  <wp:posOffset>-58420</wp:posOffset>
                </wp:positionV>
                <wp:extent cx="914400" cy="457200"/>
                <wp:effectExtent l="0" t="0" r="0" b="0"/>
                <wp:wrapNone/>
                <wp:docPr id="22884186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47 anmälda ärenden.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left:0;text-align:left;margin-left:116.1pt;margin-top:-4.6pt;width:1in;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" o:allowincell="f">
                <v:textbox>
                  <w:txbxContent>
                    <w:p w:rsidR="00031A3F" w:rsidRPr="00EE1E0C" w:rsidRDefault="00031A3F">
                      <w:r w:rsidRPr="00EE1E0C">
                        <w:t>47 anmälda ärenden.</w:t>
                      </w:r>
                    </w:p>
                  </w:txbxContent>
                </v:textbox>
              </v:shape>
            </w:pict>
          </mc:Fallback>
        </mc:AlternateContent>
      </w:r>
      <w:r w:rsidR="00031A3F" w:rsidRPr="00EE1E0C">
        <w:t xml:space="preserve"> </w:t>
      </w:r>
    </w:p>
    <w:p w:rsidR="00031A3F" w:rsidRPr="00EE1E0C" w:rsidRDefault="00031A3F">
      <w:pPr>
        <w:pStyle w:val="Normaltindrag"/>
      </w:pPr>
    </w:p>
    <w:p w:rsidR="00031A3F" w:rsidRPr="00EE1E0C" w:rsidRDefault="00EE1E0C">
      <w:pPr>
        <w:pStyle w:val="Normaltindrag"/>
      </w:pPr>
      <w:r w:rsidRPr="00EE1E0C">
        <w:rPr>
          <w:noProof/>
        </w:rPr>
        <mc:AlternateContent>
          <mc:Choice Requires="wps">
            <w:drawing>
              <wp:anchor distT="0" distB="0" distL="114300" distR="114300" simplePos="0" relativeHeight="251668992" behindDoc="0" locked="0" layoutInCell="0" allowOverlap="1">
                <wp:simplePos x="0" y="0"/>
                <wp:positionH relativeFrom="column">
                  <wp:posOffset>2388870</wp:posOffset>
                </wp:positionH>
                <wp:positionV relativeFrom="paragraph">
                  <wp:posOffset>10160</wp:posOffset>
                </wp:positionV>
                <wp:extent cx="548640" cy="182880"/>
                <wp:effectExtent l="0" t="0" r="0" b="0"/>
                <wp:wrapNone/>
                <wp:docPr id="179965037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3BDB" id="Line 5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8pt" to="231.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" o:allowincell="f"/>
            </w:pict>
          </mc:Fallback>
        </mc:AlternateContent>
      </w:r>
      <w:r w:rsidRPr="00EE1E0C">
        <w:rPr>
          <w:noProof/>
        </w:rPr>
        <mc:AlternateContent>
          <mc:Choice Requires="wps">
            <w:drawing>
              <wp:anchor distT="0" distB="0" distL="114300" distR="114300" simplePos="0" relativeHeight="251667968" behindDoc="0" locked="0" layoutInCell="0" allowOverlap="1">
                <wp:simplePos x="0" y="0"/>
                <wp:positionH relativeFrom="column">
                  <wp:posOffset>1931670</wp:posOffset>
                </wp:positionH>
                <wp:positionV relativeFrom="paragraph">
                  <wp:posOffset>10160</wp:posOffset>
                </wp:positionV>
                <wp:extent cx="0" cy="182880"/>
                <wp:effectExtent l="0" t="0" r="0" b="0"/>
                <wp:wrapNone/>
                <wp:docPr id="9493039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5F213" id="Line 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8pt" to="152.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" o:allowincell="f"/>
            </w:pict>
          </mc:Fallback>
        </mc:AlternateContent>
      </w:r>
      <w:r w:rsidRPr="00EE1E0C">
        <w:rPr>
          <w:noProof/>
        </w:rPr>
        <mc:AlternateContent>
          <mc:Choice Requires="wps">
            <w:drawing>
              <wp:anchor distT="0" distB="0" distL="114300" distR="114300" simplePos="0" relativeHeight="251666944" behindDoc="0" locked="0" layoutInCell="0" allowOverlap="1">
                <wp:simplePos x="0" y="0"/>
                <wp:positionH relativeFrom="column">
                  <wp:posOffset>834390</wp:posOffset>
                </wp:positionH>
                <wp:positionV relativeFrom="paragraph">
                  <wp:posOffset>10160</wp:posOffset>
                </wp:positionV>
                <wp:extent cx="640080" cy="182880"/>
                <wp:effectExtent l="0" t="0" r="0" b="0"/>
                <wp:wrapNone/>
                <wp:docPr id="188707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0F6F0" id="Line 5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8pt" to="116.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" o:allowincell="f"/>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646464" behindDoc="0" locked="0" layoutInCell="0" allowOverlap="1">
                <wp:simplePos x="0" y="0"/>
                <wp:positionH relativeFrom="column">
                  <wp:posOffset>2846070</wp:posOffset>
                </wp:positionH>
                <wp:positionV relativeFrom="paragraph">
                  <wp:posOffset>37465</wp:posOffset>
                </wp:positionV>
                <wp:extent cx="822960" cy="826135"/>
                <wp:effectExtent l="0" t="0" r="0" b="0"/>
                <wp:wrapNone/>
                <wp:docPr id="203219010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826135"/>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2 ärenden handlades fortfarande av pol</w:t>
                            </w:r>
                            <w:r w:rsidRPr="00EE1E0C">
                              <w:t>i</w:t>
                            </w:r>
                            <w:r w:rsidRPr="00EE1E0C">
                              <w:t>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left:0;text-align:left;margin-left:224.1pt;margin-top:2.95pt;width:64.8pt;height:65.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" o:allowincell="f">
                <v:textbox>
                  <w:txbxContent>
                    <w:p w:rsidR="00031A3F" w:rsidRPr="00EE1E0C" w:rsidRDefault="00031A3F">
                      <w:r w:rsidRPr="00EE1E0C">
                        <w:t>2 ärenden handlades fortfarande av pol</w:t>
                      </w:r>
                      <w:r w:rsidRPr="00EE1E0C">
                        <w:t>i</w:t>
                      </w:r>
                      <w:r w:rsidRPr="00EE1E0C">
                        <w:t>sen.</w:t>
                      </w:r>
                    </w:p>
                  </w:txbxContent>
                </v:textbox>
              </v:shape>
            </w:pict>
          </mc:Fallback>
        </mc:AlternateContent>
      </w:r>
      <w:r w:rsidRPr="00EE1E0C">
        <w:rPr>
          <w:noProof/>
        </w:rPr>
        <mc:AlternateContent>
          <mc:Choice Requires="wps">
            <w:drawing>
              <wp:anchor distT="0" distB="0" distL="114300" distR="114300" simplePos="0" relativeHeight="251648512" behindDoc="0" locked="0" layoutInCell="0" allowOverlap="1">
                <wp:simplePos x="0" y="0"/>
                <wp:positionH relativeFrom="column">
                  <wp:posOffset>1200150</wp:posOffset>
                </wp:positionH>
                <wp:positionV relativeFrom="paragraph">
                  <wp:posOffset>37465</wp:posOffset>
                </wp:positionV>
                <wp:extent cx="1554480" cy="981710"/>
                <wp:effectExtent l="0" t="0" r="0" b="0"/>
                <wp:wrapNone/>
                <wp:docPr id="22933769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98171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I genomsnitt tog det 101 dagar från anmälan tills ärendet slutredovisades av polisen. Till åklagaren överlämnades 36 äre</w:t>
                            </w:r>
                            <w:r w:rsidRPr="00EE1E0C">
                              <w:t>n</w:t>
                            </w:r>
                            <w:r w:rsidRPr="00EE1E0C">
                              <w:t>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3" type="#_x0000_t202" style="position:absolute;left:0;text-align:left;margin-left:94.5pt;margin-top:2.95pt;width:122.4pt;height:77.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ekGgIAADMEAAAOAAAAZHJzL2Uyb0RvYy54bWysU9tu2zAMfR+wfxD0vjjJkjU14hRdugwD&#10;ugvQ7QNkWbaFyaJGKbGzrx8lp2nQbS/D/CCIJnVIHh6ub4bOsINCr8EWfDaZcqashErbpuDfvu5e&#10;rTj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" o:allowincell="f">
                <v:textbox>
                  <w:txbxContent>
                    <w:p w:rsidR="00031A3F" w:rsidRPr="00EE1E0C" w:rsidRDefault="00031A3F">
                      <w:r w:rsidRPr="00EE1E0C">
                        <w:t>I genomsnitt tog det 101 dagar från anmälan tills ärendet slutredovisades av polisen. Till åklagaren överlämnades 36 äre</w:t>
                      </w:r>
                      <w:r w:rsidRPr="00EE1E0C">
                        <w:t>n</w:t>
                      </w:r>
                      <w:r w:rsidRPr="00EE1E0C">
                        <w:t>den.</w:t>
                      </w:r>
                    </w:p>
                  </w:txbxContent>
                </v:textbox>
              </v:shape>
            </w:pict>
          </mc:Fallback>
        </mc:AlternateContent>
      </w:r>
      <w:r w:rsidRPr="00EE1E0C">
        <w:rPr>
          <w:noProof/>
        </w:rPr>
        <mc:AlternateContent>
          <mc:Choice Requires="wps">
            <w:drawing>
              <wp:anchor distT="0" distB="0" distL="114300" distR="114300" simplePos="0" relativeHeight="251647488" behindDoc="0" locked="0" layoutInCell="0" allowOverlap="1">
                <wp:simplePos x="0" y="0"/>
                <wp:positionH relativeFrom="column">
                  <wp:posOffset>11430</wp:posOffset>
                </wp:positionH>
                <wp:positionV relativeFrom="paragraph">
                  <wp:posOffset>37465</wp:posOffset>
                </wp:positionV>
                <wp:extent cx="1097280" cy="1005840"/>
                <wp:effectExtent l="0" t="0" r="0" b="0"/>
                <wp:wrapNone/>
                <wp:docPr id="204716548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00584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9 ärenden lades ned  efter i g</w:t>
                            </w:r>
                            <w:r w:rsidRPr="00EE1E0C">
                              <w:t>e</w:t>
                            </w:r>
                            <w:r w:rsidRPr="00EE1E0C">
                              <w:t>nomsnitt 78 d</w:t>
                            </w:r>
                            <w:r w:rsidRPr="00EE1E0C">
                              <w:t>a</w:t>
                            </w:r>
                            <w:r w:rsidRPr="00EE1E0C">
                              <w:t>gars handläggning av polisen.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left:0;text-align:left;margin-left:.9pt;margin-top:2.95pt;width:86.4pt;height:7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GGwIAADQ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" o:allowincell="f">
                <v:textbox>
                  <w:txbxContent>
                    <w:p w:rsidR="00031A3F" w:rsidRPr="00EE1E0C" w:rsidRDefault="00031A3F">
                      <w:r w:rsidRPr="00EE1E0C">
                        <w:t>9 ärenden lades ned  efter i g</w:t>
                      </w:r>
                      <w:r w:rsidRPr="00EE1E0C">
                        <w:t>e</w:t>
                      </w:r>
                      <w:r w:rsidRPr="00EE1E0C">
                        <w:t>nomsnitt 78 d</w:t>
                      </w:r>
                      <w:r w:rsidRPr="00EE1E0C">
                        <w:t>a</w:t>
                      </w:r>
                      <w:r w:rsidRPr="00EE1E0C">
                        <w:t>gars handläggning av polisen.</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031A3F"/>
    <w:p w:rsidR="00031A3F" w:rsidRPr="00EE1E0C" w:rsidRDefault="00EE1E0C">
      <w:r w:rsidRPr="00EE1E0C">
        <w:rPr>
          <w:noProof/>
        </w:rPr>
        <mc:AlternateContent>
          <mc:Choice Requires="wps">
            <w:drawing>
              <wp:anchor distT="0" distB="0" distL="114300" distR="114300" simplePos="0" relativeHeight="251675136" behindDoc="0" locked="0" layoutInCell="0" allowOverlap="1">
                <wp:simplePos x="0" y="0"/>
                <wp:positionH relativeFrom="column">
                  <wp:posOffset>2114550</wp:posOffset>
                </wp:positionH>
                <wp:positionV relativeFrom="paragraph">
                  <wp:posOffset>184150</wp:posOffset>
                </wp:positionV>
                <wp:extent cx="0" cy="914400"/>
                <wp:effectExtent l="0" t="0" r="0" b="0"/>
                <wp:wrapNone/>
                <wp:docPr id="172385171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167A2" id="Line 6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4.5pt" to="1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" o:allowincell="f"/>
            </w:pict>
          </mc:Fallback>
        </mc:AlternateContent>
      </w:r>
      <w:r w:rsidRPr="00EE1E0C">
        <w:rPr>
          <w:noProof/>
        </w:rPr>
        <mc:AlternateContent>
          <mc:Choice Requires="wps">
            <w:drawing>
              <wp:anchor distT="0" distB="0" distL="114300" distR="114300" simplePos="0" relativeHeight="251671040" behindDoc="0" locked="0" layoutInCell="0" allowOverlap="1">
                <wp:simplePos x="0" y="0"/>
                <wp:positionH relativeFrom="column">
                  <wp:posOffset>2297430</wp:posOffset>
                </wp:positionH>
                <wp:positionV relativeFrom="paragraph">
                  <wp:posOffset>187960</wp:posOffset>
                </wp:positionV>
                <wp:extent cx="274320" cy="182880"/>
                <wp:effectExtent l="0" t="0" r="0" b="0"/>
                <wp:wrapNone/>
                <wp:docPr id="184040285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E295" id="Line 5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14.8pt" to="20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" o:allowincell="f"/>
            </w:pict>
          </mc:Fallback>
        </mc:AlternateContent>
      </w:r>
      <w:r w:rsidRPr="00EE1E0C">
        <w:rPr>
          <w:noProof/>
        </w:rPr>
        <mc:AlternateContent>
          <mc:Choice Requires="wps">
            <w:drawing>
              <wp:anchor distT="0" distB="0" distL="114300" distR="114300" simplePos="0" relativeHeight="251670016" behindDoc="0" locked="0" layoutInCell="0" allowOverlap="1">
                <wp:simplePos x="0" y="0"/>
                <wp:positionH relativeFrom="column">
                  <wp:posOffset>1383030</wp:posOffset>
                </wp:positionH>
                <wp:positionV relativeFrom="paragraph">
                  <wp:posOffset>187960</wp:posOffset>
                </wp:positionV>
                <wp:extent cx="274320" cy="182880"/>
                <wp:effectExtent l="0" t="0" r="0" b="0"/>
                <wp:wrapNone/>
                <wp:docPr id="73370104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7EF7" id="Line 5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14.8pt" to="13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" o:allowincell="f"/>
            </w:pict>
          </mc:Fallback>
        </mc:AlternateContent>
      </w:r>
    </w:p>
    <w:p w:rsidR="00031A3F" w:rsidRPr="00EE1E0C" w:rsidRDefault="00EE1E0C">
      <w:pPr>
        <w:rPr>
          <w:i/>
        </w:rPr>
      </w:pPr>
      <w:r w:rsidRPr="00EE1E0C">
        <w:rPr>
          <w:noProof/>
        </w:rPr>
        <mc:AlternateContent>
          <mc:Choice Requires="wps">
            <w:drawing>
              <wp:anchor distT="0" distB="0" distL="114300" distR="114300" simplePos="0" relativeHeight="251649536" behindDoc="0" locked="0" layoutInCell="0" allowOverlap="1">
                <wp:simplePos x="0" y="0"/>
                <wp:positionH relativeFrom="column">
                  <wp:posOffset>2297430</wp:posOffset>
                </wp:positionH>
                <wp:positionV relativeFrom="paragraph">
                  <wp:posOffset>137795</wp:posOffset>
                </wp:positionV>
                <wp:extent cx="1463040" cy="544830"/>
                <wp:effectExtent l="0" t="0" r="0" b="0"/>
                <wp:wrapNone/>
                <wp:docPr id="80413688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483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6 ärenden handlades fortfarande av åklag</w:t>
                            </w:r>
                            <w:r w:rsidRPr="00EE1E0C">
                              <w:t>a</w:t>
                            </w:r>
                            <w:r w:rsidRPr="00EE1E0C">
                              <w:t>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5" type="#_x0000_t202" style="position:absolute;left:0;text-align:left;margin-left:180.9pt;margin-top:10.85pt;width:115.2pt;height:4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IYGwIAADM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" o:allowincell="f">
                <v:textbox>
                  <w:txbxContent>
                    <w:p w:rsidR="00031A3F" w:rsidRPr="00EE1E0C" w:rsidRDefault="00031A3F">
                      <w:r w:rsidRPr="00EE1E0C">
                        <w:t>6 ärenden handlades fortfarande av åklag</w:t>
                      </w:r>
                      <w:r w:rsidRPr="00EE1E0C">
                        <w:t>a</w:t>
                      </w:r>
                      <w:r w:rsidRPr="00EE1E0C">
                        <w:t>ren.</w:t>
                      </w:r>
                    </w:p>
                  </w:txbxContent>
                </v:textbox>
              </v:shape>
            </w:pict>
          </mc:Fallback>
        </mc:AlternateContent>
      </w:r>
      <w:r w:rsidRPr="00EE1E0C">
        <w:rPr>
          <w:i/>
          <w:noProof/>
        </w:rPr>
        <mc:AlternateContent>
          <mc:Choice Requires="wps">
            <w:drawing>
              <wp:anchor distT="0" distB="0" distL="114300" distR="114300" simplePos="0" relativeHeight="251650560" behindDoc="0" locked="0" layoutInCell="0" allowOverlap="1">
                <wp:simplePos x="0" y="0"/>
                <wp:positionH relativeFrom="column">
                  <wp:posOffset>11430</wp:posOffset>
                </wp:positionH>
                <wp:positionV relativeFrom="paragraph">
                  <wp:posOffset>137795</wp:posOffset>
                </wp:positionV>
                <wp:extent cx="1828800" cy="636270"/>
                <wp:effectExtent l="0" t="0" r="0" b="0"/>
                <wp:wrapNone/>
                <wp:docPr id="28935160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627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13 ärenden lades ned av åklag</w:t>
                            </w:r>
                            <w:r w:rsidRPr="00EE1E0C">
                              <w:t>a</w:t>
                            </w:r>
                            <w:r w:rsidRPr="00EE1E0C">
                              <w:t>ren i genomsnitt 165 dagar efter det a</w:t>
                            </w:r>
                            <w:r w:rsidRPr="00EE1E0C">
                              <w:t>n</w:t>
                            </w:r>
                            <w:r w:rsidRPr="00EE1E0C">
                              <w:t>mälts.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6" type="#_x0000_t202" style="position:absolute;left:0;text-align:left;margin-left:.9pt;margin-top:10.85pt;width:2in;height:50.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tVGwIAADM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" o:allowincell="f">
                <v:textbox>
                  <w:txbxContent>
                    <w:p w:rsidR="00031A3F" w:rsidRPr="00EE1E0C" w:rsidRDefault="00031A3F">
                      <w:r w:rsidRPr="00EE1E0C">
                        <w:t>13 ärenden lades ned av åklag</w:t>
                      </w:r>
                      <w:r w:rsidRPr="00EE1E0C">
                        <w:t>a</w:t>
                      </w:r>
                      <w:r w:rsidRPr="00EE1E0C">
                        <w:t>ren i genomsnitt 165 dagar efter det a</w:t>
                      </w:r>
                      <w:r w:rsidRPr="00EE1E0C">
                        <w:t>n</w:t>
                      </w:r>
                      <w:r w:rsidRPr="00EE1E0C">
                        <w:t>mälts.</w:t>
                      </w:r>
                    </w:p>
                  </w:txbxContent>
                </v:textbox>
              </v:shape>
            </w:pict>
          </mc:Fallback>
        </mc:AlternateContent>
      </w:r>
    </w:p>
    <w:p w:rsidR="00031A3F" w:rsidRPr="00EE1E0C" w:rsidRDefault="00031A3F">
      <w:pPr>
        <w:rPr>
          <w:i/>
        </w:rPr>
      </w:pPr>
    </w:p>
    <w:p w:rsidR="00031A3F" w:rsidRPr="00EE1E0C" w:rsidRDefault="00031A3F">
      <w:pPr>
        <w:rPr>
          <w:i/>
        </w:rPr>
      </w:pPr>
    </w:p>
    <w:p w:rsidR="00031A3F" w:rsidRPr="00EE1E0C" w:rsidRDefault="00EE1E0C">
      <w:pPr>
        <w:rPr>
          <w:i/>
        </w:rPr>
      </w:pPr>
      <w:r w:rsidRPr="00EE1E0C">
        <w:rPr>
          <w:i/>
          <w:noProof/>
        </w:rPr>
        <mc:AlternateContent>
          <mc:Choice Requires="wps">
            <w:drawing>
              <wp:anchor distT="0" distB="0" distL="114300" distR="114300" simplePos="0" relativeHeight="251651584" behindDoc="0" locked="0" layoutInCell="0" allowOverlap="1">
                <wp:simplePos x="0" y="0"/>
                <wp:positionH relativeFrom="column">
                  <wp:posOffset>1931670</wp:posOffset>
                </wp:positionH>
                <wp:positionV relativeFrom="paragraph">
                  <wp:posOffset>166370</wp:posOffset>
                </wp:positionV>
                <wp:extent cx="1920240" cy="817880"/>
                <wp:effectExtent l="0" t="0" r="0" b="0"/>
                <wp:wrapNone/>
                <wp:docPr id="1136444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178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17 ärenden ledde till dom i geno</w:t>
                            </w:r>
                            <w:r w:rsidRPr="00EE1E0C">
                              <w:t>m</w:t>
                            </w:r>
                            <w:r w:rsidRPr="00EE1E0C">
                              <w:t>snitt 233 dagar efter det att anm</w:t>
                            </w:r>
                            <w:r w:rsidRPr="00EE1E0C">
                              <w:t>ä</w:t>
                            </w:r>
                            <w:r w:rsidRPr="00EE1E0C">
                              <w:t>lan gjorts och 85 dagar efter det att åtal väckts.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left:0;text-align:left;margin-left:152.1pt;margin-top:13.1pt;width:151.2pt;height:6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" o:allowincell="f">
                <v:textbox>
                  <w:txbxContent>
                    <w:p w:rsidR="00031A3F" w:rsidRPr="00EE1E0C" w:rsidRDefault="00031A3F">
                      <w:r w:rsidRPr="00EE1E0C">
                        <w:t>17 ärenden ledde till dom i geno</w:t>
                      </w:r>
                      <w:r w:rsidRPr="00EE1E0C">
                        <w:t>m</w:t>
                      </w:r>
                      <w:r w:rsidRPr="00EE1E0C">
                        <w:t>snitt 233 dagar efter det att anm</w:t>
                      </w:r>
                      <w:r w:rsidRPr="00EE1E0C">
                        <w:t>ä</w:t>
                      </w:r>
                      <w:r w:rsidRPr="00EE1E0C">
                        <w:t>lan gjorts och 85 dagar efter det att åtal väckts.</w:t>
                      </w:r>
                    </w:p>
                  </w:txbxContent>
                </v:textbox>
              </v:shape>
            </w:pict>
          </mc:Fallback>
        </mc:AlternateContent>
      </w:r>
      <w:r w:rsidRPr="00EE1E0C">
        <w:rPr>
          <w:i/>
          <w:noProof/>
        </w:rPr>
        <mc:AlternateContent>
          <mc:Choice Requires="wps">
            <w:drawing>
              <wp:anchor distT="0" distB="0" distL="114300" distR="114300" simplePos="0" relativeHeight="251677184" behindDoc="0" locked="0" layoutInCell="0" allowOverlap="1">
                <wp:simplePos x="0" y="0"/>
                <wp:positionH relativeFrom="column">
                  <wp:posOffset>1017270</wp:posOffset>
                </wp:positionH>
                <wp:positionV relativeFrom="paragraph">
                  <wp:posOffset>74930</wp:posOffset>
                </wp:positionV>
                <wp:extent cx="0" cy="182880"/>
                <wp:effectExtent l="0" t="0" r="0" b="0"/>
                <wp:wrapNone/>
                <wp:docPr id="135668638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4DC7A" id="Line 64"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5.9pt" to="8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" o:allowincell="f">
                <v:stroke endarrow="block"/>
              </v:line>
            </w:pict>
          </mc:Fallback>
        </mc:AlternateContent>
      </w:r>
    </w:p>
    <w:p w:rsidR="00031A3F" w:rsidRPr="00EE1E0C" w:rsidRDefault="00EE1E0C">
      <w:pPr>
        <w:rPr>
          <w:i/>
        </w:rPr>
      </w:pPr>
      <w:r w:rsidRPr="00EE1E0C">
        <w:rPr>
          <w:i/>
          <w:noProof/>
        </w:rPr>
        <mc:AlternateContent>
          <mc:Choice Requires="wps">
            <w:drawing>
              <wp:anchor distT="0" distB="0" distL="114300" distR="114300" simplePos="0" relativeHeight="251659776" behindDoc="0" locked="0" layoutInCell="0" allowOverlap="1">
                <wp:simplePos x="0" y="0"/>
                <wp:positionH relativeFrom="column">
                  <wp:posOffset>194310</wp:posOffset>
                </wp:positionH>
                <wp:positionV relativeFrom="paragraph">
                  <wp:posOffset>24765</wp:posOffset>
                </wp:positionV>
                <wp:extent cx="1554480" cy="822960"/>
                <wp:effectExtent l="0" t="0" r="0" b="0"/>
                <wp:wrapNone/>
                <wp:docPr id="103660426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229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Det tog i genomsnitt 62 dagar från det att ärendet slutredovisades till beslut om att väcka åtal.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8" type="#_x0000_t202" style="position:absolute;left:0;text-align:left;margin-left:15.3pt;margin-top:1.95pt;width:122.4pt;height:6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" o:allowincell="f">
                <v:textbox>
                  <w:txbxContent>
                    <w:p w:rsidR="00031A3F" w:rsidRPr="00EE1E0C" w:rsidRDefault="00031A3F">
                      <w:r w:rsidRPr="00EE1E0C">
                        <w:t>Det tog i genomsnitt 62 dagar från det att ärendet slutredovisades till beslut om att väcka åtal.</w:t>
                      </w:r>
                    </w:p>
                  </w:txbxContent>
                </v:textbox>
              </v:shape>
            </w:pict>
          </mc:Fallback>
        </mc:AlternateContent>
      </w:r>
    </w:p>
    <w:p w:rsidR="00031A3F" w:rsidRPr="00EE1E0C" w:rsidRDefault="00EE1E0C">
      <w:pPr>
        <w:rPr>
          <w:i/>
        </w:rPr>
      </w:pPr>
      <w:r w:rsidRPr="00EE1E0C">
        <w:rPr>
          <w:noProof/>
        </w:rPr>
        <mc:AlternateContent>
          <mc:Choice Requires="wps">
            <w:drawing>
              <wp:anchor distT="0" distB="0" distL="114300" distR="114300" simplePos="0" relativeHeight="251676160" behindDoc="0" locked="0" layoutInCell="0" allowOverlap="1">
                <wp:simplePos x="0" y="0"/>
                <wp:positionH relativeFrom="column">
                  <wp:posOffset>1748790</wp:posOffset>
                </wp:positionH>
                <wp:positionV relativeFrom="paragraph">
                  <wp:posOffset>66040</wp:posOffset>
                </wp:positionV>
                <wp:extent cx="182880" cy="0"/>
                <wp:effectExtent l="0" t="0" r="0" b="0"/>
                <wp:wrapNone/>
                <wp:docPr id="205385322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CD94B" id="Line 6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5.2pt" to="152.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" o:allowincell="f">
                <v:stroke endarrow="block"/>
              </v:line>
            </w:pict>
          </mc:Fallback>
        </mc:AlternateContent>
      </w:r>
    </w:p>
    <w:p w:rsidR="00031A3F" w:rsidRPr="00EE1E0C" w:rsidRDefault="00031A3F">
      <w:pPr>
        <w:rPr>
          <w:i/>
        </w:rPr>
      </w:pPr>
    </w:p>
    <w:p w:rsidR="00031A3F" w:rsidRPr="00EE1E0C" w:rsidRDefault="00031A3F">
      <w:pPr>
        <w:rPr>
          <w:i/>
        </w:rPr>
      </w:pPr>
    </w:p>
    <w:p w:rsidR="00031A3F" w:rsidRPr="00EE1E0C" w:rsidRDefault="00031A3F">
      <w:pPr>
        <w:rPr>
          <w:i/>
        </w:rPr>
      </w:pPr>
      <w:r w:rsidRPr="00EE1E0C">
        <w:rPr>
          <w:i/>
        </w:rPr>
        <w:t>Västernorrlands län</w:t>
      </w:r>
    </w:p>
    <w:p w:rsidR="00031A3F" w:rsidRPr="00EE1E0C" w:rsidRDefault="00EE1E0C">
      <w:pPr>
        <w:pStyle w:val="Normaltindrag"/>
      </w:pPr>
      <w:r w:rsidRPr="00EE1E0C">
        <w:rPr>
          <w:noProof/>
        </w:rPr>
        <mc:AlternateContent>
          <mc:Choice Requires="wps">
            <w:drawing>
              <wp:anchor distT="0" distB="0" distL="114300" distR="114300" simplePos="0" relativeHeight="251629056" behindDoc="0" locked="0" layoutInCell="0" allowOverlap="1">
                <wp:simplePos x="0" y="0"/>
                <wp:positionH relativeFrom="column">
                  <wp:posOffset>1200150</wp:posOffset>
                </wp:positionH>
                <wp:positionV relativeFrom="paragraph">
                  <wp:posOffset>-58420</wp:posOffset>
                </wp:positionV>
                <wp:extent cx="914400" cy="457200"/>
                <wp:effectExtent l="0" t="0" r="0" b="0"/>
                <wp:wrapNone/>
                <wp:docPr id="26498379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15 anmälda ärenden.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94.5pt;margin-top:-4.6pt;width:1in;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" o:allowincell="f">
                <v:textbox>
                  <w:txbxContent>
                    <w:p w:rsidR="00031A3F" w:rsidRPr="00EE1E0C" w:rsidRDefault="00031A3F">
                      <w:r w:rsidRPr="00EE1E0C">
                        <w:t>15 anmälda ärenden.</w:t>
                      </w:r>
                    </w:p>
                  </w:txbxContent>
                </v:textbox>
              </v:shape>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701760" behindDoc="0" locked="0" layoutInCell="0" allowOverlap="1">
                <wp:simplePos x="0" y="0"/>
                <wp:positionH relativeFrom="column">
                  <wp:posOffset>2114550</wp:posOffset>
                </wp:positionH>
                <wp:positionV relativeFrom="paragraph">
                  <wp:posOffset>70485</wp:posOffset>
                </wp:positionV>
                <wp:extent cx="1188720" cy="274320"/>
                <wp:effectExtent l="0" t="0" r="0" b="0"/>
                <wp:wrapNone/>
                <wp:docPr id="172898566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2DDD8" id="Line 8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5.55pt" to="260.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" o:allowincell="f"/>
            </w:pict>
          </mc:Fallback>
        </mc:AlternateContent>
      </w:r>
      <w:r w:rsidRPr="00EE1E0C">
        <w:rPr>
          <w:noProof/>
        </w:rPr>
        <mc:AlternateContent>
          <mc:Choice Requires="wps">
            <w:drawing>
              <wp:anchor distT="0" distB="0" distL="114300" distR="114300" simplePos="0" relativeHeight="251672064" behindDoc="0" locked="0" layoutInCell="0" allowOverlap="1">
                <wp:simplePos x="0" y="0"/>
                <wp:positionH relativeFrom="column">
                  <wp:posOffset>651510</wp:posOffset>
                </wp:positionH>
                <wp:positionV relativeFrom="paragraph">
                  <wp:posOffset>87630</wp:posOffset>
                </wp:positionV>
                <wp:extent cx="548640" cy="274320"/>
                <wp:effectExtent l="0" t="0" r="0" b="0"/>
                <wp:wrapNone/>
                <wp:docPr id="84602272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BC98" id="Line 59"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6.9pt" to="9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" o:allowincell="f"/>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700736" behindDoc="0" locked="0" layoutInCell="0" allowOverlap="1">
                <wp:simplePos x="0" y="0"/>
                <wp:positionH relativeFrom="column">
                  <wp:posOffset>2114550</wp:posOffset>
                </wp:positionH>
                <wp:positionV relativeFrom="paragraph">
                  <wp:posOffset>97790</wp:posOffset>
                </wp:positionV>
                <wp:extent cx="274320" cy="91440"/>
                <wp:effectExtent l="0" t="0" r="0" b="0"/>
                <wp:wrapNone/>
                <wp:docPr id="197875765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93E3D" id="Line 8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7.7pt" to="188.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" o:allowincell="f"/>
            </w:pict>
          </mc:Fallback>
        </mc:AlternateContent>
      </w:r>
      <w:r w:rsidRPr="00EE1E0C">
        <w:rPr>
          <w:noProof/>
        </w:rPr>
        <mc:AlternateContent>
          <mc:Choice Requires="wps">
            <w:drawing>
              <wp:anchor distT="0" distB="0" distL="114300" distR="114300" simplePos="0" relativeHeight="251699712" behindDoc="0" locked="0" layoutInCell="0" allowOverlap="1">
                <wp:simplePos x="0" y="0"/>
                <wp:positionH relativeFrom="column">
                  <wp:posOffset>1657350</wp:posOffset>
                </wp:positionH>
                <wp:positionV relativeFrom="paragraph">
                  <wp:posOffset>97790</wp:posOffset>
                </wp:positionV>
                <wp:extent cx="0" cy="91440"/>
                <wp:effectExtent l="0" t="0" r="0" b="0"/>
                <wp:wrapNone/>
                <wp:docPr id="62580694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F727" id="Line 8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7pt" to="13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" o:allowincell="f"/>
            </w:pict>
          </mc:Fallback>
        </mc:AlternateContent>
      </w:r>
    </w:p>
    <w:p w:rsidR="00031A3F" w:rsidRPr="00EE1E0C" w:rsidRDefault="00EE1E0C">
      <w:pPr>
        <w:pStyle w:val="Normaltindrag"/>
      </w:pPr>
      <w:r w:rsidRPr="00EE1E0C">
        <w:rPr>
          <w:noProof/>
        </w:rPr>
        <mc:AlternateContent>
          <mc:Choice Requires="wps">
            <w:drawing>
              <wp:anchor distT="0" distB="0" distL="114300" distR="114300" simplePos="0" relativeHeight="251652608" behindDoc="0" locked="0" layoutInCell="0" allowOverlap="1">
                <wp:simplePos x="0" y="0"/>
                <wp:positionH relativeFrom="column">
                  <wp:posOffset>3211830</wp:posOffset>
                </wp:positionH>
                <wp:positionV relativeFrom="paragraph">
                  <wp:posOffset>50800</wp:posOffset>
                </wp:positionV>
                <wp:extent cx="640080" cy="731520"/>
                <wp:effectExtent l="0" t="0" r="0" b="0"/>
                <wp:wrapNone/>
                <wp:docPr id="122673858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3152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Uppgift saknas i ett fall.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0" type="#_x0000_t202" style="position:absolute;left:0;text-align:left;margin-left:252.9pt;margin-top:4pt;width:50.4pt;height:57.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" o:allowincell="f">
                <v:textbox>
                  <w:txbxContent>
                    <w:p w:rsidR="00031A3F" w:rsidRPr="00EE1E0C" w:rsidRDefault="00031A3F">
                      <w:r w:rsidRPr="00EE1E0C">
                        <w:t>Uppgift saknas i ett fall.</w:t>
                      </w:r>
                    </w:p>
                  </w:txbxContent>
                </v:textbox>
              </v:shape>
            </w:pict>
          </mc:Fallback>
        </mc:AlternateContent>
      </w:r>
      <w:r w:rsidRPr="00EE1E0C">
        <w:rPr>
          <w:noProof/>
        </w:rPr>
        <mc:AlternateContent>
          <mc:Choice Requires="wps">
            <w:drawing>
              <wp:anchor distT="0" distB="0" distL="114300" distR="114300" simplePos="0" relativeHeight="251653632" behindDoc="0" locked="0" layoutInCell="0" allowOverlap="1">
                <wp:simplePos x="0" y="0"/>
                <wp:positionH relativeFrom="column">
                  <wp:posOffset>2388870</wp:posOffset>
                </wp:positionH>
                <wp:positionV relativeFrom="paragraph">
                  <wp:posOffset>50800</wp:posOffset>
                </wp:positionV>
                <wp:extent cx="731520" cy="822960"/>
                <wp:effectExtent l="0" t="0" r="0" b="0"/>
                <wp:wrapNone/>
                <wp:docPr id="1796770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229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2 ärenden handlades fortfarande av pol</w:t>
                            </w:r>
                            <w:r w:rsidRPr="00EE1E0C">
                              <w:t>i</w:t>
                            </w:r>
                            <w:r w:rsidRPr="00EE1E0C">
                              <w:t>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1" type="#_x0000_t202" style="position:absolute;left:0;text-align:left;margin-left:188.1pt;margin-top:4pt;width:57.6pt;height:6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" o:allowincell="f">
                <v:textbox>
                  <w:txbxContent>
                    <w:p w:rsidR="00031A3F" w:rsidRPr="00EE1E0C" w:rsidRDefault="00031A3F">
                      <w:r w:rsidRPr="00EE1E0C">
                        <w:t>2 ärenden handlades fortfarande av pol</w:t>
                      </w:r>
                      <w:r w:rsidRPr="00EE1E0C">
                        <w:t>i</w:t>
                      </w:r>
                      <w:r w:rsidRPr="00EE1E0C">
                        <w:t>sen.</w:t>
                      </w:r>
                    </w:p>
                  </w:txbxContent>
                </v:textbox>
              </v:shape>
            </w:pict>
          </mc:Fallback>
        </mc:AlternateContent>
      </w:r>
      <w:r w:rsidRPr="00EE1E0C">
        <w:rPr>
          <w:noProof/>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50800</wp:posOffset>
                </wp:positionV>
                <wp:extent cx="1005840" cy="1188720"/>
                <wp:effectExtent l="0" t="0" r="0" b="0"/>
                <wp:wrapNone/>
                <wp:docPr id="1096347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18872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6 ärenden lades ned  efter i genomsnitt 101 dagars han</w:t>
                            </w:r>
                            <w:r w:rsidRPr="00EE1E0C">
                              <w:t>d</w:t>
                            </w:r>
                            <w:r w:rsidRPr="00EE1E0C">
                              <w:t>läggning av polisen.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2" type="#_x0000_t202" style="position:absolute;left:0;text-align:left;margin-left:.9pt;margin-top:4pt;width:79.2pt;height:9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" o:allowincell="f">
                <v:textbox>
                  <w:txbxContent>
                    <w:p w:rsidR="00031A3F" w:rsidRPr="00EE1E0C" w:rsidRDefault="00031A3F">
                      <w:r w:rsidRPr="00EE1E0C">
                        <w:t>6 ärenden lades ned  efter i genomsnitt 101 dagars han</w:t>
                      </w:r>
                      <w:r w:rsidRPr="00EE1E0C">
                        <w:t>d</w:t>
                      </w:r>
                      <w:r w:rsidRPr="00EE1E0C">
                        <w:t>läggning av polisen.</w:t>
                      </w:r>
                    </w:p>
                  </w:txbxContent>
                </v:textbox>
              </v:shape>
            </w:pict>
          </mc:Fallback>
        </mc:AlternateContent>
      </w:r>
      <w:r w:rsidRPr="00EE1E0C">
        <w:rPr>
          <w:i/>
          <w:noProof/>
        </w:rPr>
        <mc:AlternateContent>
          <mc:Choice Requires="wps">
            <w:drawing>
              <wp:anchor distT="0" distB="0" distL="114300" distR="114300" simplePos="0" relativeHeight="251655680" behindDoc="0" locked="0" layoutInCell="0" allowOverlap="1">
                <wp:simplePos x="0" y="0"/>
                <wp:positionH relativeFrom="column">
                  <wp:posOffset>1108710</wp:posOffset>
                </wp:positionH>
                <wp:positionV relativeFrom="paragraph">
                  <wp:posOffset>50800</wp:posOffset>
                </wp:positionV>
                <wp:extent cx="1188720" cy="1280160"/>
                <wp:effectExtent l="0" t="0" r="0" b="0"/>
                <wp:wrapNone/>
                <wp:docPr id="105563920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8016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I genomsnitt tog det 94 dagar från a</w:t>
                            </w:r>
                            <w:r w:rsidRPr="00EE1E0C">
                              <w:t>n</w:t>
                            </w:r>
                            <w:r w:rsidRPr="00EE1E0C">
                              <w:t>mälan tills ärendet slutredovisades av polisen. Till åklag</w:t>
                            </w:r>
                            <w:r w:rsidRPr="00EE1E0C">
                              <w:t>a</w:t>
                            </w:r>
                            <w:r w:rsidRPr="00EE1E0C">
                              <w:t>ren överlämnades 6 ärenden.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3" type="#_x0000_t202" style="position:absolute;left:0;text-align:left;margin-left:87.3pt;margin-top:4pt;width:93.6pt;height:10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" o:allowincell="f">
                <v:textbox>
                  <w:txbxContent>
                    <w:p w:rsidR="00031A3F" w:rsidRPr="00EE1E0C" w:rsidRDefault="00031A3F">
                      <w:r w:rsidRPr="00EE1E0C">
                        <w:t>I genomsnitt tog det 94 dagar från a</w:t>
                      </w:r>
                      <w:r w:rsidRPr="00EE1E0C">
                        <w:t>n</w:t>
                      </w:r>
                      <w:r w:rsidRPr="00EE1E0C">
                        <w:t>mälan tills ärendet slutredovisades av polisen. Till åklag</w:t>
                      </w:r>
                      <w:r w:rsidRPr="00EE1E0C">
                        <w:t>a</w:t>
                      </w:r>
                      <w:r w:rsidRPr="00EE1E0C">
                        <w:t>ren överlämnades 6 ärenden.</w:t>
                      </w:r>
                    </w:p>
                  </w:txbxContent>
                </v:textbox>
              </v:shape>
            </w:pict>
          </mc:Fallback>
        </mc:AlternateContent>
      </w:r>
    </w:p>
    <w:p w:rsidR="00031A3F" w:rsidRPr="00EE1E0C" w:rsidRDefault="00031A3F">
      <w:pPr>
        <w:pStyle w:val="Normaltindrag"/>
      </w:pPr>
    </w:p>
    <w:p w:rsidR="00031A3F" w:rsidRPr="00EE1E0C" w:rsidRDefault="00031A3F">
      <w:pPr>
        <w:pStyle w:val="Normaltindrag"/>
      </w:pPr>
    </w:p>
    <w:p w:rsidR="00031A3F" w:rsidRPr="00EE1E0C" w:rsidRDefault="00031A3F">
      <w:pPr>
        <w:pStyle w:val="Normaltindrag"/>
      </w:pPr>
    </w:p>
    <w:p w:rsidR="00031A3F" w:rsidRPr="00EE1E0C" w:rsidRDefault="00031A3F"/>
    <w:p w:rsidR="00031A3F" w:rsidRPr="00EE1E0C" w:rsidRDefault="00031A3F"/>
    <w:p w:rsidR="00031A3F" w:rsidRPr="00EE1E0C" w:rsidRDefault="00EE1E0C">
      <w:r w:rsidRPr="00EE1E0C">
        <w:rPr>
          <w:noProof/>
        </w:rPr>
        <mc:AlternateContent>
          <mc:Choice Requires="wps">
            <w:drawing>
              <wp:anchor distT="0" distB="0" distL="114300" distR="114300" simplePos="0" relativeHeight="251697664" behindDoc="0" locked="0" layoutInCell="0" allowOverlap="1">
                <wp:simplePos x="0" y="0"/>
                <wp:positionH relativeFrom="column">
                  <wp:posOffset>2205990</wp:posOffset>
                </wp:positionH>
                <wp:positionV relativeFrom="paragraph">
                  <wp:posOffset>225425</wp:posOffset>
                </wp:positionV>
                <wp:extent cx="0" cy="914400"/>
                <wp:effectExtent l="0" t="0" r="0" b="0"/>
                <wp:wrapNone/>
                <wp:docPr id="184965576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9DDDB" id="Line 8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7.75pt" to="173.7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" o:allowincell="f"/>
            </w:pict>
          </mc:Fallback>
        </mc:AlternateContent>
      </w:r>
      <w:r w:rsidRPr="00EE1E0C">
        <w:rPr>
          <w:noProof/>
        </w:rPr>
        <mc:AlternateContent>
          <mc:Choice Requires="wps">
            <w:drawing>
              <wp:anchor distT="0" distB="0" distL="114300" distR="114300" simplePos="0" relativeHeight="251696640" behindDoc="0" locked="0" layoutInCell="0" allowOverlap="1">
                <wp:simplePos x="0" y="0"/>
                <wp:positionH relativeFrom="column">
                  <wp:posOffset>2297430</wp:posOffset>
                </wp:positionH>
                <wp:positionV relativeFrom="paragraph">
                  <wp:posOffset>225425</wp:posOffset>
                </wp:positionV>
                <wp:extent cx="182880" cy="182880"/>
                <wp:effectExtent l="0" t="0" r="0" b="0"/>
                <wp:wrapNone/>
                <wp:docPr id="1966135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9358" id="Line 8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17.75pt" to="195.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" o:allowincell="f"/>
            </w:pict>
          </mc:Fallback>
        </mc:AlternateContent>
      </w:r>
    </w:p>
    <w:p w:rsidR="00031A3F" w:rsidRPr="00EE1E0C" w:rsidRDefault="00EE1E0C">
      <w:r w:rsidRPr="00EE1E0C">
        <w:rPr>
          <w:noProof/>
        </w:rPr>
        <mc:AlternateContent>
          <mc:Choice Requires="wps">
            <w:drawing>
              <wp:anchor distT="0" distB="0" distL="114300" distR="114300" simplePos="0" relativeHeight="251654656" behindDoc="0" locked="0" layoutInCell="0" allowOverlap="1">
                <wp:simplePos x="0" y="0"/>
                <wp:positionH relativeFrom="column">
                  <wp:posOffset>2480310</wp:posOffset>
                </wp:positionH>
                <wp:positionV relativeFrom="paragraph">
                  <wp:posOffset>175260</wp:posOffset>
                </wp:positionV>
                <wp:extent cx="1188720" cy="640080"/>
                <wp:effectExtent l="0" t="0" r="0" b="0"/>
                <wp:wrapNone/>
                <wp:docPr id="124937626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Ett ärende handl</w:t>
                            </w:r>
                            <w:r w:rsidRPr="00EE1E0C">
                              <w:t>a</w:t>
                            </w:r>
                            <w:r w:rsidRPr="00EE1E0C">
                              <w:t>des fortfarande av åklag</w:t>
                            </w:r>
                            <w:r w:rsidRPr="00EE1E0C">
                              <w:t>a</w:t>
                            </w:r>
                            <w:r w:rsidRPr="00EE1E0C">
                              <w:t>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4" type="#_x0000_t202" style="position:absolute;left:0;text-align:left;margin-left:195.3pt;margin-top:13.8pt;width:93.6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qzGAIAADMEAAAOAAAAZHJzL2Uyb0RvYy54bWysU1Fv0zAQfkfiP1h+p0mrdnR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" o:allowincell="f">
                <v:textbox>
                  <w:txbxContent>
                    <w:p w:rsidR="00031A3F" w:rsidRPr="00EE1E0C" w:rsidRDefault="00031A3F">
                      <w:r w:rsidRPr="00EE1E0C">
                        <w:t>Ett ärende handl</w:t>
                      </w:r>
                      <w:r w:rsidRPr="00EE1E0C">
                        <w:t>a</w:t>
                      </w:r>
                      <w:r w:rsidRPr="00EE1E0C">
                        <w:t>des fortfarande av åklag</w:t>
                      </w:r>
                      <w:r w:rsidRPr="00EE1E0C">
                        <w:t>a</w:t>
                      </w:r>
                      <w:r w:rsidRPr="00EE1E0C">
                        <w:t>ren.</w:t>
                      </w:r>
                    </w:p>
                  </w:txbxContent>
                </v:textbox>
              </v:shape>
            </w:pict>
          </mc:Fallback>
        </mc:AlternateContent>
      </w:r>
      <w:r w:rsidRPr="00EE1E0C">
        <w:rPr>
          <w:i/>
          <w:noProof/>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192405</wp:posOffset>
                </wp:positionV>
                <wp:extent cx="1554480" cy="681355"/>
                <wp:effectExtent l="0" t="0" r="0" b="0"/>
                <wp:wrapNone/>
                <wp:docPr id="201435178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81355"/>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2 ärenden lades ned av åklagaren i genomsnitt 104 dagar efter det anmälts.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5" type="#_x0000_t202" style="position:absolute;left:0;text-align:left;margin-left:.9pt;margin-top:15.15pt;width:122.4pt;height:5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" o:allowincell="f">
                <v:textbox>
                  <w:txbxContent>
                    <w:p w:rsidR="00031A3F" w:rsidRPr="00EE1E0C" w:rsidRDefault="00031A3F">
                      <w:r w:rsidRPr="00EE1E0C">
                        <w:t>2 ärenden lades ned av åklagaren i genomsnitt 104 dagar efter det anmälts.</w:t>
                      </w:r>
                    </w:p>
                  </w:txbxContent>
                </v:textbox>
              </v:shape>
            </w:pict>
          </mc:Fallback>
        </mc:AlternateContent>
      </w:r>
      <w:r w:rsidRPr="00EE1E0C">
        <w:rPr>
          <w:noProof/>
        </w:rPr>
        <mc:AlternateContent>
          <mc:Choice Requires="wps">
            <w:drawing>
              <wp:anchor distT="0" distB="0" distL="114300" distR="114300" simplePos="0" relativeHeight="251673088" behindDoc="0" locked="0" layoutInCell="0" allowOverlap="1">
                <wp:simplePos x="0" y="0"/>
                <wp:positionH relativeFrom="column">
                  <wp:posOffset>1383030</wp:posOffset>
                </wp:positionH>
                <wp:positionV relativeFrom="paragraph">
                  <wp:posOffset>9525</wp:posOffset>
                </wp:positionV>
                <wp:extent cx="182880" cy="182880"/>
                <wp:effectExtent l="0" t="0" r="0" b="0"/>
                <wp:wrapNone/>
                <wp:docPr id="9471402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861AB" id="Line 6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75pt" to="123.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" o:allowincell="f"/>
            </w:pict>
          </mc:Fallback>
        </mc:AlternateContent>
      </w:r>
    </w:p>
    <w:p w:rsidR="00031A3F" w:rsidRPr="00EE1E0C" w:rsidRDefault="00031A3F"/>
    <w:p w:rsidR="00031A3F" w:rsidRPr="00EE1E0C" w:rsidRDefault="00031A3F"/>
    <w:p w:rsidR="00031A3F" w:rsidRPr="00EE1E0C" w:rsidRDefault="00EE1E0C">
      <w:r w:rsidRPr="00EE1E0C">
        <w:rPr>
          <w:i/>
          <w:noProof/>
        </w:rPr>
        <mc:AlternateContent>
          <mc:Choice Requires="wps">
            <w:drawing>
              <wp:anchor distT="0" distB="0" distL="114300" distR="114300" simplePos="0" relativeHeight="251658752" behindDoc="0" locked="0" layoutInCell="0" allowOverlap="1">
                <wp:simplePos x="0" y="0"/>
                <wp:positionH relativeFrom="column">
                  <wp:posOffset>2114550</wp:posOffset>
                </wp:positionH>
                <wp:positionV relativeFrom="paragraph">
                  <wp:posOffset>207645</wp:posOffset>
                </wp:positionV>
                <wp:extent cx="2011680" cy="640080"/>
                <wp:effectExtent l="0" t="0" r="0" b="0"/>
                <wp:wrapNone/>
                <wp:docPr id="175689060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40080"/>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3 ärenden ledde till dom i genomsnitt 185 dagar efter anmälan gjorts och 129 dagar efter det att åtal väckts.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6" type="#_x0000_t202" style="position:absolute;left:0;text-align:left;margin-left:166.5pt;margin-top:16.35pt;width:158.4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" o:allowincell="f">
                <v:textbox>
                  <w:txbxContent>
                    <w:p w:rsidR="00031A3F" w:rsidRPr="00EE1E0C" w:rsidRDefault="00031A3F">
                      <w:r w:rsidRPr="00EE1E0C">
                        <w:t>3 ärenden ledde till dom i genomsnitt 185 dagar efter anmälan gjorts och 129 dagar efter det att åtal väckts.</w:t>
                      </w:r>
                    </w:p>
                  </w:txbxContent>
                </v:textbox>
              </v:shape>
            </w:pict>
          </mc:Fallback>
        </mc:AlternateContent>
      </w:r>
      <w:r w:rsidRPr="00EE1E0C">
        <w:rPr>
          <w:noProof/>
        </w:rPr>
        <mc:AlternateContent>
          <mc:Choice Requires="wps">
            <w:drawing>
              <wp:anchor distT="0" distB="0" distL="114300" distR="114300" simplePos="0" relativeHeight="251674112" behindDoc="0" locked="0" layoutInCell="0" allowOverlap="1">
                <wp:simplePos x="0" y="0"/>
                <wp:positionH relativeFrom="column">
                  <wp:posOffset>560070</wp:posOffset>
                </wp:positionH>
                <wp:positionV relativeFrom="paragraph">
                  <wp:posOffset>133350</wp:posOffset>
                </wp:positionV>
                <wp:extent cx="0" cy="182880"/>
                <wp:effectExtent l="0" t="0" r="0" b="0"/>
                <wp:wrapNone/>
                <wp:docPr id="129073419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A1575" id="Line 6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0.5pt" to="44.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" o:allowincell="f">
                <v:stroke endarrow="block"/>
              </v:line>
            </w:pict>
          </mc:Fallback>
        </mc:AlternateContent>
      </w:r>
    </w:p>
    <w:p w:rsidR="00031A3F" w:rsidRPr="00EE1E0C" w:rsidRDefault="00EE1E0C">
      <w:r w:rsidRPr="00EE1E0C">
        <w:rPr>
          <w:i/>
          <w:noProof/>
        </w:rPr>
        <mc:AlternateContent>
          <mc:Choice Requires="wps">
            <w:drawing>
              <wp:anchor distT="0" distB="0" distL="114300" distR="114300" simplePos="0" relativeHeight="251698688" behindDoc="0" locked="0" layoutInCell="0" allowOverlap="1">
                <wp:simplePos x="0" y="0"/>
                <wp:positionH relativeFrom="column">
                  <wp:posOffset>1840230</wp:posOffset>
                </wp:positionH>
                <wp:positionV relativeFrom="paragraph">
                  <wp:posOffset>340360</wp:posOffset>
                </wp:positionV>
                <wp:extent cx="274320" cy="0"/>
                <wp:effectExtent l="0" t="0" r="0" b="0"/>
                <wp:wrapNone/>
                <wp:docPr id="57003243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F44E" id="Line 8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6.8pt" to="166.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" o:allowincell="f">
                <v:stroke endarrow="block"/>
              </v:line>
            </w:pict>
          </mc:Fallback>
        </mc:AlternateContent>
      </w:r>
      <w:r w:rsidRPr="00EE1E0C">
        <w:rPr>
          <w:i/>
          <w:noProof/>
        </w:rPr>
        <mc:AlternateContent>
          <mc:Choice Requires="wps">
            <w:drawing>
              <wp:anchor distT="0" distB="0" distL="114300" distR="114300" simplePos="0" relativeHeight="251660800" behindDoc="0" locked="0" layoutInCell="0" allowOverlap="1">
                <wp:simplePos x="0" y="0"/>
                <wp:positionH relativeFrom="column">
                  <wp:posOffset>11430</wp:posOffset>
                </wp:positionH>
                <wp:positionV relativeFrom="paragraph">
                  <wp:posOffset>93345</wp:posOffset>
                </wp:positionV>
                <wp:extent cx="1828800" cy="612775"/>
                <wp:effectExtent l="0" t="0" r="0" b="0"/>
                <wp:wrapNone/>
                <wp:docPr id="112967528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12775"/>
                        </a:xfrm>
                        <a:prstGeom prst="rect">
                          <a:avLst/>
                        </a:prstGeom>
                        <a:solidFill>
                          <a:srgbClr val="FFFFFF"/>
                        </a:solidFill>
                        <a:ln w="9525">
                          <a:solidFill>
                            <a:srgbClr val="000000"/>
                          </a:solidFill>
                          <a:miter lim="800000"/>
                          <a:headEnd/>
                          <a:tailEnd/>
                        </a:ln>
                      </wps:spPr>
                      <wps:txbx>
                        <w:txbxContent>
                          <w:p w:rsidR="00031A3F" w:rsidRPr="00EE1E0C" w:rsidRDefault="00031A3F">
                            <w:r w:rsidRPr="00EE1E0C">
                              <w:t>Det tog i genomsnitt 14 dagar från det att ärendet slutredovis</w:t>
                            </w:r>
                            <w:r w:rsidRPr="00EE1E0C">
                              <w:t>a</w:t>
                            </w:r>
                            <w:r w:rsidRPr="00EE1E0C">
                              <w:t>des till beslut om att väcka åtal.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7" type="#_x0000_t202" style="position:absolute;left:0;text-align:left;margin-left:.9pt;margin-top:7.35pt;width:2in;height:4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" o:allowincell="f">
                <v:textbox>
                  <w:txbxContent>
                    <w:p w:rsidR="00031A3F" w:rsidRPr="00EE1E0C" w:rsidRDefault="00031A3F">
                      <w:r w:rsidRPr="00EE1E0C">
                        <w:t>Det tog i genomsnitt 14 dagar från det att ärendet slutredovis</w:t>
                      </w:r>
                      <w:r w:rsidRPr="00EE1E0C">
                        <w:t>a</w:t>
                      </w:r>
                      <w:r w:rsidRPr="00EE1E0C">
                        <w:t>des till beslut om att väcka åtal.</w:t>
                      </w:r>
                    </w:p>
                  </w:txbxContent>
                </v:textbox>
              </v:shape>
            </w:pict>
          </mc:Fallback>
        </mc:AlternateContent>
      </w:r>
    </w:p>
    <w:p w:rsidR="00031A3F" w:rsidRPr="00EE1E0C" w:rsidRDefault="00031A3F">
      <w:pPr>
        <w:pStyle w:val="Rubrik3"/>
      </w:pPr>
      <w:bookmarkStart w:id="285" w:name="_Toc454180265"/>
      <w:bookmarkStart w:id="286" w:name="_Toc466264228"/>
      <w:r w:rsidRPr="00EE1E0C">
        <w:t>Berörda myndigheters kommentarer till resultatet</w:t>
      </w:r>
      <w:bookmarkEnd w:id="285"/>
      <w:bookmarkEnd w:id="286"/>
    </w:p>
    <w:p w:rsidR="00031A3F" w:rsidRPr="00EE1E0C" w:rsidRDefault="00031A3F">
      <w:r w:rsidRPr="00EE1E0C">
        <w:t>Undersökningens resultat har kommenterats av berörda myndigheter i r</w:t>
      </w:r>
      <w:r w:rsidRPr="00EE1E0C">
        <w:t>e</w:t>
      </w:r>
      <w:r w:rsidRPr="00EE1E0C">
        <w:t>spektive län samt av Domstolsverket. I princip samtliga myndigheter har påpekat att revisorernas granskning omfattar ett förhållandevis litet antal ärenden. Därför anser myndigheterna att det inte är möjligt att dra några slutsatser om handläggningstiderna i respektive län med revisorernas mate</w:t>
      </w:r>
      <w:r w:rsidRPr="00EE1E0C">
        <w:softHyphen/>
        <w:t xml:space="preserve">rial som grund. Resultatet bör enligt deras uppfattning endast i begränsad utsträckning användas för att belysa förundersökningarnas kvalitetet. </w:t>
      </w:r>
    </w:p>
    <w:p w:rsidR="00031A3F" w:rsidRPr="00EE1E0C" w:rsidRDefault="00031A3F">
      <w:pPr>
        <w:pStyle w:val="Normaltindrag"/>
      </w:pPr>
      <w:r w:rsidRPr="00EE1E0C">
        <w:t>Polismyndigheten i Stockholms län anger i sin kommentar till undersö</w:t>
      </w:r>
      <w:r w:rsidRPr="00EE1E0C">
        <w:t>k</w:t>
      </w:r>
      <w:r w:rsidRPr="00EE1E0C">
        <w:t>ningen att det faktum att civilanställda sagts upp och omorganisationer g</w:t>
      </w:r>
      <w:r w:rsidRPr="00EE1E0C">
        <w:t>e</w:t>
      </w:r>
      <w:r w:rsidRPr="00EE1E0C">
        <w:t>nomförts under året har lett till att antalet ej avslutade ärenden ökat. Se</w:t>
      </w:r>
      <w:r w:rsidRPr="00EE1E0C">
        <w:t>n</w:t>
      </w:r>
      <w:r w:rsidRPr="00EE1E0C">
        <w:t>sommaren 1997 inrättades dock en specialkommission för att minska antalet äldre ärenden. Man anger att man har för avsikt att förbättra kriminalpol</w:t>
      </w:r>
      <w:r w:rsidRPr="00EE1E0C">
        <w:t>i</w:t>
      </w:r>
      <w:r w:rsidRPr="00EE1E0C">
        <w:t>s</w:t>
      </w:r>
      <w:r w:rsidRPr="00EE1E0C">
        <w:softHyphen/>
        <w:t>verksamheten genom särskilda insatser. Vidare påpekas att det samarbete som myndigheten i dag har med åklagarmyndigheten har medfört att hant</w:t>
      </w:r>
      <w:r w:rsidRPr="00EE1E0C">
        <w:t>e</w:t>
      </w:r>
      <w:r w:rsidRPr="00EE1E0C">
        <w:t>ringen av ärenden effektiviserats. Polismyndigheten i Västernorrlands</w:t>
      </w:r>
      <w:r w:rsidRPr="00EE1E0C">
        <w:t xml:space="preserve"> län anger att mer personal och möjligheten att ägna mer tid åt varje anmälan skulle leda till färre nedlagda ärenden och högre uppklaring</w:t>
      </w:r>
      <w:r w:rsidRPr="00EE1E0C">
        <w:t>s</w:t>
      </w:r>
      <w:r w:rsidRPr="00EE1E0C">
        <w:t xml:space="preserve">procent. </w:t>
      </w:r>
    </w:p>
    <w:p w:rsidR="00031A3F" w:rsidRPr="00EE1E0C" w:rsidRDefault="00031A3F">
      <w:pPr>
        <w:pStyle w:val="Normaltindrag"/>
      </w:pPr>
      <w:r w:rsidRPr="00EE1E0C">
        <w:t>Åklagarmyndigheten i Stockholm anger att det fortlöpande pågår ett o</w:t>
      </w:r>
      <w:r w:rsidRPr="00EE1E0C">
        <w:t>m</w:t>
      </w:r>
      <w:r w:rsidRPr="00EE1E0C">
        <w:t>fattande utvecklingsarbete i syfte att åstadkomma effektiva utredningsrutiner i samverkan mellan polisen och åklagarna. Åklagarkammaren i Linköping anger att arbetssituationen varit synnerligen ansträngd under 1997 och att det torde vara en del i förklaringen till att den genomsnittliga handläggningstiden varit längre vid kamrarna i Östergötland än vid kamrarna i det två andra länen. Man har bl.a. hanterat flera ovanligt stora ärenden under året samtidigt som personalen har minskat. Åklagarmyndigheten i Su</w:t>
      </w:r>
      <w:r w:rsidRPr="00EE1E0C">
        <w:t>ndsvall anger att ett projekt startats för att få till stånd ett närmare samarbete mellan polis och åklagare för att förkorta handläggningstiden från anmälan till dom.</w:t>
      </w:r>
    </w:p>
    <w:p w:rsidR="00031A3F" w:rsidRPr="00EE1E0C" w:rsidRDefault="00031A3F">
      <w:pPr>
        <w:pStyle w:val="Normaltindrag"/>
      </w:pPr>
      <w:r w:rsidRPr="00EE1E0C">
        <w:t>Domstolsverket uppger att den tid mellan åtalsbeslut och dag för dom som redovisas i undersökningen är lite högre än vad som kunde förväntas. Do</w:t>
      </w:r>
      <w:r w:rsidRPr="00EE1E0C">
        <w:t>m</w:t>
      </w:r>
      <w:r w:rsidRPr="00EE1E0C">
        <w:t>stolsverket menar dock att skillnaderna mellan länen kan förklaras av slumpmässiga faktorer.</w:t>
      </w:r>
    </w:p>
    <w:p w:rsidR="00031A3F" w:rsidRPr="00EE1E0C" w:rsidRDefault="00031A3F">
      <w:pPr>
        <w:pStyle w:val="Normaltindrag"/>
      </w:pPr>
      <w:r w:rsidRPr="00EE1E0C">
        <w:t>Revisorernas undersökning är dock en totalundersökning som omfattar samtliga anmälningar i de tre länen riktade mot personer födda 1973, som var skäligen misstänkta för misshandel under 1997. Att så få av de redovis</w:t>
      </w:r>
      <w:r w:rsidRPr="00EE1E0C">
        <w:t>a</w:t>
      </w:r>
      <w:r w:rsidRPr="00EE1E0C">
        <w:t xml:space="preserve">de ärendena kommer från Västernorrlands län skildrar således verkligheten eftersom färre personer bor i Västernorrlands län än i de andra länen. Antalet ärenden var 0,15 per 1 000 personer i Stockholms län, i Östergötlands län var antalet 0,11. I Västernorrlands län fanns enbart 0,06 ärenden av denna typ per 1 000 invånare.  </w:t>
      </w:r>
    </w:p>
    <w:p w:rsidR="00031A3F" w:rsidRPr="00EE1E0C" w:rsidRDefault="00031A3F">
      <w:pPr>
        <w:pStyle w:val="Normaltindrag"/>
      </w:pPr>
      <w:r w:rsidRPr="00EE1E0C">
        <w:t>Födelseåret 1973 har valts eftersom de misstänkta inte omfattas av lagen med särskilda bestämmelser om unga lagöverträdare. Vidare tillhörde denna grupp 1997 en åldersgrupp som är öve</w:t>
      </w:r>
      <w:r w:rsidRPr="00EE1E0C">
        <w:t>rrepresenterad vid misshandelsbrott. Det är inte troligt att anmälningar mot dessa personer skulle komma att dras tillbaka i lika stor utsträckning som misshandelsbrott där andra åldersgrupper är överrepresenterade. För medborgarna är det viktigt att misshandelsbrott klaras upp. Misshandelsbrott är också prioriterade av polisen. Det faktum att det finns en skäligen misstänkt för brottet borde underlätta ett uppkl</w:t>
      </w:r>
      <w:r w:rsidRPr="00EE1E0C">
        <w:t>a</w:t>
      </w:r>
      <w:r w:rsidRPr="00EE1E0C">
        <w:t>rande.</w:t>
      </w:r>
    </w:p>
    <w:p w:rsidR="00031A3F" w:rsidRPr="00EE1E0C" w:rsidRDefault="00031A3F">
      <w:pPr>
        <w:pStyle w:val="Rubrik3"/>
      </w:pPr>
      <w:bookmarkStart w:id="287" w:name="_Toc454180266"/>
      <w:bookmarkStart w:id="288" w:name="_Toc466264229"/>
      <w:r w:rsidRPr="00EE1E0C">
        <w:t>Slutsatser</w:t>
      </w:r>
      <w:bookmarkEnd w:id="287"/>
      <w:bookmarkEnd w:id="288"/>
    </w:p>
    <w:p w:rsidR="00031A3F" w:rsidRPr="00EE1E0C" w:rsidRDefault="00031A3F">
      <w:r w:rsidRPr="00EE1E0C">
        <w:t>Polisen har sedan förstatligandet fått mer pengar och anställt fler poliser. Antalet anmälda brott har ökat i riket liksom antalet uppklarade brott. And</w:t>
      </w:r>
      <w:r w:rsidRPr="00EE1E0C">
        <w:t>e</w:t>
      </w:r>
      <w:r w:rsidRPr="00EE1E0C">
        <w:t>len uppklarade brott har dock minskat. Av revisorernas undersökning, där 341 ärenden ingår, framgår att av samtliga misshandelsärenden lades 57 procent ned. Trots att det i vissa fall hade gått mer än ett och ett halvt år sedan anmälan var 24 procent av ärendena fortfarande under utredning. E</w:t>
      </w:r>
      <w:r w:rsidRPr="00EE1E0C">
        <w:t>n</w:t>
      </w:r>
      <w:r w:rsidRPr="00EE1E0C">
        <w:t>dast 18 procent av de anmälda ärendena hade vid tidpunkten för undersö</w:t>
      </w:r>
      <w:r w:rsidRPr="00EE1E0C">
        <w:t>k</w:t>
      </w:r>
      <w:r w:rsidRPr="00EE1E0C">
        <w:t xml:space="preserve">ningens genomförande lett till dom, strafföreläggande eller åtalsunderlåtelse. </w:t>
      </w:r>
    </w:p>
    <w:p w:rsidR="00031A3F" w:rsidRPr="00EE1E0C" w:rsidRDefault="00031A3F">
      <w:pPr>
        <w:pStyle w:val="Normaltindrag"/>
      </w:pPr>
      <w:r w:rsidRPr="00EE1E0C">
        <w:t>Genomströmningstiden inom polisväsendet per våldsbrott uppgick 199</w:t>
      </w:r>
      <w:r w:rsidRPr="00EE1E0C">
        <w:t>8 till i genomsnitt 138 dagar för riket i dess helhet. För åklagarna tog det i hela riket 46 dagar att handlägga våldsbrottsärenden från det att förundersöknin</w:t>
      </w:r>
      <w:r w:rsidRPr="00EE1E0C">
        <w:t>g</w:t>
      </w:r>
      <w:r w:rsidRPr="00EE1E0C">
        <w:t>en var klar. Enligt Domstolsverkets årsredovisning för 1998 tar det i geno</w:t>
      </w:r>
      <w:r w:rsidRPr="00EE1E0C">
        <w:t>m</w:t>
      </w:r>
      <w:r w:rsidRPr="00EE1E0C">
        <w:t xml:space="preserve">snitt ca 66 dagar från det att beslut om att åtal skall väckas har fattats tills ärendet blir avgjort i domstol. </w:t>
      </w:r>
    </w:p>
    <w:p w:rsidR="00031A3F" w:rsidRPr="00EE1E0C" w:rsidRDefault="00031A3F">
      <w:pPr>
        <w:pStyle w:val="Normaltindrag"/>
      </w:pPr>
      <w:r w:rsidRPr="00EE1E0C">
        <w:t xml:space="preserve">Enligt revisorernas undersökning är den genomsnittliga tiden från anmälan av ett ärende till dom i genomsnitt 185 dagar i Västernorrlands län och ca 230 dagar för </w:t>
      </w:r>
      <w:r w:rsidRPr="00EE1E0C">
        <w:t>ärenden i Stockholms och Östergötlands län. Denna geno</w:t>
      </w:r>
      <w:r w:rsidRPr="00EE1E0C">
        <w:t>m</w:t>
      </w:r>
      <w:r w:rsidRPr="00EE1E0C">
        <w:t>strömningstid avser de ärenden som lett till dom i de tre länen.</w:t>
      </w:r>
    </w:p>
    <w:p w:rsidR="00031A3F" w:rsidRPr="00EE1E0C" w:rsidRDefault="00031A3F">
      <w:pPr>
        <w:pStyle w:val="Normaltindrag"/>
      </w:pPr>
      <w:r w:rsidRPr="00EE1E0C">
        <w:t>Enligt revisorernas undersökning tog det ca 100 dagar i samtliga tre län från anmälan till polisens slutredovisning. Beträffande åklagarnas hantering av ärendena varierade handläggningstiden. Den var längst i Östergötlands län. Statistiken för samtliga våldsbrott i de undersökta länen 1998 visar att genomströmningstiden för våldsbrott inom polisen är längst i Stockholms län och kortast i V</w:t>
      </w:r>
      <w:r w:rsidRPr="00EE1E0C">
        <w:t>ästernorrlands län. Vad beträffar åklagarna är genomströ</w:t>
      </w:r>
      <w:r w:rsidRPr="00EE1E0C">
        <w:t>m</w:t>
      </w:r>
      <w:r w:rsidRPr="00EE1E0C">
        <w:t>ningstiden längst i Östergötlands län. Kortast var handläggningstiden i Vä</w:t>
      </w:r>
      <w:r w:rsidRPr="00EE1E0C">
        <w:t>s</w:t>
      </w:r>
      <w:r w:rsidRPr="00EE1E0C">
        <w:t>ternorrland. Sammanfattningsvis visar revisorernas undersökning av ett ärendes gång genom rättsväsendet att både polisens och åklagarnas hantering av ärendena tog lång tid. Handläggningstiden var lång oberoende av om ärendet lades ned eller om handläggningen inom rättsv</w:t>
      </w:r>
      <w:r w:rsidRPr="00EE1E0C">
        <w:t>ä</w:t>
      </w:r>
      <w:r w:rsidRPr="00EE1E0C">
        <w:t>sendet fortsatte.</w:t>
      </w:r>
    </w:p>
    <w:p w:rsidR="00031A3F" w:rsidRPr="00EE1E0C" w:rsidRDefault="00031A3F">
      <w:pPr>
        <w:pStyle w:val="Normaltindrag"/>
      </w:pPr>
      <w:r w:rsidRPr="00EE1E0C">
        <w:t>Statistiken över handläggningstiderna ger en skiftande bild av rättsväse</w:t>
      </w:r>
      <w:r w:rsidRPr="00EE1E0C">
        <w:t>n</w:t>
      </w:r>
      <w:r w:rsidRPr="00EE1E0C">
        <w:t>dets prestationer i länen. Befintlig kriminalstatistik lämnar ingen möjlighet att på ett enkelt sätt följa ett enskilt ärende genom rättsväsendet. Det är inte heller möjligt att, utifrån den statistik som finns idag, mäta genomströ</w:t>
      </w:r>
      <w:r w:rsidRPr="00EE1E0C">
        <w:t>m</w:t>
      </w:r>
      <w:r w:rsidRPr="00EE1E0C">
        <w:t xml:space="preserve">ningstiderna för ärenden som lett till dom. </w:t>
      </w:r>
    </w:p>
    <w:p w:rsidR="00031A3F" w:rsidRPr="00EE1E0C" w:rsidRDefault="00031A3F">
      <w:pPr>
        <w:pStyle w:val="Rubrik2"/>
      </w:pPr>
      <w:bookmarkStart w:id="289" w:name="_Toc448905443"/>
      <w:bookmarkStart w:id="290" w:name="_Toc466264230"/>
      <w:r w:rsidRPr="00EE1E0C">
        <w:t>Vad anser de som berörs av förundersökningarna?</w:t>
      </w:r>
      <w:bookmarkEnd w:id="289"/>
      <w:bookmarkEnd w:id="290"/>
    </w:p>
    <w:p w:rsidR="00031A3F" w:rsidRPr="00EE1E0C" w:rsidRDefault="00031A3F">
      <w:pPr>
        <w:rPr>
          <w:i/>
        </w:rPr>
      </w:pPr>
      <w:r w:rsidRPr="00EE1E0C">
        <w:rPr>
          <w:i/>
        </w:rPr>
        <w:t>Revisorerna har genomfört fyra enkätundersökningar av polisens och åkl</w:t>
      </w:r>
      <w:r w:rsidRPr="00EE1E0C">
        <w:rPr>
          <w:i/>
        </w:rPr>
        <w:t>a</w:t>
      </w:r>
      <w:r w:rsidRPr="00EE1E0C">
        <w:rPr>
          <w:i/>
        </w:rPr>
        <w:t>garnas förundersökningar. Enkäten har riktats till domare, försvarare, utr</w:t>
      </w:r>
      <w:r w:rsidRPr="00EE1E0C">
        <w:rPr>
          <w:i/>
        </w:rPr>
        <w:t>e</w:t>
      </w:r>
      <w:r w:rsidRPr="00EE1E0C">
        <w:rPr>
          <w:i/>
        </w:rPr>
        <w:t>dare på försäkringsbolag och intagna på anstalt. Nedan redovisas en sa</w:t>
      </w:r>
      <w:r w:rsidRPr="00EE1E0C">
        <w:rPr>
          <w:i/>
        </w:rPr>
        <w:t>m</w:t>
      </w:r>
      <w:r w:rsidRPr="00EE1E0C">
        <w:rPr>
          <w:i/>
        </w:rPr>
        <w:t>ma</w:t>
      </w:r>
      <w:r w:rsidRPr="00EE1E0C">
        <w:rPr>
          <w:i/>
        </w:rPr>
        <w:t>n</w:t>
      </w:r>
      <w:r w:rsidRPr="00EE1E0C">
        <w:rPr>
          <w:i/>
        </w:rPr>
        <w:t>ställning av enkätsvaren.</w:t>
      </w:r>
    </w:p>
    <w:p w:rsidR="00031A3F" w:rsidRPr="00EE1E0C" w:rsidRDefault="00031A3F">
      <w:pPr>
        <w:pStyle w:val="Rubrik3"/>
      </w:pPr>
      <w:bookmarkStart w:id="291" w:name="_Toc448905444"/>
      <w:bookmarkStart w:id="292" w:name="_Toc454180268"/>
      <w:bookmarkStart w:id="293" w:name="_Toc466264231"/>
      <w:r w:rsidRPr="00EE1E0C">
        <w:t>Något om enkäterna</w:t>
      </w:r>
      <w:bookmarkEnd w:id="291"/>
      <w:bookmarkEnd w:id="292"/>
      <w:bookmarkEnd w:id="293"/>
    </w:p>
    <w:p w:rsidR="00031A3F" w:rsidRPr="00EE1E0C" w:rsidRDefault="00031A3F">
      <w:r w:rsidRPr="00EE1E0C">
        <w:t>Enkätundersökningarna genomfördes under hösten 1998. Avsikten med enkätundersökningarna var att samla in åsikter från grupper som kommit i kontakt med förundersökningar genom sitt arbete eller på annat sätt, om huruvida polisernas och åklagarnas förundersökningsarbete har förändrats under 1990-talet. Enligt revisorerna har dessa grupper den bästa uppfattnin</w:t>
      </w:r>
      <w:r w:rsidRPr="00EE1E0C">
        <w:t>g</w:t>
      </w:r>
      <w:r w:rsidRPr="00EE1E0C">
        <w:t>en om förundersökningarnas eventuella kvalitetsförändring. Enkäterna har riktats till domare, offentliga försvarare, försäkringsutredare och till intagna på anstalt. Försvararna kommer i kontakt med förundersökningarna när den åtalades försvar förbereds medan domarna kommer i kontakt med förunde</w:t>
      </w:r>
      <w:r w:rsidRPr="00EE1E0C">
        <w:t>r</w:t>
      </w:r>
      <w:r w:rsidRPr="00EE1E0C">
        <w:t>sökningar främst vid rättegången. Utredare vid försäkringsbolag kommer i kontakt med polisens och åklagarnas arbete när ett ärende som gäller ett misstänkt försäkringsbedrägeri överlämnas till polisen. De intagna p</w:t>
      </w:r>
      <w:r w:rsidRPr="00EE1E0C">
        <w:t>å anstalt har själva varit föremål för en förundersökning. Nedan redovisas resultatet av enkäte</w:t>
      </w:r>
      <w:r w:rsidRPr="00EE1E0C">
        <w:t>r</w:t>
      </w:r>
      <w:r w:rsidRPr="00EE1E0C">
        <w:t xml:space="preserve">na. </w:t>
      </w:r>
    </w:p>
    <w:p w:rsidR="00031A3F" w:rsidRPr="00EE1E0C" w:rsidRDefault="00031A3F">
      <w:pPr>
        <w:pStyle w:val="Normaltindrag"/>
        <w:rPr>
          <w:spacing w:val="-3"/>
        </w:rPr>
      </w:pPr>
      <w:r w:rsidRPr="00EE1E0C">
        <w:t>Enkäten sändes till domare vid de 18 tingsrätterna i Stockholms, Öste</w:t>
      </w:r>
      <w:r w:rsidRPr="00EE1E0C">
        <w:t>r</w:t>
      </w:r>
      <w:r w:rsidRPr="00EE1E0C">
        <w:t>götlands och Västernorrlands län. Lagmännen vid tingsrätterna ombads att ombesörja att den eller de domare vid domstolen som hade mest erfarenhet av brottmål vid domstolen besvarade enkäten. 28 svar från 15 tingsrätter har kommit in. En e</w:t>
      </w:r>
      <w:r w:rsidRPr="00EE1E0C">
        <w:rPr>
          <w:spacing w:val="-3"/>
        </w:rPr>
        <w:t>nkät sändes också till sammanlagt 30 offentliga försvarare i  Stockholms, Östergötlands och Västernorrlands län. De advokater som erhållit enkäten tillhör dem som oftast anlitas som offentliga försvarare vid tingsrätterna i länen. 19 svar har inkommit. Av de försvarare som</w:t>
      </w:r>
      <w:r w:rsidRPr="00EE1E0C">
        <w:rPr>
          <w:spacing w:val="-3"/>
        </w:rPr>
        <w:t xml:space="preserve"> inte besvarat enkäten up</w:t>
      </w:r>
      <w:r w:rsidRPr="00EE1E0C">
        <w:rPr>
          <w:spacing w:val="-3"/>
        </w:rPr>
        <w:t>p</w:t>
      </w:r>
      <w:r w:rsidRPr="00EE1E0C">
        <w:rPr>
          <w:spacing w:val="-3"/>
        </w:rPr>
        <w:t>gav fem vid påminnelse genom telefonsamtal att de på grund av tidsbrist ännu inte hade skickat in enkäten, men att de hade för avsikt att göra det. Dessa fö</w:t>
      </w:r>
      <w:r w:rsidRPr="00EE1E0C">
        <w:rPr>
          <w:spacing w:val="-3"/>
        </w:rPr>
        <w:t>r</w:t>
      </w:r>
      <w:r w:rsidRPr="00EE1E0C">
        <w:rPr>
          <w:spacing w:val="-3"/>
        </w:rPr>
        <w:t>svarare menade att de frågor som ställdes i enkäten var viktiga och att de såg problem med förundersökningarnas kvalitet. Två uppgav att de avstod på grund av tid</w:t>
      </w:r>
      <w:r w:rsidRPr="00EE1E0C">
        <w:rPr>
          <w:spacing w:val="-3"/>
        </w:rPr>
        <w:t>s</w:t>
      </w:r>
      <w:r w:rsidRPr="00EE1E0C">
        <w:rPr>
          <w:spacing w:val="-3"/>
        </w:rPr>
        <w:t xml:space="preserve">brist och fyra gick inte att nå trots upprepade försök. </w:t>
      </w:r>
    </w:p>
    <w:p w:rsidR="00031A3F" w:rsidRPr="00EE1E0C" w:rsidRDefault="00031A3F">
      <w:pPr>
        <w:pStyle w:val="Normaltindrag"/>
        <w:rPr>
          <w:spacing w:val="-3"/>
        </w:rPr>
      </w:pPr>
      <w:r w:rsidRPr="00EE1E0C">
        <w:t>Domarna och försvararna tillfrågades om, och i så fall hur</w:t>
      </w:r>
    </w:p>
    <w:p w:rsidR="00031A3F" w:rsidRPr="00EE1E0C" w:rsidRDefault="00031A3F">
      <w:pPr>
        <w:pStyle w:val="Normaltindrag"/>
        <w:numPr>
          <w:ilvl w:val="0"/>
          <w:numId w:val="301"/>
        </w:numPr>
        <w:ind w:left="530"/>
      </w:pPr>
      <w:r w:rsidRPr="00EE1E0C">
        <w:t>förundersökningarnas kvalitet hade förändrats under 1990-talet</w:t>
      </w:r>
    </w:p>
    <w:p w:rsidR="00031A3F" w:rsidRPr="00EE1E0C" w:rsidRDefault="00031A3F">
      <w:pPr>
        <w:pStyle w:val="Normaltindrag"/>
        <w:numPr>
          <w:ilvl w:val="0"/>
          <w:numId w:val="301"/>
        </w:numPr>
        <w:ind w:left="530"/>
      </w:pPr>
      <w:r w:rsidRPr="00EE1E0C">
        <w:t xml:space="preserve">situationen för den misstänkte hade påverkats </w:t>
      </w:r>
    </w:p>
    <w:p w:rsidR="00031A3F" w:rsidRPr="00EE1E0C" w:rsidRDefault="00031A3F">
      <w:pPr>
        <w:pStyle w:val="Normaltindrag"/>
        <w:numPr>
          <w:ilvl w:val="0"/>
          <w:numId w:val="301"/>
        </w:numPr>
        <w:ind w:left="530"/>
      </w:pPr>
      <w:r w:rsidRPr="00EE1E0C">
        <w:t>utgången av rättegångarna hade påverkats</w:t>
      </w:r>
    </w:p>
    <w:p w:rsidR="00031A3F" w:rsidRPr="00EE1E0C" w:rsidRDefault="00031A3F">
      <w:pPr>
        <w:pStyle w:val="Normaltindrag"/>
        <w:numPr>
          <w:ilvl w:val="0"/>
          <w:numId w:val="301"/>
        </w:numPr>
        <w:ind w:left="530"/>
      </w:pPr>
      <w:r w:rsidRPr="00EE1E0C">
        <w:t xml:space="preserve">deras eget arbete hade påverkats av den förändrade kvaliteten. </w:t>
      </w:r>
    </w:p>
    <w:p w:rsidR="00031A3F" w:rsidRPr="00EE1E0C" w:rsidRDefault="00031A3F">
      <w:r w:rsidRPr="00EE1E0C">
        <w:t>Den enkät som avsåg utredarna skickades till utredningscheferna vid tre stora försäkringsbolag. Enkäterna har sedan delats ut till de tjänstemän som han</w:t>
      </w:r>
      <w:r w:rsidRPr="00EE1E0C">
        <w:t>d</w:t>
      </w:r>
      <w:r w:rsidRPr="00EE1E0C">
        <w:t>lägger misstänkta försäkringsbedrägerier i Stockholms, Östergötlands och Västernorrlands län. Sammanlagt 13 svar har kommit in. Försäkringsutreda</w:t>
      </w:r>
      <w:r w:rsidRPr="00EE1E0C">
        <w:t>r</w:t>
      </w:r>
      <w:r w:rsidRPr="00EE1E0C">
        <w:t xml:space="preserve">na tillfrågades om, och i så fall hur </w:t>
      </w:r>
    </w:p>
    <w:p w:rsidR="00031A3F" w:rsidRPr="00EE1E0C" w:rsidRDefault="00031A3F">
      <w:pPr>
        <w:pStyle w:val="Normaltindrag"/>
        <w:numPr>
          <w:ilvl w:val="0"/>
          <w:numId w:val="302"/>
        </w:numPr>
        <w:ind w:left="530"/>
      </w:pPr>
      <w:r w:rsidRPr="00EE1E0C">
        <w:t>förundersökningarnas kvalitet hade förändrats under 1990-talet</w:t>
      </w:r>
    </w:p>
    <w:p w:rsidR="00031A3F" w:rsidRPr="00EE1E0C" w:rsidRDefault="00031A3F">
      <w:pPr>
        <w:pStyle w:val="Normaltindrag"/>
        <w:numPr>
          <w:ilvl w:val="0"/>
          <w:numId w:val="302"/>
        </w:numPr>
        <w:ind w:left="530"/>
      </w:pPr>
      <w:r w:rsidRPr="00EE1E0C">
        <w:t>omorganisationerna inom polis- och åklagarväsendet har påverkat pol</w:t>
      </w:r>
      <w:r w:rsidRPr="00EE1E0C">
        <w:t>i</w:t>
      </w:r>
      <w:r w:rsidRPr="00EE1E0C">
        <w:t>sernas och åklagarnas förundersökningar som rör misstänkta försä</w:t>
      </w:r>
      <w:r w:rsidRPr="00EE1E0C">
        <w:t>k</w:t>
      </w:r>
      <w:r w:rsidRPr="00EE1E0C">
        <w:t>ringsbedrägerier.</w:t>
      </w:r>
    </w:p>
    <w:p w:rsidR="00031A3F" w:rsidRPr="00EE1E0C" w:rsidRDefault="00031A3F">
      <w:r w:rsidRPr="00EE1E0C">
        <w:t>Enkäterna till de intagna på anstalt sändes till 8 olika kriminalvårdsanstalter i Västernorrlands, Stockholms och Östergötlands län. Totalt besvarades de utsända enkäterna av 84 intagna från 7 anstalter. De intagna har tillfrågats om</w:t>
      </w:r>
    </w:p>
    <w:p w:rsidR="00031A3F" w:rsidRPr="00EE1E0C" w:rsidRDefault="00031A3F">
      <w:pPr>
        <w:pStyle w:val="Normaltindrag"/>
        <w:numPr>
          <w:ilvl w:val="0"/>
          <w:numId w:val="303"/>
        </w:numPr>
        <w:ind w:left="530"/>
      </w:pPr>
      <w:r w:rsidRPr="00EE1E0C">
        <w:t>hur kontakten med polis, åklagare och försvarare var under häktningst</w:t>
      </w:r>
      <w:r w:rsidRPr="00EE1E0C">
        <w:t>i</w:t>
      </w:r>
      <w:r w:rsidRPr="00EE1E0C">
        <w:t>den för dem som varit häktade</w:t>
      </w:r>
    </w:p>
    <w:p w:rsidR="00031A3F" w:rsidRPr="00EE1E0C" w:rsidRDefault="00031A3F">
      <w:pPr>
        <w:pStyle w:val="Normaltindrag"/>
        <w:numPr>
          <w:ilvl w:val="0"/>
          <w:numId w:val="303"/>
        </w:numPr>
        <w:ind w:left="530"/>
      </w:pPr>
      <w:r w:rsidRPr="00EE1E0C">
        <w:t xml:space="preserve">hur de kunde följa förundersökningsarbetet </w:t>
      </w:r>
    </w:p>
    <w:p w:rsidR="00031A3F" w:rsidRPr="00EE1E0C" w:rsidRDefault="00031A3F">
      <w:pPr>
        <w:pStyle w:val="Normaltindrag"/>
        <w:numPr>
          <w:ilvl w:val="0"/>
          <w:numId w:val="303"/>
        </w:numPr>
        <w:ind w:left="530"/>
      </w:pPr>
      <w:r w:rsidRPr="00EE1E0C">
        <w:t>hur de, i förekommande fall, kunnat följa förundersökningsarbetet inför tidigare rättegångar.</w:t>
      </w:r>
    </w:p>
    <w:p w:rsidR="00031A3F" w:rsidRPr="00EE1E0C" w:rsidRDefault="00031A3F">
      <w:pPr>
        <w:pStyle w:val="Rubrik3"/>
      </w:pPr>
      <w:bookmarkStart w:id="294" w:name="_Toc448905445"/>
      <w:bookmarkStart w:id="295" w:name="_Toc454180269"/>
      <w:bookmarkStart w:id="296" w:name="_Toc466264232"/>
      <w:r w:rsidRPr="00EE1E0C">
        <w:t>Har förundersökningarnas kvalitet förän</w:t>
      </w:r>
      <w:r w:rsidRPr="00EE1E0C">
        <w:t>d</w:t>
      </w:r>
      <w:r w:rsidRPr="00EE1E0C">
        <w:t>rats?</w:t>
      </w:r>
      <w:bookmarkEnd w:id="294"/>
      <w:bookmarkEnd w:id="295"/>
      <w:bookmarkEnd w:id="296"/>
    </w:p>
    <w:p w:rsidR="00031A3F" w:rsidRPr="00EE1E0C" w:rsidRDefault="00031A3F">
      <w:pPr>
        <w:rPr>
          <w:b/>
        </w:rPr>
      </w:pPr>
      <w:r w:rsidRPr="00EE1E0C">
        <w:t>En övervägande andel av domarna och försvararna menar att förundersö</w:t>
      </w:r>
      <w:r w:rsidRPr="00EE1E0C">
        <w:t>k</w:t>
      </w:r>
      <w:r w:rsidRPr="00EE1E0C">
        <w:t>ningarnas kvalitet har försämrats under 1990-talet. En annan vanlig uppfat</w:t>
      </w:r>
      <w:r w:rsidRPr="00EE1E0C">
        <w:t>t</w:t>
      </w:r>
      <w:r w:rsidRPr="00EE1E0C">
        <w:t>ning är att kvaliteten är oförändrad. Endast ett fåtal menar att förundersö</w:t>
      </w:r>
      <w:r w:rsidRPr="00EE1E0C">
        <w:t>k</w:t>
      </w:r>
      <w:r w:rsidRPr="00EE1E0C">
        <w:t>ningarna har blivit bättre. De förbättringar som omnämns gäller stora utre</w:t>
      </w:r>
      <w:r w:rsidRPr="00EE1E0C">
        <w:t>d</w:t>
      </w:r>
      <w:r w:rsidRPr="00EE1E0C">
        <w:t>ningar av allvarliga brott. Genom datateknikens hjälp anses också förunde</w:t>
      </w:r>
      <w:r w:rsidRPr="00EE1E0C">
        <w:t>r</w:t>
      </w:r>
      <w:r w:rsidRPr="00EE1E0C">
        <w:t xml:space="preserve">sökningarna ha blivit mera lättlästa. Generellt är försvararna mer kritiska än domarna. </w:t>
      </w:r>
      <w:r w:rsidRPr="00EE1E0C">
        <w:rPr>
          <w:spacing w:val="-3"/>
        </w:rPr>
        <w:t>Många av kommentarerna rör försämrade förhör av misstänkta och vittnen. Domarna anser framför allt att förhören är dåligt g</w:t>
      </w:r>
      <w:r w:rsidRPr="00EE1E0C">
        <w:rPr>
          <w:spacing w:val="-3"/>
        </w:rPr>
        <w:t>enomförda, medan försvararna anser att förhören är för få. Uppfattningen att förundersökningarna är summariska och slarviga är också vanligt förekommande.</w:t>
      </w:r>
      <w:r w:rsidRPr="00EE1E0C">
        <w:t xml:space="preserve"> Vissa försvarare menar att det inte går att lita på att förundersökningen är fullständig och att polisen alltför snabbt bestämmer sig för vem som är skyldig och därigenom begränsar antalet förhör. Kritik mot att polisen och åklagarna inte följer flera spår i utre</w:t>
      </w:r>
      <w:r w:rsidRPr="00EE1E0C">
        <w:t>d</w:t>
      </w:r>
      <w:r w:rsidRPr="00EE1E0C">
        <w:t xml:space="preserve">ningen förekommer också. </w:t>
      </w:r>
    </w:p>
    <w:p w:rsidR="00031A3F" w:rsidRPr="00EE1E0C" w:rsidRDefault="00031A3F">
      <w:pPr>
        <w:pStyle w:val="Normaltindrag"/>
      </w:pPr>
      <w:r w:rsidRPr="00EE1E0C">
        <w:t>Även en stor andel av utredarna vid försäkringsbolagen menar att fö</w:t>
      </w:r>
      <w:r w:rsidRPr="00EE1E0C">
        <w:t>ru</w:t>
      </w:r>
      <w:r w:rsidRPr="00EE1E0C">
        <w:t>n</w:t>
      </w:r>
      <w:r w:rsidRPr="00EE1E0C">
        <w:t>dersökningarna har blivit sämre under 1990-talet. Utredarna menar att fö</w:t>
      </w:r>
      <w:r w:rsidRPr="00EE1E0C">
        <w:t>r</w:t>
      </w:r>
      <w:r w:rsidRPr="00EE1E0C">
        <w:t>sämringarna beror på förändringar i både polisens och åklagarnas arbete. Någon menar att kunskapen om försäkringsrelaterade brott har blivit sämre, medan andra menar att utredningarna generellt är mindre genomarbetade. En vanligt förekommande uppfattning är också att försäkringsutredningar har låg prioritet och därför ofta avskrivs. Nära hälften av de utredare som besv</w:t>
      </w:r>
      <w:r w:rsidRPr="00EE1E0C">
        <w:t>a</w:t>
      </w:r>
      <w:r w:rsidRPr="00EE1E0C">
        <w:t>rat enkäten anser att närpolisreformen med uppsplittringen av ut</w:t>
      </w:r>
      <w:r w:rsidRPr="00EE1E0C">
        <w:t>redning</w:t>
      </w:r>
      <w:r w:rsidRPr="00EE1E0C">
        <w:t>s</w:t>
      </w:r>
      <w:r w:rsidRPr="00EE1E0C">
        <w:t>ansvaret har gjort att förundersökningarna blivit sämre. Vissa utredare menar att det är närpolisens bristande kunskaper i förundersökning som är orsak till försämringen. Ett par utredare menar att sämre förhörsteknik är orsaken till att utredningarna har blivit sämre. Av tabellen nedan framgår domarnas, försvararnas och utredarnas uppfattningar om förändringarna av förunde</w:t>
      </w:r>
      <w:r w:rsidRPr="00EE1E0C">
        <w:t>r</w:t>
      </w:r>
      <w:r w:rsidRPr="00EE1E0C">
        <w:t>söknin</w:t>
      </w:r>
      <w:r w:rsidRPr="00EE1E0C">
        <w:t>g</w:t>
      </w:r>
      <w:r w:rsidRPr="00EE1E0C">
        <w:t>arnas kvalitet under 1990-talet.</w:t>
      </w:r>
    </w:p>
    <w:p w:rsidR="00031A3F" w:rsidRPr="00EE1E0C" w:rsidRDefault="00031A3F">
      <w:pPr>
        <w:pStyle w:val="Normaltindrag"/>
      </w:pPr>
    </w:p>
    <w:p w:rsidR="00031A3F" w:rsidRPr="00EE1E0C" w:rsidRDefault="00031A3F">
      <w:pPr>
        <w:pStyle w:val="Tabellrubrik"/>
        <w:keepLines/>
      </w:pPr>
      <w:r w:rsidRPr="00EE1E0C">
        <w:t>Tabell 3.4 Har förundersökningarnas kvalitet förändrats under 1990-talet och i så fall hur?  Antal svar</w:t>
      </w:r>
    </w:p>
    <w:p w:rsidR="00031A3F" w:rsidRPr="00EE1E0C" w:rsidRDefault="00031A3F">
      <w:pPr>
        <w:pStyle w:val="Tabell"/>
      </w:pPr>
    </w:p>
    <w:tbl>
      <w:tblPr>
        <w:tblW w:w="0" w:type="auto"/>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063"/>
        <w:gridCol w:w="1134"/>
        <w:gridCol w:w="708"/>
        <w:gridCol w:w="851"/>
        <w:gridCol w:w="992"/>
        <w:gridCol w:w="992"/>
      </w:tblGrid>
      <w:tr w:rsidR="00000000" w:rsidRPr="00EE1E0C">
        <w:tblPrEx>
          <w:tblCellMar>
            <w:top w:w="0" w:type="dxa"/>
            <w:bottom w:w="0" w:type="dxa"/>
          </w:tblCellMar>
        </w:tblPrEx>
        <w:trPr>
          <w:tblHeader/>
        </w:trPr>
        <w:tc>
          <w:tcPr>
            <w:tcW w:w="1063" w:type="dxa"/>
            <w:tcBorders>
              <w:top w:val="single" w:sz="4" w:space="0" w:color="auto"/>
              <w:left w:val="single" w:sz="4" w:space="0" w:color="auto"/>
              <w:bottom w:val="single" w:sz="4" w:space="0" w:color="auto"/>
            </w:tcBorders>
          </w:tcPr>
          <w:p w:rsidR="00031A3F" w:rsidRPr="00EE1E0C" w:rsidRDefault="00031A3F">
            <w:pPr>
              <w:pStyle w:val="Normaltindrag"/>
              <w:keepLines/>
              <w:ind w:firstLine="0"/>
              <w:jc w:val="center"/>
              <w:rPr>
                <w:b/>
              </w:rPr>
            </w:pPr>
          </w:p>
        </w:tc>
        <w:tc>
          <w:tcPr>
            <w:tcW w:w="1134" w:type="dxa"/>
            <w:tcBorders>
              <w:top w:val="single" w:sz="4" w:space="0" w:color="auto"/>
              <w:bottom w:val="single" w:sz="4" w:space="0" w:color="auto"/>
            </w:tcBorders>
          </w:tcPr>
          <w:p w:rsidR="00031A3F" w:rsidRPr="00EE1E0C" w:rsidRDefault="00031A3F">
            <w:pPr>
              <w:pStyle w:val="Normaltindrag"/>
              <w:keepLines/>
              <w:ind w:firstLine="0"/>
              <w:jc w:val="left"/>
            </w:pPr>
            <w:r w:rsidRPr="00EE1E0C">
              <w:t>Ingen fö</w:t>
            </w:r>
            <w:r w:rsidRPr="00EE1E0C">
              <w:t>r</w:t>
            </w:r>
            <w:r w:rsidRPr="00EE1E0C">
              <w:t>ändring</w:t>
            </w:r>
          </w:p>
        </w:tc>
        <w:tc>
          <w:tcPr>
            <w:tcW w:w="708" w:type="dxa"/>
            <w:tcBorders>
              <w:top w:val="single" w:sz="4" w:space="0" w:color="auto"/>
              <w:bottom w:val="single" w:sz="4" w:space="0" w:color="auto"/>
            </w:tcBorders>
          </w:tcPr>
          <w:p w:rsidR="00031A3F" w:rsidRPr="00EE1E0C" w:rsidRDefault="00031A3F">
            <w:pPr>
              <w:pStyle w:val="Normaltindrag"/>
              <w:keepLines/>
              <w:ind w:firstLine="0"/>
              <w:jc w:val="left"/>
            </w:pPr>
            <w:r w:rsidRPr="00EE1E0C">
              <w:t>Bättre</w:t>
            </w:r>
          </w:p>
        </w:tc>
        <w:tc>
          <w:tcPr>
            <w:tcW w:w="851" w:type="dxa"/>
            <w:tcBorders>
              <w:top w:val="single" w:sz="4" w:space="0" w:color="auto"/>
              <w:bottom w:val="single" w:sz="4" w:space="0" w:color="auto"/>
            </w:tcBorders>
          </w:tcPr>
          <w:p w:rsidR="00031A3F" w:rsidRPr="00EE1E0C" w:rsidRDefault="00031A3F">
            <w:pPr>
              <w:pStyle w:val="Normaltindrag"/>
              <w:keepLines/>
              <w:ind w:firstLine="0"/>
              <w:jc w:val="left"/>
            </w:pPr>
            <w:r w:rsidRPr="00EE1E0C">
              <w:t>Sä</w:t>
            </w:r>
            <w:r w:rsidRPr="00EE1E0C">
              <w:t>m</w:t>
            </w:r>
            <w:r w:rsidRPr="00EE1E0C">
              <w:t>re</w:t>
            </w:r>
          </w:p>
        </w:tc>
        <w:tc>
          <w:tcPr>
            <w:tcW w:w="992" w:type="dxa"/>
            <w:tcBorders>
              <w:top w:val="single" w:sz="4" w:space="0" w:color="auto"/>
              <w:bottom w:val="single" w:sz="4" w:space="0" w:color="auto"/>
            </w:tcBorders>
          </w:tcPr>
          <w:p w:rsidR="00031A3F" w:rsidRPr="00EE1E0C" w:rsidRDefault="00031A3F">
            <w:pPr>
              <w:pStyle w:val="Normaltindrag"/>
              <w:keepLines/>
              <w:ind w:firstLine="0"/>
              <w:jc w:val="left"/>
            </w:pPr>
            <w:r w:rsidRPr="00EE1E0C">
              <w:t>Bättre och sämre</w:t>
            </w:r>
          </w:p>
        </w:tc>
        <w:tc>
          <w:tcPr>
            <w:tcW w:w="992" w:type="dxa"/>
            <w:tcBorders>
              <w:top w:val="single" w:sz="4" w:space="0" w:color="auto"/>
              <w:bottom w:val="single" w:sz="4" w:space="0" w:color="auto"/>
              <w:right w:val="single" w:sz="4" w:space="0" w:color="auto"/>
            </w:tcBorders>
          </w:tcPr>
          <w:p w:rsidR="00031A3F" w:rsidRPr="00EE1E0C" w:rsidRDefault="00031A3F">
            <w:pPr>
              <w:pStyle w:val="Normaltindrag"/>
              <w:keepLines/>
              <w:ind w:firstLine="0"/>
              <w:jc w:val="left"/>
            </w:pPr>
            <w:r w:rsidRPr="00EE1E0C">
              <w:t>Samtl</w:t>
            </w:r>
            <w:r w:rsidRPr="00EE1E0C">
              <w:t>i</w:t>
            </w:r>
            <w:r w:rsidRPr="00EE1E0C">
              <w:t>ga</w:t>
            </w:r>
          </w:p>
        </w:tc>
      </w:tr>
      <w:tr w:rsidR="00000000" w:rsidRPr="00EE1E0C">
        <w:tblPrEx>
          <w:tblCellMar>
            <w:top w:w="0" w:type="dxa"/>
            <w:bottom w:w="0" w:type="dxa"/>
          </w:tblCellMar>
        </w:tblPrEx>
        <w:trPr>
          <w:tblHeader/>
        </w:trPr>
        <w:tc>
          <w:tcPr>
            <w:tcW w:w="1063" w:type="dxa"/>
            <w:tcBorders>
              <w:top w:val="single" w:sz="4" w:space="0" w:color="auto"/>
              <w:left w:val="single" w:sz="4" w:space="0" w:color="auto"/>
            </w:tcBorders>
          </w:tcPr>
          <w:p w:rsidR="00031A3F" w:rsidRPr="00EE1E0C" w:rsidRDefault="00031A3F">
            <w:pPr>
              <w:pStyle w:val="Normaltindrag"/>
              <w:keepLines/>
              <w:ind w:firstLine="0"/>
              <w:jc w:val="left"/>
            </w:pPr>
            <w:r w:rsidRPr="00EE1E0C">
              <w:t>Domare</w:t>
            </w:r>
          </w:p>
        </w:tc>
        <w:tc>
          <w:tcPr>
            <w:tcW w:w="1134" w:type="dxa"/>
            <w:tcBorders>
              <w:top w:val="single" w:sz="4" w:space="0" w:color="auto"/>
            </w:tcBorders>
          </w:tcPr>
          <w:p w:rsidR="00031A3F" w:rsidRPr="00EE1E0C" w:rsidRDefault="00031A3F">
            <w:pPr>
              <w:pStyle w:val="Normaltindrag"/>
              <w:keepLines/>
              <w:ind w:firstLine="0"/>
              <w:jc w:val="right"/>
            </w:pPr>
            <w:r w:rsidRPr="00EE1E0C">
              <w:t>10</w:t>
            </w:r>
          </w:p>
        </w:tc>
        <w:tc>
          <w:tcPr>
            <w:tcW w:w="708" w:type="dxa"/>
            <w:tcBorders>
              <w:top w:val="single" w:sz="4" w:space="0" w:color="auto"/>
            </w:tcBorders>
          </w:tcPr>
          <w:p w:rsidR="00031A3F" w:rsidRPr="00EE1E0C" w:rsidRDefault="00031A3F">
            <w:pPr>
              <w:pStyle w:val="Normaltindrag"/>
              <w:keepLines/>
              <w:ind w:firstLine="0"/>
              <w:jc w:val="right"/>
            </w:pPr>
            <w:r w:rsidRPr="00EE1E0C">
              <w:t>2*</w:t>
            </w:r>
          </w:p>
        </w:tc>
        <w:tc>
          <w:tcPr>
            <w:tcW w:w="851" w:type="dxa"/>
            <w:tcBorders>
              <w:top w:val="single" w:sz="4" w:space="0" w:color="auto"/>
            </w:tcBorders>
          </w:tcPr>
          <w:p w:rsidR="00031A3F" w:rsidRPr="00EE1E0C" w:rsidRDefault="00031A3F">
            <w:pPr>
              <w:pStyle w:val="Normaltindrag"/>
              <w:keepLines/>
              <w:ind w:firstLine="0"/>
              <w:jc w:val="right"/>
            </w:pPr>
            <w:r w:rsidRPr="00EE1E0C">
              <w:t>12</w:t>
            </w:r>
          </w:p>
        </w:tc>
        <w:tc>
          <w:tcPr>
            <w:tcW w:w="992" w:type="dxa"/>
            <w:tcBorders>
              <w:top w:val="single" w:sz="4" w:space="0" w:color="auto"/>
            </w:tcBorders>
          </w:tcPr>
          <w:p w:rsidR="00031A3F" w:rsidRPr="00EE1E0C" w:rsidRDefault="00031A3F">
            <w:pPr>
              <w:pStyle w:val="Normaltindrag"/>
              <w:keepLines/>
              <w:ind w:firstLine="0"/>
              <w:jc w:val="right"/>
            </w:pPr>
            <w:r w:rsidRPr="00EE1E0C">
              <w:t>4</w:t>
            </w:r>
          </w:p>
        </w:tc>
        <w:tc>
          <w:tcPr>
            <w:tcW w:w="992" w:type="dxa"/>
            <w:tcBorders>
              <w:top w:val="single" w:sz="4" w:space="0" w:color="auto"/>
              <w:right w:val="single" w:sz="4" w:space="0" w:color="auto"/>
            </w:tcBorders>
          </w:tcPr>
          <w:p w:rsidR="00031A3F" w:rsidRPr="00EE1E0C" w:rsidRDefault="00031A3F">
            <w:pPr>
              <w:pStyle w:val="Normaltindrag"/>
              <w:keepLines/>
              <w:ind w:firstLine="0"/>
              <w:jc w:val="right"/>
            </w:pPr>
            <w:r w:rsidRPr="00EE1E0C">
              <w:t>28</w:t>
            </w:r>
          </w:p>
        </w:tc>
      </w:tr>
      <w:tr w:rsidR="00000000" w:rsidRPr="00EE1E0C">
        <w:tblPrEx>
          <w:tblCellMar>
            <w:top w:w="0" w:type="dxa"/>
            <w:bottom w:w="0" w:type="dxa"/>
          </w:tblCellMar>
        </w:tblPrEx>
        <w:trPr>
          <w:tblHeader/>
        </w:trPr>
        <w:tc>
          <w:tcPr>
            <w:tcW w:w="1063" w:type="dxa"/>
            <w:tcBorders>
              <w:left w:val="single" w:sz="4" w:space="0" w:color="auto"/>
            </w:tcBorders>
          </w:tcPr>
          <w:p w:rsidR="00031A3F" w:rsidRPr="00EE1E0C" w:rsidRDefault="00031A3F">
            <w:pPr>
              <w:pStyle w:val="Normaltindrag"/>
              <w:keepLines/>
              <w:ind w:firstLine="0"/>
              <w:jc w:val="left"/>
            </w:pPr>
            <w:r w:rsidRPr="00EE1E0C">
              <w:t>Försvarare</w:t>
            </w:r>
          </w:p>
        </w:tc>
        <w:tc>
          <w:tcPr>
            <w:tcW w:w="1134" w:type="dxa"/>
          </w:tcPr>
          <w:p w:rsidR="00031A3F" w:rsidRPr="00EE1E0C" w:rsidRDefault="00031A3F">
            <w:pPr>
              <w:pStyle w:val="Normaltindrag"/>
              <w:keepLines/>
              <w:ind w:firstLine="0"/>
              <w:jc w:val="right"/>
            </w:pPr>
            <w:r w:rsidRPr="00EE1E0C">
              <w:t>4</w:t>
            </w:r>
          </w:p>
        </w:tc>
        <w:tc>
          <w:tcPr>
            <w:tcW w:w="708" w:type="dxa"/>
          </w:tcPr>
          <w:p w:rsidR="00031A3F" w:rsidRPr="00EE1E0C" w:rsidRDefault="00031A3F">
            <w:pPr>
              <w:pStyle w:val="Normaltindrag"/>
              <w:keepLines/>
              <w:ind w:firstLine="0"/>
              <w:jc w:val="right"/>
            </w:pPr>
            <w:r w:rsidRPr="00EE1E0C">
              <w:t>1**</w:t>
            </w:r>
          </w:p>
        </w:tc>
        <w:tc>
          <w:tcPr>
            <w:tcW w:w="851" w:type="dxa"/>
          </w:tcPr>
          <w:p w:rsidR="00031A3F" w:rsidRPr="00EE1E0C" w:rsidRDefault="00031A3F">
            <w:pPr>
              <w:pStyle w:val="Normaltindrag"/>
              <w:keepLines/>
              <w:ind w:firstLine="0"/>
              <w:jc w:val="right"/>
            </w:pPr>
            <w:r w:rsidRPr="00EE1E0C">
              <w:t>14</w:t>
            </w:r>
          </w:p>
        </w:tc>
        <w:tc>
          <w:tcPr>
            <w:tcW w:w="992" w:type="dxa"/>
          </w:tcPr>
          <w:p w:rsidR="00031A3F" w:rsidRPr="00EE1E0C" w:rsidRDefault="00031A3F">
            <w:pPr>
              <w:pStyle w:val="Normaltindrag"/>
              <w:keepLines/>
              <w:ind w:firstLine="0"/>
              <w:jc w:val="right"/>
            </w:pPr>
            <w:r w:rsidRPr="00EE1E0C">
              <w:t>-</w:t>
            </w:r>
          </w:p>
        </w:tc>
        <w:tc>
          <w:tcPr>
            <w:tcW w:w="992" w:type="dxa"/>
            <w:tcBorders>
              <w:right w:val="single" w:sz="4" w:space="0" w:color="auto"/>
            </w:tcBorders>
          </w:tcPr>
          <w:p w:rsidR="00031A3F" w:rsidRPr="00EE1E0C" w:rsidRDefault="00031A3F">
            <w:pPr>
              <w:pStyle w:val="Normaltindrag"/>
              <w:keepLines/>
              <w:ind w:firstLine="0"/>
              <w:jc w:val="right"/>
            </w:pPr>
            <w:r w:rsidRPr="00EE1E0C">
              <w:t>19</w:t>
            </w:r>
          </w:p>
        </w:tc>
      </w:tr>
      <w:tr w:rsidR="00000000" w:rsidRPr="00EE1E0C">
        <w:tblPrEx>
          <w:tblCellMar>
            <w:top w:w="0" w:type="dxa"/>
            <w:bottom w:w="0" w:type="dxa"/>
          </w:tblCellMar>
        </w:tblPrEx>
        <w:trPr>
          <w:tblHeader/>
        </w:trPr>
        <w:tc>
          <w:tcPr>
            <w:tcW w:w="1063" w:type="dxa"/>
            <w:tcBorders>
              <w:left w:val="single" w:sz="4" w:space="0" w:color="auto"/>
              <w:bottom w:val="single" w:sz="4" w:space="0" w:color="auto"/>
            </w:tcBorders>
          </w:tcPr>
          <w:p w:rsidR="00031A3F" w:rsidRPr="00EE1E0C" w:rsidRDefault="00031A3F">
            <w:pPr>
              <w:pStyle w:val="Normaltindrag"/>
              <w:keepLines/>
              <w:ind w:firstLine="0"/>
              <w:jc w:val="left"/>
            </w:pPr>
            <w:r w:rsidRPr="00EE1E0C">
              <w:t>Utredare</w:t>
            </w:r>
          </w:p>
        </w:tc>
        <w:tc>
          <w:tcPr>
            <w:tcW w:w="1134" w:type="dxa"/>
            <w:tcBorders>
              <w:bottom w:val="single" w:sz="4" w:space="0" w:color="auto"/>
            </w:tcBorders>
          </w:tcPr>
          <w:p w:rsidR="00031A3F" w:rsidRPr="00EE1E0C" w:rsidRDefault="00031A3F">
            <w:pPr>
              <w:pStyle w:val="Normaltindrag"/>
              <w:keepLines/>
              <w:ind w:firstLine="0"/>
              <w:jc w:val="right"/>
            </w:pPr>
            <w:r w:rsidRPr="00EE1E0C">
              <w:t>3</w:t>
            </w:r>
          </w:p>
        </w:tc>
        <w:tc>
          <w:tcPr>
            <w:tcW w:w="708" w:type="dxa"/>
            <w:tcBorders>
              <w:bottom w:val="single" w:sz="4" w:space="0" w:color="auto"/>
            </w:tcBorders>
          </w:tcPr>
          <w:p w:rsidR="00031A3F" w:rsidRPr="00EE1E0C" w:rsidRDefault="00031A3F">
            <w:pPr>
              <w:pStyle w:val="Normaltindrag"/>
              <w:keepLines/>
              <w:ind w:firstLine="0"/>
              <w:jc w:val="right"/>
            </w:pPr>
            <w:r w:rsidRPr="00EE1E0C">
              <w:t>-</w:t>
            </w:r>
          </w:p>
        </w:tc>
        <w:tc>
          <w:tcPr>
            <w:tcW w:w="851" w:type="dxa"/>
            <w:tcBorders>
              <w:bottom w:val="single" w:sz="4" w:space="0" w:color="auto"/>
            </w:tcBorders>
          </w:tcPr>
          <w:p w:rsidR="00031A3F" w:rsidRPr="00EE1E0C" w:rsidRDefault="00031A3F">
            <w:pPr>
              <w:pStyle w:val="Normaltindrag"/>
              <w:keepLines/>
              <w:ind w:firstLine="0"/>
              <w:jc w:val="right"/>
            </w:pPr>
            <w:r w:rsidRPr="00EE1E0C">
              <w:t>10</w:t>
            </w:r>
          </w:p>
        </w:tc>
        <w:tc>
          <w:tcPr>
            <w:tcW w:w="992" w:type="dxa"/>
            <w:tcBorders>
              <w:bottom w:val="single" w:sz="4" w:space="0" w:color="auto"/>
            </w:tcBorders>
          </w:tcPr>
          <w:p w:rsidR="00031A3F" w:rsidRPr="00EE1E0C" w:rsidRDefault="00031A3F">
            <w:pPr>
              <w:pStyle w:val="Normaltindrag"/>
              <w:keepLines/>
              <w:ind w:firstLine="0"/>
              <w:jc w:val="right"/>
            </w:pPr>
            <w:r w:rsidRPr="00EE1E0C">
              <w:t>-</w:t>
            </w:r>
          </w:p>
        </w:tc>
        <w:tc>
          <w:tcPr>
            <w:tcW w:w="992" w:type="dxa"/>
            <w:tcBorders>
              <w:bottom w:val="single" w:sz="4" w:space="0" w:color="auto"/>
              <w:right w:val="single" w:sz="4" w:space="0" w:color="auto"/>
            </w:tcBorders>
          </w:tcPr>
          <w:p w:rsidR="00031A3F" w:rsidRPr="00EE1E0C" w:rsidRDefault="00031A3F">
            <w:pPr>
              <w:pStyle w:val="Normaltindrag"/>
              <w:keepLines/>
              <w:ind w:firstLine="0"/>
              <w:jc w:val="right"/>
            </w:pPr>
            <w:r w:rsidRPr="00EE1E0C">
              <w:t>13</w:t>
            </w:r>
          </w:p>
        </w:tc>
      </w:tr>
    </w:tbl>
    <w:p w:rsidR="00031A3F" w:rsidRPr="00EE1E0C" w:rsidRDefault="00031A3F">
      <w:pPr>
        <w:pStyle w:val="Tabellrubrik"/>
        <w:keepLines/>
        <w:rPr>
          <w:b w:val="0"/>
        </w:rPr>
      </w:pPr>
    </w:p>
    <w:p w:rsidR="00031A3F" w:rsidRPr="00EE1E0C" w:rsidRDefault="00031A3F">
      <w:pPr>
        <w:pStyle w:val="Tabellrubrik"/>
        <w:keepLines/>
        <w:rPr>
          <w:b w:val="0"/>
        </w:rPr>
      </w:pPr>
      <w:r w:rsidRPr="00EE1E0C">
        <w:rPr>
          <w:b w:val="0"/>
        </w:rPr>
        <w:t>* ”ja, kanske” och ”ja, delvis”</w:t>
      </w:r>
    </w:p>
    <w:p w:rsidR="00031A3F" w:rsidRPr="00EE1E0C" w:rsidRDefault="00031A3F">
      <w:pPr>
        <w:pStyle w:val="Tabell"/>
      </w:pPr>
      <w:r w:rsidRPr="00EE1E0C">
        <w:t>** ”ja, i viss mån”</w:t>
      </w:r>
    </w:p>
    <w:p w:rsidR="00031A3F" w:rsidRPr="00EE1E0C" w:rsidRDefault="00031A3F">
      <w:pPr>
        <w:pStyle w:val="Tabell"/>
        <w:rPr>
          <w:i/>
        </w:rPr>
      </w:pPr>
      <w:r w:rsidRPr="00EE1E0C">
        <w:rPr>
          <w:i/>
        </w:rPr>
        <w:t>Källa: Revisorernas enkätundersökning</w:t>
      </w:r>
    </w:p>
    <w:p w:rsidR="00031A3F" w:rsidRPr="00EE1E0C" w:rsidRDefault="00031A3F">
      <w:r w:rsidRPr="00EE1E0C">
        <w:t>Omkring två tredjedelar av de intagna menade att de hade dåliga möjligheter att följa förundersökningen. Några menade att de hade goda möjligheter och några att möjligheterna  varken var bra eller dåliga. Flera uppgav att de varit tvungna att poängtera sina rättigheter för att få dem tillgodosedda. Vissa menar också att de först i samband med rättegången fått del av förundersö</w:t>
      </w:r>
      <w:r w:rsidRPr="00EE1E0C">
        <w:t>k</w:t>
      </w:r>
      <w:r w:rsidRPr="00EE1E0C">
        <w:t>ningen. Även kritik mot hur förhören återgivits framkommer. Omkring en tredjedel av de intagna på anstalt som tidigare varit dömda menar att de hade svårare att följa förundersökningen inför den senaste rättegången än vad de haft tidigare. Av tabellen nedan framgår hur de intagna på anstalt uppfattar sin möjlighet att följa förundersökningen inför den nu aktuella rättegången jämfört med tidigare. Av dem som besvarat enkäten hade 61 tidigare varit föremål för förundersökning.</w:t>
      </w:r>
    </w:p>
    <w:p w:rsidR="00031A3F" w:rsidRPr="00EE1E0C" w:rsidRDefault="00031A3F">
      <w:pPr>
        <w:pStyle w:val="Tabellrubrik"/>
      </w:pPr>
    </w:p>
    <w:p w:rsidR="00031A3F" w:rsidRPr="00EE1E0C" w:rsidRDefault="00031A3F">
      <w:pPr>
        <w:pStyle w:val="Tabellrubrik"/>
      </w:pPr>
      <w:r w:rsidRPr="00EE1E0C">
        <w:t xml:space="preserve">Tabell 3.5 Möjlighet för intagna som tidigare varit föremål för </w:t>
      </w:r>
    </w:p>
    <w:p w:rsidR="00031A3F" w:rsidRPr="00EE1E0C" w:rsidRDefault="00031A3F">
      <w:pPr>
        <w:pStyle w:val="Tabellrubrik"/>
        <w:keepNext/>
      </w:pPr>
      <w:r w:rsidRPr="00EE1E0C">
        <w:t xml:space="preserve">förundersökning att följa förundersökningen inför den nu </w:t>
      </w:r>
    </w:p>
    <w:p w:rsidR="00031A3F" w:rsidRPr="00EE1E0C" w:rsidRDefault="00031A3F">
      <w:pPr>
        <w:pStyle w:val="Tabellrubrik"/>
        <w:keepNext/>
      </w:pPr>
      <w:r w:rsidRPr="00EE1E0C">
        <w:t>aktuella rättegången jämfört med tidigare.</w:t>
      </w:r>
    </w:p>
    <w:p w:rsidR="00031A3F" w:rsidRPr="00EE1E0C" w:rsidRDefault="00031A3F">
      <w:pPr>
        <w:pStyle w:val="Tabell"/>
      </w:pPr>
    </w:p>
    <w:tbl>
      <w:tblPr>
        <w:tblW w:w="0" w:type="auto"/>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331"/>
        <w:gridCol w:w="992"/>
      </w:tblGrid>
      <w:tr w:rsidR="00000000" w:rsidRPr="00EE1E0C">
        <w:tblPrEx>
          <w:tblCellMar>
            <w:top w:w="0" w:type="dxa"/>
            <w:bottom w:w="0" w:type="dxa"/>
          </w:tblCellMar>
        </w:tblPrEx>
        <w:tc>
          <w:tcPr>
            <w:tcW w:w="3331" w:type="dxa"/>
            <w:tcBorders>
              <w:top w:val="single" w:sz="4" w:space="0" w:color="auto"/>
              <w:left w:val="single" w:sz="4" w:space="0" w:color="auto"/>
              <w:bottom w:val="single" w:sz="4" w:space="0" w:color="auto"/>
              <w:right w:val="single" w:sz="4" w:space="0" w:color="auto"/>
            </w:tcBorders>
          </w:tcPr>
          <w:p w:rsidR="00031A3F" w:rsidRPr="00EE1E0C" w:rsidRDefault="00031A3F">
            <w:pPr>
              <w:pStyle w:val="Normaltindrag"/>
              <w:keepNext/>
              <w:ind w:firstLine="0"/>
              <w:jc w:val="left"/>
            </w:pPr>
            <w:r w:rsidRPr="00EE1E0C">
              <w:t>Hur kunde du, jämfört med förra gången, följa förundersö</w:t>
            </w:r>
            <w:r w:rsidRPr="00EE1E0C">
              <w:t>k</w:t>
            </w:r>
            <w:r w:rsidRPr="00EE1E0C">
              <w:t>ningen.</w:t>
            </w:r>
          </w:p>
        </w:tc>
        <w:tc>
          <w:tcPr>
            <w:tcW w:w="992" w:type="dxa"/>
            <w:tcBorders>
              <w:top w:val="single" w:sz="4" w:space="0" w:color="auto"/>
              <w:left w:val="nil"/>
              <w:bottom w:val="single" w:sz="4" w:space="0" w:color="auto"/>
              <w:right w:val="single" w:sz="4" w:space="0" w:color="auto"/>
            </w:tcBorders>
          </w:tcPr>
          <w:p w:rsidR="00031A3F" w:rsidRPr="00EE1E0C" w:rsidRDefault="00031A3F">
            <w:pPr>
              <w:pStyle w:val="Normaltindrag"/>
              <w:keepNext/>
              <w:ind w:firstLine="0"/>
              <w:jc w:val="center"/>
            </w:pPr>
            <w:r w:rsidRPr="00EE1E0C">
              <w:t>Antal</w:t>
            </w:r>
          </w:p>
          <w:p w:rsidR="00031A3F" w:rsidRPr="00EE1E0C" w:rsidRDefault="00031A3F">
            <w:pPr>
              <w:pStyle w:val="Normaltindrag"/>
              <w:keepNext/>
              <w:ind w:firstLine="0"/>
              <w:jc w:val="center"/>
            </w:pPr>
            <w:r w:rsidRPr="00EE1E0C">
              <w:t>svar</w:t>
            </w:r>
          </w:p>
        </w:tc>
      </w:tr>
      <w:tr w:rsidR="00000000" w:rsidRPr="00EE1E0C">
        <w:tblPrEx>
          <w:tblCellMar>
            <w:top w:w="0" w:type="dxa"/>
            <w:bottom w:w="0" w:type="dxa"/>
          </w:tblCellMar>
        </w:tblPrEx>
        <w:tc>
          <w:tcPr>
            <w:tcW w:w="3331" w:type="dxa"/>
            <w:tcBorders>
              <w:top w:val="single" w:sz="4" w:space="0" w:color="auto"/>
              <w:left w:val="single" w:sz="4" w:space="0" w:color="auto"/>
              <w:right w:val="single" w:sz="4" w:space="0" w:color="auto"/>
            </w:tcBorders>
          </w:tcPr>
          <w:p w:rsidR="00031A3F" w:rsidRPr="00EE1E0C" w:rsidRDefault="00031A3F">
            <w:pPr>
              <w:pStyle w:val="Normaltindrag"/>
              <w:keepNext/>
              <w:ind w:firstLine="0"/>
              <w:jc w:val="left"/>
            </w:pPr>
            <w:r w:rsidRPr="00EE1E0C">
              <w:t>Bättre</w:t>
            </w:r>
          </w:p>
        </w:tc>
        <w:tc>
          <w:tcPr>
            <w:tcW w:w="992" w:type="dxa"/>
            <w:tcBorders>
              <w:top w:val="single" w:sz="4" w:space="0" w:color="auto"/>
              <w:left w:val="nil"/>
              <w:right w:val="single" w:sz="4" w:space="0" w:color="auto"/>
            </w:tcBorders>
          </w:tcPr>
          <w:p w:rsidR="00031A3F" w:rsidRPr="00EE1E0C" w:rsidRDefault="00031A3F">
            <w:pPr>
              <w:pStyle w:val="Normaltindrag"/>
              <w:keepNext/>
              <w:ind w:firstLine="0"/>
              <w:jc w:val="right"/>
            </w:pPr>
            <w:r w:rsidRPr="00EE1E0C">
              <w:t>9</w:t>
            </w:r>
          </w:p>
        </w:tc>
      </w:tr>
      <w:tr w:rsidR="00000000" w:rsidRPr="00EE1E0C">
        <w:tblPrEx>
          <w:tblCellMar>
            <w:top w:w="0" w:type="dxa"/>
            <w:bottom w:w="0" w:type="dxa"/>
          </w:tblCellMar>
        </w:tblPrEx>
        <w:tc>
          <w:tcPr>
            <w:tcW w:w="3331" w:type="dxa"/>
            <w:tcBorders>
              <w:left w:val="single" w:sz="4" w:space="0" w:color="auto"/>
              <w:right w:val="single" w:sz="4" w:space="0" w:color="auto"/>
            </w:tcBorders>
          </w:tcPr>
          <w:p w:rsidR="00031A3F" w:rsidRPr="00EE1E0C" w:rsidRDefault="00031A3F">
            <w:pPr>
              <w:pStyle w:val="Normaltindrag"/>
              <w:keepNext/>
              <w:ind w:firstLine="0"/>
              <w:jc w:val="left"/>
            </w:pPr>
            <w:r w:rsidRPr="00EE1E0C">
              <w:t>På samma sätt</w:t>
            </w:r>
          </w:p>
        </w:tc>
        <w:tc>
          <w:tcPr>
            <w:tcW w:w="992" w:type="dxa"/>
            <w:tcBorders>
              <w:left w:val="nil"/>
              <w:right w:val="single" w:sz="4" w:space="0" w:color="auto"/>
            </w:tcBorders>
          </w:tcPr>
          <w:p w:rsidR="00031A3F" w:rsidRPr="00EE1E0C" w:rsidRDefault="00031A3F">
            <w:pPr>
              <w:pStyle w:val="Normaltindrag"/>
              <w:keepNext/>
              <w:ind w:firstLine="0"/>
              <w:jc w:val="right"/>
            </w:pPr>
            <w:r w:rsidRPr="00EE1E0C">
              <w:t>28</w:t>
            </w:r>
          </w:p>
        </w:tc>
      </w:tr>
      <w:tr w:rsidR="00000000" w:rsidRPr="00EE1E0C">
        <w:tblPrEx>
          <w:tblCellMar>
            <w:top w:w="0" w:type="dxa"/>
            <w:bottom w:w="0" w:type="dxa"/>
          </w:tblCellMar>
        </w:tblPrEx>
        <w:tc>
          <w:tcPr>
            <w:tcW w:w="3331" w:type="dxa"/>
            <w:tcBorders>
              <w:left w:val="single" w:sz="4" w:space="0" w:color="auto"/>
              <w:right w:val="single" w:sz="4" w:space="0" w:color="auto"/>
            </w:tcBorders>
          </w:tcPr>
          <w:p w:rsidR="00031A3F" w:rsidRPr="00EE1E0C" w:rsidRDefault="00031A3F">
            <w:pPr>
              <w:pStyle w:val="Normaltindrag"/>
              <w:keepNext/>
              <w:ind w:firstLine="0"/>
              <w:jc w:val="left"/>
            </w:pPr>
            <w:r w:rsidRPr="00EE1E0C">
              <w:t>Sämre</w:t>
            </w:r>
          </w:p>
        </w:tc>
        <w:tc>
          <w:tcPr>
            <w:tcW w:w="992" w:type="dxa"/>
            <w:tcBorders>
              <w:left w:val="nil"/>
              <w:right w:val="single" w:sz="4" w:space="0" w:color="auto"/>
            </w:tcBorders>
          </w:tcPr>
          <w:p w:rsidR="00031A3F" w:rsidRPr="00EE1E0C" w:rsidRDefault="00031A3F">
            <w:pPr>
              <w:pStyle w:val="Normaltindrag"/>
              <w:keepNext/>
              <w:ind w:firstLine="0"/>
              <w:jc w:val="right"/>
            </w:pPr>
            <w:r w:rsidRPr="00EE1E0C">
              <w:t>20</w:t>
            </w:r>
          </w:p>
        </w:tc>
      </w:tr>
      <w:tr w:rsidR="00000000" w:rsidRPr="00EE1E0C">
        <w:tblPrEx>
          <w:tblCellMar>
            <w:top w:w="0" w:type="dxa"/>
            <w:bottom w:w="0" w:type="dxa"/>
          </w:tblCellMar>
        </w:tblPrEx>
        <w:tc>
          <w:tcPr>
            <w:tcW w:w="3331" w:type="dxa"/>
            <w:tcBorders>
              <w:left w:val="single" w:sz="4" w:space="0" w:color="auto"/>
              <w:right w:val="single" w:sz="4" w:space="0" w:color="auto"/>
            </w:tcBorders>
          </w:tcPr>
          <w:p w:rsidR="00031A3F" w:rsidRPr="00EE1E0C" w:rsidRDefault="00031A3F">
            <w:pPr>
              <w:pStyle w:val="Normaltindrag"/>
              <w:keepNext/>
              <w:ind w:firstLine="0"/>
              <w:jc w:val="left"/>
            </w:pPr>
            <w:r w:rsidRPr="00EE1E0C">
              <w:t>Flera svar</w:t>
            </w:r>
          </w:p>
        </w:tc>
        <w:tc>
          <w:tcPr>
            <w:tcW w:w="992" w:type="dxa"/>
            <w:tcBorders>
              <w:left w:val="nil"/>
              <w:right w:val="single" w:sz="4" w:space="0" w:color="auto"/>
            </w:tcBorders>
          </w:tcPr>
          <w:p w:rsidR="00031A3F" w:rsidRPr="00EE1E0C" w:rsidRDefault="00031A3F">
            <w:pPr>
              <w:pStyle w:val="Normaltindrag"/>
              <w:keepNext/>
              <w:ind w:firstLine="0"/>
              <w:jc w:val="right"/>
            </w:pPr>
            <w:r w:rsidRPr="00EE1E0C">
              <w:t>1</w:t>
            </w:r>
          </w:p>
        </w:tc>
      </w:tr>
      <w:tr w:rsidR="00000000" w:rsidRPr="00EE1E0C">
        <w:tblPrEx>
          <w:tblCellMar>
            <w:top w:w="0" w:type="dxa"/>
            <w:bottom w:w="0" w:type="dxa"/>
          </w:tblCellMar>
        </w:tblPrEx>
        <w:tc>
          <w:tcPr>
            <w:tcW w:w="3331" w:type="dxa"/>
            <w:tcBorders>
              <w:left w:val="single" w:sz="4" w:space="0" w:color="auto"/>
              <w:bottom w:val="nil"/>
              <w:right w:val="single" w:sz="4" w:space="0" w:color="auto"/>
            </w:tcBorders>
          </w:tcPr>
          <w:p w:rsidR="00031A3F" w:rsidRPr="00EE1E0C" w:rsidRDefault="00031A3F">
            <w:pPr>
              <w:pStyle w:val="Normaltindrag"/>
              <w:keepNext/>
              <w:ind w:firstLine="0"/>
              <w:jc w:val="left"/>
            </w:pPr>
            <w:r w:rsidRPr="00EE1E0C">
              <w:t>Blanka svar</w:t>
            </w:r>
          </w:p>
        </w:tc>
        <w:tc>
          <w:tcPr>
            <w:tcW w:w="992" w:type="dxa"/>
            <w:tcBorders>
              <w:left w:val="nil"/>
              <w:bottom w:val="nil"/>
              <w:right w:val="single" w:sz="4" w:space="0" w:color="auto"/>
            </w:tcBorders>
          </w:tcPr>
          <w:p w:rsidR="00031A3F" w:rsidRPr="00EE1E0C" w:rsidRDefault="00031A3F">
            <w:pPr>
              <w:pStyle w:val="Normaltindrag"/>
              <w:keepNext/>
              <w:ind w:firstLine="0"/>
              <w:jc w:val="right"/>
            </w:pPr>
            <w:r w:rsidRPr="00EE1E0C">
              <w:t>3</w:t>
            </w:r>
          </w:p>
        </w:tc>
      </w:tr>
      <w:tr w:rsidR="00000000" w:rsidRPr="00EE1E0C">
        <w:tblPrEx>
          <w:tblCellMar>
            <w:top w:w="0" w:type="dxa"/>
            <w:bottom w:w="0" w:type="dxa"/>
          </w:tblCellMar>
        </w:tblPrEx>
        <w:tc>
          <w:tcPr>
            <w:tcW w:w="3331" w:type="dxa"/>
            <w:tcBorders>
              <w:top w:val="single" w:sz="12" w:space="0" w:color="auto"/>
              <w:left w:val="single" w:sz="4" w:space="0" w:color="auto"/>
              <w:bottom w:val="single" w:sz="4" w:space="0" w:color="auto"/>
              <w:right w:val="single" w:sz="4" w:space="0" w:color="auto"/>
            </w:tcBorders>
          </w:tcPr>
          <w:p w:rsidR="00031A3F" w:rsidRPr="00EE1E0C" w:rsidRDefault="00031A3F">
            <w:pPr>
              <w:pStyle w:val="Normaltindrag"/>
              <w:keepNext/>
              <w:ind w:firstLine="0"/>
              <w:jc w:val="left"/>
            </w:pPr>
            <w:r w:rsidRPr="00EE1E0C">
              <w:t>Summa</w:t>
            </w:r>
          </w:p>
        </w:tc>
        <w:tc>
          <w:tcPr>
            <w:tcW w:w="992" w:type="dxa"/>
            <w:tcBorders>
              <w:top w:val="single" w:sz="12" w:space="0" w:color="auto"/>
              <w:left w:val="nil"/>
              <w:bottom w:val="single" w:sz="4" w:space="0" w:color="auto"/>
              <w:right w:val="single" w:sz="4" w:space="0" w:color="auto"/>
            </w:tcBorders>
          </w:tcPr>
          <w:p w:rsidR="00031A3F" w:rsidRPr="00EE1E0C" w:rsidRDefault="00031A3F">
            <w:pPr>
              <w:pStyle w:val="Normaltindrag"/>
              <w:keepNext/>
              <w:ind w:firstLine="0"/>
              <w:jc w:val="right"/>
            </w:pPr>
            <w:r w:rsidRPr="00EE1E0C">
              <w:t>61</w:t>
            </w:r>
          </w:p>
        </w:tc>
      </w:tr>
    </w:tbl>
    <w:p w:rsidR="00031A3F" w:rsidRPr="00EE1E0C" w:rsidRDefault="00031A3F">
      <w:pPr>
        <w:pStyle w:val="Tabellrubrik"/>
        <w:rPr>
          <w:b w:val="0"/>
          <w:i/>
        </w:rPr>
      </w:pPr>
    </w:p>
    <w:p w:rsidR="00031A3F" w:rsidRPr="00EE1E0C" w:rsidRDefault="00031A3F">
      <w:pPr>
        <w:pStyle w:val="Tabellrubrik"/>
        <w:rPr>
          <w:b w:val="0"/>
        </w:rPr>
      </w:pPr>
      <w:r w:rsidRPr="00EE1E0C">
        <w:rPr>
          <w:b w:val="0"/>
          <w:i/>
        </w:rPr>
        <w:t>Källa: Revisorernas enkätundersökning</w:t>
      </w:r>
    </w:p>
    <w:p w:rsidR="00031A3F" w:rsidRPr="00EE1E0C" w:rsidRDefault="00031A3F">
      <w:pPr>
        <w:pStyle w:val="Rubrik3"/>
      </w:pPr>
      <w:bookmarkStart w:id="297" w:name="_Toc448905446"/>
      <w:bookmarkStart w:id="298" w:name="_Toc454180270"/>
      <w:bookmarkStart w:id="299" w:name="_Toc466264233"/>
      <w:r w:rsidRPr="00EE1E0C">
        <w:t>Hur påverkas verksamheten?</w:t>
      </w:r>
      <w:bookmarkEnd w:id="297"/>
      <w:bookmarkEnd w:id="298"/>
      <w:bookmarkEnd w:id="299"/>
    </w:p>
    <w:p w:rsidR="00031A3F" w:rsidRPr="00EE1E0C" w:rsidRDefault="00031A3F">
      <w:pPr>
        <w:pStyle w:val="Rubrik4"/>
      </w:pPr>
      <w:bookmarkStart w:id="300" w:name="_Toc466264234"/>
      <w:r w:rsidRPr="00EE1E0C">
        <w:t>Domare och försvarare</w:t>
      </w:r>
      <w:bookmarkEnd w:id="300"/>
    </w:p>
    <w:p w:rsidR="00031A3F" w:rsidRPr="00EE1E0C" w:rsidRDefault="00031A3F">
      <w:r w:rsidRPr="00EE1E0C">
        <w:t>Domarna och de offentliga försvararna tillfrågades om de ansåg att förunde</w:t>
      </w:r>
      <w:r w:rsidRPr="00EE1E0C">
        <w:t>r</w:t>
      </w:r>
      <w:r w:rsidRPr="00EE1E0C">
        <w:t>sökningarna har förändrats. Drygt hälften av de domare som besvarat enk</w:t>
      </w:r>
      <w:r w:rsidRPr="00EE1E0C">
        <w:t>ä</w:t>
      </w:r>
      <w:r w:rsidRPr="00EE1E0C">
        <w:t>ten menar att verksamheten inom rättsväsendet inte har påverkats av förän</w:t>
      </w:r>
      <w:r w:rsidRPr="00EE1E0C">
        <w:t>d</w:t>
      </w:r>
      <w:r w:rsidRPr="00EE1E0C">
        <w:t>ringar i polisens eller åklagarnas sätt att bedriva förundersökningsarbete under 1990-talet. Någon domare menar att rättegångarna har påverkats till det bättre. Övriga anser att försämringar inträffat både när det gäller rätt</w:t>
      </w:r>
      <w:r w:rsidRPr="00EE1E0C">
        <w:t>e</w:t>
      </w:r>
      <w:r w:rsidRPr="00EE1E0C">
        <w:t>gångarna, den åtalades situation och det egna arbetet. När det gäller de o</w:t>
      </w:r>
      <w:r w:rsidRPr="00EE1E0C">
        <w:t>f</w:t>
      </w:r>
      <w:r w:rsidRPr="00EE1E0C">
        <w:t>fentliga försvararna menar de flesta att såväl rättegångarna som</w:t>
      </w:r>
      <w:r w:rsidRPr="00EE1E0C">
        <w:t xml:space="preserve"> den åtalades och den egna situationen har påverkats till det sämre. </w:t>
      </w:r>
    </w:p>
    <w:p w:rsidR="00031A3F" w:rsidRPr="00EE1E0C" w:rsidRDefault="00031A3F">
      <w:pPr>
        <w:pStyle w:val="Normaltindrag"/>
      </w:pPr>
      <w:r w:rsidRPr="00EE1E0C">
        <w:t>Effekterna av de försämrade förundersökningarna anges främst vara att fler åtal ogillas eller att det finns en risk för att åtal ogillas. Detta bör uppfattas som att domarna menar att den tilltalade skulle ha blivit fälld om förunde</w:t>
      </w:r>
      <w:r w:rsidRPr="00EE1E0C">
        <w:t>r</w:t>
      </w:r>
      <w:r w:rsidRPr="00EE1E0C">
        <w:t>sökningen varit fullständig. Det betyder dock inte att det i sig är dåligt att åtal ogillas. Domarna menar också att åklagarna har fått svårare att styrka åtalet.</w:t>
      </w:r>
      <w:r w:rsidRPr="00EE1E0C">
        <w:rPr>
          <w:spacing w:val="-3"/>
        </w:rPr>
        <w:t xml:space="preserve"> Dåliga förhör och slarviga förundersökningar leder till att förhandlingstiden blir längre. Förhandlingar måste ställas in därför att förundersökningen behöver kompletteras. Man menar också att rättegångarna tar längre tid än tidigare ber</w:t>
      </w:r>
      <w:r w:rsidRPr="00EE1E0C">
        <w:rPr>
          <w:spacing w:val="-3"/>
        </w:rPr>
        <w:t>o</w:t>
      </w:r>
      <w:r w:rsidRPr="00EE1E0C">
        <w:rPr>
          <w:spacing w:val="-3"/>
        </w:rPr>
        <w:t>ende på att förundersökningarna är av sämre kvalitet.</w:t>
      </w:r>
    </w:p>
    <w:p w:rsidR="00031A3F" w:rsidRPr="00EE1E0C" w:rsidRDefault="00031A3F">
      <w:pPr>
        <w:pStyle w:val="Normaltindrag"/>
      </w:pPr>
      <w:r w:rsidRPr="00EE1E0C">
        <w:t>Knappt hälften av dem som besvarat enkäten menar att den</w:t>
      </w:r>
      <w:r w:rsidRPr="00EE1E0C">
        <w:t xml:space="preserve"> åtalades situ</w:t>
      </w:r>
      <w:r w:rsidRPr="00EE1E0C">
        <w:t>a</w:t>
      </w:r>
      <w:r w:rsidRPr="00EE1E0C">
        <w:t>tion försämras genom att bristfälliga förundersökningar leder till att åtal väcks i onödan. För den enskilde är ovissheten innan han eller hon får besked i åtalsfrågan eller huvudförhandling hålls pressande. Framför allt försvararna framhåller att den åtalades situation har försämrats. Några försvarare pekar på att objektivitetsprincipen inte upprätthålls. Denna princip innebär att även omständigheter som talar till den misstänktes fördel skall utredas i förunde</w:t>
      </w:r>
      <w:r w:rsidRPr="00EE1E0C">
        <w:t>r</w:t>
      </w:r>
      <w:r w:rsidRPr="00EE1E0C">
        <w:t xml:space="preserve">sökningen. Som exempel på att </w:t>
      </w:r>
      <w:r w:rsidRPr="00EE1E0C">
        <w:t>objektivitetsprincipen inte upprätthålls nämns att för få förhör hålls och att polisen bestämmer sig tidigt för vem som begått ett brott. Försvararna menar att de oftare än tidigare måste begära komplettering av förundersökningen. Detta innebär att de oftare än tidigare får agera i förundersökningarna genom att kräva förhör och ytterligare utre</w:t>
      </w:r>
      <w:r w:rsidRPr="00EE1E0C">
        <w:t>d</w:t>
      </w:r>
      <w:r w:rsidRPr="00EE1E0C">
        <w:t>ning. De domare som kommenterat det egna arbetet menar att rättegångar oftare nu än tidigare måste ställas in för att förundersökningen behöver kompletteras. Av tabe</w:t>
      </w:r>
      <w:r w:rsidRPr="00EE1E0C">
        <w:t xml:space="preserve">llen nedan framgår fördelningen av domarnas och försvararnas åsikter om hur verksamheten påverkats under 1990-talet. </w:t>
      </w:r>
    </w:p>
    <w:p w:rsidR="00031A3F" w:rsidRPr="00EE1E0C" w:rsidRDefault="00031A3F">
      <w:pPr>
        <w:pStyle w:val="Normaltindrag"/>
      </w:pPr>
    </w:p>
    <w:p w:rsidR="00031A3F" w:rsidRPr="00EE1E0C" w:rsidRDefault="00031A3F">
      <w:pPr>
        <w:pStyle w:val="Tabellrubrik"/>
        <w:keepLines/>
      </w:pPr>
      <w:r w:rsidRPr="00EE1E0C">
        <w:t>Tabell 3.6 Har förändringar inträffat som påverkar rättegången, den åtalade</w:t>
      </w:r>
    </w:p>
    <w:p w:rsidR="00031A3F" w:rsidRPr="00EE1E0C" w:rsidRDefault="00031A3F">
      <w:pPr>
        <w:pStyle w:val="Tabell"/>
        <w:rPr>
          <w:b/>
        </w:rPr>
      </w:pPr>
      <w:r w:rsidRPr="00EE1E0C">
        <w:rPr>
          <w:b/>
        </w:rPr>
        <w:t>eller domare respektive försvarare? Antal svar.</w:t>
      </w:r>
    </w:p>
    <w:p w:rsidR="00031A3F" w:rsidRPr="00EE1E0C" w:rsidRDefault="00031A3F">
      <w:pPr>
        <w:pStyle w:val="Tabell"/>
        <w:rPr>
          <w:b/>
        </w:rPr>
      </w:pPr>
    </w:p>
    <w:tbl>
      <w:tblPr>
        <w:tblW w:w="0" w:type="auto"/>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2055"/>
        <w:gridCol w:w="992"/>
        <w:gridCol w:w="1418"/>
        <w:gridCol w:w="992"/>
      </w:tblGrid>
      <w:tr w:rsidR="00000000" w:rsidRPr="00EE1E0C">
        <w:tblPrEx>
          <w:tblCellMar>
            <w:top w:w="0" w:type="dxa"/>
            <w:bottom w:w="0" w:type="dxa"/>
          </w:tblCellMar>
        </w:tblPrEx>
        <w:trPr>
          <w:trHeight w:val="270"/>
        </w:trPr>
        <w:tc>
          <w:tcPr>
            <w:tcW w:w="5457" w:type="dxa"/>
            <w:gridSpan w:val="4"/>
            <w:tcBorders>
              <w:top w:val="single" w:sz="12" w:space="0" w:color="auto"/>
              <w:left w:val="single" w:sz="4" w:space="0" w:color="auto"/>
              <w:bottom w:val="single" w:sz="4" w:space="0" w:color="auto"/>
              <w:right w:val="single" w:sz="4" w:space="0" w:color="auto"/>
            </w:tcBorders>
          </w:tcPr>
          <w:p w:rsidR="00031A3F" w:rsidRPr="00EE1E0C" w:rsidRDefault="00031A3F">
            <w:pPr>
              <w:pStyle w:val="Normaltindrag"/>
              <w:keepLines/>
              <w:ind w:firstLine="0"/>
              <w:jc w:val="center"/>
              <w:rPr>
                <w:sz w:val="22"/>
              </w:rPr>
            </w:pPr>
            <w:r w:rsidRPr="00EE1E0C">
              <w:rPr>
                <w:sz w:val="22"/>
              </w:rPr>
              <w:t>Domare</w:t>
            </w:r>
          </w:p>
        </w:tc>
      </w:tr>
      <w:tr w:rsidR="00000000" w:rsidRPr="00EE1E0C">
        <w:tblPrEx>
          <w:tblCellMar>
            <w:top w:w="0" w:type="dxa"/>
            <w:bottom w:w="0" w:type="dxa"/>
          </w:tblCellMar>
        </w:tblPrEx>
        <w:tc>
          <w:tcPr>
            <w:tcW w:w="2055" w:type="dxa"/>
            <w:tcBorders>
              <w:top w:val="single" w:sz="4" w:space="0" w:color="auto"/>
              <w:left w:val="single" w:sz="4" w:space="0" w:color="auto"/>
            </w:tcBorders>
          </w:tcPr>
          <w:p w:rsidR="00031A3F" w:rsidRPr="00EE1E0C" w:rsidRDefault="00031A3F">
            <w:pPr>
              <w:pStyle w:val="Normaltindrag"/>
              <w:keepLines/>
              <w:ind w:firstLine="0"/>
              <w:jc w:val="center"/>
            </w:pPr>
            <w:r w:rsidRPr="00EE1E0C">
              <w:t>Påverkas...</w:t>
            </w:r>
          </w:p>
        </w:tc>
        <w:tc>
          <w:tcPr>
            <w:tcW w:w="992" w:type="dxa"/>
            <w:tcBorders>
              <w:top w:val="single" w:sz="4" w:space="0" w:color="auto"/>
            </w:tcBorders>
          </w:tcPr>
          <w:p w:rsidR="00031A3F" w:rsidRPr="00EE1E0C" w:rsidRDefault="00031A3F">
            <w:pPr>
              <w:pStyle w:val="Normaltindrag"/>
              <w:keepLines/>
              <w:ind w:firstLine="0"/>
              <w:jc w:val="center"/>
            </w:pPr>
            <w:r w:rsidRPr="00EE1E0C">
              <w:t>Påverkas</w:t>
            </w:r>
          </w:p>
        </w:tc>
        <w:tc>
          <w:tcPr>
            <w:tcW w:w="1418" w:type="dxa"/>
            <w:tcBorders>
              <w:top w:val="single" w:sz="4" w:space="0" w:color="auto"/>
            </w:tcBorders>
          </w:tcPr>
          <w:p w:rsidR="00031A3F" w:rsidRPr="00EE1E0C" w:rsidRDefault="00031A3F">
            <w:pPr>
              <w:pStyle w:val="Normaltindrag"/>
              <w:keepLines/>
              <w:ind w:firstLine="0"/>
              <w:jc w:val="center"/>
            </w:pPr>
            <w:r w:rsidRPr="00EE1E0C">
              <w:t>Påverkas inte</w:t>
            </w:r>
          </w:p>
        </w:tc>
        <w:tc>
          <w:tcPr>
            <w:tcW w:w="992" w:type="dxa"/>
            <w:tcBorders>
              <w:top w:val="single" w:sz="4" w:space="0" w:color="auto"/>
              <w:right w:val="single" w:sz="4" w:space="0" w:color="auto"/>
            </w:tcBorders>
          </w:tcPr>
          <w:p w:rsidR="00031A3F" w:rsidRPr="00EE1E0C" w:rsidRDefault="00031A3F">
            <w:pPr>
              <w:pStyle w:val="Normaltindrag"/>
              <w:keepLines/>
              <w:ind w:firstLine="0"/>
              <w:jc w:val="center"/>
            </w:pPr>
            <w:r w:rsidRPr="00EE1E0C">
              <w:t>Bortfall</w:t>
            </w:r>
          </w:p>
        </w:tc>
      </w:tr>
      <w:tr w:rsidR="00000000" w:rsidRPr="00EE1E0C">
        <w:tblPrEx>
          <w:tblCellMar>
            <w:top w:w="0" w:type="dxa"/>
            <w:bottom w:w="0" w:type="dxa"/>
          </w:tblCellMar>
        </w:tblPrEx>
        <w:trPr>
          <w:cantSplit/>
          <w:trHeight w:val="480"/>
        </w:trPr>
        <w:tc>
          <w:tcPr>
            <w:tcW w:w="2055" w:type="dxa"/>
            <w:tcBorders>
              <w:left w:val="single" w:sz="4" w:space="0" w:color="auto"/>
              <w:bottom w:val="single" w:sz="6" w:space="0" w:color="auto"/>
            </w:tcBorders>
          </w:tcPr>
          <w:p w:rsidR="00031A3F" w:rsidRPr="00EE1E0C" w:rsidRDefault="00031A3F">
            <w:pPr>
              <w:pStyle w:val="Normaltindrag"/>
              <w:keepLines/>
              <w:ind w:firstLine="0"/>
              <w:jc w:val="center"/>
            </w:pPr>
            <w:r w:rsidRPr="00EE1E0C">
              <w:t>...rättegångarnas utgång till det bättre</w:t>
            </w:r>
          </w:p>
        </w:tc>
        <w:tc>
          <w:tcPr>
            <w:tcW w:w="992" w:type="dxa"/>
            <w:tcBorders>
              <w:bottom w:val="single" w:sz="6" w:space="0" w:color="auto"/>
            </w:tcBorders>
          </w:tcPr>
          <w:p w:rsidR="00031A3F" w:rsidRPr="00EE1E0C" w:rsidRDefault="00031A3F">
            <w:pPr>
              <w:pStyle w:val="Normaltindrag"/>
              <w:keepLines/>
              <w:ind w:firstLine="0"/>
              <w:jc w:val="center"/>
            </w:pPr>
          </w:p>
          <w:p w:rsidR="00031A3F" w:rsidRPr="00EE1E0C" w:rsidRDefault="00031A3F">
            <w:pPr>
              <w:pStyle w:val="Normaltindrag"/>
              <w:keepLines/>
              <w:ind w:firstLine="0"/>
              <w:jc w:val="center"/>
            </w:pPr>
            <w:r w:rsidRPr="00EE1E0C">
              <w:t>1</w:t>
            </w:r>
          </w:p>
        </w:tc>
        <w:tc>
          <w:tcPr>
            <w:tcW w:w="1418" w:type="dxa"/>
            <w:vMerge w:val="restart"/>
          </w:tcPr>
          <w:p w:rsidR="00031A3F" w:rsidRPr="00EE1E0C" w:rsidRDefault="00031A3F">
            <w:pPr>
              <w:pStyle w:val="Normaltindrag"/>
              <w:keepLines/>
              <w:ind w:firstLine="0"/>
              <w:jc w:val="center"/>
            </w:pPr>
            <w:r w:rsidRPr="00EE1E0C">
              <w:t>15</w:t>
            </w:r>
          </w:p>
        </w:tc>
        <w:tc>
          <w:tcPr>
            <w:tcW w:w="992" w:type="dxa"/>
            <w:vMerge w:val="restart"/>
            <w:tcBorders>
              <w:right w:val="single" w:sz="4" w:space="0" w:color="auto"/>
            </w:tcBorders>
          </w:tcPr>
          <w:p w:rsidR="00031A3F" w:rsidRPr="00EE1E0C" w:rsidRDefault="00031A3F">
            <w:pPr>
              <w:pStyle w:val="Normaltindrag"/>
              <w:keepLines/>
              <w:ind w:firstLine="0"/>
              <w:jc w:val="center"/>
            </w:pPr>
            <w:r w:rsidRPr="00EE1E0C">
              <w:t>3</w:t>
            </w:r>
          </w:p>
        </w:tc>
      </w:tr>
      <w:tr w:rsidR="00000000" w:rsidRPr="00EE1E0C">
        <w:tblPrEx>
          <w:tblCellMar>
            <w:top w:w="0" w:type="dxa"/>
            <w:bottom w:w="0" w:type="dxa"/>
          </w:tblCellMar>
        </w:tblPrEx>
        <w:trPr>
          <w:cantSplit/>
          <w:trHeight w:val="255"/>
        </w:trPr>
        <w:tc>
          <w:tcPr>
            <w:tcW w:w="2055" w:type="dxa"/>
            <w:tcBorders>
              <w:top w:val="single" w:sz="6" w:space="0" w:color="auto"/>
              <w:left w:val="single" w:sz="4" w:space="0" w:color="auto"/>
              <w:bottom w:val="nil"/>
            </w:tcBorders>
          </w:tcPr>
          <w:p w:rsidR="00031A3F" w:rsidRPr="00EE1E0C" w:rsidRDefault="00031A3F">
            <w:pPr>
              <w:pStyle w:val="Normaltindrag"/>
              <w:keepLines/>
              <w:ind w:firstLine="0"/>
              <w:jc w:val="center"/>
            </w:pPr>
            <w:r w:rsidRPr="00EE1E0C">
              <w:t>till det sämre</w:t>
            </w:r>
          </w:p>
        </w:tc>
        <w:tc>
          <w:tcPr>
            <w:tcW w:w="992" w:type="dxa"/>
            <w:tcBorders>
              <w:top w:val="single" w:sz="6" w:space="0" w:color="auto"/>
              <w:bottom w:val="nil"/>
            </w:tcBorders>
          </w:tcPr>
          <w:p w:rsidR="00031A3F" w:rsidRPr="00EE1E0C" w:rsidRDefault="00031A3F">
            <w:pPr>
              <w:pStyle w:val="Normaltindrag"/>
              <w:keepLines/>
              <w:ind w:firstLine="0"/>
              <w:jc w:val="center"/>
            </w:pPr>
            <w:r w:rsidRPr="00EE1E0C">
              <w:t>9</w:t>
            </w:r>
          </w:p>
        </w:tc>
        <w:tc>
          <w:tcPr>
            <w:tcW w:w="1418" w:type="dxa"/>
            <w:vMerge/>
            <w:tcBorders>
              <w:bottom w:val="nil"/>
            </w:tcBorders>
          </w:tcPr>
          <w:p w:rsidR="00031A3F" w:rsidRPr="00EE1E0C" w:rsidRDefault="00031A3F">
            <w:pPr>
              <w:pStyle w:val="Normaltindrag"/>
              <w:keepLines/>
              <w:ind w:firstLine="0"/>
              <w:jc w:val="center"/>
            </w:pPr>
          </w:p>
        </w:tc>
        <w:tc>
          <w:tcPr>
            <w:tcW w:w="992" w:type="dxa"/>
            <w:vMerge/>
            <w:tcBorders>
              <w:bottom w:val="nil"/>
              <w:right w:val="single" w:sz="4" w:space="0" w:color="auto"/>
            </w:tcBorders>
          </w:tcPr>
          <w:p w:rsidR="00031A3F" w:rsidRPr="00EE1E0C" w:rsidRDefault="00031A3F">
            <w:pPr>
              <w:pStyle w:val="Normaltindrag"/>
              <w:keepLines/>
              <w:ind w:firstLine="0"/>
              <w:jc w:val="center"/>
            </w:pPr>
          </w:p>
        </w:tc>
      </w:tr>
      <w:tr w:rsidR="00000000" w:rsidRPr="00EE1E0C">
        <w:tblPrEx>
          <w:tblCellMar>
            <w:top w:w="0" w:type="dxa"/>
            <w:bottom w:w="0" w:type="dxa"/>
          </w:tblCellMar>
        </w:tblPrEx>
        <w:tc>
          <w:tcPr>
            <w:tcW w:w="2055" w:type="dxa"/>
            <w:tcBorders>
              <w:top w:val="single" w:sz="2" w:space="0" w:color="auto"/>
              <w:left w:val="single" w:sz="4" w:space="0" w:color="auto"/>
              <w:bottom w:val="nil"/>
            </w:tcBorders>
          </w:tcPr>
          <w:p w:rsidR="00031A3F" w:rsidRPr="00EE1E0C" w:rsidRDefault="00031A3F">
            <w:pPr>
              <w:pStyle w:val="Normaltindrag"/>
              <w:keepLines/>
              <w:ind w:firstLine="0"/>
              <w:jc w:val="center"/>
            </w:pPr>
            <w:r w:rsidRPr="00EE1E0C">
              <w:t>...den åtalades situation till det sämre</w:t>
            </w:r>
          </w:p>
        </w:tc>
        <w:tc>
          <w:tcPr>
            <w:tcW w:w="992" w:type="dxa"/>
            <w:tcBorders>
              <w:top w:val="single" w:sz="2" w:space="0" w:color="auto"/>
              <w:bottom w:val="nil"/>
            </w:tcBorders>
          </w:tcPr>
          <w:p w:rsidR="00031A3F" w:rsidRPr="00EE1E0C" w:rsidRDefault="00031A3F">
            <w:pPr>
              <w:pStyle w:val="Normaltindrag"/>
              <w:keepLines/>
              <w:ind w:firstLine="0"/>
              <w:jc w:val="center"/>
            </w:pPr>
            <w:r w:rsidRPr="00EE1E0C">
              <w:t>10</w:t>
            </w:r>
          </w:p>
        </w:tc>
        <w:tc>
          <w:tcPr>
            <w:tcW w:w="1418" w:type="dxa"/>
            <w:tcBorders>
              <w:top w:val="single" w:sz="2" w:space="0" w:color="auto"/>
              <w:bottom w:val="nil"/>
            </w:tcBorders>
          </w:tcPr>
          <w:p w:rsidR="00031A3F" w:rsidRPr="00EE1E0C" w:rsidRDefault="00031A3F">
            <w:pPr>
              <w:pStyle w:val="Normaltindrag"/>
              <w:keepLines/>
              <w:ind w:firstLine="0"/>
              <w:jc w:val="center"/>
            </w:pPr>
            <w:r w:rsidRPr="00EE1E0C">
              <w:t>15</w:t>
            </w:r>
          </w:p>
        </w:tc>
        <w:tc>
          <w:tcPr>
            <w:tcW w:w="992" w:type="dxa"/>
            <w:tcBorders>
              <w:top w:val="single" w:sz="2" w:space="0" w:color="auto"/>
              <w:bottom w:val="nil"/>
              <w:right w:val="single" w:sz="4" w:space="0" w:color="auto"/>
            </w:tcBorders>
          </w:tcPr>
          <w:p w:rsidR="00031A3F" w:rsidRPr="00EE1E0C" w:rsidRDefault="00031A3F">
            <w:pPr>
              <w:pStyle w:val="Normaltindrag"/>
              <w:keepLines/>
              <w:ind w:firstLine="0"/>
              <w:jc w:val="center"/>
            </w:pPr>
            <w:r w:rsidRPr="00EE1E0C">
              <w:t>3</w:t>
            </w:r>
          </w:p>
        </w:tc>
      </w:tr>
      <w:tr w:rsidR="00000000" w:rsidRPr="00EE1E0C">
        <w:tblPrEx>
          <w:tblCellMar>
            <w:top w:w="0" w:type="dxa"/>
            <w:bottom w:w="0" w:type="dxa"/>
          </w:tblCellMar>
        </w:tblPrEx>
        <w:tc>
          <w:tcPr>
            <w:tcW w:w="2055" w:type="dxa"/>
            <w:tcBorders>
              <w:top w:val="single" w:sz="2" w:space="0" w:color="auto"/>
              <w:left w:val="single" w:sz="4" w:space="0" w:color="auto"/>
              <w:bottom w:val="single" w:sz="12" w:space="0" w:color="auto"/>
            </w:tcBorders>
          </w:tcPr>
          <w:p w:rsidR="00031A3F" w:rsidRPr="00EE1E0C" w:rsidRDefault="00031A3F">
            <w:pPr>
              <w:pStyle w:val="Normaltindrag"/>
              <w:keepLines/>
              <w:ind w:firstLine="0"/>
              <w:jc w:val="center"/>
            </w:pPr>
            <w:r w:rsidRPr="00EE1E0C">
              <w:t>...domarens arbete till det sämre</w:t>
            </w:r>
          </w:p>
        </w:tc>
        <w:tc>
          <w:tcPr>
            <w:tcW w:w="992" w:type="dxa"/>
            <w:tcBorders>
              <w:top w:val="single" w:sz="2" w:space="0" w:color="auto"/>
              <w:bottom w:val="single" w:sz="12" w:space="0" w:color="auto"/>
            </w:tcBorders>
          </w:tcPr>
          <w:p w:rsidR="00031A3F" w:rsidRPr="00EE1E0C" w:rsidRDefault="00031A3F">
            <w:pPr>
              <w:pStyle w:val="Normaltindrag"/>
              <w:keepLines/>
              <w:ind w:firstLine="0"/>
              <w:jc w:val="center"/>
            </w:pPr>
            <w:r w:rsidRPr="00EE1E0C">
              <w:t>8</w:t>
            </w:r>
          </w:p>
        </w:tc>
        <w:tc>
          <w:tcPr>
            <w:tcW w:w="1418" w:type="dxa"/>
            <w:tcBorders>
              <w:top w:val="single" w:sz="2" w:space="0" w:color="auto"/>
              <w:bottom w:val="single" w:sz="12" w:space="0" w:color="auto"/>
            </w:tcBorders>
          </w:tcPr>
          <w:p w:rsidR="00031A3F" w:rsidRPr="00EE1E0C" w:rsidRDefault="00031A3F">
            <w:pPr>
              <w:pStyle w:val="Normaltindrag"/>
              <w:keepLines/>
              <w:ind w:firstLine="0"/>
              <w:jc w:val="center"/>
            </w:pPr>
            <w:r w:rsidRPr="00EE1E0C">
              <w:t>15</w:t>
            </w:r>
          </w:p>
        </w:tc>
        <w:tc>
          <w:tcPr>
            <w:tcW w:w="992" w:type="dxa"/>
            <w:tcBorders>
              <w:top w:val="single" w:sz="2" w:space="0" w:color="auto"/>
              <w:bottom w:val="single" w:sz="12" w:space="0" w:color="auto"/>
              <w:right w:val="single" w:sz="4" w:space="0" w:color="auto"/>
            </w:tcBorders>
          </w:tcPr>
          <w:p w:rsidR="00031A3F" w:rsidRPr="00EE1E0C" w:rsidRDefault="00031A3F">
            <w:pPr>
              <w:pStyle w:val="Normaltindrag"/>
              <w:keepLines/>
              <w:ind w:firstLine="0"/>
              <w:jc w:val="center"/>
            </w:pPr>
            <w:r w:rsidRPr="00EE1E0C">
              <w:t>5</w:t>
            </w:r>
          </w:p>
        </w:tc>
      </w:tr>
      <w:tr w:rsidR="00000000" w:rsidRPr="00EE1E0C">
        <w:tblPrEx>
          <w:tblCellMar>
            <w:top w:w="0" w:type="dxa"/>
            <w:bottom w:w="0" w:type="dxa"/>
          </w:tblCellMar>
        </w:tblPrEx>
        <w:tc>
          <w:tcPr>
            <w:tcW w:w="5457" w:type="dxa"/>
            <w:gridSpan w:val="4"/>
            <w:tcBorders>
              <w:top w:val="single" w:sz="12" w:space="0" w:color="auto"/>
              <w:left w:val="single" w:sz="4" w:space="0" w:color="auto"/>
              <w:bottom w:val="single" w:sz="4" w:space="0" w:color="auto"/>
              <w:right w:val="single" w:sz="4" w:space="0" w:color="auto"/>
            </w:tcBorders>
          </w:tcPr>
          <w:p w:rsidR="00031A3F" w:rsidRPr="00EE1E0C" w:rsidRDefault="00031A3F">
            <w:pPr>
              <w:pStyle w:val="Normaltindrag"/>
              <w:keepLines/>
              <w:ind w:firstLine="0"/>
              <w:jc w:val="center"/>
              <w:rPr>
                <w:sz w:val="22"/>
              </w:rPr>
            </w:pPr>
            <w:r w:rsidRPr="00EE1E0C">
              <w:rPr>
                <w:sz w:val="22"/>
              </w:rPr>
              <w:t>Offentliga försvarare</w:t>
            </w:r>
          </w:p>
        </w:tc>
      </w:tr>
      <w:tr w:rsidR="00000000" w:rsidRPr="00EE1E0C">
        <w:tblPrEx>
          <w:tblCellMar>
            <w:top w:w="0" w:type="dxa"/>
            <w:bottom w:w="0" w:type="dxa"/>
          </w:tblCellMar>
        </w:tblPrEx>
        <w:tc>
          <w:tcPr>
            <w:tcW w:w="2055" w:type="dxa"/>
            <w:tcBorders>
              <w:top w:val="single" w:sz="4" w:space="0" w:color="auto"/>
              <w:left w:val="single" w:sz="4" w:space="0" w:color="auto"/>
              <w:bottom w:val="single" w:sz="4" w:space="0" w:color="auto"/>
            </w:tcBorders>
          </w:tcPr>
          <w:p w:rsidR="00031A3F" w:rsidRPr="00EE1E0C" w:rsidRDefault="00031A3F">
            <w:pPr>
              <w:pStyle w:val="Normaltindrag"/>
              <w:keepLines/>
              <w:ind w:firstLine="0"/>
              <w:jc w:val="center"/>
            </w:pPr>
            <w:r w:rsidRPr="00EE1E0C">
              <w:t>Påverkas...</w:t>
            </w:r>
          </w:p>
        </w:tc>
        <w:tc>
          <w:tcPr>
            <w:tcW w:w="992" w:type="dxa"/>
            <w:tcBorders>
              <w:top w:val="single" w:sz="4" w:space="0" w:color="auto"/>
              <w:bottom w:val="single" w:sz="4" w:space="0" w:color="auto"/>
            </w:tcBorders>
          </w:tcPr>
          <w:p w:rsidR="00031A3F" w:rsidRPr="00EE1E0C" w:rsidRDefault="00031A3F">
            <w:pPr>
              <w:pStyle w:val="Normaltindrag"/>
              <w:keepLines/>
              <w:ind w:firstLine="0"/>
              <w:jc w:val="center"/>
            </w:pPr>
            <w:r w:rsidRPr="00EE1E0C">
              <w:t>Påverkas</w:t>
            </w:r>
          </w:p>
        </w:tc>
        <w:tc>
          <w:tcPr>
            <w:tcW w:w="1418" w:type="dxa"/>
            <w:tcBorders>
              <w:top w:val="single" w:sz="4" w:space="0" w:color="auto"/>
              <w:bottom w:val="single" w:sz="4" w:space="0" w:color="auto"/>
            </w:tcBorders>
          </w:tcPr>
          <w:p w:rsidR="00031A3F" w:rsidRPr="00EE1E0C" w:rsidRDefault="00031A3F">
            <w:pPr>
              <w:pStyle w:val="Normaltindrag"/>
              <w:keepLines/>
              <w:ind w:firstLine="0"/>
              <w:jc w:val="center"/>
            </w:pPr>
            <w:r w:rsidRPr="00EE1E0C">
              <w:t>Påverkas inte</w:t>
            </w:r>
          </w:p>
        </w:tc>
        <w:tc>
          <w:tcPr>
            <w:tcW w:w="992" w:type="dxa"/>
            <w:tcBorders>
              <w:top w:val="single" w:sz="4" w:space="0" w:color="auto"/>
              <w:bottom w:val="single" w:sz="4" w:space="0" w:color="auto"/>
              <w:right w:val="single" w:sz="4" w:space="0" w:color="auto"/>
            </w:tcBorders>
          </w:tcPr>
          <w:p w:rsidR="00031A3F" w:rsidRPr="00EE1E0C" w:rsidRDefault="00031A3F">
            <w:pPr>
              <w:pStyle w:val="Normaltindrag"/>
              <w:keepLines/>
              <w:ind w:firstLine="0"/>
              <w:jc w:val="center"/>
            </w:pPr>
            <w:r w:rsidRPr="00EE1E0C">
              <w:t>Bortfall</w:t>
            </w:r>
          </w:p>
        </w:tc>
      </w:tr>
      <w:tr w:rsidR="00000000" w:rsidRPr="00EE1E0C">
        <w:tblPrEx>
          <w:tblCellMar>
            <w:top w:w="0" w:type="dxa"/>
            <w:bottom w:w="0" w:type="dxa"/>
          </w:tblCellMar>
        </w:tblPrEx>
        <w:tc>
          <w:tcPr>
            <w:tcW w:w="2055" w:type="dxa"/>
            <w:tcBorders>
              <w:top w:val="single" w:sz="4" w:space="0" w:color="auto"/>
              <w:left w:val="single" w:sz="4" w:space="0" w:color="auto"/>
              <w:bottom w:val="nil"/>
            </w:tcBorders>
          </w:tcPr>
          <w:p w:rsidR="00031A3F" w:rsidRPr="00EE1E0C" w:rsidRDefault="00031A3F">
            <w:pPr>
              <w:pStyle w:val="Normaltindrag"/>
              <w:keepLines/>
              <w:ind w:firstLine="0"/>
              <w:jc w:val="center"/>
            </w:pPr>
            <w:r w:rsidRPr="00EE1E0C">
              <w:t>...rättegångarnas utgång till det sämre</w:t>
            </w:r>
          </w:p>
        </w:tc>
        <w:tc>
          <w:tcPr>
            <w:tcW w:w="992" w:type="dxa"/>
            <w:tcBorders>
              <w:top w:val="single" w:sz="4" w:space="0" w:color="auto"/>
              <w:bottom w:val="nil"/>
            </w:tcBorders>
          </w:tcPr>
          <w:p w:rsidR="00031A3F" w:rsidRPr="00EE1E0C" w:rsidRDefault="00031A3F">
            <w:pPr>
              <w:pStyle w:val="Normaltindrag"/>
              <w:keepLines/>
              <w:ind w:firstLine="0"/>
              <w:jc w:val="center"/>
            </w:pPr>
            <w:r w:rsidRPr="00EE1E0C">
              <w:t>10</w:t>
            </w:r>
          </w:p>
        </w:tc>
        <w:tc>
          <w:tcPr>
            <w:tcW w:w="1418" w:type="dxa"/>
            <w:tcBorders>
              <w:top w:val="single" w:sz="4" w:space="0" w:color="auto"/>
              <w:bottom w:val="nil"/>
            </w:tcBorders>
          </w:tcPr>
          <w:p w:rsidR="00031A3F" w:rsidRPr="00EE1E0C" w:rsidRDefault="00031A3F">
            <w:pPr>
              <w:pStyle w:val="Normaltindrag"/>
              <w:keepLines/>
              <w:ind w:firstLine="0"/>
              <w:jc w:val="center"/>
            </w:pPr>
            <w:r w:rsidRPr="00EE1E0C">
              <w:t>8</w:t>
            </w:r>
          </w:p>
        </w:tc>
        <w:tc>
          <w:tcPr>
            <w:tcW w:w="992" w:type="dxa"/>
            <w:tcBorders>
              <w:top w:val="single" w:sz="4" w:space="0" w:color="auto"/>
              <w:bottom w:val="nil"/>
              <w:right w:val="single" w:sz="4" w:space="0" w:color="auto"/>
            </w:tcBorders>
          </w:tcPr>
          <w:p w:rsidR="00031A3F" w:rsidRPr="00EE1E0C" w:rsidRDefault="00031A3F">
            <w:pPr>
              <w:pStyle w:val="Normaltindrag"/>
              <w:keepLines/>
              <w:ind w:firstLine="0"/>
              <w:jc w:val="center"/>
            </w:pPr>
            <w:r w:rsidRPr="00EE1E0C">
              <w:t>1</w:t>
            </w:r>
          </w:p>
        </w:tc>
      </w:tr>
      <w:tr w:rsidR="00000000" w:rsidRPr="00EE1E0C">
        <w:tblPrEx>
          <w:tblCellMar>
            <w:top w:w="0" w:type="dxa"/>
            <w:bottom w:w="0" w:type="dxa"/>
          </w:tblCellMar>
        </w:tblPrEx>
        <w:tc>
          <w:tcPr>
            <w:tcW w:w="2055" w:type="dxa"/>
            <w:tcBorders>
              <w:top w:val="single" w:sz="2" w:space="0" w:color="auto"/>
              <w:left w:val="single" w:sz="4" w:space="0" w:color="auto"/>
              <w:bottom w:val="nil"/>
            </w:tcBorders>
          </w:tcPr>
          <w:p w:rsidR="00031A3F" w:rsidRPr="00EE1E0C" w:rsidRDefault="00031A3F">
            <w:pPr>
              <w:pStyle w:val="Normaltindrag"/>
              <w:keepLines/>
              <w:ind w:firstLine="0"/>
              <w:jc w:val="center"/>
            </w:pPr>
            <w:r w:rsidRPr="00EE1E0C">
              <w:t>...den åtalades situation till det sämre</w:t>
            </w:r>
          </w:p>
        </w:tc>
        <w:tc>
          <w:tcPr>
            <w:tcW w:w="992" w:type="dxa"/>
            <w:tcBorders>
              <w:top w:val="single" w:sz="2" w:space="0" w:color="auto"/>
              <w:bottom w:val="nil"/>
            </w:tcBorders>
          </w:tcPr>
          <w:p w:rsidR="00031A3F" w:rsidRPr="00EE1E0C" w:rsidRDefault="00031A3F">
            <w:pPr>
              <w:pStyle w:val="Normaltindrag"/>
              <w:keepLines/>
              <w:ind w:firstLine="0"/>
              <w:jc w:val="center"/>
            </w:pPr>
            <w:r w:rsidRPr="00EE1E0C">
              <w:t>14</w:t>
            </w:r>
          </w:p>
        </w:tc>
        <w:tc>
          <w:tcPr>
            <w:tcW w:w="1418" w:type="dxa"/>
            <w:tcBorders>
              <w:top w:val="single" w:sz="2" w:space="0" w:color="auto"/>
              <w:bottom w:val="nil"/>
            </w:tcBorders>
          </w:tcPr>
          <w:p w:rsidR="00031A3F" w:rsidRPr="00EE1E0C" w:rsidRDefault="00031A3F">
            <w:pPr>
              <w:pStyle w:val="Normaltindrag"/>
              <w:keepLines/>
              <w:ind w:firstLine="0"/>
              <w:jc w:val="center"/>
            </w:pPr>
            <w:r w:rsidRPr="00EE1E0C">
              <w:t>5</w:t>
            </w:r>
          </w:p>
        </w:tc>
        <w:tc>
          <w:tcPr>
            <w:tcW w:w="992" w:type="dxa"/>
            <w:tcBorders>
              <w:top w:val="single" w:sz="2" w:space="0" w:color="auto"/>
              <w:bottom w:val="nil"/>
              <w:right w:val="single" w:sz="4" w:space="0" w:color="auto"/>
            </w:tcBorders>
          </w:tcPr>
          <w:p w:rsidR="00031A3F" w:rsidRPr="00EE1E0C" w:rsidRDefault="00031A3F">
            <w:pPr>
              <w:pStyle w:val="Normaltindrag"/>
              <w:keepLines/>
              <w:ind w:firstLine="0"/>
              <w:jc w:val="center"/>
            </w:pPr>
            <w:r w:rsidRPr="00EE1E0C">
              <w:t>-</w:t>
            </w:r>
          </w:p>
        </w:tc>
      </w:tr>
      <w:tr w:rsidR="00000000" w:rsidRPr="00EE1E0C">
        <w:tblPrEx>
          <w:tblCellMar>
            <w:top w:w="0" w:type="dxa"/>
            <w:bottom w:w="0" w:type="dxa"/>
          </w:tblCellMar>
        </w:tblPrEx>
        <w:tc>
          <w:tcPr>
            <w:tcW w:w="2055" w:type="dxa"/>
            <w:tcBorders>
              <w:top w:val="single" w:sz="2" w:space="0" w:color="auto"/>
              <w:left w:val="single" w:sz="4" w:space="0" w:color="auto"/>
              <w:bottom w:val="single" w:sz="4" w:space="0" w:color="auto"/>
            </w:tcBorders>
          </w:tcPr>
          <w:p w:rsidR="00031A3F" w:rsidRPr="00EE1E0C" w:rsidRDefault="00031A3F">
            <w:pPr>
              <w:pStyle w:val="Normaltindrag"/>
              <w:keepLines/>
              <w:ind w:firstLine="0"/>
              <w:jc w:val="center"/>
            </w:pPr>
            <w:r w:rsidRPr="00EE1E0C">
              <w:t>...försvararens situation till det sämre</w:t>
            </w:r>
          </w:p>
        </w:tc>
        <w:tc>
          <w:tcPr>
            <w:tcW w:w="992" w:type="dxa"/>
            <w:tcBorders>
              <w:top w:val="single" w:sz="2" w:space="0" w:color="auto"/>
              <w:bottom w:val="single" w:sz="4" w:space="0" w:color="auto"/>
            </w:tcBorders>
          </w:tcPr>
          <w:p w:rsidR="00031A3F" w:rsidRPr="00EE1E0C" w:rsidRDefault="00031A3F">
            <w:pPr>
              <w:pStyle w:val="Normaltindrag"/>
              <w:keepLines/>
              <w:ind w:firstLine="0"/>
              <w:jc w:val="center"/>
            </w:pPr>
            <w:r w:rsidRPr="00EE1E0C">
              <w:t>13</w:t>
            </w:r>
          </w:p>
        </w:tc>
        <w:tc>
          <w:tcPr>
            <w:tcW w:w="1418" w:type="dxa"/>
            <w:tcBorders>
              <w:top w:val="single" w:sz="2" w:space="0" w:color="auto"/>
              <w:bottom w:val="single" w:sz="4" w:space="0" w:color="auto"/>
            </w:tcBorders>
          </w:tcPr>
          <w:p w:rsidR="00031A3F" w:rsidRPr="00EE1E0C" w:rsidRDefault="00031A3F">
            <w:pPr>
              <w:pStyle w:val="Normaltindrag"/>
              <w:keepLines/>
              <w:ind w:firstLine="0"/>
              <w:jc w:val="center"/>
            </w:pPr>
            <w:r w:rsidRPr="00EE1E0C">
              <w:t>6</w:t>
            </w:r>
          </w:p>
        </w:tc>
        <w:tc>
          <w:tcPr>
            <w:tcW w:w="992" w:type="dxa"/>
            <w:tcBorders>
              <w:top w:val="single" w:sz="2" w:space="0" w:color="auto"/>
              <w:bottom w:val="single" w:sz="4" w:space="0" w:color="auto"/>
              <w:right w:val="single" w:sz="4" w:space="0" w:color="auto"/>
            </w:tcBorders>
          </w:tcPr>
          <w:p w:rsidR="00031A3F" w:rsidRPr="00EE1E0C" w:rsidRDefault="00031A3F">
            <w:pPr>
              <w:pStyle w:val="Normaltindrag"/>
              <w:keepLines/>
              <w:ind w:firstLine="0"/>
              <w:jc w:val="center"/>
            </w:pPr>
            <w:r w:rsidRPr="00EE1E0C">
              <w:t>-</w:t>
            </w:r>
          </w:p>
        </w:tc>
      </w:tr>
    </w:tbl>
    <w:p w:rsidR="00031A3F" w:rsidRPr="00EE1E0C" w:rsidRDefault="00031A3F">
      <w:pPr>
        <w:pStyle w:val="Tabellrubrik"/>
        <w:rPr>
          <w:b w:val="0"/>
          <w:i/>
        </w:rPr>
      </w:pPr>
    </w:p>
    <w:p w:rsidR="00031A3F" w:rsidRPr="00EE1E0C" w:rsidRDefault="00031A3F">
      <w:pPr>
        <w:pStyle w:val="Tabellrubrik"/>
        <w:rPr>
          <w:b w:val="0"/>
          <w:i/>
        </w:rPr>
      </w:pPr>
      <w:r w:rsidRPr="00EE1E0C">
        <w:rPr>
          <w:b w:val="0"/>
          <w:i/>
        </w:rPr>
        <w:t>Källa: Revisorernas enkätundersökning</w:t>
      </w:r>
    </w:p>
    <w:p w:rsidR="00031A3F" w:rsidRPr="00EE1E0C" w:rsidRDefault="00031A3F">
      <w:pPr>
        <w:pStyle w:val="Rubrik4"/>
      </w:pPr>
      <w:bookmarkStart w:id="301" w:name="_Toc466264235"/>
      <w:r w:rsidRPr="00EE1E0C">
        <w:t>Försäkringsutredarna</w:t>
      </w:r>
      <w:bookmarkEnd w:id="301"/>
    </w:p>
    <w:p w:rsidR="00031A3F" w:rsidRPr="00EE1E0C" w:rsidRDefault="00031A3F">
      <w:r w:rsidRPr="00EE1E0C">
        <w:t xml:space="preserve">Med ett undantag menar utredarna att polisens omorganisation har påverkat polisens arbete med förundersökningarna till det sämre. Vissa anser också att åklagarnas omorganisation har påverkat åklagarnas arbete till det sämre. Effekterna av försämringen är enligt de flesta av utredarna att en anmälan till polisen i allmänhet  läggs på hög och preskriberas. Utredarna menar också att ärenden ofta läggs ner i brist på bevis. </w:t>
      </w:r>
    </w:p>
    <w:p w:rsidR="00031A3F" w:rsidRPr="00EE1E0C" w:rsidRDefault="00031A3F">
      <w:pPr>
        <w:pStyle w:val="Rubrik3"/>
      </w:pPr>
      <w:bookmarkStart w:id="302" w:name="_Toc448905447"/>
      <w:bookmarkStart w:id="303" w:name="_Toc454180271"/>
      <w:bookmarkStart w:id="304" w:name="_Toc466264236"/>
      <w:r w:rsidRPr="00EE1E0C">
        <w:t>Vad anser de intagna på anstalt?</w:t>
      </w:r>
      <w:bookmarkEnd w:id="302"/>
      <w:bookmarkEnd w:id="303"/>
      <w:bookmarkEnd w:id="304"/>
    </w:p>
    <w:p w:rsidR="00031A3F" w:rsidRPr="00EE1E0C" w:rsidRDefault="00031A3F">
      <w:r w:rsidRPr="00EE1E0C">
        <w:t>De intagna på anstalt fick ta ställning till kvaliteten på den förundersökning som de senast varit föremål för. Flertalet intagna, framför allt de som förn</w:t>
      </w:r>
      <w:r w:rsidRPr="00EE1E0C">
        <w:t>e</w:t>
      </w:r>
      <w:r w:rsidRPr="00EE1E0C">
        <w:t>kat gärningen, menade att förundersökningen var dåligt underbyggd och att rätten inte fick en tillräckligt god bild av händelsen. De som varit häktade fick frågan hur de uppfattade kontakterna med polis,  åklagare och försvarare under häktningstiden. Den bästa kontakten hade man med sin försvarare, medan kontakten med polisen oftast betecknades som dålig eller som varken bra eller dålig. Kontakten med åklagarna betraktades i hög grad som dålig. Vissa av de intagna framhöll att de uppfattade kontakten med p</w:t>
      </w:r>
      <w:r w:rsidRPr="00EE1E0C">
        <w:t>olis och åkl</w:t>
      </w:r>
      <w:r w:rsidRPr="00EE1E0C">
        <w:t>a</w:t>
      </w:r>
      <w:r w:rsidRPr="00EE1E0C">
        <w:t>gare som kränkande. Av dem som tidigare varit föremål för förundersökning menade omkring en tredjedel att kontakten med polis och åklagare blivit sämre. Några ansåg att kontakten blivit bättre, medan omkring hälften men</w:t>
      </w:r>
      <w:r w:rsidRPr="00EE1E0C">
        <w:t>a</w:t>
      </w:r>
      <w:r w:rsidRPr="00EE1E0C">
        <w:t>de att den var oförändrad. En del intagna ansåg att såväl polisen som åkl</w:t>
      </w:r>
      <w:r w:rsidRPr="00EE1E0C">
        <w:t>a</w:t>
      </w:r>
      <w:r w:rsidRPr="00EE1E0C">
        <w:t>garna arbetade alltför enkelspårigt med utredningarna och tidigt bestämt sig för vem som var skyldig. Några angav också att de haft svårigheter att få del av allt material i förundersökningen. De fick förs</w:t>
      </w:r>
      <w:r w:rsidRPr="00EE1E0C">
        <w:t>t efter stort besvär ta del av det material som inte tagits med i det slutliga förundersökning</w:t>
      </w:r>
      <w:r w:rsidRPr="00EE1E0C">
        <w:t>s</w:t>
      </w:r>
      <w:r w:rsidRPr="00EE1E0C">
        <w:t>protokollet.</w:t>
      </w:r>
    </w:p>
    <w:p w:rsidR="00031A3F" w:rsidRPr="00EE1E0C" w:rsidRDefault="00031A3F">
      <w:pPr>
        <w:pStyle w:val="Rubrik3"/>
      </w:pPr>
      <w:bookmarkStart w:id="305" w:name="_Toc448905448"/>
      <w:bookmarkStart w:id="306" w:name="_Toc454180272"/>
      <w:bookmarkStart w:id="307" w:name="_Toc466264237"/>
      <w:r w:rsidRPr="00EE1E0C">
        <w:t>Hur kan förundersökningarnas kvalitet förbättras?</w:t>
      </w:r>
      <w:bookmarkEnd w:id="305"/>
      <w:bookmarkEnd w:id="306"/>
      <w:bookmarkEnd w:id="307"/>
    </w:p>
    <w:p w:rsidR="00031A3F" w:rsidRPr="00EE1E0C" w:rsidRDefault="00031A3F">
      <w:r w:rsidRPr="00EE1E0C">
        <w:t>Enkäterna avslutades med att de svarande ombads lämna förslag till hur förundersökningarnas kvalitet kan förbättras. Vissa kommentarer rörde ök</w:t>
      </w:r>
      <w:r w:rsidRPr="00EE1E0C">
        <w:t>a</w:t>
      </w:r>
      <w:r w:rsidRPr="00EE1E0C">
        <w:t>de resurser för polis eller åklagare. Vissa rörde bättre utbildning av poliserna eller krav på förbättrade prestationer av åklagarna. Flera kommentarer rörde organisationsfrågor; polis- och åklagarväsendet bör återgå till den tidigare organisationen. Förslag om ökad specialisering som ett sätt att höja kvalit</w:t>
      </w:r>
      <w:r w:rsidRPr="00EE1E0C">
        <w:t>e</w:t>
      </w:r>
      <w:r w:rsidRPr="00EE1E0C">
        <w:t>ten på förundersökningarna förekommer också. Flera domare och försvarare föreslog bandinspelningar av förhören med den åtalade. Dessa inspelningar skulle kunna hållas tillgängliga under huvudfö</w:t>
      </w:r>
      <w:r w:rsidRPr="00EE1E0C">
        <w:t>r</w:t>
      </w:r>
      <w:r w:rsidRPr="00EE1E0C">
        <w:t>handli</w:t>
      </w:r>
      <w:r w:rsidRPr="00EE1E0C">
        <w:t>ngen.</w:t>
      </w:r>
    </w:p>
    <w:p w:rsidR="00031A3F" w:rsidRPr="00EE1E0C" w:rsidRDefault="00031A3F">
      <w:pPr>
        <w:pStyle w:val="Rubrik3"/>
      </w:pPr>
      <w:bookmarkStart w:id="308" w:name="_Toc454180273"/>
      <w:bookmarkStart w:id="309" w:name="_Toc466264238"/>
      <w:r w:rsidRPr="00EE1E0C">
        <w:t>Slutsatser</w:t>
      </w:r>
      <w:bookmarkEnd w:id="308"/>
      <w:bookmarkEnd w:id="309"/>
    </w:p>
    <w:p w:rsidR="00031A3F" w:rsidRPr="00EE1E0C" w:rsidRDefault="00031A3F">
      <w:r w:rsidRPr="00EE1E0C">
        <w:t>Revisorernas enkät besvarades av personer som på olika sätt kommer i ko</w:t>
      </w:r>
      <w:r w:rsidRPr="00EE1E0C">
        <w:t>n</w:t>
      </w:r>
      <w:r w:rsidRPr="00EE1E0C">
        <w:t>takt med polisens och åklagarnas förundersökningar. Sammantaget visar undersökningarna att det finns ett missnöje med förundersökningarnas kv</w:t>
      </w:r>
      <w:r w:rsidRPr="00EE1E0C">
        <w:t>a</w:t>
      </w:r>
      <w:r w:rsidRPr="00EE1E0C">
        <w:t>litet. Domare, försvarare och utredare vid försäkringsbolagen menar att kv</w:t>
      </w:r>
      <w:r w:rsidRPr="00EE1E0C">
        <w:t>a</w:t>
      </w:r>
      <w:r w:rsidRPr="00EE1E0C">
        <w:t>liteten har försämrats under 1990-talet. Många av de intagna på anstalt menar att de kunde följa förundersökningsarbetet bättre vid tidigare tillfällen. Många av de domare och försvarare som är kritiska menar att åtal i högre grad ogillas nu än tidigare. Det beror enligt deras mening på att åk</w:t>
      </w:r>
      <w:r w:rsidRPr="00EE1E0C">
        <w:t>lagaren har svårare att bevisa sin talan. Man anser att svårigheterna beror på de sämre förundersökningarna. Försvararna menar också att förundersökningarna har blivit alltför begränsade och att objektivitetsprincipen därmed inte upprät</w:t>
      </w:r>
      <w:r w:rsidRPr="00EE1E0C">
        <w:t>t</w:t>
      </w:r>
      <w:r w:rsidRPr="00EE1E0C">
        <w:t>hålls. Samtliga tillfrågade grupper kritiserar polisens förhörsteknik. Man menar också att en dålig dokumentation av förhören påverkar utredningen. Uppfattningen att föru</w:t>
      </w:r>
      <w:r w:rsidRPr="00EE1E0C">
        <w:t>n</w:t>
      </w:r>
      <w:r w:rsidRPr="00EE1E0C">
        <w:t>dersökningarnas kvalitet har försämrats under 1990-talet är samstämmig bland de tillfrågade grupperna. D</w:t>
      </w:r>
      <w:r w:rsidRPr="00EE1E0C">
        <w:t>et finns därmed risk för ökad rättsos</w:t>
      </w:r>
      <w:r w:rsidRPr="00EE1E0C">
        <w:t>ä</w:t>
      </w:r>
      <w:r w:rsidRPr="00EE1E0C">
        <w:t>kerhet.</w:t>
      </w:r>
    </w:p>
    <w:p w:rsidR="00031A3F" w:rsidRPr="00EE1E0C" w:rsidRDefault="00031A3F">
      <w:pPr>
        <w:pStyle w:val="Rubrik1"/>
      </w:pPr>
      <w:bookmarkStart w:id="310" w:name="_Toc449776276"/>
      <w:r w:rsidRPr="00EE1E0C">
        <w:br w:type="page"/>
      </w:r>
      <w:bookmarkStart w:id="311" w:name="_Toc449944782"/>
      <w:bookmarkStart w:id="312" w:name="_Toc466264239"/>
      <w:bookmarkEnd w:id="310"/>
      <w:r w:rsidRPr="00EE1E0C">
        <w:t>Del 4  Revisorernas överväganden och förslag</w:t>
      </w:r>
      <w:bookmarkEnd w:id="311"/>
      <w:bookmarkEnd w:id="312"/>
    </w:p>
    <w:p w:rsidR="00031A3F" w:rsidRPr="00EE1E0C" w:rsidRDefault="00031A3F">
      <w:r w:rsidRPr="00EE1E0C">
        <w:t>Ett demokratiskt samhälle är beroende av att medborgarna har förtroende för rättsväsendets sätt att fungera. Polisens och åklagarnas brottsutredningar får inte vara godtyckliga eller brista i objektivitet. Beslut om att lägga ned eller gå vidare med en förundersökning skall vara välgrundade. För att myndi</w:t>
      </w:r>
      <w:r w:rsidRPr="00EE1E0C">
        <w:t>g</w:t>
      </w:r>
      <w:r w:rsidRPr="00EE1E0C">
        <w:t>heterna skall kunna uppfylla dessa krav är det nödvändigt att arbetet bedrivs korrekt och kompetent inom myndigheterna, men också att samarbetet dem emellan fungerar. Det är nödvändigt att poliserna och åklagarna är väl utbi</w:t>
      </w:r>
      <w:r w:rsidRPr="00EE1E0C">
        <w:t>l</w:t>
      </w:r>
      <w:r w:rsidRPr="00EE1E0C">
        <w:t>dade i förundersökningsarbete och förundersökningsle</w:t>
      </w:r>
      <w:r w:rsidRPr="00EE1E0C">
        <w:t>d</w:t>
      </w:r>
      <w:r w:rsidRPr="00EE1E0C">
        <w:t xml:space="preserve">ning. </w:t>
      </w:r>
    </w:p>
    <w:p w:rsidR="00031A3F" w:rsidRPr="00EE1E0C" w:rsidRDefault="00031A3F">
      <w:pPr>
        <w:pStyle w:val="Normaltindrag"/>
      </w:pPr>
      <w:r w:rsidRPr="00EE1E0C">
        <w:t>En brottsanmälan måste också handläggas inom rimlig tid av polis, åklag</w:t>
      </w:r>
      <w:r w:rsidRPr="00EE1E0C">
        <w:t>a</w:t>
      </w:r>
      <w:r w:rsidRPr="00EE1E0C">
        <w:t>re och domstol. En alltför lång väntan på beslut i åtalsfrågan och på dom påverkar såväl brottsoffer som misstänkta. Brottsoffer som får vänta länge på att den rättsliga processen avslutas får ofta svårare att lägga händelsen bakom sig. Det kan också ta lång tid att få en skadeståndsfråga prövad. För den misstänkte kan det vara pressande att vänta på besked om det blir något åtal eller inte. De som gjort sig skyldiga till brott kan också fortsätta sin brottsliga gärning i väntan på att tidigare brott utred</w:t>
      </w:r>
      <w:r w:rsidRPr="00EE1E0C">
        <w:t xml:space="preserve">s. Även samhället påverkas av långa väntetider genom att tilltron till rättsväsendets förmåga att förhindra och beivra brott minskar. </w:t>
      </w:r>
    </w:p>
    <w:p w:rsidR="00031A3F" w:rsidRPr="00EE1E0C" w:rsidRDefault="00031A3F">
      <w:pPr>
        <w:pStyle w:val="Normaltindrag"/>
      </w:pPr>
      <w:r w:rsidRPr="00EE1E0C">
        <w:t xml:space="preserve">Sammantaget är det enligt revisorernas uppfattning av stor betydelse för den enskilde medborgaren att förundersökningarna är av god kvalitet och att ärendena handläggs inom rimlig tid. </w:t>
      </w:r>
    </w:p>
    <w:p w:rsidR="00031A3F" w:rsidRPr="00EE1E0C" w:rsidRDefault="00031A3F">
      <w:pPr>
        <w:pStyle w:val="Rubrik2"/>
      </w:pPr>
      <w:bookmarkStart w:id="313" w:name="_Toc449776277"/>
      <w:bookmarkStart w:id="314" w:name="_Toc449944783"/>
      <w:bookmarkStart w:id="315" w:name="_Toc466264240"/>
      <w:r w:rsidRPr="00EE1E0C">
        <w:t>Medelsförbrukningen</w:t>
      </w:r>
      <w:bookmarkEnd w:id="313"/>
      <w:bookmarkEnd w:id="314"/>
      <w:bookmarkEnd w:id="315"/>
      <w:r w:rsidRPr="00EE1E0C">
        <w:t xml:space="preserve"> </w:t>
      </w:r>
    </w:p>
    <w:p w:rsidR="00031A3F" w:rsidRPr="00EE1E0C" w:rsidRDefault="00031A3F">
      <w:r w:rsidRPr="00EE1E0C">
        <w:t>Polisens medelsförbrukning ökade kraftigt i början av 1990-talet, minskade något efter 1993 och har därefter planat ut. Medelsförbrukningen har således inte minskat på något bestående sätt under den undersökta perioden. Detta beror på att polisen under tider av besparingar använt tidigare års anslagssp</w:t>
      </w:r>
      <w:r w:rsidRPr="00EE1E0C">
        <w:t>a</w:t>
      </w:r>
      <w:r w:rsidRPr="00EE1E0C">
        <w:t>rande och utnyttjat anslagskrediten. Budgetåret 1998 tilldelades polisen ytterligare 430 miljoner kronor och polisens ekonomi var då sammantaget i balans även om vissa polismyndigheter fortfarande hade stora underskott. Varken polisen eller regeringskansliet har kunnat redovisa någon tillförlitlig sammanställning av polisens kostnader uppdelade på utgifter för investerin</w:t>
      </w:r>
      <w:r w:rsidRPr="00EE1E0C">
        <w:t>g</w:t>
      </w:r>
      <w:r w:rsidRPr="00EE1E0C">
        <w:t xml:space="preserve">ar och lokaler före budgetåret 1993/94. </w:t>
      </w:r>
    </w:p>
    <w:p w:rsidR="00031A3F" w:rsidRPr="00EE1E0C" w:rsidRDefault="00031A3F">
      <w:pPr>
        <w:pStyle w:val="Normaltindrag"/>
      </w:pPr>
      <w:r w:rsidRPr="00EE1E0C">
        <w:t>I samband med att länsmyndigheterna bildades omfördelades resurser inom vissa län. Detta har inn</w:t>
      </w:r>
      <w:r w:rsidRPr="00EE1E0C">
        <w:t>eburit att områden med fler invånare fått mer resurser medan områden med mindre befolkning har fått mindre resurser. Därför har förändringarna för polisen inom vissa områden blivit påtagliga både vad gäller resurser och organisation. Exempel på detta är närpolisomr</w:t>
      </w:r>
      <w:r w:rsidRPr="00EE1E0C">
        <w:t>å</w:t>
      </w:r>
      <w:r w:rsidRPr="00EE1E0C">
        <w:t>den som tidigare var egna myndigheter. Dessa närpolisområden har i jämf</w:t>
      </w:r>
      <w:r w:rsidRPr="00EE1E0C">
        <w:t>ö</w:t>
      </w:r>
      <w:r w:rsidRPr="00EE1E0C">
        <w:t>relse med tidigare mindre egna resurser, begränsat ansvar och begränsade möjligheter att fatta större beslut. Inom polisen har personalkostnaderna minskat med drygt 5 % mella</w:t>
      </w:r>
      <w:r w:rsidRPr="00EE1E0C">
        <w:t>n budgetåren 1993/94 och 1998. Omkring 1 700 civilanställda har fått lämna verksamheten. Samtidigt har polisens kos</w:t>
      </w:r>
      <w:r w:rsidRPr="00EE1E0C">
        <w:t>t</w:t>
      </w:r>
      <w:r w:rsidRPr="00EE1E0C">
        <w:t xml:space="preserve">nader för investeringar och lokaler ökat. </w:t>
      </w:r>
    </w:p>
    <w:p w:rsidR="00031A3F" w:rsidRPr="00EE1E0C" w:rsidRDefault="00031A3F">
      <w:pPr>
        <w:pStyle w:val="Normaltindrag"/>
      </w:pPr>
      <w:r w:rsidRPr="00EE1E0C">
        <w:rPr>
          <w:i/>
        </w:rPr>
        <w:t xml:space="preserve"> </w:t>
      </w:r>
      <w:r w:rsidRPr="00EE1E0C">
        <w:t>Inte heller åklagarnas medelsförbrukning har minskat varaktigt under 1990-talet. Även åklagarna har utnyttjat ett tidigare anslagssparande och sin anslagskredit. För åklagarnas del har också särskilt tillskjutna medel motsv</w:t>
      </w:r>
      <w:r w:rsidRPr="00EE1E0C">
        <w:t>a</w:t>
      </w:r>
      <w:r w:rsidRPr="00EE1E0C">
        <w:t>rat besparingskraven. Besparingar och extra pengar har därför tagit ut va</w:t>
      </w:r>
      <w:r w:rsidRPr="00EE1E0C">
        <w:t>r</w:t>
      </w:r>
      <w:r w:rsidRPr="00EE1E0C">
        <w:t>andra. Inför åklagarnas omorganisation 1996 uppgavs att åklagarnas kostn</w:t>
      </w:r>
      <w:r w:rsidRPr="00EE1E0C">
        <w:t>a</w:t>
      </w:r>
      <w:r w:rsidRPr="00EE1E0C">
        <w:t>der skulle minska med 25–50 miljoner kronor. Snart tre år efter reformen har ingen beräkning av kostnadsminskningarna presenterats av Justiti</w:t>
      </w:r>
      <w:r w:rsidRPr="00EE1E0C">
        <w:t>edepart</w:t>
      </w:r>
      <w:r w:rsidRPr="00EE1E0C">
        <w:t>e</w:t>
      </w:r>
      <w:r w:rsidRPr="00EE1E0C">
        <w:t>mentet. Under framför allt 1996 och 1997 uppstod omorganisations- och omställningskostnader. Vidare har åklagarnas löner höjts samtidigt som administratörer fått lämna verksamheten. Åklagarväsendets ökade medel</w:t>
      </w:r>
      <w:r w:rsidRPr="00EE1E0C">
        <w:t>s</w:t>
      </w:r>
      <w:r w:rsidRPr="00EE1E0C">
        <w:t>förbrukning har inte motsvarats av någon egentlig förstärkning av resurserna.</w:t>
      </w:r>
    </w:p>
    <w:p w:rsidR="00031A3F" w:rsidRPr="00EE1E0C" w:rsidRDefault="00031A3F">
      <w:pPr>
        <w:pStyle w:val="Normaltindrag"/>
      </w:pPr>
      <w:r w:rsidRPr="00EE1E0C">
        <w:t>Revisorerna konstaterar att det är svårt att följa ekonomin inom rättsväse</w:t>
      </w:r>
      <w:r w:rsidRPr="00EE1E0C">
        <w:t>n</w:t>
      </w:r>
      <w:r w:rsidRPr="00EE1E0C">
        <w:t>det. Riksdagen får därigenom bristande information om kostnadsutvecklin</w:t>
      </w:r>
      <w:r w:rsidRPr="00EE1E0C">
        <w:t>g</w:t>
      </w:r>
      <w:r w:rsidRPr="00EE1E0C">
        <w:t>en inom de olika delarna av rättsväsendet. Revisorerna vill i detta samma</w:t>
      </w:r>
      <w:r w:rsidRPr="00EE1E0C">
        <w:t>n</w:t>
      </w:r>
      <w:r w:rsidRPr="00EE1E0C">
        <w:t>hang peka på att redan i Budgetpropositionsutredningen (SOU 1990:83) menade man att information om anslagsutvecklingen över tiden bör lämnas i anslutning till regeringens presentation av varje anslagsförslag. I betänkandet konstateras också att budgetpropositionen i första hand är avsedd för riksd</w:t>
      </w:r>
      <w:r w:rsidRPr="00EE1E0C">
        <w:t>a</w:t>
      </w:r>
      <w:r w:rsidRPr="00EE1E0C">
        <w:t>gen men att det vid utformandet även skall tas hänsyn till den övr</w:t>
      </w:r>
      <w:r w:rsidRPr="00EE1E0C">
        <w:t>iga läs</w:t>
      </w:r>
      <w:r w:rsidRPr="00EE1E0C">
        <w:t>e</w:t>
      </w:r>
      <w:r w:rsidRPr="00EE1E0C">
        <w:t>kretsen så som myndigheter, företag, journalister och inte minst en intress</w:t>
      </w:r>
      <w:r w:rsidRPr="00EE1E0C">
        <w:t>e</w:t>
      </w:r>
      <w:r w:rsidRPr="00EE1E0C">
        <w:t>rad al</w:t>
      </w:r>
      <w:r w:rsidRPr="00EE1E0C">
        <w:t>l</w:t>
      </w:r>
      <w:r w:rsidRPr="00EE1E0C">
        <w:t>mänhet.</w:t>
      </w:r>
    </w:p>
    <w:p w:rsidR="00031A3F" w:rsidRPr="00EE1E0C" w:rsidRDefault="00031A3F">
      <w:pPr>
        <w:pStyle w:val="Normaltindrag"/>
      </w:pPr>
      <w:r w:rsidRPr="00EE1E0C">
        <w:t>I finansutskottets betänkande (bet. 1997/98:FiU20) angavs som utskottets mening att det skulle vara en fördel om de beräknade budgetramarna kunde presenteras i såväl löpande som fasta priser för att en jämförelse skall vara möjlig att göra. Enligt finansutskottet var det lämpligt att inom respektive område redovisa tidsserier med ett begränsat antal resultatindikatorer som tillsammans ger en helhetsbild av res</w:t>
      </w:r>
      <w:r w:rsidRPr="00EE1E0C">
        <w:t>ultatet. Utskottet angav vidare att reg</w:t>
      </w:r>
      <w:r w:rsidRPr="00EE1E0C">
        <w:t>e</w:t>
      </w:r>
      <w:r w:rsidRPr="00EE1E0C">
        <w:t>ringens s.k. resultatbedömningar behövde bli tydligare framför allt när det gällde vad som motiverar regeringens bedömning av resultatet.</w:t>
      </w:r>
    </w:p>
    <w:p w:rsidR="00031A3F" w:rsidRPr="00EE1E0C" w:rsidRDefault="00031A3F">
      <w:pPr>
        <w:pStyle w:val="Normaltindrag"/>
      </w:pPr>
      <w:r w:rsidRPr="00EE1E0C">
        <w:t>Mot denna bakgrund anser revisorerna att det är angeläget att presentati</w:t>
      </w:r>
      <w:r w:rsidRPr="00EE1E0C">
        <w:t>o</w:t>
      </w:r>
      <w:r w:rsidRPr="00EE1E0C">
        <w:t>nen av rättsväse</w:t>
      </w:r>
      <w:r w:rsidRPr="00EE1E0C">
        <w:t>n</w:t>
      </w:r>
      <w:r w:rsidRPr="00EE1E0C">
        <w:t>dets kostnadsutveckling blir tydligare.</w:t>
      </w:r>
    </w:p>
    <w:p w:rsidR="00031A3F" w:rsidRPr="00EE1E0C" w:rsidRDefault="00031A3F">
      <w:pPr>
        <w:pStyle w:val="Rubrik2"/>
      </w:pPr>
      <w:bookmarkStart w:id="316" w:name="_Toc449776278"/>
      <w:bookmarkStart w:id="317" w:name="_Toc449944784"/>
      <w:bookmarkStart w:id="318" w:name="_Toc466264241"/>
      <w:r w:rsidRPr="00EE1E0C">
        <w:t>Omorganisationer</w:t>
      </w:r>
      <w:bookmarkEnd w:id="316"/>
      <w:bookmarkEnd w:id="317"/>
      <w:bookmarkEnd w:id="318"/>
    </w:p>
    <w:p w:rsidR="00031A3F" w:rsidRPr="00EE1E0C" w:rsidRDefault="00031A3F">
      <w:r w:rsidRPr="00EE1E0C">
        <w:t>I granskningen ingår framför allt polis- och åklagarväsendet eftersom förän</w:t>
      </w:r>
      <w:r w:rsidRPr="00EE1E0C">
        <w:t>d</w:t>
      </w:r>
      <w:r w:rsidRPr="00EE1E0C">
        <w:t>ringarna har varit stora inom dessa verksamheter. Tingsrätterna och häktena berörs endast i begränsad omfattning. För tingsrätternas vidkommande har inte någon omorganisation genomförts av verksamheten som i någon större utsträckning påverkar samverkan med polis, åklagare eller häkte. Omorgan</w:t>
      </w:r>
      <w:r w:rsidRPr="00EE1E0C">
        <w:t>i</w:t>
      </w:r>
      <w:r w:rsidRPr="00EE1E0C">
        <w:t>sationen av kriminalvården genomfördes den 1 januari 1998. Revisorerna menar att det är för tidigt att kunna se några effekter av förändringarna.</w:t>
      </w:r>
    </w:p>
    <w:p w:rsidR="00031A3F" w:rsidRPr="00EE1E0C" w:rsidRDefault="00031A3F">
      <w:pPr>
        <w:pStyle w:val="Normaltindrag"/>
      </w:pPr>
      <w:r w:rsidRPr="00EE1E0C">
        <w:t xml:space="preserve">Granskningen av polis- och åklagarväsendet i Stockholms, Östergötlands </w:t>
      </w:r>
      <w:r w:rsidRPr="00EE1E0C">
        <w:t>och Västernorrlands län visar att polis och åklagare har anpassat sin organ</w:t>
      </w:r>
      <w:r w:rsidRPr="00EE1E0C">
        <w:t>i</w:t>
      </w:r>
      <w:r w:rsidRPr="00EE1E0C">
        <w:t>sation efter lokala förutsättningar, geografiska förhållanden, befolkning och personalsituation. Man har också i vissa fall i betydande utsträckning tagit hänsyn till sin tidigare organisation och i praktiken bara gjort marginella förändringar. Vissa omorganisationer har på papperet varit genomgripande och berört de flesta som arbetat inom polis- och åklagarväsendena. Även om förändringarna i praktiken inte alltid varit särskilt sto</w:t>
      </w:r>
      <w:r w:rsidRPr="00EE1E0C">
        <w:t>ra har det funnits en ovisshet om framtida arbetsförhållanden, något som påverkat arbetssituati</w:t>
      </w:r>
      <w:r w:rsidRPr="00EE1E0C">
        <w:t>o</w:t>
      </w:r>
      <w:r w:rsidRPr="00EE1E0C">
        <w:t xml:space="preserve">nen. </w:t>
      </w:r>
    </w:p>
    <w:p w:rsidR="00031A3F" w:rsidRPr="00EE1E0C" w:rsidRDefault="00031A3F">
      <w:pPr>
        <w:pStyle w:val="Normaltindrag"/>
      </w:pPr>
      <w:r w:rsidRPr="00EE1E0C">
        <w:t>Åklagarnas omorganisation genomfördes den 1 juli 1996. Förändringen sammanföll med ett flertal andra förändringar: administratörer sades upp; ett datoriserat diariesystemet infördes; anställningsstopp infördes för åklagare; systemet med åklagarmentorer infördes; besparingskrav ställdes på verksa</w:t>
      </w:r>
      <w:r w:rsidRPr="00EE1E0C">
        <w:t>m</w:t>
      </w:r>
      <w:r w:rsidRPr="00EE1E0C">
        <w:t>heten. Sammantaget kan sägas att mycket av den kritik som framförts går att hänföra till andra händelser än åklagarnas omorganisation. Revisorerna m</w:t>
      </w:r>
      <w:r w:rsidRPr="00EE1E0C">
        <w:t>e</w:t>
      </w:r>
      <w:r w:rsidRPr="00EE1E0C">
        <w:t>nar att åklagarnas omorganisation försvårades av att den genomfördes i en situation då många andra faktorer påverkade åklagarver</w:t>
      </w:r>
      <w:r w:rsidRPr="00EE1E0C">
        <w:t>k</w:t>
      </w:r>
      <w:r w:rsidRPr="00EE1E0C">
        <w:t>samheten.</w:t>
      </w:r>
    </w:p>
    <w:p w:rsidR="00031A3F" w:rsidRPr="00EE1E0C" w:rsidRDefault="00031A3F">
      <w:pPr>
        <w:pStyle w:val="Normaltindrag"/>
      </w:pPr>
      <w:r w:rsidRPr="00EE1E0C">
        <w:t xml:space="preserve">Kanslipersonal inom polisen har också sagts upp i stor utsträckning. Även detta har förändrat villkoren för polisens sätt att arbeta. </w:t>
      </w:r>
    </w:p>
    <w:p w:rsidR="00031A3F" w:rsidRPr="00EE1E0C" w:rsidRDefault="00031A3F">
      <w:pPr>
        <w:pStyle w:val="Normaltindrag"/>
      </w:pPr>
      <w:r w:rsidRPr="00EE1E0C">
        <w:t>Inom ramen för de övergripande mål som lagts fram av regering och rik</w:t>
      </w:r>
      <w:r w:rsidRPr="00EE1E0C">
        <w:t>s</w:t>
      </w:r>
      <w:r w:rsidRPr="00EE1E0C">
        <w:t>dag har Rikspolisstyrelsen preciserat innebörden av närpolisverksamheten. Bl.a. skulle verksamheten bedrivas problemorienterat och inriktas mot va</w:t>
      </w:r>
      <w:r w:rsidRPr="00EE1E0C">
        <w:t>r</w:t>
      </w:r>
      <w:r w:rsidRPr="00EE1E0C">
        <w:t>dagsbrottsligheten. Tanken var samtidigt att närpolisorganisationen skulle anpassas till förutsättningarna i olika delar av landet. I samband med närp</w:t>
      </w:r>
      <w:r w:rsidRPr="00EE1E0C">
        <w:t>o</w:t>
      </w:r>
      <w:r w:rsidRPr="00EE1E0C">
        <w:t>lisreformen genomfördes andra förändringar som påverkade polisens organ</w:t>
      </w:r>
      <w:r w:rsidRPr="00EE1E0C">
        <w:t>i</w:t>
      </w:r>
      <w:r w:rsidRPr="00EE1E0C">
        <w:t>sation, ekonomi och personal. Sammantaget innebar förändringarna att många poliser kände sig osäkra på sin egen roll och på det nya sättet at</w:t>
      </w:r>
      <w:r w:rsidRPr="00EE1E0C">
        <w:t xml:space="preserve">t arbeta. Flera poliser menar också att man fått för lite ledning för att kunna arbeta enligt statsmakternas intentioner. </w:t>
      </w:r>
    </w:p>
    <w:p w:rsidR="00031A3F" w:rsidRPr="00EE1E0C" w:rsidRDefault="00031A3F">
      <w:pPr>
        <w:pStyle w:val="Normaltindrag"/>
      </w:pPr>
      <w:r w:rsidRPr="00EE1E0C">
        <w:t>Revisorerna anser inte att det är något självändamål att närpolisen är org</w:t>
      </w:r>
      <w:r w:rsidRPr="00EE1E0C">
        <w:t>a</w:t>
      </w:r>
      <w:r w:rsidRPr="00EE1E0C">
        <w:t>niserad på samma sätt i hela landet. Vid införandet av närpolisreformen hade dock ett starkare stöd från Rikspolisstyrelsens sida underlättat ett framgång</w:t>
      </w:r>
      <w:r w:rsidRPr="00EE1E0C">
        <w:t>s</w:t>
      </w:r>
      <w:r w:rsidRPr="00EE1E0C">
        <w:t>rikt g</w:t>
      </w:r>
      <w:r w:rsidRPr="00EE1E0C">
        <w:t>e</w:t>
      </w:r>
      <w:r w:rsidRPr="00EE1E0C">
        <w:t xml:space="preserve">nomförande av reformen. </w:t>
      </w:r>
    </w:p>
    <w:p w:rsidR="00031A3F" w:rsidRPr="00EE1E0C" w:rsidRDefault="00031A3F">
      <w:pPr>
        <w:pStyle w:val="Normaltindrag"/>
      </w:pPr>
      <w:r w:rsidRPr="00EE1E0C">
        <w:t>Av granskningen framgår att omfattningen av utbildning i närpolisver</w:t>
      </w:r>
      <w:r w:rsidRPr="00EE1E0C">
        <w:t>k</w:t>
      </w:r>
      <w:r w:rsidRPr="00EE1E0C">
        <w:t>samhet varierar mellan länen. I vissa län har samtliga närpoliser fått omfa</w:t>
      </w:r>
      <w:r w:rsidRPr="00EE1E0C">
        <w:t>t</w:t>
      </w:r>
      <w:r w:rsidRPr="00EE1E0C">
        <w:t>tande utbildning i närpolisverksamhet och det problemorienterade arbetssä</w:t>
      </w:r>
      <w:r w:rsidRPr="00EE1E0C">
        <w:t>t</w:t>
      </w:r>
      <w:r w:rsidRPr="00EE1E0C">
        <w:t>tet. I andra län har utbildningen inte varit lika omfattande och inte heller berört samtliga närpoliser. Trots att det problemorienterade arbetssättet skall genomsyra allt polisarbete och omfatta alla poliser har inte samtliga fått utbildning i det nya arbetssättet. Av granskningen framgår att det probl</w:t>
      </w:r>
      <w:r w:rsidRPr="00EE1E0C">
        <w:t>e</w:t>
      </w:r>
      <w:r w:rsidRPr="00EE1E0C">
        <w:t>morient</w:t>
      </w:r>
      <w:r w:rsidRPr="00EE1E0C">
        <w:t>e</w:t>
      </w:r>
      <w:r w:rsidRPr="00EE1E0C">
        <w:t>rade arbetssättet fått begränsat genomslag i pol</w:t>
      </w:r>
      <w:r w:rsidRPr="00EE1E0C">
        <w:t xml:space="preserve">isverksamheten. </w:t>
      </w:r>
    </w:p>
    <w:p w:rsidR="00031A3F" w:rsidRPr="00EE1E0C" w:rsidRDefault="00031A3F">
      <w:pPr>
        <w:pStyle w:val="Normaltindrag"/>
      </w:pPr>
      <w:r w:rsidRPr="00EE1E0C">
        <w:t xml:space="preserve">Revisorerna konstaterar att utbildningen både i närpolisverksamhet och problemorienterat arbetssätt varit otillräcklig. </w:t>
      </w:r>
    </w:p>
    <w:p w:rsidR="00031A3F" w:rsidRPr="00EE1E0C" w:rsidRDefault="00031A3F">
      <w:pPr>
        <w:pStyle w:val="Rubrik2"/>
      </w:pPr>
      <w:bookmarkStart w:id="319" w:name="_Toc466264242"/>
      <w:r w:rsidRPr="00EE1E0C">
        <w:t>Polisens synlighet</w:t>
      </w:r>
      <w:bookmarkEnd w:id="319"/>
    </w:p>
    <w:p w:rsidR="00031A3F" w:rsidRPr="00EE1E0C" w:rsidRDefault="00031A3F">
      <w:r w:rsidRPr="00EE1E0C">
        <w:t>Rikspolisstyrelsen har sedan 1995 utfört en undersökning av andelen poliser som tjänstgör under nätterna till lördag och söndag. Av granskningen fra</w:t>
      </w:r>
      <w:r w:rsidRPr="00EE1E0C">
        <w:t>m</w:t>
      </w:r>
      <w:r w:rsidRPr="00EE1E0C">
        <w:t>går att andelen tjänstgörande poliser i genomsnitt ökat under 1996 och 1997. Åren 1998 och 1999 har andelen tjänstgörande poliser minskat något. Enligt Rikspolisstyrelsens arbetsgrupp mot våld bör varje polismyndighet med en rationell personalplanering kunna se till att 15–16 procent av poliserna bör tjäns</w:t>
      </w:r>
      <w:r w:rsidRPr="00EE1E0C">
        <w:t>t</w:t>
      </w:r>
      <w:r w:rsidRPr="00EE1E0C">
        <w:t xml:space="preserve">göra under helgnätterna. </w:t>
      </w:r>
    </w:p>
    <w:p w:rsidR="00031A3F" w:rsidRPr="00EE1E0C" w:rsidRDefault="00031A3F">
      <w:pPr>
        <w:pStyle w:val="Normaltindrag"/>
      </w:pPr>
      <w:r w:rsidRPr="00EE1E0C">
        <w:t>Revisorerna vill betona vikten av att ett tillräckligt antal poliser tjänstgör under helgnätter. Revisorerna noterar med förvåning att andelen tjänstgöra</w:t>
      </w:r>
      <w:r w:rsidRPr="00EE1E0C">
        <w:t>n</w:t>
      </w:r>
      <w:r w:rsidRPr="00EE1E0C">
        <w:t xml:space="preserve">de poliser under helgnätterna minskat. </w:t>
      </w:r>
    </w:p>
    <w:p w:rsidR="00031A3F" w:rsidRPr="00EE1E0C" w:rsidRDefault="00031A3F">
      <w:pPr>
        <w:pStyle w:val="Normaltindrag"/>
      </w:pPr>
      <w:r w:rsidRPr="00EE1E0C">
        <w:t>Revisorerna anser att det är viktigt att närpoliserna blir så synliga som möjligt ute på gator och torg i det egna närpolisområdet. Det är därför nö</w:t>
      </w:r>
      <w:r w:rsidRPr="00EE1E0C">
        <w:t>d</w:t>
      </w:r>
      <w:r w:rsidRPr="00EE1E0C">
        <w:t xml:space="preserve">vändigt att närpolisernas tid inte upptas av alltför mycket inre tjänst. Något direkt samband mellan närpolisreformen och andelen poliser som tjänstgör under helgnätterna har dock inte kunnat konstateras i granskningen. </w:t>
      </w:r>
    </w:p>
    <w:p w:rsidR="00031A3F" w:rsidRPr="00EE1E0C" w:rsidRDefault="00031A3F">
      <w:pPr>
        <w:pStyle w:val="Rubrik2"/>
        <w:rPr>
          <w:i/>
        </w:rPr>
      </w:pPr>
      <w:bookmarkStart w:id="320" w:name="_Toc449776281"/>
      <w:bookmarkStart w:id="321" w:name="_Toc449944786"/>
      <w:bookmarkStart w:id="322" w:name="_Toc466264243"/>
      <w:r w:rsidRPr="00EE1E0C">
        <w:t>Förundersökningarnas kvalitet</w:t>
      </w:r>
      <w:bookmarkEnd w:id="320"/>
      <w:bookmarkEnd w:id="321"/>
      <w:bookmarkEnd w:id="322"/>
    </w:p>
    <w:p w:rsidR="00031A3F" w:rsidRPr="00EE1E0C" w:rsidRDefault="00031A3F">
      <w:bookmarkStart w:id="323" w:name="_Toc449776282"/>
      <w:bookmarkStart w:id="324" w:name="_Toc449944787"/>
      <w:r w:rsidRPr="00EE1E0C">
        <w:t>Revisorerna anser att polisens och åklagarnas förundersökningsarbete intar en särställning i arbetet inom rättsväsendet. Ett viktigt mått på polisens och åklagarnas arbete är förundersökningarnas kvalitet. För att få en uppfattning om huruvida kvaliteten har förändrats under 1990-talet har fyra enkätunde</w:t>
      </w:r>
      <w:r w:rsidRPr="00EE1E0C">
        <w:t>r</w:t>
      </w:r>
      <w:r w:rsidRPr="00EE1E0C">
        <w:t>sökningar genomförts. Dessa har riktats till domare, offentliga försvarare, utredare vid försäkringsbolag och intagna på anstalt. Enkätundersökningarna visar att många domare, försvarare och utredare anser att förundersökninga</w:t>
      </w:r>
      <w:r w:rsidRPr="00EE1E0C">
        <w:t>r</w:t>
      </w:r>
      <w:r w:rsidRPr="00EE1E0C">
        <w:t>nas kvalitet blivit sämre under 1990-talet. Endast ett fåtal av de svarande menar att förundersökningarnas kvalitet har blivit bättre. Flera av de försv</w:t>
      </w:r>
      <w:r w:rsidRPr="00EE1E0C">
        <w:t>a</w:t>
      </w:r>
      <w:r w:rsidRPr="00EE1E0C">
        <w:t>rare som besvarat revisorernas enkät kritiserar t.ex. polisens förhörsteknik och tillvaratagandet av objektivitetsprincipen. Även v</w:t>
      </w:r>
      <w:r w:rsidRPr="00EE1E0C">
        <w:t>issa åklagare menar att polisens förundersökningsarbete försämrats sedan en stor andel mer oerfarna poliser efter närpolisreformen fått ansvar för brottsutredningar. Enligt många av de domare som är kritiska leder de försämrade förundersökningarna till att rättegångarnas utgång påverkas på ett sådant sätt att fler åtal ogillas. Man menar att med en förundersökning av högre kvalitet hade utgången blivit en annan. I enkäterna framförs också synpunkten att åklagarna presterar sämre under rättegången i de mål d</w:t>
      </w:r>
      <w:r w:rsidRPr="00EE1E0C">
        <w:t>är de inte själva har varit förundersökningsled</w:t>
      </w:r>
      <w:r w:rsidRPr="00EE1E0C">
        <w:t>a</w:t>
      </w:r>
      <w:r w:rsidRPr="00EE1E0C">
        <w:t>re. Dessa synpunkter stöds av muntliga intervjuer med lagmän och åklagare. Vidare menar de försvarare som är kritiska att de försämrade förundersö</w:t>
      </w:r>
      <w:r w:rsidRPr="00EE1E0C">
        <w:t>k</w:t>
      </w:r>
      <w:r w:rsidRPr="00EE1E0C">
        <w:t>ningarna leder till att de själva ofta måste överta förundersökningsledarens roll i utredningen. Man uttalar oro för att objektivitetsprincipen inte upprät</w:t>
      </w:r>
      <w:r w:rsidRPr="00EE1E0C">
        <w:t>t</w:t>
      </w:r>
      <w:r w:rsidRPr="00EE1E0C">
        <w:t>hålls. Enkätundersökningen tyder på att förundersökningarnas kvalitet kan sättas i fråga. Revisorerna ser allvarligt på den kritik mot förundersökninga</w:t>
      </w:r>
      <w:r w:rsidRPr="00EE1E0C">
        <w:t>r</w:t>
      </w:r>
      <w:r w:rsidRPr="00EE1E0C">
        <w:t>nas kvali</w:t>
      </w:r>
      <w:r w:rsidRPr="00EE1E0C">
        <w:t xml:space="preserve">tet som framkommit i granskningen. </w:t>
      </w:r>
    </w:p>
    <w:p w:rsidR="00031A3F" w:rsidRPr="00EE1E0C" w:rsidRDefault="00031A3F">
      <w:pPr>
        <w:pStyle w:val="Normaltindrag"/>
      </w:pPr>
      <w:r w:rsidRPr="00EE1E0C">
        <w:t>Såsom framgått tidigare menar revisorerna att även handläggningstidernas längd är en rättssäkerhetsfråga. Är handläggningstiden lång drabbas offret, den misstänkte och samhälle. För brottsoffren, och även i många fall för den tilltalade, innebär väntan på beslut en pressande ovisshet. Vittnesmålens värde sjunker ju längre tiden går och förundersökningarnas kvalitet riskeras därmed också, liksom processen i domstol. Långa handläggningstider hos åklagarna gör också att ären</w:t>
      </w:r>
      <w:r w:rsidRPr="00EE1E0C">
        <w:t>dena blir mer arbetskrävande. Nya brottsmis</w:t>
      </w:r>
      <w:r w:rsidRPr="00EE1E0C">
        <w:t>s</w:t>
      </w:r>
      <w:r w:rsidRPr="00EE1E0C">
        <w:t xml:space="preserve">tankar tillkommer i ärenden som väntar på avgörande hos åklagarna vilket ytterligare kan förlänga handläggningstiden. Är handläggningstiden för lång finns det risk för att tilltron till rättssamhället minskar. </w:t>
      </w:r>
    </w:p>
    <w:p w:rsidR="00031A3F" w:rsidRPr="00EE1E0C" w:rsidRDefault="00031A3F">
      <w:pPr>
        <w:pStyle w:val="Normaltindrag"/>
      </w:pPr>
      <w:r w:rsidRPr="00EE1E0C">
        <w:t>Revisorerna har genomfört en undersökning av handläggningstiderna för samtliga anmälningar under 1997 med en person född 1973 som är skäligen misstänkt för misshandel. Undersökningen gjordes i Stockholms, Östergö</w:t>
      </w:r>
      <w:r w:rsidRPr="00EE1E0C">
        <w:t>t</w:t>
      </w:r>
      <w:r w:rsidRPr="00EE1E0C">
        <w:t>lands och Västernorrlands län. Av de 341 ärenden som ingick i undersö</w:t>
      </w:r>
      <w:r w:rsidRPr="00EE1E0C">
        <w:t>k</w:t>
      </w:r>
      <w:r w:rsidRPr="00EE1E0C">
        <w:t>ningen lades 57 procent ned och 24 procent handlades fortfarande av polis eller åklagare vid undersökningstillfället i augusti 1998. Endast 18 procent av ärenden hade lett till dom, strafföreläggande eller åtalsunderlåtelse. Av u</w:t>
      </w:r>
      <w:r w:rsidRPr="00EE1E0C">
        <w:t>n</w:t>
      </w:r>
      <w:r w:rsidRPr="00EE1E0C">
        <w:t>dersökningen framgår att de avslutade ärendena tagit mellan 185 och 233 dagar från anmälan till dom i de tre länen. 24 procent av ärendena var dock inte avslutade vid undersökningstillfället. De ärenden ur denna</w:t>
      </w:r>
      <w:r w:rsidRPr="00EE1E0C">
        <w:t xml:space="preserve"> grupp som leder till dom kommer att göra den genomsnittliga handläggningstiden b</w:t>
      </w:r>
      <w:r w:rsidRPr="00EE1E0C">
        <w:t>e</w:t>
      </w:r>
      <w:r w:rsidRPr="00EE1E0C">
        <w:t>tydligt längre. Dessa ärenden hade redan vid undersökningstillfället i mitten av augusti handlagts i mer än sju månader. De avslutade ärendena utreddes i ca 100 dagar av polisen oberoende av om ärendet läggs ned eller överlämnas till åklagaren. Revisorerna menar att handläggningstiden för ärenden med en skäl</w:t>
      </w:r>
      <w:r w:rsidRPr="00EE1E0C">
        <w:t>i</w:t>
      </w:r>
      <w:r w:rsidRPr="00EE1E0C">
        <w:t>gen misstänkt är anmärkningsvärt lång.</w:t>
      </w:r>
    </w:p>
    <w:p w:rsidR="00031A3F" w:rsidRPr="00EE1E0C" w:rsidRDefault="00031A3F">
      <w:pPr>
        <w:pStyle w:val="Rubrik2"/>
      </w:pPr>
      <w:bookmarkStart w:id="325" w:name="_Toc466264244"/>
      <w:r w:rsidRPr="00EE1E0C">
        <w:t>Rättsväsendet</w:t>
      </w:r>
      <w:bookmarkEnd w:id="323"/>
      <w:bookmarkEnd w:id="324"/>
      <w:r w:rsidRPr="00EE1E0C">
        <w:t>s prestationer</w:t>
      </w:r>
      <w:bookmarkEnd w:id="325"/>
    </w:p>
    <w:p w:rsidR="00031A3F" w:rsidRPr="00EE1E0C" w:rsidRDefault="00031A3F">
      <w:r w:rsidRPr="00EE1E0C">
        <w:t>Polisens och åklagarnas prestationer kan bedömas på olika sätt. Resultaten beror på vilka prestationer man mäter. I Statskontorets utredning (1998:23) mäts polisens prestationer utifrån andel förundersökningsprotokoll som redovisas till åklagare, antal rapporter med anledning av trafikövervaknin</w:t>
      </w:r>
      <w:r w:rsidRPr="00EE1E0C">
        <w:t>g</w:t>
      </w:r>
      <w:r w:rsidRPr="00EE1E0C">
        <w:t>en, antal ingripanden med prioritet samt antal polismyndighetsärenden. För åklagarnas del mäts prestationerna utifrån misstänkta i fyra olika typer av mål, anhållanden samt häktningsframställningar. De prestationsmått som revisorerna valt är bl.a. handläggningstider, antal ärenden överlämnade till åklagare samt ärendens genomströmningstid genom hela rättsväsendet. B</w:t>
      </w:r>
      <w:r w:rsidRPr="00EE1E0C">
        <w:t>e</w:t>
      </w:r>
      <w:r w:rsidRPr="00EE1E0C">
        <w:t>roende på att skilda prestationer har mätts har Riksdagens revisorer och Statskontoret kommit till olika resultat vad gäller polisens prestati</w:t>
      </w:r>
      <w:r w:rsidRPr="00EE1E0C">
        <w:t>onsutvec</w:t>
      </w:r>
      <w:r w:rsidRPr="00EE1E0C">
        <w:t>k</w:t>
      </w:r>
      <w:r w:rsidRPr="00EE1E0C">
        <w:t>ling. Det är därför svårt att jämföra de två undersökninga</w:t>
      </w:r>
      <w:r w:rsidRPr="00EE1E0C">
        <w:t>r</w:t>
      </w:r>
      <w:r w:rsidRPr="00EE1E0C">
        <w:t>na.</w:t>
      </w:r>
    </w:p>
    <w:p w:rsidR="00031A3F" w:rsidRPr="00EE1E0C" w:rsidRDefault="00031A3F">
      <w:pPr>
        <w:pStyle w:val="Normaltindrag"/>
      </w:pPr>
      <w:r w:rsidRPr="00EE1E0C">
        <w:t>De prestationer som revisorerna har granskat har försämrats under senare delen av 1990-talet. Antalet inkomna ärenden till polisen har varit relativt konstant. Trots det har polisens, åklagarnas och tingsrätternas prestationer vad gäller brottsutredningar och brottmål minskat. Antalet ärenden redovis</w:t>
      </w:r>
      <w:r w:rsidRPr="00EE1E0C">
        <w:t>a</w:t>
      </w:r>
      <w:r w:rsidRPr="00EE1E0C">
        <w:t>de till åklagaren från polisen minskade i samband med omorganisationerna och i anslutning till att polisen ålades besparingskrav. Minskningen av åkl</w:t>
      </w:r>
      <w:r w:rsidRPr="00EE1E0C">
        <w:t>a</w:t>
      </w:r>
      <w:r w:rsidRPr="00EE1E0C">
        <w:t>garnas prestationer i form av avslutade ärenden sammanfaller med tiden för åklagarnas omorganisation och med besparingskraven. Tingsrätternas pre</w:t>
      </w:r>
      <w:r w:rsidRPr="00EE1E0C">
        <w:t>s</w:t>
      </w:r>
      <w:r w:rsidRPr="00EE1E0C">
        <w:t xml:space="preserve">tation i form av avgjorda brottmål har ett samband med det sjunkande antalet inkomna ärenden från åklagarna. </w:t>
      </w:r>
    </w:p>
    <w:p w:rsidR="00031A3F" w:rsidRPr="00EE1E0C" w:rsidRDefault="00031A3F">
      <w:pPr>
        <w:pStyle w:val="Normaltindrag"/>
      </w:pPr>
      <w:r w:rsidRPr="00EE1E0C">
        <w:t>Sedan en statistikomläggning inom polisen finns inte längre möjlighet att jämföra antalet redovisade ärend</w:t>
      </w:r>
      <w:r w:rsidRPr="00EE1E0C">
        <w:t>en till åklagare mellan åren före och efter 1997. Revisorerna anser att det är en allvarlig brist att det inte är möjligt att jämföra uppgifterna mellan åren, i synnerhet då polisverksamheten geno</w:t>
      </w:r>
      <w:r w:rsidRPr="00EE1E0C">
        <w:t>m</w:t>
      </w:r>
      <w:r w:rsidRPr="00EE1E0C">
        <w:t>gått stora förändringar under samma tid.</w:t>
      </w:r>
    </w:p>
    <w:p w:rsidR="00031A3F" w:rsidRPr="00EE1E0C" w:rsidRDefault="00031A3F">
      <w:pPr>
        <w:pStyle w:val="Normaltindrag"/>
      </w:pPr>
      <w:r w:rsidRPr="00EE1E0C">
        <w:t>Revisorerna menar att det i och för sig inte är märkligt att prestationerna sjunker under ett övergångsskede. Däremot borde prestationerna efter den tid som förflutit sedan förändringarna genomfördes ha återgått till den nivå som uppnåddes tidigare eller förbättrats.</w:t>
      </w:r>
    </w:p>
    <w:p w:rsidR="00031A3F" w:rsidRPr="00EE1E0C" w:rsidRDefault="00031A3F">
      <w:pPr>
        <w:pStyle w:val="Normaltindrag"/>
      </w:pPr>
      <w:r w:rsidRPr="00EE1E0C">
        <w:t>Revisorerna har funnit att polisens och åklagarnas prestationer mäts i stort sett uteslutande i kvantitativa termer. Prestationsmåtten beskriver inte på ett entydigt sätt i vilken riktning verksamheten utvecklas. Det saknas kvalitet</w:t>
      </w:r>
      <w:r w:rsidRPr="00EE1E0C">
        <w:t>s</w:t>
      </w:r>
      <w:r w:rsidRPr="00EE1E0C">
        <w:t>mått i polisens resultatredovisning även om Rikspolisstyrelsens inspektioner kan betraktas som ett sätt att bedöma kvaliteten i polisens arbete. I resulta</w:t>
      </w:r>
      <w:r w:rsidRPr="00EE1E0C">
        <w:t>t</w:t>
      </w:r>
      <w:r w:rsidRPr="00EE1E0C">
        <w:t>modellen redovisas däremot polisens prestationer snarare än polisens resu</w:t>
      </w:r>
      <w:r w:rsidRPr="00EE1E0C">
        <w:t>l</w:t>
      </w:r>
      <w:r w:rsidRPr="00EE1E0C">
        <w:t>tat. Vidare saknas mått som belyser hur det problemorienterade arbetssättet fungerar. Inom åklagarväsendet jämförs rättstillämpningen mellan de olika myndigh</w:t>
      </w:r>
      <w:r w:rsidRPr="00EE1E0C">
        <w:t>e</w:t>
      </w:r>
      <w:r w:rsidRPr="00EE1E0C">
        <w:t>terna, något som också kan betraktas som ett mått på kvalitet.</w:t>
      </w:r>
    </w:p>
    <w:p w:rsidR="00031A3F" w:rsidRPr="00EE1E0C" w:rsidRDefault="00031A3F">
      <w:pPr>
        <w:pStyle w:val="Normaltindrag"/>
        <w:rPr>
          <w:i/>
        </w:rPr>
      </w:pPr>
      <w:r w:rsidRPr="00EE1E0C">
        <w:t xml:space="preserve">Revisorerna menar att det finns en risk att en koncentration </w:t>
      </w:r>
      <w:r w:rsidRPr="00EE1E0C">
        <w:t>på att redovisa kvantitativa mått kan innebära att redovisningen av verksamhetens kvalitet kommer i andra hand. Det finns risk för att rättssäkerhetsfrågorna inte up</w:t>
      </w:r>
      <w:r w:rsidRPr="00EE1E0C">
        <w:t>p</w:t>
      </w:r>
      <w:r w:rsidRPr="00EE1E0C">
        <w:t>märksammats tillräckligt eftersom det är svårt att redovisa rättssäkerhetens utveckling. Det har varit svårt att få en uppfattning om kvaliteten på polisens och åklagarnas arbete. En översyn av den samlade resultatredovisningen för rättsväsendet har påbörjats av Justitiedepartementet under våren 1999. Rev</w:t>
      </w:r>
      <w:r w:rsidRPr="00EE1E0C">
        <w:t>i</w:t>
      </w:r>
      <w:r w:rsidRPr="00EE1E0C">
        <w:t xml:space="preserve">sorerna vill understryka vikten av att </w:t>
      </w:r>
      <w:r w:rsidRPr="00EE1E0C">
        <w:t xml:space="preserve">kvalitetsmått tas fram. </w:t>
      </w:r>
    </w:p>
    <w:p w:rsidR="00031A3F" w:rsidRPr="00EE1E0C" w:rsidRDefault="00031A3F">
      <w:pPr>
        <w:pStyle w:val="Rubrik2"/>
      </w:pPr>
      <w:bookmarkStart w:id="326" w:name="_Toc449776283"/>
      <w:bookmarkStart w:id="327" w:name="_Toc449944788"/>
      <w:bookmarkStart w:id="328" w:name="_Toc466264245"/>
      <w:r w:rsidRPr="00EE1E0C">
        <w:t>Organisationens betydelse för prestationerna</w:t>
      </w:r>
      <w:bookmarkEnd w:id="326"/>
      <w:bookmarkEnd w:id="327"/>
      <w:bookmarkEnd w:id="328"/>
    </w:p>
    <w:p w:rsidR="00031A3F" w:rsidRPr="00EE1E0C" w:rsidRDefault="00031A3F">
      <w:r w:rsidRPr="00EE1E0C">
        <w:t>I granskningen presenteras statistik över anmälda och uppklarade brott i landet och i de län där revisorerna har granskat rättsväsendet. Den befintliga statistiken kompletteras av revisorernas egen undersökning om ett ärendes hantering inom polisen, åklagarna och domstolarna. Några entydiga skilln</w:t>
      </w:r>
      <w:r w:rsidRPr="00EE1E0C">
        <w:t>a</w:t>
      </w:r>
      <w:r w:rsidRPr="00EE1E0C">
        <w:t>der mellan länen kan inte utläsas av denna statistik. Revisorerna kan dock konstatera att både polisens och åklagarnas handläggningstider är långa, ober</w:t>
      </w:r>
      <w:r w:rsidRPr="00EE1E0C">
        <w:t>o</w:t>
      </w:r>
      <w:r w:rsidRPr="00EE1E0C">
        <w:t xml:space="preserve">ende av om ett ärende skrivs av eller inte. </w:t>
      </w:r>
    </w:p>
    <w:p w:rsidR="00031A3F" w:rsidRPr="00EE1E0C" w:rsidRDefault="00031A3F">
      <w:pPr>
        <w:pStyle w:val="Normaltindrag"/>
      </w:pPr>
      <w:r w:rsidRPr="00EE1E0C">
        <w:t>Sammantaget menar revisorerna att de skillnader i prestationer som uppv</w:t>
      </w:r>
      <w:r w:rsidRPr="00EE1E0C">
        <w:t>i</w:t>
      </w:r>
      <w:r w:rsidRPr="00EE1E0C">
        <w:t>sas mellan polis- och åklagarväsendet i de tre länen inte direkt går att härleda till vilken organisationsform som valts. Flera andra faktorer såsom ekon</w:t>
      </w:r>
      <w:r w:rsidRPr="00EE1E0C">
        <w:t>o</w:t>
      </w:r>
      <w:r w:rsidRPr="00EE1E0C">
        <w:t>miska resurser, brottslighetens art och den ursprungliga organisationen p</w:t>
      </w:r>
      <w:r w:rsidRPr="00EE1E0C">
        <w:t>å</w:t>
      </w:r>
      <w:r w:rsidRPr="00EE1E0C">
        <w:t>verkar prestationerna. Det finns därför inte någon möjlighet att utifrån resu</w:t>
      </w:r>
      <w:r w:rsidRPr="00EE1E0C">
        <w:t>l</w:t>
      </w:r>
      <w:r w:rsidRPr="00EE1E0C">
        <w:t>tatet av granskningen dra slutsatsen att en bestämd organisationsform är bättre än en annan. En mer ingående bedömning av organisationens betyde</w:t>
      </w:r>
      <w:r w:rsidRPr="00EE1E0C">
        <w:t>l</w:t>
      </w:r>
      <w:r w:rsidRPr="00EE1E0C">
        <w:t>se för prestationerna torde kräva en studie av forskningskar</w:t>
      </w:r>
      <w:r w:rsidRPr="00EE1E0C">
        <w:t xml:space="preserve">aktär under en längre tid. </w:t>
      </w:r>
    </w:p>
    <w:p w:rsidR="00031A3F" w:rsidRPr="00EE1E0C" w:rsidRDefault="00031A3F">
      <w:pPr>
        <w:pStyle w:val="Rubrik2"/>
      </w:pPr>
      <w:bookmarkStart w:id="329" w:name="_Toc449776284"/>
      <w:bookmarkStart w:id="330" w:name="_Toc449944789"/>
      <w:bookmarkStart w:id="331" w:name="_Toc466264246"/>
      <w:r w:rsidRPr="00EE1E0C">
        <w:t>Rättsväsendets samverkansformer</w:t>
      </w:r>
      <w:bookmarkEnd w:id="329"/>
      <w:bookmarkEnd w:id="330"/>
      <w:bookmarkEnd w:id="331"/>
    </w:p>
    <w:p w:rsidR="00031A3F" w:rsidRPr="00EE1E0C" w:rsidRDefault="00031A3F">
      <w:r w:rsidRPr="00EE1E0C">
        <w:t>Polis, åklagare och tingsrätt har olika roller i rättsväsendet. Därför är det viktigt att verksamheten bedrivs i skilda organisationer. Samtidigt måste rättsväsendets myndigheter samverka. Detta är nödvändigt för att påskynda handläggningen och hålla kostnaderna nere. Häktenas placering är också viktig av samma skäl.</w:t>
      </w:r>
    </w:p>
    <w:p w:rsidR="00031A3F" w:rsidRPr="00EE1E0C" w:rsidRDefault="00031A3F">
      <w:pPr>
        <w:pStyle w:val="Rubrik3"/>
      </w:pPr>
      <w:bookmarkStart w:id="332" w:name="_Toc449776285"/>
      <w:bookmarkStart w:id="333" w:name="_Toc449944790"/>
      <w:bookmarkStart w:id="334" w:name="_Toc454180282"/>
      <w:bookmarkStart w:id="335" w:name="_Toc466264247"/>
      <w:r w:rsidRPr="00EE1E0C">
        <w:t>Samarbetet mellan polis och åklagare</w:t>
      </w:r>
      <w:bookmarkEnd w:id="332"/>
      <w:bookmarkEnd w:id="333"/>
      <w:bookmarkEnd w:id="334"/>
      <w:bookmarkEnd w:id="335"/>
    </w:p>
    <w:p w:rsidR="00031A3F" w:rsidRPr="00EE1E0C" w:rsidRDefault="00031A3F">
      <w:r w:rsidRPr="00EE1E0C">
        <w:t>Utredningsverksamheten är mer decentraliserad sedan närpolisreformen genomfördes. De många nya utredarna har fått stöd från åklagarna för att klara sina nya uppgifter. Enligt vad som framkommit i granskningen har mentorssystemet visat sig vara bra även för att kompensera för det geografi</w:t>
      </w:r>
      <w:r w:rsidRPr="00EE1E0C">
        <w:t>s</w:t>
      </w:r>
      <w:r w:rsidRPr="00EE1E0C">
        <w:t>ka avstånd som uppstått mellan polis och åklagare genom åklagarnas omo</w:t>
      </w:r>
      <w:r w:rsidRPr="00EE1E0C">
        <w:t>r</w:t>
      </w:r>
      <w:r w:rsidRPr="00EE1E0C">
        <w:t>ganisation. Såväl polis som åklagare menar att systemet med mentorer fung</w:t>
      </w:r>
      <w:r w:rsidRPr="00EE1E0C">
        <w:t>e</w:t>
      </w:r>
      <w:r w:rsidRPr="00EE1E0C">
        <w:t>rar bra, även om åklagarna menar att det tar mycket tid från annan verksa</w:t>
      </w:r>
      <w:r w:rsidRPr="00EE1E0C">
        <w:t>m</w:t>
      </w:r>
      <w:r w:rsidRPr="00EE1E0C">
        <w:t>het. Man menar dock att arbetet man lägger ner lönar sig på sikt då polise</w:t>
      </w:r>
      <w:r w:rsidRPr="00EE1E0C">
        <w:t>r</w:t>
      </w:r>
      <w:r w:rsidRPr="00EE1E0C">
        <w:t>nas utredningar förbättras. Åklagarnas eget arbete underlättas därmed. I granskningen har framkommit att såväl vissa poliser som vissa åklagare saknar den dagliga kontakten med varandra. Andra poliser och åklagare men</w:t>
      </w:r>
      <w:r w:rsidRPr="00EE1E0C">
        <w:t>ar att samarbetet har blivit mer strukturerat då åklagaren besöker polisen med viss regelbundenhet. Praktiska problem, såsom svårigheter att själv kunna titta på beslagtaget gods, fra</w:t>
      </w:r>
      <w:r w:rsidRPr="00EE1E0C">
        <w:t>m</w:t>
      </w:r>
      <w:r w:rsidRPr="00EE1E0C">
        <w:t xml:space="preserve">hålls av vissa åklagare. </w:t>
      </w:r>
    </w:p>
    <w:p w:rsidR="00031A3F" w:rsidRPr="00EE1E0C" w:rsidRDefault="00031A3F">
      <w:pPr>
        <w:pStyle w:val="Normaltindrag"/>
      </w:pPr>
      <w:r w:rsidRPr="00EE1E0C">
        <w:t xml:space="preserve">Revisorerna menar att mycket i granskningen tyder på att polisen och åklagarna på ett bra sätt har anpassat sitt arbetssätt och samarbete till den nya organisationen. </w:t>
      </w:r>
    </w:p>
    <w:p w:rsidR="00031A3F" w:rsidRPr="00EE1E0C" w:rsidRDefault="00031A3F">
      <w:pPr>
        <w:pStyle w:val="Rubrik3"/>
      </w:pPr>
      <w:bookmarkStart w:id="336" w:name="_Toc449776286"/>
      <w:bookmarkStart w:id="337" w:name="_Toc449944791"/>
      <w:bookmarkStart w:id="338" w:name="_Toc454180283"/>
      <w:bookmarkStart w:id="339" w:name="_Toc466264248"/>
      <w:r w:rsidRPr="00EE1E0C">
        <w:t>Samarbetet mellan åklagare och domstol</w:t>
      </w:r>
      <w:bookmarkEnd w:id="336"/>
      <w:bookmarkEnd w:id="337"/>
      <w:bookmarkEnd w:id="338"/>
      <w:bookmarkEnd w:id="339"/>
    </w:p>
    <w:p w:rsidR="00031A3F" w:rsidRPr="00EE1E0C" w:rsidRDefault="00031A3F">
      <w:r w:rsidRPr="00EE1E0C">
        <w:t>I granskningen har framkommit att många åklagare anser att det är tidsöda</w:t>
      </w:r>
      <w:r w:rsidRPr="00EE1E0C">
        <w:t>n</w:t>
      </w:r>
      <w:r w:rsidRPr="00EE1E0C">
        <w:t xml:space="preserve">de att resa till omkringliggande tingsrätter för att delta vid förhandlingar. Åklagarnas strävan att minska antalet resor innebär också ofta att de tar varandras mål vid huvudförhandlingarna. </w:t>
      </w:r>
    </w:p>
    <w:p w:rsidR="00031A3F" w:rsidRPr="00EE1E0C" w:rsidRDefault="00031A3F">
      <w:pPr>
        <w:pStyle w:val="Normaltindrag"/>
      </w:pPr>
      <w:r w:rsidRPr="00EE1E0C">
        <w:t xml:space="preserve">I granskningen har framkommit kritik mot att åklagarna inte har sina egna mål i tingsrätten. Kritiken har framförts av domare och av åklagare. </w:t>
      </w:r>
    </w:p>
    <w:p w:rsidR="00031A3F" w:rsidRPr="00EE1E0C" w:rsidRDefault="00031A3F">
      <w:pPr>
        <w:pStyle w:val="Normaltindrag"/>
        <w:rPr>
          <w:i/>
        </w:rPr>
      </w:pPr>
      <w:r w:rsidRPr="00EE1E0C">
        <w:t xml:space="preserve">I granskningen har också framkommit att samarbetet mellan åklagarna och tingsrätterna när det gäller att planera förhandlingsdagar och tider för åklagarbundna mål inte alltid fungerar. </w:t>
      </w:r>
    </w:p>
    <w:p w:rsidR="00031A3F" w:rsidRPr="00EE1E0C" w:rsidRDefault="00031A3F">
      <w:pPr>
        <w:pStyle w:val="Rubrik3"/>
      </w:pPr>
      <w:bookmarkStart w:id="340" w:name="_Toc449776287"/>
      <w:bookmarkStart w:id="341" w:name="_Toc449944792"/>
      <w:bookmarkStart w:id="342" w:name="_Toc454180284"/>
      <w:bookmarkStart w:id="343" w:name="_Toc466264249"/>
      <w:r w:rsidRPr="00EE1E0C">
        <w:t>Placeringen av tingsrätter och häkten</w:t>
      </w:r>
      <w:bookmarkEnd w:id="340"/>
      <w:bookmarkEnd w:id="341"/>
      <w:bookmarkEnd w:id="342"/>
      <w:bookmarkEnd w:id="343"/>
    </w:p>
    <w:p w:rsidR="00031A3F" w:rsidRPr="00EE1E0C" w:rsidRDefault="00031A3F">
      <w:r w:rsidRPr="00EE1E0C">
        <w:t>Tingsrätternas placering har störst betydelse för åklagarna. Många åklagare anser att de ägnar alltför stor del av sin tid till resor. I granskningen har framkommit att kamrar som arbetar mot många tingsrätter måste ägna tid åt att planera åklagarnas fö</w:t>
      </w:r>
      <w:r w:rsidRPr="00EE1E0C">
        <w:t>r</w:t>
      </w:r>
      <w:r w:rsidRPr="00EE1E0C">
        <w:t>handlingsdagar.</w:t>
      </w:r>
    </w:p>
    <w:p w:rsidR="00031A3F" w:rsidRPr="00EE1E0C" w:rsidRDefault="00031A3F">
      <w:pPr>
        <w:pStyle w:val="Normaltindrag"/>
      </w:pPr>
      <w:r w:rsidRPr="00EE1E0C">
        <w:t>Revisorerna menar att tingsrätterna tillsammans med åklagarkamrarna bör planera sin verksamhet så att antalet resor för åklagarna blir så få som mö</w:t>
      </w:r>
      <w:r w:rsidRPr="00EE1E0C">
        <w:t>j</w:t>
      </w:r>
      <w:r w:rsidRPr="00EE1E0C">
        <w:t>ligt.</w:t>
      </w:r>
    </w:p>
    <w:p w:rsidR="00031A3F" w:rsidRPr="00EE1E0C" w:rsidRDefault="00031A3F">
      <w:pPr>
        <w:pStyle w:val="Normaltindrag"/>
      </w:pPr>
      <w:r w:rsidRPr="00EE1E0C">
        <w:t>Revisorerna har i en tidigare rapport om häktesnedläggningen i Östersund (1997/98:7) konstaterat att nedläggningen av häktet innebar en besparing för kriminalvården, främst till följd av att det fanns överkapacitet vid häktena i Östersund och Härnösand. Nedläggningen har dock lett till ökade kostnader för bl.a. resor och arrestbevakning för polisen. Revisorerna konstaterade vidare att det för de häktade från Östersund vid häktet i Härnösand fanns risk för sämre kontakt med advokat och anhöriga. Revis</w:t>
      </w:r>
      <w:r w:rsidRPr="00EE1E0C">
        <w:t>orerna menade i rappo</w:t>
      </w:r>
      <w:r w:rsidRPr="00EE1E0C">
        <w:t>r</w:t>
      </w:r>
      <w:r w:rsidRPr="00EE1E0C">
        <w:t>ten att det förelåg risk för sämre förundersökningar då den häktade inte b</w:t>
      </w:r>
      <w:r w:rsidRPr="00EE1E0C">
        <w:t>e</w:t>
      </w:r>
      <w:r w:rsidRPr="00EE1E0C">
        <w:t>fann sig på utredningso</w:t>
      </w:r>
      <w:r w:rsidRPr="00EE1E0C">
        <w:t>r</w:t>
      </w:r>
      <w:r w:rsidRPr="00EE1E0C">
        <w:t xml:space="preserve">ten. </w:t>
      </w:r>
    </w:p>
    <w:p w:rsidR="00031A3F" w:rsidRPr="00EE1E0C" w:rsidRDefault="00031A3F">
      <w:pPr>
        <w:pStyle w:val="Normaltindrag"/>
      </w:pPr>
      <w:r w:rsidRPr="00EE1E0C">
        <w:t>Remissinstanserna instämde i olika utsträckning i revisorernas slutsatser. Överåklagaren i Sundsvall menar att det är svårt att bedöma det som fra</w:t>
      </w:r>
      <w:r w:rsidRPr="00EE1E0C">
        <w:t>m</w:t>
      </w:r>
      <w:r w:rsidRPr="00EE1E0C">
        <w:t>förs i rapporten vad beträffar utredningsarbetet och åklagararbetet. Riksåkl</w:t>
      </w:r>
      <w:r w:rsidRPr="00EE1E0C">
        <w:t>a</w:t>
      </w:r>
      <w:r w:rsidRPr="00EE1E0C">
        <w:t xml:space="preserve">garen menar dock att det från åklagarsynpunkt är en fördel om häktena finns på de orter där åklagarverksamhet bedrivs. Kriminalvårdens regionkansli i Härnösand angav att häktesverksamheten i regionen anpassats till de nya förhållandena efter det att häktet lagts ned. </w:t>
      </w:r>
    </w:p>
    <w:p w:rsidR="00031A3F" w:rsidRPr="00EE1E0C" w:rsidRDefault="00031A3F">
      <w:pPr>
        <w:pStyle w:val="Rubrik2"/>
      </w:pPr>
      <w:bookmarkStart w:id="344" w:name="_Toc449776288"/>
      <w:bookmarkStart w:id="345" w:name="_Toc449944793"/>
      <w:bookmarkStart w:id="346" w:name="_Toc466264250"/>
      <w:r w:rsidRPr="00EE1E0C">
        <w:t>Revisorernas förslag</w:t>
      </w:r>
      <w:bookmarkEnd w:id="344"/>
      <w:bookmarkEnd w:id="345"/>
      <w:bookmarkEnd w:id="346"/>
    </w:p>
    <w:p w:rsidR="00031A3F" w:rsidRPr="00EE1E0C" w:rsidRDefault="00031A3F">
      <w:r w:rsidRPr="00EE1E0C">
        <w:t>Revisorernas förslag handlar främst om hur polisens och åklagarnas föru</w:t>
      </w:r>
      <w:r w:rsidRPr="00EE1E0C">
        <w:t>n</w:t>
      </w:r>
      <w:r w:rsidRPr="00EE1E0C">
        <w:t>dersökningsarbete kan förbättras genom en koncentration av utredningsa</w:t>
      </w:r>
      <w:r w:rsidRPr="00EE1E0C">
        <w:t>r</w:t>
      </w:r>
      <w:r w:rsidRPr="00EE1E0C">
        <w:t>betet, bättre utbildning och ökad tillsyn. Vidare föreslås en utveckling av det problemorienterade arbetssättet och en översyn av åklagarnas arbetsformer.</w:t>
      </w:r>
    </w:p>
    <w:p w:rsidR="00031A3F" w:rsidRPr="00EE1E0C" w:rsidRDefault="00031A3F">
      <w:pPr>
        <w:pStyle w:val="Rubrik3"/>
      </w:pPr>
      <w:bookmarkStart w:id="347" w:name="_Toc449944794"/>
      <w:bookmarkStart w:id="348" w:name="_Toc454180286"/>
      <w:bookmarkStart w:id="349" w:name="_Toc466264251"/>
      <w:r w:rsidRPr="00EE1E0C">
        <w:t>Förbättra möjligheterna att följa rättsväsendets ekonomiska utveckling</w:t>
      </w:r>
      <w:bookmarkEnd w:id="347"/>
      <w:bookmarkEnd w:id="348"/>
      <w:bookmarkEnd w:id="349"/>
    </w:p>
    <w:p w:rsidR="00031A3F" w:rsidRPr="00EE1E0C" w:rsidRDefault="00031A3F">
      <w:r w:rsidRPr="00EE1E0C">
        <w:t>Revisorerna har konstaterat att det i regeringens budgetpropositioner saknas längre tidsserier som gör det möjligt för riksdagen att få en översiktlig bild av den ekonomiska utvecklingen inom rättsväsendet. Sådana tidsserier är enligt revisorernas mening nödvändiga för att riksdagen skall kunna göra en riktig bedömning av rättsväsendets kostnadsutveckling.</w:t>
      </w:r>
    </w:p>
    <w:p w:rsidR="00031A3F" w:rsidRPr="00EE1E0C" w:rsidRDefault="00031A3F">
      <w:pPr>
        <w:pStyle w:val="Normaltindrag"/>
      </w:pPr>
      <w:r w:rsidRPr="00EE1E0C">
        <w:t>Revisorerna föreslår att regeringen i kommande budgetpropositioner red</w:t>
      </w:r>
      <w:r w:rsidRPr="00EE1E0C">
        <w:t>o</w:t>
      </w:r>
      <w:r w:rsidRPr="00EE1E0C">
        <w:t>gör för hur rättsväsendets utgifter med uppdelning på de olika anslagen inom u</w:t>
      </w:r>
      <w:r w:rsidRPr="00EE1E0C">
        <w:t>t</w:t>
      </w:r>
      <w:r w:rsidRPr="00EE1E0C">
        <w:t xml:space="preserve">giftsområdet utvecklats under de senaste tio åren.  </w:t>
      </w:r>
    </w:p>
    <w:p w:rsidR="00031A3F" w:rsidRPr="00EE1E0C" w:rsidRDefault="00031A3F">
      <w:pPr>
        <w:pStyle w:val="Rubrik3"/>
      </w:pPr>
      <w:bookmarkStart w:id="350" w:name="_Toc449776289"/>
      <w:bookmarkStart w:id="351" w:name="_Toc454180287"/>
      <w:bookmarkStart w:id="352" w:name="_Toc466264252"/>
      <w:r w:rsidRPr="00EE1E0C">
        <w:t xml:space="preserve">Specialisering </w:t>
      </w:r>
      <w:bookmarkEnd w:id="350"/>
      <w:r w:rsidRPr="00EE1E0C">
        <w:t>och förstärkt utbildning</w:t>
      </w:r>
      <w:bookmarkEnd w:id="351"/>
      <w:bookmarkEnd w:id="352"/>
    </w:p>
    <w:p w:rsidR="00031A3F" w:rsidRPr="00EE1E0C" w:rsidRDefault="00031A3F">
      <w:r w:rsidRPr="00EE1E0C">
        <w:t>Revisorerna menar att det är viktigt att utredningsverksamhet bedrivs även inom närpolisområdet. Det är också viktigt att utredningsarbetet bedrivs på ett så effektivt sätt som möjligt. För att utredningsarbetet skall bedrivas e</w:t>
      </w:r>
      <w:r w:rsidRPr="00EE1E0C">
        <w:t>f</w:t>
      </w:r>
      <w:r w:rsidRPr="00EE1E0C">
        <w:t>fektivt krävs erfarenhet, utbildning och analysförm</w:t>
      </w:r>
      <w:r w:rsidRPr="00EE1E0C">
        <w:t>å</w:t>
      </w:r>
      <w:r w:rsidRPr="00EE1E0C">
        <w:t xml:space="preserve">ga. </w:t>
      </w:r>
    </w:p>
    <w:p w:rsidR="00031A3F" w:rsidRPr="00EE1E0C" w:rsidRDefault="00031A3F">
      <w:pPr>
        <w:pStyle w:val="Normaltindrag"/>
      </w:pPr>
      <w:r w:rsidRPr="00EE1E0C">
        <w:t>Revisorerna föreslår att utredningsarbetet specialiseras inom närpoliso</w:t>
      </w:r>
      <w:r w:rsidRPr="00EE1E0C">
        <w:t>m</w:t>
      </w:r>
      <w:r w:rsidRPr="00EE1E0C">
        <w:t xml:space="preserve">rådena. Om färre arbetar med utredningar och om specialisterna blir fler blir utredningsarbetet mer koncentrerat. Det skulle enligt revisorernas mening få till följd att utredningskvaliteten blir bättre och handläggningstiderna kortare. En sådan specialisering av utredningsverksamheten kan genomföras inom ramen för nuvarande organisation. </w:t>
      </w:r>
    </w:p>
    <w:p w:rsidR="00031A3F" w:rsidRPr="00EE1E0C" w:rsidRDefault="00031A3F">
      <w:pPr>
        <w:pStyle w:val="Normaltindrag"/>
      </w:pPr>
      <w:r w:rsidRPr="00EE1E0C">
        <w:t>Revisorerna föreslår också att utbildningen av de poliser som arbetar med brottsutredning förstärks. Fler poliser med intresse för speciella typer av brottsutredningar b</w:t>
      </w:r>
      <w:r w:rsidRPr="00EE1E0C">
        <w:t>ör efter några års tjänstgöring erbjudas särskild, kvalific</w:t>
      </w:r>
      <w:r w:rsidRPr="00EE1E0C">
        <w:t>e</w:t>
      </w:r>
      <w:r w:rsidRPr="00EE1E0C">
        <w:t>rad vidareutbildning, inkluderande handledning och pra</w:t>
      </w:r>
      <w:r w:rsidRPr="00EE1E0C">
        <w:t>k</w:t>
      </w:r>
      <w:r w:rsidRPr="00EE1E0C">
        <w:t xml:space="preserve">tik. </w:t>
      </w:r>
    </w:p>
    <w:p w:rsidR="00031A3F" w:rsidRPr="00EE1E0C" w:rsidRDefault="00031A3F">
      <w:pPr>
        <w:pStyle w:val="Rubrik3"/>
      </w:pPr>
      <w:bookmarkStart w:id="353" w:name="_Toc449776291"/>
      <w:bookmarkStart w:id="354" w:name="_Toc449944797"/>
      <w:bookmarkStart w:id="355" w:name="_Toc454180288"/>
      <w:bookmarkStart w:id="356" w:name="_Toc466264253"/>
      <w:r w:rsidRPr="00EE1E0C">
        <w:t>Förbättra tillsynen över förundersökningsarbetet</w:t>
      </w:r>
      <w:bookmarkEnd w:id="353"/>
      <w:bookmarkEnd w:id="354"/>
      <w:bookmarkEnd w:id="355"/>
      <w:bookmarkEnd w:id="356"/>
    </w:p>
    <w:p w:rsidR="00031A3F" w:rsidRPr="00EE1E0C" w:rsidRDefault="00031A3F">
      <w:r w:rsidRPr="00EE1E0C">
        <w:t>Revisorerna anser att den tillsyn som bedrivs av förundersökningsverksa</w:t>
      </w:r>
      <w:r w:rsidRPr="00EE1E0C">
        <w:t>m</w:t>
      </w:r>
      <w:r w:rsidRPr="00EE1E0C">
        <w:t xml:space="preserve">heten inte är tillräcklig. Polisens och åklagarnas utredningsverksamhet bör betraktas som en helhet när förundersökningsarbetet inspekteras. Revisorerna föreslår att tillsynen förstärks både över polisens förundersökningsarbete och åklagarnas förundersökningsledarskap. </w:t>
      </w:r>
    </w:p>
    <w:p w:rsidR="00031A3F" w:rsidRPr="00EE1E0C" w:rsidRDefault="00031A3F">
      <w:pPr>
        <w:pStyle w:val="Rubrik3"/>
      </w:pPr>
      <w:bookmarkStart w:id="357" w:name="_Toc449776292"/>
      <w:bookmarkStart w:id="358" w:name="_Toc454180289"/>
      <w:bookmarkStart w:id="359" w:name="_Toc466264254"/>
      <w:r w:rsidRPr="00EE1E0C">
        <w:t>Utveckla det problemorienterade arbetssättet</w:t>
      </w:r>
      <w:bookmarkEnd w:id="357"/>
      <w:bookmarkEnd w:id="358"/>
      <w:bookmarkEnd w:id="359"/>
      <w:r w:rsidRPr="00EE1E0C">
        <w:t xml:space="preserve"> </w:t>
      </w:r>
    </w:p>
    <w:p w:rsidR="00031A3F" w:rsidRPr="00EE1E0C" w:rsidRDefault="00031A3F">
      <w:r w:rsidRPr="00EE1E0C">
        <w:t>Det problemorienterade arbetssättet har i stort sett uteslutande kommit att förknippas med närpolisverksamhet. Enligt revisorernas uppfattning har detta försvårat arbetet med att introducera arbetssättet i den övriga verksamheten. Någon uppföljning av hur myndigheterna har introducerat det nya arbetssä</w:t>
      </w:r>
      <w:r w:rsidRPr="00EE1E0C">
        <w:t>t</w:t>
      </w:r>
      <w:r w:rsidRPr="00EE1E0C">
        <w:t>tet finns inte och någon jämförelse mellan polismyndigheterna är inte möjlig att göra utifrån resu</w:t>
      </w:r>
      <w:r w:rsidRPr="00EE1E0C">
        <w:t>l</w:t>
      </w:r>
      <w:r w:rsidRPr="00EE1E0C">
        <w:t>tatmodellen.</w:t>
      </w:r>
    </w:p>
    <w:p w:rsidR="00031A3F" w:rsidRPr="00EE1E0C" w:rsidRDefault="00031A3F">
      <w:pPr>
        <w:pStyle w:val="Normaltindrag"/>
      </w:pPr>
      <w:r w:rsidRPr="00EE1E0C">
        <w:t>Revisorerna menar att det är nödvändigt att samtliga poliser, oberoende av arbetsuppgifter och ålder, ges utbildning i det problemorienterade arbetssättet om detta skall kunna få någon praktisk effekt. Den information och unde</w:t>
      </w:r>
      <w:r w:rsidRPr="00EE1E0C">
        <w:t>r</w:t>
      </w:r>
      <w:r w:rsidRPr="00EE1E0C">
        <w:t>visning som givits om det problemorienterade arbetssättet har inte varit til</w:t>
      </w:r>
      <w:r w:rsidRPr="00EE1E0C">
        <w:t>l</w:t>
      </w:r>
      <w:r w:rsidRPr="00EE1E0C">
        <w:t xml:space="preserve">räcklig. </w:t>
      </w:r>
    </w:p>
    <w:p w:rsidR="00031A3F" w:rsidRPr="00EE1E0C" w:rsidRDefault="00031A3F">
      <w:pPr>
        <w:pStyle w:val="Rubrik3"/>
      </w:pPr>
      <w:bookmarkStart w:id="360" w:name="_Toc454180290"/>
      <w:bookmarkStart w:id="361" w:name="_Toc466264255"/>
      <w:r w:rsidRPr="00EE1E0C">
        <w:t>Se över åklagaras arbetsformer</w:t>
      </w:r>
      <w:bookmarkEnd w:id="360"/>
      <w:bookmarkEnd w:id="361"/>
    </w:p>
    <w:p w:rsidR="00031A3F" w:rsidRPr="00EE1E0C" w:rsidRDefault="00031A3F">
      <w:r w:rsidRPr="00EE1E0C">
        <w:t>I granskningen har framkommit synpunkter på hur ärenden fördelas mellan åklagarna inom kamrarna. Domarna menar att rättegångarna blir sämre g</w:t>
      </w:r>
      <w:r w:rsidRPr="00EE1E0C">
        <w:t>e</w:t>
      </w:r>
      <w:r w:rsidRPr="00EE1E0C">
        <w:t>nom att åklagarna inte har sina egna mål i tingsrätten. De menar också att åklagarna har dålig kännedom om förhållanden på orten. Åklagarna menar att deras arbete skulle underlättas om de följde sina egna mål till tingsrätten och att resorna till olika tingsrätter tar tid från egentligt åklagararbete.</w:t>
      </w:r>
    </w:p>
    <w:p w:rsidR="00031A3F" w:rsidRPr="00EE1E0C" w:rsidRDefault="00031A3F">
      <w:pPr>
        <w:pStyle w:val="Normaltindrag"/>
      </w:pPr>
      <w:r w:rsidRPr="00EE1E0C">
        <w:t>Revisorerna menar att kritiken är så allvarlig att åklagarnas arbetsformer bör ses över. Enligt revisorerna talar mycket för att åklagarna i större u</w:t>
      </w:r>
      <w:r w:rsidRPr="00EE1E0C">
        <w:t>t</w:t>
      </w:r>
      <w:r w:rsidRPr="00EE1E0C">
        <w:t xml:space="preserve">sträckning bör ha sina egna mål i tingsrätten. Möjligheten att åklagarna i större utsträckning arbetar mot vissa tingsrätter bör också övervägas. </w:t>
      </w:r>
    </w:p>
    <w:p w:rsidR="00031A3F" w:rsidRPr="00EE1E0C" w:rsidRDefault="00031A3F">
      <w:pPr>
        <w:pStyle w:val="Normaltindrag"/>
      </w:pPr>
      <w:r w:rsidRPr="00EE1E0C">
        <w:t xml:space="preserve">Revisorerna menar också att en vidgad administrativ samverkan mellan tingsrätter och åklagare är motiverad. Exempelvis bör förhandlingsdagar bestämmas av åklagarkamrarna och tingsrätterna gemensamt. </w:t>
      </w:r>
    </w:p>
    <w:p w:rsidR="00031A3F" w:rsidRPr="00EE1E0C" w:rsidRDefault="00031A3F">
      <w:pPr>
        <w:pStyle w:val="Normaltindrag"/>
      </w:pPr>
    </w:p>
    <w:p w:rsidR="00031A3F" w:rsidRPr="00EE1E0C" w:rsidRDefault="00031A3F">
      <w:pPr>
        <w:pStyle w:val="Rubrik1"/>
      </w:pPr>
      <w:r w:rsidRPr="00EE1E0C">
        <w:br w:type="page"/>
      </w:r>
      <w:bookmarkStart w:id="362" w:name="_Toc367677377"/>
      <w:bookmarkStart w:id="363" w:name="_Toc466264256"/>
      <w:r w:rsidRPr="00EE1E0C">
        <w:t>Referenser</w:t>
      </w:r>
      <w:bookmarkEnd w:id="362"/>
      <w:bookmarkEnd w:id="363"/>
    </w:p>
    <w:p w:rsidR="00031A3F" w:rsidRPr="00EE1E0C" w:rsidRDefault="00031A3F">
      <w:pPr>
        <w:pStyle w:val="Rubrik2"/>
      </w:pPr>
      <w:bookmarkStart w:id="364" w:name="_Toc466264257"/>
      <w:r w:rsidRPr="00EE1E0C">
        <w:t>Intervjuer</w:t>
      </w:r>
      <w:bookmarkEnd w:id="364"/>
    </w:p>
    <w:p w:rsidR="00031A3F" w:rsidRPr="00EE1E0C" w:rsidRDefault="00031A3F">
      <w:pPr>
        <w:rPr>
          <w:i/>
        </w:rPr>
      </w:pPr>
      <w:r w:rsidRPr="00EE1E0C">
        <w:rPr>
          <w:i/>
        </w:rPr>
        <w:t>Rikspolisstyrelsen</w:t>
      </w:r>
    </w:p>
    <w:p w:rsidR="00031A3F" w:rsidRPr="00EE1E0C" w:rsidRDefault="00031A3F">
      <w:r w:rsidRPr="00EE1E0C">
        <w:t>Jan Andersson, Björn Astborn, Lars Delleskog, Håkan Ekstrand, Ivar Erik</w:t>
      </w:r>
      <w:r w:rsidRPr="00EE1E0C">
        <w:t>s</w:t>
      </w:r>
      <w:r w:rsidRPr="00EE1E0C">
        <w:t>son, Sven-Åke Jonasson, Lennart Pettersson och Hans Rosenquist</w:t>
      </w:r>
    </w:p>
    <w:p w:rsidR="00031A3F" w:rsidRPr="00EE1E0C" w:rsidRDefault="00031A3F">
      <w:pPr>
        <w:rPr>
          <w:i/>
        </w:rPr>
      </w:pPr>
      <w:r w:rsidRPr="00EE1E0C">
        <w:rPr>
          <w:i/>
        </w:rPr>
        <w:t>Riksåklagaren</w:t>
      </w:r>
    </w:p>
    <w:p w:rsidR="00031A3F" w:rsidRPr="00EE1E0C" w:rsidRDefault="00031A3F">
      <w:r w:rsidRPr="00EE1E0C">
        <w:t>Ulf Arvidsson, Klas Bergenstrand, Lena Bergenstråhle, Bertil Metzger, Eva Nyhult</w:t>
      </w:r>
    </w:p>
    <w:p w:rsidR="00031A3F" w:rsidRPr="00EE1E0C" w:rsidRDefault="00031A3F">
      <w:pPr>
        <w:rPr>
          <w:i/>
        </w:rPr>
      </w:pPr>
      <w:r w:rsidRPr="00EE1E0C">
        <w:rPr>
          <w:i/>
        </w:rPr>
        <w:t>Polismyndigheten i Stockholm</w:t>
      </w:r>
    </w:p>
    <w:p w:rsidR="00031A3F" w:rsidRPr="00EE1E0C" w:rsidRDefault="00031A3F">
      <w:r w:rsidRPr="00EE1E0C">
        <w:t>Christian Agdur, Jan Bengtsson, Verner Berggren, Annelie Bergholm-Söder, Leila Birup, Kent Blenninger, Pierre de Bourg, Stefan Dahlhielm, Bengt Daniels, Monika Edebo, Gunno Gunnmo, Jan Henriksson, Bertil Jansson, Leif Johansson, Lars Lehman, Birgitta Lindgren, Lennart Lundin, Lars Ma</w:t>
      </w:r>
      <w:r w:rsidRPr="00EE1E0C">
        <w:t>r</w:t>
      </w:r>
      <w:r w:rsidRPr="00EE1E0C">
        <w:t>cus, Ann Martin, Lars-Ingvar Olsson, Sune Sandström, Rickard Sevelius och Karl-Axel Öst</w:t>
      </w:r>
    </w:p>
    <w:p w:rsidR="00031A3F" w:rsidRPr="00EE1E0C" w:rsidRDefault="00031A3F">
      <w:pPr>
        <w:rPr>
          <w:i/>
        </w:rPr>
      </w:pPr>
      <w:r w:rsidRPr="00EE1E0C">
        <w:rPr>
          <w:i/>
        </w:rPr>
        <w:t>Åklagarmyndigheten i Stockholm</w:t>
      </w:r>
    </w:p>
    <w:p w:rsidR="00031A3F" w:rsidRPr="00EE1E0C" w:rsidRDefault="00031A3F">
      <w:r w:rsidRPr="00EE1E0C">
        <w:t>Uno Hagelberg, Erik Hasselroth, Agneta Isborn, Lena Kastlund och Yngve Rusck</w:t>
      </w:r>
    </w:p>
    <w:p w:rsidR="00031A3F" w:rsidRPr="00EE1E0C" w:rsidRDefault="00031A3F">
      <w:pPr>
        <w:rPr>
          <w:i/>
        </w:rPr>
      </w:pPr>
      <w:r w:rsidRPr="00EE1E0C">
        <w:rPr>
          <w:i/>
        </w:rPr>
        <w:t>Polismyndigheten i Östergötland</w:t>
      </w:r>
    </w:p>
    <w:p w:rsidR="00031A3F" w:rsidRPr="00EE1E0C" w:rsidRDefault="00031A3F">
      <w:r w:rsidRPr="00EE1E0C">
        <w:t>Leif Blom, Lennart Djärv, Lars Engström, Björn Folkesson, Thommy H</w:t>
      </w:r>
      <w:r w:rsidRPr="00EE1E0C">
        <w:t>å</w:t>
      </w:r>
      <w:r w:rsidRPr="00EE1E0C">
        <w:t>kansson, Jan Jacobsson, Michael Kinnå, Jimmy Klar, Mats Löving, Stefan Mann, Sivert Malmsten, Kenneth Nilsson, Jan Nordlöf, Henry Ryding, Bengt Svensson och Leif Ternström</w:t>
      </w:r>
    </w:p>
    <w:p w:rsidR="00031A3F" w:rsidRPr="00EE1E0C" w:rsidRDefault="00031A3F">
      <w:pPr>
        <w:rPr>
          <w:i/>
        </w:rPr>
      </w:pPr>
      <w:r w:rsidRPr="00EE1E0C">
        <w:rPr>
          <w:i/>
        </w:rPr>
        <w:t>Åklagarmyndigheten i Linköping</w:t>
      </w:r>
    </w:p>
    <w:p w:rsidR="00031A3F" w:rsidRPr="00EE1E0C" w:rsidRDefault="00031A3F">
      <w:r w:rsidRPr="00EE1E0C">
        <w:t>Peter Claesson, Ulf Dighed, Ronny Gustafsson och Lisbeth Johansson</w:t>
      </w:r>
    </w:p>
    <w:p w:rsidR="00031A3F" w:rsidRPr="00EE1E0C" w:rsidRDefault="00031A3F">
      <w:pPr>
        <w:rPr>
          <w:i/>
        </w:rPr>
      </w:pPr>
      <w:r w:rsidRPr="00EE1E0C">
        <w:rPr>
          <w:i/>
        </w:rPr>
        <w:t>Polismyndigheten i Västernorrlands län</w:t>
      </w:r>
    </w:p>
    <w:p w:rsidR="00031A3F" w:rsidRPr="00EE1E0C" w:rsidRDefault="00031A3F">
      <w:r w:rsidRPr="00EE1E0C">
        <w:t>Tommy Bergman, Janne Brusell, Erik Bylund, Hans Erik Dalén, Ulf Ehn,   Sten-Olov Hellberg, Leif Hemmingsson, Maria Lindholm, Rune Lindström, Bengt Randevåg, Per Silverliden, Birgitta Wiklund, Jan Wiklund, Mariana Zetterberg och Ingmar Åström</w:t>
      </w:r>
    </w:p>
    <w:p w:rsidR="00031A3F" w:rsidRPr="00EE1E0C" w:rsidRDefault="00031A3F">
      <w:pPr>
        <w:rPr>
          <w:i/>
        </w:rPr>
      </w:pPr>
      <w:r w:rsidRPr="00EE1E0C">
        <w:rPr>
          <w:i/>
        </w:rPr>
        <w:t>Åklagarmyndigheten i Sundsvall</w:t>
      </w:r>
    </w:p>
    <w:p w:rsidR="00031A3F" w:rsidRPr="00EE1E0C" w:rsidRDefault="00031A3F">
      <w:r w:rsidRPr="00EE1E0C">
        <w:t>Björn Ericson, Lisa Ericsson och Curt Theander</w:t>
      </w:r>
    </w:p>
    <w:p w:rsidR="00031A3F" w:rsidRPr="00EE1E0C" w:rsidRDefault="00031A3F">
      <w:pPr>
        <w:rPr>
          <w:i/>
        </w:rPr>
      </w:pPr>
      <w:r w:rsidRPr="00EE1E0C">
        <w:rPr>
          <w:i/>
        </w:rPr>
        <w:t>Tingsrätter</w:t>
      </w:r>
    </w:p>
    <w:p w:rsidR="00031A3F" w:rsidRPr="00EE1E0C" w:rsidRDefault="00031A3F">
      <w:pPr>
        <w:pStyle w:val="Normaltindrag"/>
        <w:ind w:left="142" w:firstLine="28"/>
      </w:pPr>
      <w:r w:rsidRPr="00EE1E0C">
        <w:t xml:space="preserve">Anders Iacobeaus, Linköping </w:t>
      </w:r>
    </w:p>
    <w:p w:rsidR="00031A3F" w:rsidRPr="00EE1E0C" w:rsidRDefault="00031A3F">
      <w:pPr>
        <w:pStyle w:val="Normaltindrag"/>
        <w:ind w:left="142" w:firstLine="28"/>
      </w:pPr>
      <w:r w:rsidRPr="00EE1E0C">
        <w:t>Per Sundström, Motala</w:t>
      </w:r>
    </w:p>
    <w:p w:rsidR="00031A3F" w:rsidRPr="00EE1E0C" w:rsidRDefault="00031A3F">
      <w:pPr>
        <w:pStyle w:val="Normaltindrag"/>
        <w:ind w:left="142" w:firstLine="28"/>
      </w:pPr>
      <w:r w:rsidRPr="00EE1E0C">
        <w:br w:type="page"/>
        <w:t>KG Ekeberg, Norrtälje</w:t>
      </w:r>
    </w:p>
    <w:p w:rsidR="00031A3F" w:rsidRPr="00EE1E0C" w:rsidRDefault="00031A3F">
      <w:pPr>
        <w:pStyle w:val="Normaltindrag"/>
        <w:ind w:left="142" w:firstLine="28"/>
      </w:pPr>
      <w:r w:rsidRPr="00EE1E0C">
        <w:t xml:space="preserve">Lars Nordin, Norrtälje </w:t>
      </w:r>
    </w:p>
    <w:p w:rsidR="00031A3F" w:rsidRPr="00EE1E0C" w:rsidRDefault="00031A3F">
      <w:pPr>
        <w:pStyle w:val="Normaltindrag"/>
        <w:ind w:left="142" w:firstLine="28"/>
      </w:pPr>
      <w:r w:rsidRPr="00EE1E0C">
        <w:t>Rolf Hammar, Sund</w:t>
      </w:r>
      <w:r w:rsidRPr="00EE1E0C">
        <w:t>s</w:t>
      </w:r>
      <w:r w:rsidRPr="00EE1E0C">
        <w:t>vall</w:t>
      </w:r>
    </w:p>
    <w:p w:rsidR="00031A3F" w:rsidRPr="00EE1E0C" w:rsidRDefault="00031A3F">
      <w:pPr>
        <w:rPr>
          <w:i/>
        </w:rPr>
      </w:pPr>
      <w:r w:rsidRPr="00EE1E0C">
        <w:rPr>
          <w:i/>
        </w:rPr>
        <w:t>Övriga</w:t>
      </w:r>
    </w:p>
    <w:p w:rsidR="00031A3F" w:rsidRPr="00EE1E0C" w:rsidRDefault="00031A3F">
      <w:pPr>
        <w:pStyle w:val="Normaltindrag"/>
      </w:pPr>
      <w:r w:rsidRPr="00EE1E0C">
        <w:t>Mats Bremer, ordförande Mjölbys centrumförening</w:t>
      </w:r>
    </w:p>
    <w:p w:rsidR="00031A3F" w:rsidRPr="00EE1E0C" w:rsidRDefault="00031A3F">
      <w:pPr>
        <w:pStyle w:val="Normaltindrag"/>
      </w:pPr>
      <w:r w:rsidRPr="00EE1E0C">
        <w:t>Annicka Brickman, Justitiedepartementet</w:t>
      </w:r>
    </w:p>
    <w:p w:rsidR="00031A3F" w:rsidRPr="00EE1E0C" w:rsidRDefault="00031A3F">
      <w:pPr>
        <w:pStyle w:val="Normaltindrag"/>
      </w:pPr>
      <w:r w:rsidRPr="00EE1E0C">
        <w:t>Arvid Carlsson, utredningschef, Trygg-Hansa</w:t>
      </w:r>
    </w:p>
    <w:p w:rsidR="00031A3F" w:rsidRPr="00EE1E0C" w:rsidRDefault="00031A3F">
      <w:pPr>
        <w:pStyle w:val="Normaltindrag"/>
      </w:pPr>
      <w:r w:rsidRPr="00EE1E0C">
        <w:t>Stig Danielsson, pensionerad poliskommissarie</w:t>
      </w:r>
    </w:p>
    <w:p w:rsidR="00031A3F" w:rsidRPr="00EE1E0C" w:rsidRDefault="00031A3F">
      <w:pPr>
        <w:pStyle w:val="Normaltindrag"/>
      </w:pPr>
      <w:r w:rsidRPr="00EE1E0C">
        <w:t>Stig Eriksson, Länsstyrelsens inspektionsenhet i Stockholms län</w:t>
      </w:r>
    </w:p>
    <w:p w:rsidR="00031A3F" w:rsidRPr="00EE1E0C" w:rsidRDefault="00031A3F">
      <w:pPr>
        <w:pStyle w:val="Normaltindrag"/>
        <w:ind w:left="142" w:firstLine="28"/>
      </w:pPr>
      <w:r w:rsidRPr="00EE1E0C">
        <w:t xml:space="preserve">Henry Jansson, kommunchef, Mjölby kommun </w:t>
      </w:r>
    </w:p>
    <w:p w:rsidR="00031A3F" w:rsidRPr="00EE1E0C" w:rsidRDefault="00031A3F">
      <w:pPr>
        <w:pStyle w:val="Normaltindrag"/>
      </w:pPr>
      <w:r w:rsidRPr="00EE1E0C">
        <w:t xml:space="preserve">Jörgen Oscarsson (s), kommunalråd, Mjölby kommun </w:t>
      </w:r>
    </w:p>
    <w:p w:rsidR="00031A3F" w:rsidRPr="00EE1E0C" w:rsidRDefault="00031A3F">
      <w:pPr>
        <w:pStyle w:val="Normaltindrag"/>
      </w:pPr>
      <w:r w:rsidRPr="00EE1E0C">
        <w:t>Brita Swan, tidigare lagman vid Mjölby tingsrätt</w:t>
      </w:r>
    </w:p>
    <w:p w:rsidR="00031A3F" w:rsidRPr="00EE1E0C" w:rsidRDefault="00031A3F">
      <w:pPr>
        <w:pStyle w:val="Normaltindrag"/>
        <w:ind w:left="142" w:firstLine="28"/>
      </w:pPr>
      <w:r w:rsidRPr="00EE1E0C">
        <w:t>Anitha Wålberg, Brottso</w:t>
      </w:r>
      <w:r w:rsidRPr="00EE1E0C">
        <w:t>f</w:t>
      </w:r>
      <w:r w:rsidRPr="00EE1E0C">
        <w:t>ferjouren i Östergötlands län</w:t>
      </w:r>
    </w:p>
    <w:p w:rsidR="00031A3F" w:rsidRPr="00EE1E0C" w:rsidRDefault="00031A3F">
      <w:pPr>
        <w:pStyle w:val="Rubrik2"/>
      </w:pPr>
      <w:bookmarkStart w:id="365" w:name="_Toc466264258"/>
      <w:r w:rsidRPr="00EE1E0C">
        <w:t>Litteratur och annat skriftligt material</w:t>
      </w:r>
      <w:bookmarkEnd w:id="365"/>
    </w:p>
    <w:p w:rsidR="00031A3F" w:rsidRPr="00EE1E0C" w:rsidRDefault="00031A3F">
      <w:pPr>
        <w:rPr>
          <w:i/>
        </w:rPr>
      </w:pPr>
      <w:r w:rsidRPr="00EE1E0C">
        <w:t xml:space="preserve">Arbetsgruppen för ny grundutbildning för poliser, (1997) </w:t>
      </w:r>
      <w:r w:rsidRPr="00EE1E0C">
        <w:rPr>
          <w:i/>
        </w:rPr>
        <w:t>Ny grundutbildning för poliser 1997-05-30.</w:t>
      </w:r>
    </w:p>
    <w:p w:rsidR="00031A3F" w:rsidRPr="00EE1E0C" w:rsidRDefault="00031A3F">
      <w:r w:rsidRPr="00EE1E0C">
        <w:t xml:space="preserve">Bauer, </w:t>
      </w:r>
      <w:r w:rsidRPr="00EE1E0C">
        <w:rPr>
          <w:i/>
        </w:rPr>
        <w:t>Åklagarreformen 1996 – en utvärdering</w:t>
      </w:r>
      <w:r w:rsidRPr="00EE1E0C">
        <w:t>, (Stencil, 1998).</w:t>
      </w:r>
    </w:p>
    <w:p w:rsidR="00031A3F" w:rsidRPr="00EE1E0C" w:rsidRDefault="00031A3F">
      <w:r w:rsidRPr="00EE1E0C">
        <w:t>Brottsförebyggande rådet:</w:t>
      </w:r>
    </w:p>
    <w:p w:rsidR="00031A3F" w:rsidRPr="00EE1E0C" w:rsidRDefault="00031A3F">
      <w:pPr>
        <w:pStyle w:val="Normaltindrag"/>
      </w:pPr>
      <w:r w:rsidRPr="00EE1E0C">
        <w:rPr>
          <w:i/>
        </w:rPr>
        <w:t>Konsten att läsa statistik om brott och brottslingar</w:t>
      </w:r>
      <w:r w:rsidRPr="00EE1E0C">
        <w:t xml:space="preserve"> (1993).</w:t>
      </w:r>
    </w:p>
    <w:p w:rsidR="00031A3F" w:rsidRPr="00EE1E0C" w:rsidRDefault="00031A3F">
      <w:pPr>
        <w:pStyle w:val="Normaltindrag"/>
      </w:pPr>
      <w:r w:rsidRPr="00EE1E0C">
        <w:rPr>
          <w:i/>
        </w:rPr>
        <w:t>Kriminalstatistik 1993</w:t>
      </w:r>
      <w:r w:rsidRPr="00EE1E0C">
        <w:t xml:space="preserve"> (1994).</w:t>
      </w:r>
    </w:p>
    <w:p w:rsidR="00031A3F" w:rsidRPr="00EE1E0C" w:rsidRDefault="00031A3F">
      <w:pPr>
        <w:pStyle w:val="Normaltindrag"/>
        <w:rPr>
          <w:i/>
        </w:rPr>
      </w:pPr>
      <w:r w:rsidRPr="00EE1E0C">
        <w:rPr>
          <w:i/>
        </w:rPr>
        <w:t>Kriminalstatistik 1994</w:t>
      </w:r>
      <w:r w:rsidRPr="00EE1E0C">
        <w:t xml:space="preserve"> (1995).</w:t>
      </w:r>
      <w:r w:rsidRPr="00EE1E0C">
        <w:rPr>
          <w:i/>
        </w:rPr>
        <w:t xml:space="preserve"> </w:t>
      </w:r>
    </w:p>
    <w:p w:rsidR="00031A3F" w:rsidRPr="00EE1E0C" w:rsidRDefault="00031A3F">
      <w:pPr>
        <w:pStyle w:val="Normaltindrag"/>
      </w:pPr>
      <w:r w:rsidRPr="00EE1E0C">
        <w:rPr>
          <w:i/>
        </w:rPr>
        <w:t>Kriminalstatistik 1995</w:t>
      </w:r>
      <w:r w:rsidRPr="00EE1E0C">
        <w:t xml:space="preserve"> (1996).</w:t>
      </w:r>
    </w:p>
    <w:p w:rsidR="00031A3F" w:rsidRPr="00EE1E0C" w:rsidRDefault="00031A3F">
      <w:pPr>
        <w:pStyle w:val="Normaltindrag"/>
      </w:pPr>
      <w:r w:rsidRPr="00EE1E0C">
        <w:rPr>
          <w:i/>
        </w:rPr>
        <w:t>Kriminalstatistik 1996</w:t>
      </w:r>
      <w:r w:rsidRPr="00EE1E0C">
        <w:t xml:space="preserve"> (1997) .</w:t>
      </w:r>
    </w:p>
    <w:p w:rsidR="00031A3F" w:rsidRPr="00EE1E0C" w:rsidRDefault="00031A3F">
      <w:pPr>
        <w:pStyle w:val="Normaltindrag"/>
      </w:pPr>
      <w:r w:rsidRPr="00EE1E0C">
        <w:rPr>
          <w:i/>
        </w:rPr>
        <w:t>Kriminalstatistik 1997</w:t>
      </w:r>
      <w:r w:rsidRPr="00EE1E0C">
        <w:t xml:space="preserve"> (1998).</w:t>
      </w:r>
    </w:p>
    <w:p w:rsidR="00031A3F" w:rsidRPr="00EE1E0C" w:rsidRDefault="00031A3F">
      <w:pPr>
        <w:spacing w:line="240" w:lineRule="auto"/>
      </w:pPr>
      <w:r w:rsidRPr="00EE1E0C">
        <w:t xml:space="preserve">Ds 1996:11 </w:t>
      </w:r>
      <w:r w:rsidRPr="00EE1E0C">
        <w:rPr>
          <w:i/>
        </w:rPr>
        <w:t>Rekrytering och grundutbildning av poliser</w:t>
      </w:r>
      <w:r w:rsidRPr="00EE1E0C">
        <w:t>. Justitiedeparteme</w:t>
      </w:r>
      <w:r w:rsidRPr="00EE1E0C">
        <w:t>n</w:t>
      </w:r>
      <w:r w:rsidRPr="00EE1E0C">
        <w:t>tet.</w:t>
      </w:r>
    </w:p>
    <w:p w:rsidR="00031A3F" w:rsidRPr="00EE1E0C" w:rsidRDefault="00031A3F">
      <w:pPr>
        <w:pStyle w:val="Normaltindrag"/>
        <w:ind w:firstLine="0"/>
      </w:pPr>
      <w:r w:rsidRPr="00EE1E0C">
        <w:t xml:space="preserve">Ds 1996:59 </w:t>
      </w:r>
      <w:r w:rsidRPr="00EE1E0C">
        <w:rPr>
          <w:i/>
        </w:rPr>
        <w:t>Allas vårt ansvar – ett nationellt brottsförebyggande program</w:t>
      </w:r>
      <w:r w:rsidRPr="00EE1E0C">
        <w:t>. Justitiedepartementet.</w:t>
      </w:r>
    </w:p>
    <w:p w:rsidR="00031A3F" w:rsidRPr="00EE1E0C" w:rsidRDefault="00031A3F">
      <w:pPr>
        <w:pStyle w:val="Normaltindrag"/>
        <w:ind w:firstLine="0"/>
      </w:pPr>
      <w:r w:rsidRPr="00EE1E0C">
        <w:t xml:space="preserve">Ds 1997:5 </w:t>
      </w:r>
      <w:r w:rsidRPr="00EE1E0C">
        <w:rPr>
          <w:i/>
        </w:rPr>
        <w:t>Vidareutbildning av poliser.</w:t>
      </w:r>
      <w:r w:rsidRPr="00EE1E0C">
        <w:t xml:space="preserve">  Justitiedepartementet.</w:t>
      </w:r>
    </w:p>
    <w:p w:rsidR="00031A3F" w:rsidRPr="00EE1E0C" w:rsidRDefault="00031A3F">
      <w:pPr>
        <w:pStyle w:val="Normaltindrag"/>
        <w:ind w:firstLine="0"/>
      </w:pPr>
      <w:r w:rsidRPr="00EE1E0C">
        <w:t xml:space="preserve">Ds 1998:50 </w:t>
      </w:r>
      <w:r w:rsidRPr="00EE1E0C">
        <w:rPr>
          <w:i/>
        </w:rPr>
        <w:t>Att se till eller titta på.</w:t>
      </w:r>
      <w:r w:rsidRPr="00EE1E0C">
        <w:t xml:space="preserve"> Finansdepartementet.</w:t>
      </w:r>
    </w:p>
    <w:p w:rsidR="00031A3F" w:rsidRPr="00EE1E0C" w:rsidRDefault="00031A3F">
      <w:r w:rsidRPr="00EE1E0C">
        <w:t xml:space="preserve">Domstolsverket </w:t>
      </w:r>
    </w:p>
    <w:p w:rsidR="00031A3F" w:rsidRPr="00EE1E0C" w:rsidRDefault="00031A3F">
      <w:pPr>
        <w:pStyle w:val="Normaltindrag"/>
        <w:rPr>
          <w:i/>
        </w:rPr>
      </w:pPr>
      <w:r w:rsidRPr="00EE1E0C">
        <w:rPr>
          <w:i/>
        </w:rPr>
        <w:t>Årsredovisning 1995/96.</w:t>
      </w:r>
    </w:p>
    <w:p w:rsidR="00031A3F" w:rsidRPr="00EE1E0C" w:rsidRDefault="00031A3F">
      <w:pPr>
        <w:pStyle w:val="Normaltindrag"/>
        <w:rPr>
          <w:i/>
        </w:rPr>
      </w:pPr>
      <w:r w:rsidRPr="00EE1E0C">
        <w:rPr>
          <w:i/>
        </w:rPr>
        <w:t>Årsredovisning 1997.</w:t>
      </w:r>
    </w:p>
    <w:p w:rsidR="00031A3F" w:rsidRPr="00EE1E0C" w:rsidRDefault="00031A3F">
      <w:pPr>
        <w:pStyle w:val="Normaltindrag"/>
        <w:rPr>
          <w:i/>
        </w:rPr>
      </w:pPr>
      <w:r w:rsidRPr="00EE1E0C">
        <w:rPr>
          <w:i/>
        </w:rPr>
        <w:t>Årsredovisning 1998.</w:t>
      </w:r>
    </w:p>
    <w:p w:rsidR="00031A3F" w:rsidRPr="00EE1E0C" w:rsidRDefault="00031A3F">
      <w:pPr>
        <w:rPr>
          <w:i/>
        </w:rPr>
      </w:pPr>
      <w:r w:rsidRPr="00EE1E0C">
        <w:t>Kriminalvårdsstyrelsen, (1998)</w:t>
      </w:r>
      <w:r w:rsidRPr="00EE1E0C">
        <w:rPr>
          <w:i/>
        </w:rPr>
        <w:t xml:space="preserve"> Kriminalvårdens årsredovisning 1997.</w:t>
      </w:r>
    </w:p>
    <w:p w:rsidR="00031A3F" w:rsidRPr="00EE1E0C" w:rsidRDefault="00031A3F">
      <w:r w:rsidRPr="00EE1E0C">
        <w:t>Länsstyrelsen i Stockholms län, (1996)</w:t>
      </w:r>
      <w:r w:rsidRPr="00EE1E0C">
        <w:rPr>
          <w:i/>
        </w:rPr>
        <w:t xml:space="preserve"> Inspektion City polismästardistrikt </w:t>
      </w:r>
      <w:r w:rsidRPr="00EE1E0C">
        <w:t>(1996 nr 33).</w:t>
      </w:r>
    </w:p>
    <w:p w:rsidR="00031A3F" w:rsidRPr="00EE1E0C" w:rsidRDefault="00031A3F">
      <w:r w:rsidRPr="00EE1E0C">
        <w:t xml:space="preserve">Länsstyrelsen i Stockholms län, (1998) </w:t>
      </w:r>
      <w:r w:rsidRPr="00EE1E0C">
        <w:rPr>
          <w:i/>
        </w:rPr>
        <w:t xml:space="preserve">Polisen i Stockholms län </w:t>
      </w:r>
      <w:r w:rsidRPr="00EE1E0C">
        <w:t>(1993:15).</w:t>
      </w:r>
    </w:p>
    <w:p w:rsidR="00031A3F" w:rsidRPr="00EE1E0C" w:rsidRDefault="00031A3F">
      <w:r w:rsidRPr="00EE1E0C">
        <w:t xml:space="preserve">Olsson, red. (1998) </w:t>
      </w:r>
      <w:r w:rsidRPr="00EE1E0C">
        <w:rPr>
          <w:i/>
        </w:rPr>
        <w:t>Konsten att läsa statistik om brott och brottslingar.</w:t>
      </w:r>
      <w:r w:rsidRPr="00EE1E0C">
        <w:t xml:space="preserve"> BRÅ 1998.</w:t>
      </w:r>
    </w:p>
    <w:p w:rsidR="00031A3F" w:rsidRPr="00EE1E0C" w:rsidRDefault="00031A3F">
      <w:r w:rsidRPr="00EE1E0C">
        <w:t>Olve, Roy och Wetter,</w:t>
      </w:r>
      <w:r w:rsidRPr="00EE1E0C">
        <w:rPr>
          <w:i/>
        </w:rPr>
        <w:t xml:space="preserve"> </w:t>
      </w:r>
      <w:r w:rsidRPr="00EE1E0C">
        <w:t>(1997)</w:t>
      </w:r>
      <w:r w:rsidRPr="00EE1E0C">
        <w:rPr>
          <w:i/>
        </w:rPr>
        <w:t xml:space="preserve"> Balanced scorecard i svensk praktik. </w:t>
      </w:r>
      <w:r w:rsidRPr="00EE1E0C">
        <w:t>Malmö: Liber ekonomi</w:t>
      </w:r>
    </w:p>
    <w:p w:rsidR="00031A3F" w:rsidRPr="00EE1E0C" w:rsidRDefault="00031A3F">
      <w:pPr>
        <w:rPr>
          <w:i/>
        </w:rPr>
      </w:pPr>
      <w:r w:rsidRPr="00EE1E0C">
        <w:t xml:space="preserve">Persson och Svanberg, (1998) </w:t>
      </w:r>
      <w:r w:rsidRPr="00EE1E0C">
        <w:rPr>
          <w:i/>
        </w:rPr>
        <w:t>Försäkringsbedrägerier.</w:t>
      </w:r>
    </w:p>
    <w:p w:rsidR="00031A3F" w:rsidRPr="00EE1E0C" w:rsidRDefault="00031A3F">
      <w:pPr>
        <w:rPr>
          <w:i/>
        </w:rPr>
      </w:pPr>
      <w:r w:rsidRPr="00EE1E0C">
        <w:t xml:space="preserve">Polisförbundet, (1998) </w:t>
      </w:r>
      <w:r w:rsidRPr="00EE1E0C">
        <w:rPr>
          <w:i/>
        </w:rPr>
        <w:t>Så har vi det på jobbet – En rapport om polisens arbetsmiljö.</w:t>
      </w:r>
    </w:p>
    <w:p w:rsidR="00031A3F" w:rsidRPr="00EE1E0C" w:rsidRDefault="00031A3F">
      <w:pPr>
        <w:rPr>
          <w:i/>
        </w:rPr>
      </w:pPr>
      <w:r w:rsidRPr="00EE1E0C">
        <w:t>Polishögskolan, (1998)</w:t>
      </w:r>
      <w:r w:rsidRPr="00EE1E0C">
        <w:rPr>
          <w:i/>
        </w:rPr>
        <w:t xml:space="preserve"> Studiehandbok Polisprogram, läsåret 1998/99</w:t>
      </w:r>
    </w:p>
    <w:p w:rsidR="00031A3F" w:rsidRPr="00EE1E0C" w:rsidRDefault="00031A3F">
      <w:r w:rsidRPr="00EE1E0C">
        <w:t>Riksdagens revisorer</w:t>
      </w:r>
    </w:p>
    <w:p w:rsidR="00031A3F" w:rsidRPr="00EE1E0C" w:rsidRDefault="00031A3F">
      <w:pPr>
        <w:pStyle w:val="Normaltindrag"/>
      </w:pPr>
      <w:r w:rsidRPr="00EE1E0C">
        <w:rPr>
          <w:i/>
        </w:rPr>
        <w:t xml:space="preserve">Förslag angående omstruktureringar i statsförvaltningen </w:t>
      </w:r>
      <w:r w:rsidRPr="00EE1E0C">
        <w:t>1992/93:RR3.</w:t>
      </w:r>
    </w:p>
    <w:p w:rsidR="00031A3F" w:rsidRPr="00EE1E0C" w:rsidRDefault="00031A3F">
      <w:pPr>
        <w:pStyle w:val="Normaltindrag"/>
      </w:pPr>
      <w:r w:rsidRPr="00EE1E0C">
        <w:rPr>
          <w:i/>
        </w:rPr>
        <w:t>Nedläggningen av häktet i Östersund</w:t>
      </w:r>
      <w:r w:rsidRPr="00EE1E0C">
        <w:t>. Rapport 1997/98:7.</w:t>
      </w:r>
    </w:p>
    <w:p w:rsidR="00031A3F" w:rsidRPr="00EE1E0C" w:rsidRDefault="00031A3F">
      <w:r w:rsidRPr="00EE1E0C">
        <w:t>Rikspolisstyrelsen</w:t>
      </w:r>
    </w:p>
    <w:p w:rsidR="00031A3F" w:rsidRPr="00EE1E0C" w:rsidRDefault="00031A3F">
      <w:pPr>
        <w:pStyle w:val="Normaltindrag"/>
        <w:ind w:left="284" w:hanging="114"/>
      </w:pPr>
      <w:r w:rsidRPr="00EE1E0C">
        <w:rPr>
          <w:i/>
        </w:rPr>
        <w:t>Fördelningsmodellen – en komplettering. Rapport i anledning av reg</w:t>
      </w:r>
      <w:r w:rsidRPr="00EE1E0C">
        <w:rPr>
          <w:i/>
        </w:rPr>
        <w:t>e</w:t>
      </w:r>
      <w:r w:rsidRPr="00EE1E0C">
        <w:rPr>
          <w:i/>
        </w:rPr>
        <w:t>ringsuppdrag.</w:t>
      </w:r>
      <w:r w:rsidRPr="00EE1E0C">
        <w:t xml:space="preserve"> RPS-rapport 1993:1 (1993).</w:t>
      </w:r>
    </w:p>
    <w:p w:rsidR="00031A3F" w:rsidRPr="00EE1E0C" w:rsidRDefault="00031A3F">
      <w:pPr>
        <w:pStyle w:val="Normaltindrag"/>
      </w:pPr>
      <w:r w:rsidRPr="00EE1E0C">
        <w:rPr>
          <w:i/>
        </w:rPr>
        <w:t xml:space="preserve">Polisväsendets årsredovisning 1994/95 </w:t>
      </w:r>
      <w:r w:rsidRPr="00EE1E0C">
        <w:t>(1995).</w:t>
      </w:r>
    </w:p>
    <w:p w:rsidR="00031A3F" w:rsidRPr="00EE1E0C" w:rsidRDefault="00031A3F">
      <w:pPr>
        <w:pStyle w:val="Normaltindrag"/>
      </w:pPr>
      <w:r w:rsidRPr="00EE1E0C">
        <w:rPr>
          <w:i/>
        </w:rPr>
        <w:t>Polisväsendets årsredovisning 1995/96</w:t>
      </w:r>
      <w:r w:rsidRPr="00EE1E0C">
        <w:t xml:space="preserve"> (1996).</w:t>
      </w:r>
    </w:p>
    <w:p w:rsidR="00031A3F" w:rsidRPr="00EE1E0C" w:rsidRDefault="00031A3F">
      <w:pPr>
        <w:pStyle w:val="Normaltindrag"/>
      </w:pPr>
      <w:r w:rsidRPr="00EE1E0C">
        <w:rPr>
          <w:i/>
        </w:rPr>
        <w:t>Polisväsendets årsredovisning 1997</w:t>
      </w:r>
      <w:r w:rsidRPr="00EE1E0C">
        <w:t xml:space="preserve"> (1998).</w:t>
      </w:r>
    </w:p>
    <w:p w:rsidR="00031A3F" w:rsidRPr="00EE1E0C" w:rsidRDefault="00031A3F">
      <w:pPr>
        <w:pStyle w:val="Normaltindrag"/>
      </w:pPr>
      <w:r w:rsidRPr="00EE1E0C">
        <w:rPr>
          <w:i/>
        </w:rPr>
        <w:t>Polisväsendets årsredovisning 1998</w:t>
      </w:r>
      <w:r w:rsidRPr="00EE1E0C">
        <w:t xml:space="preserve"> (1999).</w:t>
      </w:r>
    </w:p>
    <w:p w:rsidR="00031A3F" w:rsidRPr="00EE1E0C" w:rsidRDefault="00031A3F">
      <w:pPr>
        <w:pStyle w:val="Normaltindrag"/>
      </w:pPr>
      <w:r w:rsidRPr="00EE1E0C">
        <w:rPr>
          <w:i/>
        </w:rPr>
        <w:t>Resultatmodell för polisväsendet</w:t>
      </w:r>
      <w:r w:rsidRPr="00EE1E0C">
        <w:t xml:space="preserve"> (version 9 okt</w:t>
      </w:r>
      <w:r w:rsidRPr="00EE1E0C">
        <w:t>o</w:t>
      </w:r>
      <w:r w:rsidRPr="00EE1E0C">
        <w:t>ber 1996).</w:t>
      </w:r>
    </w:p>
    <w:p w:rsidR="00031A3F" w:rsidRPr="00EE1E0C" w:rsidRDefault="00031A3F">
      <w:pPr>
        <w:pStyle w:val="Normaltindrag"/>
        <w:ind w:left="284" w:hanging="114"/>
        <w:rPr>
          <w:i/>
        </w:rPr>
      </w:pPr>
      <w:r w:rsidRPr="00EE1E0C">
        <w:t>Arbetsgruppen mot våld, (1998)</w:t>
      </w:r>
      <w:r w:rsidRPr="00EE1E0C">
        <w:rPr>
          <w:i/>
        </w:rPr>
        <w:t xml:space="preserve"> Undersökning av polisens insatser en vanlig helg i mars 199 –1998.</w:t>
      </w:r>
    </w:p>
    <w:p w:rsidR="00031A3F" w:rsidRPr="00EE1E0C" w:rsidRDefault="00031A3F">
      <w:pPr>
        <w:pStyle w:val="Normaltindrag"/>
        <w:ind w:left="284" w:hanging="114"/>
        <w:rPr>
          <w:i/>
        </w:rPr>
      </w:pPr>
      <w:r w:rsidRPr="00EE1E0C">
        <w:t xml:space="preserve">Arbetsgruppen mot våld, (1999) </w:t>
      </w:r>
      <w:r w:rsidRPr="00EE1E0C">
        <w:rPr>
          <w:i/>
        </w:rPr>
        <w:t>Kartläggning av polisens personalinsa</w:t>
      </w:r>
      <w:r w:rsidRPr="00EE1E0C">
        <w:rPr>
          <w:i/>
        </w:rPr>
        <w:t>t</w:t>
      </w:r>
      <w:r w:rsidRPr="00EE1E0C">
        <w:rPr>
          <w:i/>
        </w:rPr>
        <w:t>ser natten mot lördagen den 20 mars och natten mot söndagen den 21 mars 1999.</w:t>
      </w:r>
    </w:p>
    <w:p w:rsidR="00031A3F" w:rsidRPr="00EE1E0C" w:rsidRDefault="00031A3F">
      <w:pPr>
        <w:pStyle w:val="Normaltindrag"/>
      </w:pPr>
      <w:r w:rsidRPr="00EE1E0C">
        <w:rPr>
          <w:i/>
        </w:rPr>
        <w:t>Chefsförsörjningen inom polisen</w:t>
      </w:r>
      <w:r w:rsidRPr="00EE1E0C">
        <w:t xml:space="preserve"> (1998).</w:t>
      </w:r>
    </w:p>
    <w:p w:rsidR="00031A3F" w:rsidRPr="00EE1E0C" w:rsidRDefault="00031A3F">
      <w:pPr>
        <w:pStyle w:val="Normaltindrag"/>
      </w:pPr>
      <w:r w:rsidRPr="00EE1E0C">
        <w:rPr>
          <w:i/>
        </w:rPr>
        <w:t xml:space="preserve">Verksamheten 1997 </w:t>
      </w:r>
      <w:r w:rsidRPr="00EE1E0C">
        <w:t xml:space="preserve"> (1997).</w:t>
      </w:r>
    </w:p>
    <w:p w:rsidR="00031A3F" w:rsidRPr="00EE1E0C" w:rsidRDefault="00031A3F">
      <w:pPr>
        <w:pStyle w:val="Normaltindrag"/>
        <w:ind w:left="284" w:hanging="114"/>
      </w:pPr>
      <w:r w:rsidRPr="00EE1E0C">
        <w:rPr>
          <w:i/>
        </w:rPr>
        <w:t>Slutredovisning av inom polisväsendet vidtagna åtgärder med anledning av Riksrevisionsverkets rapport (1996:94) Hinder för ett effektivare r</w:t>
      </w:r>
      <w:r w:rsidRPr="00EE1E0C">
        <w:rPr>
          <w:i/>
        </w:rPr>
        <w:t>e</w:t>
      </w:r>
      <w:r w:rsidRPr="00EE1E0C">
        <w:rPr>
          <w:i/>
        </w:rPr>
        <w:t>sur</w:t>
      </w:r>
      <w:r w:rsidRPr="00EE1E0C">
        <w:rPr>
          <w:i/>
        </w:rPr>
        <w:t>s</w:t>
      </w:r>
      <w:r w:rsidRPr="00EE1E0C">
        <w:rPr>
          <w:i/>
        </w:rPr>
        <w:t>utnyttjande</w:t>
      </w:r>
      <w:r w:rsidRPr="00EE1E0C">
        <w:t xml:space="preserve"> (1998).</w:t>
      </w:r>
    </w:p>
    <w:p w:rsidR="00031A3F" w:rsidRPr="00EE1E0C" w:rsidRDefault="00031A3F">
      <w:pPr>
        <w:pStyle w:val="Normaltindrag"/>
        <w:ind w:left="284" w:hanging="114"/>
        <w:rPr>
          <w:i/>
        </w:rPr>
      </w:pPr>
      <w:r w:rsidRPr="00EE1E0C">
        <w:t xml:space="preserve">Tillsyns- och inspektionsenheten (1997) </w:t>
      </w:r>
      <w:r w:rsidRPr="00EE1E0C">
        <w:rPr>
          <w:i/>
        </w:rPr>
        <w:t>Inspektion i 17 län. Närpolisver</w:t>
      </w:r>
      <w:r w:rsidRPr="00EE1E0C">
        <w:rPr>
          <w:i/>
        </w:rPr>
        <w:t>k</w:t>
      </w:r>
      <w:r w:rsidRPr="00EE1E0C">
        <w:rPr>
          <w:i/>
        </w:rPr>
        <w:t>samhet och insatser mot våldsbrottsligheten. Mars 1995–1997.</w:t>
      </w:r>
    </w:p>
    <w:p w:rsidR="00031A3F" w:rsidRPr="00EE1E0C" w:rsidRDefault="00031A3F">
      <w:pPr>
        <w:pStyle w:val="Normaltindrag"/>
        <w:ind w:left="284" w:hanging="114"/>
        <w:rPr>
          <w:i/>
        </w:rPr>
      </w:pPr>
      <w:r w:rsidRPr="00EE1E0C">
        <w:t xml:space="preserve">Tillsyns- och inspektionsenheten, (1997) </w:t>
      </w:r>
      <w:r w:rsidRPr="00EE1E0C">
        <w:rPr>
          <w:i/>
        </w:rPr>
        <w:t>Inspektion av närpolisverksa</w:t>
      </w:r>
      <w:r w:rsidRPr="00EE1E0C">
        <w:rPr>
          <w:i/>
        </w:rPr>
        <w:t>m</w:t>
      </w:r>
      <w:r w:rsidRPr="00EE1E0C">
        <w:rPr>
          <w:i/>
        </w:rPr>
        <w:t>heten och insatser mot våldsbrottsligheten. September 1997–november 1998.</w:t>
      </w:r>
    </w:p>
    <w:p w:rsidR="00031A3F" w:rsidRPr="00EE1E0C" w:rsidRDefault="00031A3F">
      <w:r w:rsidRPr="00EE1E0C">
        <w:t>Riksrevisionsverket</w:t>
      </w:r>
    </w:p>
    <w:p w:rsidR="00031A3F" w:rsidRPr="00EE1E0C" w:rsidRDefault="00031A3F">
      <w:pPr>
        <w:pStyle w:val="Normaltindrag"/>
      </w:pPr>
      <w:r w:rsidRPr="00EE1E0C">
        <w:rPr>
          <w:i/>
        </w:rPr>
        <w:t>Effektivare brottsutredningar.</w:t>
      </w:r>
      <w:r w:rsidRPr="00EE1E0C">
        <w:t xml:space="preserve"> (F1992:36).</w:t>
      </w:r>
    </w:p>
    <w:p w:rsidR="00031A3F" w:rsidRPr="00EE1E0C" w:rsidRDefault="00031A3F">
      <w:pPr>
        <w:pStyle w:val="Normaltindrag"/>
        <w:ind w:left="284" w:hanging="114"/>
      </w:pPr>
      <w:r w:rsidRPr="00EE1E0C">
        <w:rPr>
          <w:i/>
        </w:rPr>
        <w:t xml:space="preserve">Hinder för ett effektivare resursutnyttjande – del av regeringsuppdrag </w:t>
      </w:r>
      <w:r w:rsidRPr="00EE1E0C">
        <w:t>(1996:64, del 1).</w:t>
      </w:r>
    </w:p>
    <w:p w:rsidR="00031A3F" w:rsidRPr="00EE1E0C" w:rsidRDefault="00031A3F">
      <w:pPr>
        <w:pStyle w:val="Normaltindrag"/>
        <w:rPr>
          <w:i/>
        </w:rPr>
      </w:pPr>
      <w:r w:rsidRPr="00EE1E0C">
        <w:rPr>
          <w:i/>
        </w:rPr>
        <w:t>Lägesbeskrivning – del av regeringsuppdrag</w:t>
      </w:r>
      <w:r w:rsidRPr="00EE1E0C">
        <w:t xml:space="preserve"> (1996:64, del 2).</w:t>
      </w:r>
    </w:p>
    <w:p w:rsidR="00031A3F" w:rsidRPr="00EE1E0C" w:rsidRDefault="00031A3F">
      <w:pPr>
        <w:pStyle w:val="Normaltindrag"/>
        <w:ind w:left="284" w:hanging="114"/>
      </w:pPr>
      <w:r w:rsidRPr="00EE1E0C">
        <w:rPr>
          <w:i/>
        </w:rPr>
        <w:t>Polismyndigheten i Stockholms län – Förhållanden som bör beaktas i en framtida organisation</w:t>
      </w:r>
      <w:r w:rsidRPr="00EE1E0C">
        <w:t xml:space="preserve"> (1996:68).</w:t>
      </w:r>
    </w:p>
    <w:p w:rsidR="00031A3F" w:rsidRPr="00EE1E0C" w:rsidRDefault="00031A3F">
      <w:pPr>
        <w:pStyle w:val="Normaltindrag"/>
      </w:pPr>
      <w:r w:rsidRPr="00EE1E0C">
        <w:rPr>
          <w:i/>
        </w:rPr>
        <w:t>Rättskedjan</w:t>
      </w:r>
      <w:r w:rsidRPr="00EE1E0C">
        <w:t xml:space="preserve"> (1996:63).</w:t>
      </w:r>
    </w:p>
    <w:p w:rsidR="00031A3F" w:rsidRPr="00EE1E0C" w:rsidRDefault="00031A3F">
      <w:pPr>
        <w:pStyle w:val="Normaltindrag"/>
      </w:pPr>
      <w:r w:rsidRPr="00EE1E0C">
        <w:rPr>
          <w:i/>
        </w:rPr>
        <w:t>Polisens arbetstider</w:t>
      </w:r>
      <w:r w:rsidRPr="00EE1E0C">
        <w:t>. (1998:53).</w:t>
      </w:r>
    </w:p>
    <w:p w:rsidR="00031A3F" w:rsidRPr="00EE1E0C" w:rsidRDefault="00031A3F">
      <w:pPr>
        <w:pStyle w:val="Normaltindrag"/>
      </w:pPr>
      <w:r w:rsidRPr="00EE1E0C">
        <w:rPr>
          <w:i/>
        </w:rPr>
        <w:t>Svårigheter med statistik rörande brottsutre</w:t>
      </w:r>
      <w:r w:rsidRPr="00EE1E0C">
        <w:rPr>
          <w:i/>
        </w:rPr>
        <w:t>d</w:t>
      </w:r>
      <w:r w:rsidRPr="00EE1E0C">
        <w:rPr>
          <w:i/>
        </w:rPr>
        <w:t xml:space="preserve">ningar </w:t>
      </w:r>
      <w:r w:rsidRPr="00EE1E0C">
        <w:t>(1999:3).</w:t>
      </w:r>
    </w:p>
    <w:p w:rsidR="00031A3F" w:rsidRPr="00EE1E0C" w:rsidRDefault="00031A3F">
      <w:r w:rsidRPr="00EE1E0C">
        <w:t>Riksåklagaren</w:t>
      </w:r>
    </w:p>
    <w:p w:rsidR="00031A3F" w:rsidRPr="00EE1E0C" w:rsidRDefault="00031A3F">
      <w:pPr>
        <w:pStyle w:val="Normaltindrag"/>
      </w:pPr>
      <w:r w:rsidRPr="00EE1E0C">
        <w:rPr>
          <w:i/>
        </w:rPr>
        <w:t>Riksåklagarens budgetunderlag 2000</w:t>
      </w:r>
      <w:r w:rsidRPr="00EE1E0C">
        <w:t xml:space="preserve"> (1999).</w:t>
      </w:r>
    </w:p>
    <w:p w:rsidR="00031A3F" w:rsidRPr="00EE1E0C" w:rsidRDefault="00031A3F">
      <w:pPr>
        <w:pStyle w:val="Normaltindrag"/>
      </w:pPr>
      <w:r w:rsidRPr="00EE1E0C">
        <w:rPr>
          <w:i/>
        </w:rPr>
        <w:t xml:space="preserve">Verksamhetsplan för åklagarorganisationen under 1998 </w:t>
      </w:r>
      <w:r w:rsidRPr="00EE1E0C">
        <w:t>(1997).</w:t>
      </w:r>
    </w:p>
    <w:p w:rsidR="00031A3F" w:rsidRPr="00EE1E0C" w:rsidRDefault="00031A3F">
      <w:pPr>
        <w:pStyle w:val="Normaltindrag"/>
      </w:pPr>
      <w:r w:rsidRPr="00EE1E0C">
        <w:rPr>
          <w:i/>
        </w:rPr>
        <w:t xml:space="preserve">Verksamhetsplan för 1997 </w:t>
      </w:r>
      <w:r w:rsidRPr="00EE1E0C">
        <w:t>(1996).</w:t>
      </w:r>
    </w:p>
    <w:p w:rsidR="00031A3F" w:rsidRPr="00EE1E0C" w:rsidRDefault="00031A3F">
      <w:pPr>
        <w:pStyle w:val="Normaltindrag"/>
      </w:pPr>
      <w:r w:rsidRPr="00EE1E0C">
        <w:rPr>
          <w:i/>
        </w:rPr>
        <w:t>Framtidens åklagarväsende</w:t>
      </w:r>
      <w:r w:rsidRPr="00EE1E0C">
        <w:t xml:space="preserve"> Rapport 1995: 3 (1995).</w:t>
      </w:r>
    </w:p>
    <w:p w:rsidR="00031A3F" w:rsidRPr="00EE1E0C" w:rsidRDefault="00031A3F">
      <w:pPr>
        <w:pStyle w:val="Normaltindrag"/>
        <w:rPr>
          <w:i/>
        </w:rPr>
      </w:pPr>
      <w:r w:rsidRPr="00EE1E0C">
        <w:rPr>
          <w:i/>
        </w:rPr>
        <w:t xml:space="preserve">Effekterna för åklagarväsendet av polisväsendets omorganisation. </w:t>
      </w:r>
    </w:p>
    <w:p w:rsidR="00031A3F" w:rsidRPr="00EE1E0C" w:rsidRDefault="00031A3F">
      <w:pPr>
        <w:pStyle w:val="Normaltindrag"/>
      </w:pPr>
      <w:r w:rsidRPr="00EE1E0C">
        <w:t>Rapport 1995:8 (1995).</w:t>
      </w:r>
    </w:p>
    <w:p w:rsidR="00031A3F" w:rsidRPr="00EE1E0C" w:rsidRDefault="00031A3F">
      <w:pPr>
        <w:pStyle w:val="Normaltindrag"/>
      </w:pPr>
      <w:r w:rsidRPr="00EE1E0C">
        <w:rPr>
          <w:i/>
        </w:rPr>
        <w:t xml:space="preserve">Årsredovisning 1994/95 </w:t>
      </w:r>
      <w:r w:rsidRPr="00EE1E0C">
        <w:t>(1995).</w:t>
      </w:r>
    </w:p>
    <w:p w:rsidR="00031A3F" w:rsidRPr="00EE1E0C" w:rsidRDefault="00031A3F">
      <w:pPr>
        <w:pStyle w:val="Normaltindrag"/>
      </w:pPr>
      <w:r w:rsidRPr="00EE1E0C">
        <w:rPr>
          <w:i/>
        </w:rPr>
        <w:t>Årsredovisning 1995/96</w:t>
      </w:r>
      <w:r w:rsidRPr="00EE1E0C">
        <w:t xml:space="preserve"> (1997).</w:t>
      </w:r>
    </w:p>
    <w:p w:rsidR="00031A3F" w:rsidRPr="00EE1E0C" w:rsidRDefault="00031A3F">
      <w:pPr>
        <w:pStyle w:val="Normaltindrag"/>
      </w:pPr>
      <w:r w:rsidRPr="00EE1E0C">
        <w:t>Årsredovisning 1997 (1998).</w:t>
      </w:r>
    </w:p>
    <w:p w:rsidR="00031A3F" w:rsidRPr="00EE1E0C" w:rsidRDefault="00031A3F">
      <w:pPr>
        <w:pStyle w:val="Normaltindrag"/>
      </w:pPr>
      <w:r w:rsidRPr="00EE1E0C">
        <w:rPr>
          <w:i/>
        </w:rPr>
        <w:t xml:space="preserve">Årsredovisning 1997 </w:t>
      </w:r>
      <w:r w:rsidRPr="00EE1E0C">
        <w:t>(1998).</w:t>
      </w:r>
    </w:p>
    <w:p w:rsidR="00031A3F" w:rsidRPr="00EE1E0C" w:rsidRDefault="00031A3F">
      <w:pPr>
        <w:pStyle w:val="Normaltindrag"/>
      </w:pPr>
      <w:r w:rsidRPr="00EE1E0C">
        <w:rPr>
          <w:i/>
        </w:rPr>
        <w:t>Delårsrapport 1998-06-30</w:t>
      </w:r>
      <w:r w:rsidRPr="00EE1E0C">
        <w:t xml:space="preserve"> (1998).</w:t>
      </w:r>
    </w:p>
    <w:p w:rsidR="00031A3F" w:rsidRPr="00EE1E0C" w:rsidRDefault="00031A3F">
      <w:pPr>
        <w:pStyle w:val="Normaltindrag"/>
      </w:pPr>
      <w:r w:rsidRPr="00EE1E0C">
        <w:rPr>
          <w:i/>
        </w:rPr>
        <w:t>Årsredovisning 1998</w:t>
      </w:r>
      <w:r w:rsidRPr="00EE1E0C">
        <w:t xml:space="preserve"> (1999).</w:t>
      </w:r>
    </w:p>
    <w:p w:rsidR="00031A3F" w:rsidRPr="00EE1E0C" w:rsidRDefault="00031A3F">
      <w:pPr>
        <w:spacing w:line="240" w:lineRule="auto"/>
        <w:rPr>
          <w:i/>
        </w:rPr>
      </w:pPr>
      <w:r w:rsidRPr="00EE1E0C">
        <w:t xml:space="preserve">SOU 1990:83 </w:t>
      </w:r>
      <w:r w:rsidRPr="00EE1E0C">
        <w:rPr>
          <w:i/>
        </w:rPr>
        <w:t>Ny budgetproposition.</w:t>
      </w:r>
    </w:p>
    <w:p w:rsidR="00031A3F" w:rsidRPr="00EE1E0C" w:rsidRDefault="00031A3F">
      <w:pPr>
        <w:pStyle w:val="Normaltindrag"/>
        <w:ind w:firstLine="0"/>
      </w:pPr>
      <w:r w:rsidRPr="00EE1E0C">
        <w:t xml:space="preserve">SOU 1992:61 </w:t>
      </w:r>
      <w:r w:rsidRPr="00EE1E0C">
        <w:rPr>
          <w:i/>
        </w:rPr>
        <w:t>Ett reformerat åklaga</w:t>
      </w:r>
      <w:r w:rsidRPr="00EE1E0C">
        <w:rPr>
          <w:i/>
        </w:rPr>
        <w:t>r</w:t>
      </w:r>
      <w:r w:rsidRPr="00EE1E0C">
        <w:rPr>
          <w:i/>
        </w:rPr>
        <w:t>väsende,</w:t>
      </w:r>
      <w:r w:rsidRPr="00EE1E0C">
        <w:t xml:space="preserve"> del A och B</w:t>
      </w:r>
    </w:p>
    <w:p w:rsidR="00031A3F" w:rsidRPr="00EE1E0C" w:rsidRDefault="00031A3F">
      <w:pPr>
        <w:pStyle w:val="Normaltindrag"/>
        <w:ind w:firstLine="0"/>
        <w:rPr>
          <w:i/>
        </w:rPr>
      </w:pPr>
      <w:r w:rsidRPr="00EE1E0C">
        <w:t xml:space="preserve">SOU 1995:136 </w:t>
      </w:r>
      <w:r w:rsidRPr="00EE1E0C">
        <w:rPr>
          <w:i/>
        </w:rPr>
        <w:t>Rättsväsendets resultat – så kan det redovisas.</w:t>
      </w:r>
    </w:p>
    <w:p w:rsidR="00031A3F" w:rsidRPr="00EE1E0C" w:rsidRDefault="00031A3F">
      <w:pPr>
        <w:pStyle w:val="Normaltindrag"/>
        <w:ind w:firstLine="0"/>
      </w:pPr>
      <w:r w:rsidRPr="00EE1E0C">
        <w:t xml:space="preserve">SOU 1998:74 </w:t>
      </w:r>
      <w:r w:rsidRPr="00EE1E0C">
        <w:rPr>
          <w:i/>
        </w:rPr>
        <w:t>Styrningen av polisen.</w:t>
      </w:r>
    </w:p>
    <w:p w:rsidR="00031A3F" w:rsidRPr="00EE1E0C" w:rsidRDefault="00031A3F">
      <w:pPr>
        <w:pStyle w:val="Normaltindrag"/>
        <w:ind w:firstLine="0"/>
      </w:pPr>
      <w:r w:rsidRPr="00EE1E0C">
        <w:t xml:space="preserve">SOU 1998:135 </w:t>
      </w:r>
      <w:r w:rsidRPr="00EE1E0C">
        <w:rPr>
          <w:i/>
        </w:rPr>
        <w:t>Domstolsorganisationen.</w:t>
      </w:r>
    </w:p>
    <w:p w:rsidR="00031A3F" w:rsidRPr="00EE1E0C" w:rsidRDefault="00031A3F">
      <w:pPr>
        <w:rPr>
          <w:i/>
        </w:rPr>
      </w:pPr>
      <w:r w:rsidRPr="00EE1E0C">
        <w:t xml:space="preserve">Statskontoret (1998), 1998:23 </w:t>
      </w:r>
      <w:r w:rsidRPr="00EE1E0C">
        <w:rPr>
          <w:i/>
        </w:rPr>
        <w:t xml:space="preserve">Produktivitetsutvecklingen i statsförvaltningen </w:t>
      </w:r>
    </w:p>
    <w:p w:rsidR="00031A3F" w:rsidRPr="00EE1E0C" w:rsidRDefault="00031A3F">
      <w:pPr>
        <w:pStyle w:val="Normaltindrag"/>
        <w:rPr>
          <w:i/>
        </w:rPr>
      </w:pPr>
      <w:r w:rsidRPr="00EE1E0C">
        <w:rPr>
          <w:i/>
        </w:rPr>
        <w:t>1990– 97.</w:t>
      </w:r>
    </w:p>
    <w:p w:rsidR="00031A3F" w:rsidRPr="00EE1E0C" w:rsidRDefault="00031A3F">
      <w:r w:rsidRPr="00EE1E0C">
        <w:t>Statsliggaren 1990/91–1999.</w:t>
      </w:r>
    </w:p>
    <w:p w:rsidR="00031A3F" w:rsidRPr="00EE1E0C" w:rsidRDefault="00031A3F">
      <w:pPr>
        <w:ind w:left="142" w:hanging="142"/>
      </w:pPr>
      <w:r w:rsidRPr="00EE1E0C">
        <w:t>Wallin, sammanst. (1988)</w:t>
      </w:r>
      <w:r w:rsidRPr="00EE1E0C">
        <w:rPr>
          <w:i/>
        </w:rPr>
        <w:t xml:space="preserve"> Riktad polisinsats i Akalla. (Svenska stöldskydd</w:t>
      </w:r>
      <w:r w:rsidRPr="00EE1E0C">
        <w:rPr>
          <w:i/>
        </w:rPr>
        <w:t>s</w:t>
      </w:r>
      <w:r w:rsidRPr="00EE1E0C">
        <w:rPr>
          <w:i/>
        </w:rPr>
        <w:t>föreningen, HSB, Svenska bostäder, Folksam och ungdomsgruppen vid s</w:t>
      </w:r>
      <w:r w:rsidRPr="00EE1E0C">
        <w:rPr>
          <w:i/>
        </w:rPr>
        <w:t>o</w:t>
      </w:r>
      <w:r w:rsidRPr="00EE1E0C">
        <w:rPr>
          <w:i/>
        </w:rPr>
        <w:t>c</w:t>
      </w:r>
      <w:r w:rsidRPr="00EE1E0C">
        <w:rPr>
          <w:i/>
        </w:rPr>
        <w:t>i</w:t>
      </w:r>
      <w:r w:rsidRPr="00EE1E0C">
        <w:rPr>
          <w:i/>
        </w:rPr>
        <w:t>aldistrikt 17.</w:t>
      </w:r>
    </w:p>
    <w:p w:rsidR="00031A3F" w:rsidRPr="00EE1E0C" w:rsidRDefault="00031A3F">
      <w:pPr>
        <w:rPr>
          <w:i/>
        </w:rPr>
      </w:pPr>
      <w:r w:rsidRPr="00EE1E0C">
        <w:rPr>
          <w:i/>
        </w:rPr>
        <w:t>Tidningsartiklar</w:t>
      </w:r>
    </w:p>
    <w:p w:rsidR="00031A3F" w:rsidRPr="00EE1E0C" w:rsidRDefault="00031A3F">
      <w:pPr>
        <w:pStyle w:val="Normaltindrag"/>
      </w:pPr>
      <w:r w:rsidRPr="00EE1E0C">
        <w:t>D</w:t>
      </w:r>
      <w:r w:rsidRPr="00EE1E0C">
        <w:t>a</w:t>
      </w:r>
      <w:r w:rsidRPr="00EE1E0C">
        <w:t>gens Nyheter 980917</w:t>
      </w:r>
      <w:r w:rsidRPr="00EE1E0C">
        <w:rPr>
          <w:i/>
        </w:rPr>
        <w:t xml:space="preserve"> Försvaret rustar och vården bantar.</w:t>
      </w:r>
    </w:p>
    <w:p w:rsidR="00031A3F" w:rsidRPr="00EE1E0C" w:rsidRDefault="00031A3F">
      <w:pPr>
        <w:pStyle w:val="Normaltindrag"/>
      </w:pPr>
      <w:r w:rsidRPr="00EE1E0C">
        <w:t xml:space="preserve">Dagens Nyheter (debatt) 980914 </w:t>
      </w:r>
      <w:r w:rsidRPr="00EE1E0C">
        <w:rPr>
          <w:i/>
        </w:rPr>
        <w:t>Förvirrade åldringar ingen polissak.</w:t>
      </w:r>
    </w:p>
    <w:p w:rsidR="00031A3F" w:rsidRPr="00EE1E0C" w:rsidRDefault="00031A3F">
      <w:pPr>
        <w:rPr>
          <w:i/>
        </w:rPr>
      </w:pPr>
      <w:r w:rsidRPr="00EE1E0C">
        <w:rPr>
          <w:i/>
        </w:rPr>
        <w:t>Propositioner och utskottsbetänkanden</w:t>
      </w:r>
    </w:p>
    <w:p w:rsidR="00031A3F" w:rsidRPr="00EE1E0C" w:rsidRDefault="00031A3F">
      <w:pPr>
        <w:pStyle w:val="Normaltindrag"/>
      </w:pPr>
      <w:r w:rsidRPr="00EE1E0C">
        <w:t>Proposition 1980/81:13.</w:t>
      </w:r>
    </w:p>
    <w:p w:rsidR="00031A3F" w:rsidRPr="00EE1E0C" w:rsidRDefault="00031A3F">
      <w:pPr>
        <w:pStyle w:val="Normaltindrag"/>
      </w:pPr>
      <w:r w:rsidRPr="00EE1E0C">
        <w:t>Proposition 1989/90:155.</w:t>
      </w:r>
    </w:p>
    <w:p w:rsidR="00031A3F" w:rsidRPr="00EE1E0C" w:rsidRDefault="00031A3F">
      <w:pPr>
        <w:pStyle w:val="Normaltindrag"/>
      </w:pPr>
      <w:r w:rsidRPr="00EE1E0C">
        <w:t>Proposition 1991/92:52.</w:t>
      </w:r>
    </w:p>
    <w:p w:rsidR="00031A3F" w:rsidRPr="00EE1E0C" w:rsidRDefault="00031A3F">
      <w:pPr>
        <w:pStyle w:val="Normaltindrag"/>
      </w:pPr>
      <w:r w:rsidRPr="00EE1E0C">
        <w:t>Proposition 1992/93:50.</w:t>
      </w:r>
    </w:p>
    <w:p w:rsidR="00031A3F" w:rsidRPr="00EE1E0C" w:rsidRDefault="00031A3F">
      <w:pPr>
        <w:pStyle w:val="Normaltindrag"/>
      </w:pPr>
      <w:r w:rsidRPr="00EE1E0C">
        <w:t>Proposition 1992/93: 100.</w:t>
      </w:r>
    </w:p>
    <w:p w:rsidR="00031A3F" w:rsidRPr="00EE1E0C" w:rsidRDefault="00031A3F">
      <w:pPr>
        <w:pStyle w:val="Normaltindrag"/>
      </w:pPr>
      <w:r w:rsidRPr="00EE1E0C">
        <w:t>Proposition 1993/94:100, bilaga 3.</w:t>
      </w:r>
    </w:p>
    <w:p w:rsidR="00031A3F" w:rsidRPr="00EE1E0C" w:rsidRDefault="00031A3F">
      <w:pPr>
        <w:pStyle w:val="Normaltindrag"/>
      </w:pPr>
      <w:r w:rsidRPr="00EE1E0C">
        <w:t>Proposition 1994/95/100, bilaga 3.</w:t>
      </w:r>
    </w:p>
    <w:p w:rsidR="00031A3F" w:rsidRPr="00EE1E0C" w:rsidRDefault="00031A3F">
      <w:pPr>
        <w:pStyle w:val="Normaltindrag"/>
      </w:pPr>
      <w:r w:rsidRPr="00EE1E0C">
        <w:t>Proposition 1995/96:110.</w:t>
      </w:r>
    </w:p>
    <w:p w:rsidR="00031A3F" w:rsidRPr="00EE1E0C" w:rsidRDefault="00031A3F">
      <w:pPr>
        <w:pStyle w:val="Normaltindrag"/>
      </w:pPr>
      <w:r w:rsidRPr="00EE1E0C">
        <w:t>Proposition 1996/97:1, utgiftsområde 4.</w:t>
      </w:r>
    </w:p>
    <w:p w:rsidR="00031A3F" w:rsidRPr="00EE1E0C" w:rsidRDefault="00031A3F">
      <w:pPr>
        <w:pStyle w:val="Normaltindrag"/>
      </w:pPr>
      <w:r w:rsidRPr="00EE1E0C">
        <w:t>Proposition 1996/97:150.</w:t>
      </w:r>
    </w:p>
    <w:p w:rsidR="00031A3F" w:rsidRPr="00EE1E0C" w:rsidRDefault="00031A3F">
      <w:pPr>
        <w:pStyle w:val="Normaltindrag"/>
      </w:pPr>
      <w:r w:rsidRPr="00EE1E0C">
        <w:t>Proposition 1997/98:10.</w:t>
      </w:r>
    </w:p>
    <w:p w:rsidR="00031A3F" w:rsidRPr="00EE1E0C" w:rsidRDefault="00031A3F">
      <w:pPr>
        <w:pStyle w:val="Normaltindrag"/>
        <w:rPr>
          <w:i/>
        </w:rPr>
      </w:pPr>
      <w:r w:rsidRPr="00EE1E0C">
        <w:t>Proposition 1997/98:150.</w:t>
      </w:r>
    </w:p>
    <w:p w:rsidR="00031A3F" w:rsidRPr="00EE1E0C" w:rsidRDefault="00031A3F">
      <w:pPr>
        <w:pStyle w:val="Normaltindrag"/>
      </w:pPr>
      <w:r w:rsidRPr="00EE1E0C">
        <w:t>Proposition 1998/99:1.</w:t>
      </w:r>
    </w:p>
    <w:p w:rsidR="00031A3F" w:rsidRPr="00EE1E0C" w:rsidRDefault="00031A3F">
      <w:pPr>
        <w:pStyle w:val="Normaltindrag"/>
      </w:pPr>
      <w:r w:rsidRPr="00EE1E0C">
        <w:t>Justitieutskottets betänkande 1980/81:JuU24.</w:t>
      </w:r>
    </w:p>
    <w:p w:rsidR="00031A3F" w:rsidRPr="00EE1E0C" w:rsidRDefault="00031A3F">
      <w:pPr>
        <w:pStyle w:val="Normaltindrag"/>
      </w:pPr>
      <w:r w:rsidRPr="00EE1E0C">
        <w:t>Justitieutskottets betänkande 1990/91:JuU1.</w:t>
      </w:r>
    </w:p>
    <w:p w:rsidR="00031A3F" w:rsidRPr="00EE1E0C" w:rsidRDefault="00031A3F">
      <w:pPr>
        <w:pStyle w:val="Normaltindrag"/>
      </w:pPr>
      <w:r w:rsidRPr="00EE1E0C">
        <w:t>Justitieutskottets betänkande 1991/92:JuU9.</w:t>
      </w:r>
    </w:p>
    <w:p w:rsidR="00031A3F" w:rsidRPr="00EE1E0C" w:rsidRDefault="00031A3F">
      <w:pPr>
        <w:pStyle w:val="Normaltindrag"/>
      </w:pPr>
      <w:r w:rsidRPr="00EE1E0C">
        <w:t>Justitieutskottets betänkande 1991/92:JuU23.</w:t>
      </w:r>
    </w:p>
    <w:p w:rsidR="00031A3F" w:rsidRPr="00EE1E0C" w:rsidRDefault="00031A3F">
      <w:pPr>
        <w:pStyle w:val="Normaltindrag"/>
      </w:pPr>
      <w:r w:rsidRPr="00EE1E0C">
        <w:t>Finansutskottets betänkande 1992/93:FiU1.</w:t>
      </w:r>
    </w:p>
    <w:p w:rsidR="00031A3F" w:rsidRPr="00EE1E0C" w:rsidRDefault="00031A3F">
      <w:pPr>
        <w:pStyle w:val="Normaltindrag"/>
      </w:pPr>
      <w:r w:rsidRPr="00EE1E0C">
        <w:t>Justitieutskottets yttrande 1992/93:JuU2y.</w:t>
      </w:r>
    </w:p>
    <w:p w:rsidR="00031A3F" w:rsidRPr="00EE1E0C" w:rsidRDefault="00031A3F">
      <w:pPr>
        <w:pStyle w:val="Normaltindrag"/>
      </w:pPr>
      <w:r w:rsidRPr="00EE1E0C">
        <w:t>Finansutskottets betänkande 1992/93:FiU17.</w:t>
      </w:r>
    </w:p>
    <w:p w:rsidR="00031A3F" w:rsidRPr="00EE1E0C" w:rsidRDefault="00031A3F">
      <w:pPr>
        <w:pStyle w:val="Normaltindrag"/>
      </w:pPr>
      <w:r w:rsidRPr="00EE1E0C">
        <w:t>Justitieutskottets betänkande 1992/93:JuU21.</w:t>
      </w:r>
    </w:p>
    <w:p w:rsidR="00031A3F" w:rsidRPr="00EE1E0C" w:rsidRDefault="00031A3F">
      <w:pPr>
        <w:pStyle w:val="Normaltindrag"/>
      </w:pPr>
      <w:r w:rsidRPr="00EE1E0C">
        <w:t>Talmanskonferensen 1993/94:TK1.</w:t>
      </w:r>
    </w:p>
    <w:p w:rsidR="00031A3F" w:rsidRPr="00EE1E0C" w:rsidRDefault="00031A3F">
      <w:pPr>
        <w:pStyle w:val="Normaltindrag"/>
      </w:pPr>
      <w:r w:rsidRPr="00EE1E0C">
        <w:t>Justitieutskottets betänkande 1993/94:JuU19.</w:t>
      </w:r>
    </w:p>
    <w:p w:rsidR="00031A3F" w:rsidRPr="00EE1E0C" w:rsidRDefault="00031A3F">
      <w:pPr>
        <w:pStyle w:val="Normaltindrag"/>
      </w:pPr>
      <w:r w:rsidRPr="00EE1E0C">
        <w:t>Justitieutskottets betänkande 1993/94:JuU23.</w:t>
      </w:r>
    </w:p>
    <w:p w:rsidR="00031A3F" w:rsidRPr="00EE1E0C" w:rsidRDefault="00031A3F">
      <w:pPr>
        <w:pStyle w:val="Normaltindrag"/>
      </w:pPr>
      <w:r w:rsidRPr="00EE1E0C">
        <w:t>Justitieutskottets betänkande 1994/95:JuU18.</w:t>
      </w:r>
    </w:p>
    <w:p w:rsidR="00031A3F" w:rsidRPr="00EE1E0C" w:rsidRDefault="00031A3F">
      <w:pPr>
        <w:pStyle w:val="Normaltindrag"/>
      </w:pPr>
      <w:r w:rsidRPr="00EE1E0C">
        <w:t>Justitieutskottets yttrande 1996/97:JuU3y.</w:t>
      </w:r>
    </w:p>
    <w:p w:rsidR="00031A3F" w:rsidRPr="00EE1E0C" w:rsidRDefault="00031A3F">
      <w:pPr>
        <w:pStyle w:val="Normaltindrag"/>
      </w:pPr>
      <w:r w:rsidRPr="00EE1E0C">
        <w:t>Justitieutskottets betänkande 1996/97:JuU1.</w:t>
      </w:r>
    </w:p>
    <w:p w:rsidR="00031A3F" w:rsidRPr="00EE1E0C" w:rsidRDefault="00031A3F">
      <w:pPr>
        <w:pStyle w:val="Normaltindrag"/>
      </w:pPr>
      <w:r w:rsidRPr="00EE1E0C">
        <w:t>Skatteutskottets betänkande 1997/98:SkU10.</w:t>
      </w:r>
    </w:p>
    <w:p w:rsidR="00031A3F" w:rsidRPr="00EE1E0C" w:rsidRDefault="00031A3F">
      <w:pPr>
        <w:pStyle w:val="Normaltindrag"/>
      </w:pPr>
      <w:r w:rsidRPr="00EE1E0C">
        <w:t>Finansutskottets betänkande 1997/98:FiU20.</w:t>
      </w:r>
    </w:p>
    <w:p w:rsidR="00031A3F" w:rsidRPr="00EE1E0C" w:rsidRDefault="00031A3F">
      <w:pPr>
        <w:pStyle w:val="Normaltindrag"/>
      </w:pPr>
      <w:r w:rsidRPr="00EE1E0C">
        <w:t>Justitieutskottets betänkande 1998/99:JuU1.</w:t>
      </w:r>
    </w:p>
    <w:p w:rsidR="00031A3F" w:rsidRPr="00EE1E0C" w:rsidRDefault="00031A3F">
      <w:pPr>
        <w:pStyle w:val="Normaltindrag"/>
      </w:pPr>
      <w:r w:rsidRPr="00EE1E0C">
        <w:t>Justitieutskottets betänkande 1998/99:JuU5.</w:t>
      </w:r>
    </w:p>
    <w:p w:rsidR="00031A3F" w:rsidRPr="00EE1E0C" w:rsidRDefault="00031A3F">
      <w:pPr>
        <w:pStyle w:val="Normaltindrag"/>
      </w:pPr>
      <w:r w:rsidRPr="00EE1E0C">
        <w:t>Justitieutskottets betänkande 1998/99:JuU18.</w:t>
      </w:r>
    </w:p>
    <w:p w:rsidR="00031A3F" w:rsidRPr="00EE1E0C" w:rsidRDefault="00031A3F">
      <w:pPr>
        <w:rPr>
          <w:i/>
        </w:rPr>
      </w:pPr>
      <w:r w:rsidRPr="00EE1E0C">
        <w:rPr>
          <w:i/>
        </w:rPr>
        <w:t>Regeringsbeslut</w:t>
      </w:r>
    </w:p>
    <w:p w:rsidR="00031A3F" w:rsidRPr="00EE1E0C" w:rsidRDefault="00031A3F">
      <w:pPr>
        <w:pStyle w:val="Normaltindrag"/>
      </w:pPr>
      <w:r w:rsidRPr="00EE1E0C">
        <w:t>1996-09-12, Ju96/3067.</w:t>
      </w:r>
    </w:p>
    <w:p w:rsidR="00031A3F" w:rsidRPr="00EE1E0C" w:rsidRDefault="00031A3F">
      <w:pPr>
        <w:pStyle w:val="Normaltindrag"/>
      </w:pPr>
      <w:r w:rsidRPr="00EE1E0C">
        <w:t>1998-12-22, Ju98/3292 och Ju98/3835.</w:t>
      </w:r>
    </w:p>
    <w:p w:rsidR="00031A3F" w:rsidRPr="00EE1E0C" w:rsidRDefault="00031A3F">
      <w:pPr>
        <w:rPr>
          <w:i/>
        </w:rPr>
      </w:pPr>
      <w:r w:rsidRPr="00EE1E0C">
        <w:rPr>
          <w:u w:val="single"/>
        </w:rPr>
        <w:t>Handlingar från Stockholms län</w:t>
      </w:r>
    </w:p>
    <w:p w:rsidR="00031A3F" w:rsidRPr="00EE1E0C" w:rsidRDefault="00031A3F">
      <w:pPr>
        <w:rPr>
          <w:i/>
        </w:rPr>
      </w:pPr>
      <w:r w:rsidRPr="00EE1E0C">
        <w:t xml:space="preserve">Polismyndigheten i Stockholms län, (1994) </w:t>
      </w:r>
      <w:r w:rsidRPr="00EE1E0C">
        <w:rPr>
          <w:i/>
        </w:rPr>
        <w:t>Arbetsordning.</w:t>
      </w:r>
    </w:p>
    <w:p w:rsidR="00031A3F" w:rsidRPr="00EE1E0C" w:rsidRDefault="00031A3F">
      <w:pPr>
        <w:rPr>
          <w:i/>
        </w:rPr>
      </w:pPr>
      <w:r w:rsidRPr="00EE1E0C">
        <w:t xml:space="preserve">Polismyndigheten i Stockholms län, (1995) </w:t>
      </w:r>
      <w:r w:rsidRPr="00EE1E0C">
        <w:rPr>
          <w:i/>
        </w:rPr>
        <w:t>Verksamhetsplan budgetåret 1995/96.</w:t>
      </w:r>
    </w:p>
    <w:p w:rsidR="00031A3F" w:rsidRPr="00EE1E0C" w:rsidRDefault="00031A3F">
      <w:pPr>
        <w:rPr>
          <w:i/>
        </w:rPr>
      </w:pPr>
      <w:r w:rsidRPr="00EE1E0C">
        <w:t xml:space="preserve">Polismyndigheten i Stockholms län, (1996) </w:t>
      </w:r>
      <w:r w:rsidRPr="00EE1E0C">
        <w:rPr>
          <w:i/>
        </w:rPr>
        <w:t>Årsredovisning budgetåret 1995/96.</w:t>
      </w:r>
    </w:p>
    <w:p w:rsidR="00031A3F" w:rsidRPr="00EE1E0C" w:rsidRDefault="00031A3F">
      <w:pPr>
        <w:rPr>
          <w:i/>
        </w:rPr>
      </w:pPr>
      <w:r w:rsidRPr="00EE1E0C">
        <w:t xml:space="preserve">Polismyndigheten i Stockholms län, (1997) Närpolisområde Östermalm, (1997) </w:t>
      </w:r>
      <w:r w:rsidRPr="00EE1E0C">
        <w:rPr>
          <w:i/>
        </w:rPr>
        <w:t>Handlingsplan för 1997.</w:t>
      </w:r>
    </w:p>
    <w:p w:rsidR="00031A3F" w:rsidRPr="00EE1E0C" w:rsidRDefault="00031A3F">
      <w:pPr>
        <w:rPr>
          <w:i/>
        </w:rPr>
      </w:pPr>
      <w:r w:rsidRPr="00EE1E0C">
        <w:t xml:space="preserve">Polismyndigheten i Stockholms län, (1997) </w:t>
      </w:r>
      <w:r w:rsidRPr="00EE1E0C">
        <w:rPr>
          <w:i/>
        </w:rPr>
        <w:t>Verksamhetsplan för polismy</w:t>
      </w:r>
      <w:r w:rsidRPr="00EE1E0C">
        <w:rPr>
          <w:i/>
        </w:rPr>
        <w:t>n</w:t>
      </w:r>
      <w:r w:rsidRPr="00EE1E0C">
        <w:rPr>
          <w:i/>
        </w:rPr>
        <w:t>digheten i Stockholms län budgetåret 1997.</w:t>
      </w:r>
    </w:p>
    <w:p w:rsidR="00031A3F" w:rsidRPr="00EE1E0C" w:rsidRDefault="00031A3F">
      <w:pPr>
        <w:rPr>
          <w:i/>
        </w:rPr>
      </w:pPr>
      <w:r w:rsidRPr="00EE1E0C">
        <w:t xml:space="preserve">Polismyndigheten i Stockholms län, (1997) </w:t>
      </w:r>
      <w:r w:rsidRPr="00EE1E0C">
        <w:rPr>
          <w:i/>
        </w:rPr>
        <w:t>Årsresultatet 1997.</w:t>
      </w:r>
    </w:p>
    <w:p w:rsidR="00031A3F" w:rsidRPr="00EE1E0C" w:rsidRDefault="00031A3F">
      <w:pPr>
        <w:rPr>
          <w:i/>
        </w:rPr>
      </w:pPr>
      <w:r w:rsidRPr="00EE1E0C">
        <w:t xml:space="preserve">Polismyndigheten i Stockholms län (1997) </w:t>
      </w:r>
      <w:r w:rsidRPr="00EE1E0C">
        <w:rPr>
          <w:i/>
        </w:rPr>
        <w:t>Handlingsplan för Norrtälje närpolisområde 1998.</w:t>
      </w:r>
    </w:p>
    <w:p w:rsidR="00031A3F" w:rsidRPr="00EE1E0C" w:rsidRDefault="00031A3F">
      <w:pPr>
        <w:rPr>
          <w:i/>
        </w:rPr>
      </w:pPr>
      <w:r w:rsidRPr="00EE1E0C">
        <w:t>Polismyndigheten i Stockholms län, (1998)</w:t>
      </w:r>
      <w:r w:rsidRPr="00EE1E0C">
        <w:rPr>
          <w:i/>
        </w:rPr>
        <w:t xml:space="preserve"> Handlingsplan för City poli</w:t>
      </w:r>
      <w:r w:rsidRPr="00EE1E0C">
        <w:rPr>
          <w:i/>
        </w:rPr>
        <w:t>s</w:t>
      </w:r>
      <w:r w:rsidRPr="00EE1E0C">
        <w:rPr>
          <w:i/>
        </w:rPr>
        <w:t>mästardis</w:t>
      </w:r>
      <w:r w:rsidRPr="00EE1E0C">
        <w:rPr>
          <w:i/>
        </w:rPr>
        <w:t>t</w:t>
      </w:r>
      <w:r w:rsidRPr="00EE1E0C">
        <w:rPr>
          <w:i/>
        </w:rPr>
        <w:t>rikt budgetåret 1998.</w:t>
      </w:r>
    </w:p>
    <w:p w:rsidR="00031A3F" w:rsidRPr="00EE1E0C" w:rsidRDefault="00031A3F">
      <w:pPr>
        <w:rPr>
          <w:i/>
        </w:rPr>
      </w:pPr>
      <w:r w:rsidRPr="00EE1E0C">
        <w:t xml:space="preserve">Polismyndigheten i Stockholms län, (1998) </w:t>
      </w:r>
      <w:r w:rsidRPr="00EE1E0C">
        <w:rPr>
          <w:i/>
        </w:rPr>
        <w:t>Inriktningsbeslut för genomf</w:t>
      </w:r>
      <w:r w:rsidRPr="00EE1E0C">
        <w:rPr>
          <w:i/>
        </w:rPr>
        <w:t>ö</w:t>
      </w:r>
      <w:r w:rsidRPr="00EE1E0C">
        <w:rPr>
          <w:i/>
        </w:rPr>
        <w:t xml:space="preserve">rande av en förändrad brottsutredningsverksamhet vid polismyndigheten i Stockholms län. </w:t>
      </w:r>
    </w:p>
    <w:p w:rsidR="00031A3F" w:rsidRPr="00EE1E0C" w:rsidRDefault="00031A3F">
      <w:pPr>
        <w:rPr>
          <w:i/>
        </w:rPr>
      </w:pPr>
      <w:r w:rsidRPr="00EE1E0C">
        <w:t xml:space="preserve">Polismyndigheten i Stockholms län, (1998) </w:t>
      </w:r>
      <w:r w:rsidRPr="00EE1E0C">
        <w:rPr>
          <w:i/>
        </w:rPr>
        <w:t>Rapport från ROPA-gruppen..</w:t>
      </w:r>
    </w:p>
    <w:p w:rsidR="00031A3F" w:rsidRPr="00EE1E0C" w:rsidRDefault="00031A3F">
      <w:pPr>
        <w:rPr>
          <w:i/>
        </w:rPr>
      </w:pPr>
      <w:r w:rsidRPr="00EE1E0C">
        <w:t xml:space="preserve">Polismyndigheten i Stockholms län, (1998) </w:t>
      </w:r>
      <w:r w:rsidRPr="00EE1E0C">
        <w:rPr>
          <w:i/>
        </w:rPr>
        <w:t>Verksamhetsplan för polismy</w:t>
      </w:r>
      <w:r w:rsidRPr="00EE1E0C">
        <w:rPr>
          <w:i/>
        </w:rPr>
        <w:t>n</w:t>
      </w:r>
      <w:r w:rsidRPr="00EE1E0C">
        <w:rPr>
          <w:i/>
        </w:rPr>
        <w:t>digheten i Stockholms län budgetåret 1998.</w:t>
      </w:r>
    </w:p>
    <w:p w:rsidR="00031A3F" w:rsidRPr="00EE1E0C" w:rsidRDefault="00031A3F">
      <w:pPr>
        <w:rPr>
          <w:i/>
        </w:rPr>
      </w:pPr>
      <w:r w:rsidRPr="00EE1E0C">
        <w:t xml:space="preserve">Polismyndigheten i Stockholms län, (1998) </w:t>
      </w:r>
      <w:r w:rsidRPr="00EE1E0C">
        <w:rPr>
          <w:i/>
        </w:rPr>
        <w:t>Sammanfattande beskrivning av de besparingsåtgärder som vidtagits under budgetåret 1995/96.</w:t>
      </w:r>
    </w:p>
    <w:p w:rsidR="00031A3F" w:rsidRPr="00EE1E0C" w:rsidRDefault="00031A3F">
      <w:r w:rsidRPr="00EE1E0C">
        <w:t xml:space="preserve">Polismyndigheten i Stockholms län, (1998) Närpolisområde Östermalm, (1998) </w:t>
      </w:r>
      <w:r w:rsidRPr="00EE1E0C">
        <w:rPr>
          <w:i/>
        </w:rPr>
        <w:t>Handlingsplan för 1998.</w:t>
      </w:r>
    </w:p>
    <w:p w:rsidR="00031A3F" w:rsidRPr="00EE1E0C" w:rsidRDefault="00031A3F">
      <w:pPr>
        <w:rPr>
          <w:i/>
        </w:rPr>
      </w:pPr>
      <w:r w:rsidRPr="00EE1E0C">
        <w:t xml:space="preserve">Polismyndigheten i Stockholms län, (1998) </w:t>
      </w:r>
      <w:r w:rsidRPr="00EE1E0C">
        <w:rPr>
          <w:i/>
        </w:rPr>
        <w:t>Uppföljning av Resurstimmar i City polismästardistrikt.</w:t>
      </w:r>
    </w:p>
    <w:p w:rsidR="00031A3F" w:rsidRPr="00EE1E0C" w:rsidRDefault="00031A3F">
      <w:pPr>
        <w:rPr>
          <w:i/>
        </w:rPr>
      </w:pPr>
      <w:r w:rsidRPr="00EE1E0C">
        <w:t xml:space="preserve">Polismyndigheten i Stockholms län, (1998) </w:t>
      </w:r>
      <w:r w:rsidRPr="00EE1E0C">
        <w:rPr>
          <w:i/>
        </w:rPr>
        <w:t>Handlingsplan för Katarina närpol</w:t>
      </w:r>
      <w:r w:rsidRPr="00EE1E0C">
        <w:rPr>
          <w:i/>
        </w:rPr>
        <w:t>i</w:t>
      </w:r>
      <w:r w:rsidRPr="00EE1E0C">
        <w:rPr>
          <w:i/>
        </w:rPr>
        <w:t>sområde 1998.</w:t>
      </w:r>
    </w:p>
    <w:p w:rsidR="00031A3F" w:rsidRPr="00EE1E0C" w:rsidRDefault="00031A3F">
      <w:pPr>
        <w:rPr>
          <w:u w:val="single"/>
        </w:rPr>
      </w:pPr>
      <w:r w:rsidRPr="00EE1E0C">
        <w:t xml:space="preserve">Polismyndigheten i Stockholms län, (1998) </w:t>
      </w:r>
      <w:r w:rsidRPr="00EE1E0C">
        <w:rPr>
          <w:i/>
        </w:rPr>
        <w:t>Uppföljning av brott enligt r</w:t>
      </w:r>
      <w:r w:rsidRPr="00EE1E0C">
        <w:rPr>
          <w:i/>
        </w:rPr>
        <w:t>e</w:t>
      </w:r>
      <w:r w:rsidRPr="00EE1E0C">
        <w:rPr>
          <w:i/>
        </w:rPr>
        <w:t>sultatmodellen i City polismästardistrikt.</w:t>
      </w:r>
    </w:p>
    <w:p w:rsidR="00031A3F" w:rsidRPr="00EE1E0C" w:rsidRDefault="00031A3F">
      <w:pPr>
        <w:rPr>
          <w:i/>
        </w:rPr>
      </w:pPr>
      <w:r w:rsidRPr="00EE1E0C">
        <w:t xml:space="preserve">Norrtälje närpolisområde, </w:t>
      </w:r>
      <w:r w:rsidRPr="00EE1E0C">
        <w:rPr>
          <w:i/>
        </w:rPr>
        <w:t>Uppföljning av anmälda brott 1992–1994, 1995–1996, 1996–1997 och 1:a halvåret 1998.</w:t>
      </w:r>
    </w:p>
    <w:p w:rsidR="00031A3F" w:rsidRPr="00EE1E0C" w:rsidRDefault="00031A3F">
      <w:pPr>
        <w:rPr>
          <w:i/>
        </w:rPr>
      </w:pPr>
      <w:r w:rsidRPr="00EE1E0C">
        <w:t xml:space="preserve">Rimbo närpolisområde, </w:t>
      </w:r>
      <w:r w:rsidRPr="00EE1E0C">
        <w:rPr>
          <w:i/>
        </w:rPr>
        <w:t>Uppföljning av anmälda brott 1992–1994, 1995–1996, 1996–1997 och 1:a halvåret 1998.</w:t>
      </w:r>
    </w:p>
    <w:p w:rsidR="00031A3F" w:rsidRPr="00EE1E0C" w:rsidRDefault="00031A3F">
      <w:pPr>
        <w:rPr>
          <w:i/>
        </w:rPr>
      </w:pPr>
      <w:r w:rsidRPr="00EE1E0C">
        <w:t xml:space="preserve">Hallstavik närpolisområde, </w:t>
      </w:r>
      <w:r w:rsidRPr="00EE1E0C">
        <w:rPr>
          <w:i/>
        </w:rPr>
        <w:t>Uppföljning av anmälda brott 1992–1994, 1995–1996, 1996–1997 och 1:a halvåret 1998</w:t>
      </w:r>
    </w:p>
    <w:p w:rsidR="00031A3F" w:rsidRPr="00EE1E0C" w:rsidRDefault="00031A3F">
      <w:pPr>
        <w:rPr>
          <w:i/>
        </w:rPr>
      </w:pPr>
      <w:r w:rsidRPr="00EE1E0C">
        <w:t xml:space="preserve">Åklagarmyndigheten i Stockholm, (1998) </w:t>
      </w:r>
      <w:r w:rsidRPr="00EE1E0C">
        <w:rPr>
          <w:i/>
        </w:rPr>
        <w:t>Verksamhetsplan för Åklagarmy</w:t>
      </w:r>
      <w:r w:rsidRPr="00EE1E0C">
        <w:rPr>
          <w:i/>
        </w:rPr>
        <w:t>n</w:t>
      </w:r>
      <w:r w:rsidRPr="00EE1E0C">
        <w:rPr>
          <w:i/>
        </w:rPr>
        <w:t>digheten i Stockholm 1998.</w:t>
      </w:r>
    </w:p>
    <w:p w:rsidR="00031A3F" w:rsidRPr="00EE1E0C" w:rsidRDefault="00031A3F">
      <w:pPr>
        <w:rPr>
          <w:i/>
        </w:rPr>
      </w:pPr>
      <w:r w:rsidRPr="00EE1E0C">
        <w:t xml:space="preserve">Åklagarmyndigheten i Stockholm, (1997) </w:t>
      </w:r>
      <w:r w:rsidRPr="00EE1E0C">
        <w:rPr>
          <w:i/>
        </w:rPr>
        <w:t>Verksamhetsplan för Åklagarmy</w:t>
      </w:r>
      <w:r w:rsidRPr="00EE1E0C">
        <w:rPr>
          <w:i/>
        </w:rPr>
        <w:t>n</w:t>
      </w:r>
      <w:r w:rsidRPr="00EE1E0C">
        <w:rPr>
          <w:i/>
        </w:rPr>
        <w:t>digheten i Stockholm 1997.</w:t>
      </w:r>
    </w:p>
    <w:p w:rsidR="00031A3F" w:rsidRPr="00EE1E0C" w:rsidRDefault="00031A3F">
      <w:pPr>
        <w:rPr>
          <w:i/>
        </w:rPr>
      </w:pPr>
      <w:r w:rsidRPr="00EE1E0C">
        <w:t xml:space="preserve">Åklagarmyndigheten i Stockholm, (1999) </w:t>
      </w:r>
      <w:r w:rsidRPr="00EE1E0C">
        <w:rPr>
          <w:i/>
        </w:rPr>
        <w:t>Verksamhetsplan för Åklagarmy</w:t>
      </w:r>
      <w:r w:rsidRPr="00EE1E0C">
        <w:rPr>
          <w:i/>
        </w:rPr>
        <w:t>n</w:t>
      </w:r>
      <w:r w:rsidRPr="00EE1E0C">
        <w:rPr>
          <w:i/>
        </w:rPr>
        <w:t>di</w:t>
      </w:r>
      <w:r w:rsidRPr="00EE1E0C">
        <w:rPr>
          <w:i/>
        </w:rPr>
        <w:t>g</w:t>
      </w:r>
      <w:r w:rsidRPr="00EE1E0C">
        <w:rPr>
          <w:i/>
        </w:rPr>
        <w:t>heten i Stockholm 1999.</w:t>
      </w:r>
    </w:p>
    <w:p w:rsidR="00031A3F" w:rsidRPr="00EE1E0C" w:rsidRDefault="00031A3F">
      <w:pPr>
        <w:rPr>
          <w:i/>
        </w:rPr>
      </w:pPr>
      <w:r w:rsidRPr="00EE1E0C">
        <w:t xml:space="preserve">1:a åklagarkammaren i Stockholm, (1997) </w:t>
      </w:r>
      <w:r w:rsidRPr="00EE1E0C">
        <w:rPr>
          <w:i/>
        </w:rPr>
        <w:t>Verksamhetsplan för 1:a åklaga</w:t>
      </w:r>
      <w:r w:rsidRPr="00EE1E0C">
        <w:rPr>
          <w:i/>
        </w:rPr>
        <w:t>r</w:t>
      </w:r>
      <w:r w:rsidRPr="00EE1E0C">
        <w:rPr>
          <w:i/>
        </w:rPr>
        <w:t>kammaren i Stockholm 1997.</w:t>
      </w:r>
    </w:p>
    <w:p w:rsidR="00031A3F" w:rsidRPr="00EE1E0C" w:rsidRDefault="00031A3F">
      <w:pPr>
        <w:rPr>
          <w:i/>
        </w:rPr>
      </w:pPr>
      <w:r w:rsidRPr="00EE1E0C">
        <w:t xml:space="preserve">1:a åklagarkammaren i Stockholm, (1998) </w:t>
      </w:r>
      <w:r w:rsidRPr="00EE1E0C">
        <w:rPr>
          <w:i/>
        </w:rPr>
        <w:t>Verksamhetsplan för 1:a åklaga</w:t>
      </w:r>
      <w:r w:rsidRPr="00EE1E0C">
        <w:rPr>
          <w:i/>
        </w:rPr>
        <w:t>r</w:t>
      </w:r>
      <w:r w:rsidRPr="00EE1E0C">
        <w:rPr>
          <w:i/>
        </w:rPr>
        <w:t>kammaren i Stockholm 1998.</w:t>
      </w:r>
    </w:p>
    <w:p w:rsidR="00031A3F" w:rsidRPr="00EE1E0C" w:rsidRDefault="00031A3F">
      <w:r w:rsidRPr="00EE1E0C">
        <w:rPr>
          <w:u w:val="single"/>
        </w:rPr>
        <w:t>Handlingar från Östergötlands län</w:t>
      </w:r>
    </w:p>
    <w:p w:rsidR="00031A3F" w:rsidRPr="00EE1E0C" w:rsidRDefault="00031A3F">
      <w:pPr>
        <w:rPr>
          <w:i/>
        </w:rPr>
      </w:pPr>
      <w:r w:rsidRPr="00EE1E0C">
        <w:t xml:space="preserve">Polismyndigheten i Östergötlands län, (1995) </w:t>
      </w:r>
      <w:r w:rsidRPr="00EE1E0C">
        <w:rPr>
          <w:i/>
        </w:rPr>
        <w:t>Mål och riktlinjer för pol</w:t>
      </w:r>
      <w:r w:rsidRPr="00EE1E0C">
        <w:rPr>
          <w:i/>
        </w:rPr>
        <w:t>i</w:t>
      </w:r>
      <w:r w:rsidRPr="00EE1E0C">
        <w:rPr>
          <w:i/>
        </w:rPr>
        <w:t>sverksamheten i Östergötlands län budgetåret 1995/96.</w:t>
      </w:r>
    </w:p>
    <w:p w:rsidR="00031A3F" w:rsidRPr="00EE1E0C" w:rsidRDefault="00031A3F">
      <w:pPr>
        <w:rPr>
          <w:i/>
        </w:rPr>
      </w:pPr>
      <w:r w:rsidRPr="00EE1E0C">
        <w:t xml:space="preserve">Polismyndigheten i Östergötlands län, (1996) </w:t>
      </w:r>
      <w:r w:rsidRPr="00EE1E0C">
        <w:rPr>
          <w:i/>
        </w:rPr>
        <w:t>Arbetsordning för Polismy</w:t>
      </w:r>
      <w:r w:rsidRPr="00EE1E0C">
        <w:rPr>
          <w:i/>
        </w:rPr>
        <w:t>n</w:t>
      </w:r>
      <w:r w:rsidRPr="00EE1E0C">
        <w:rPr>
          <w:i/>
        </w:rPr>
        <w:t>digheten i Östergötlands län.</w:t>
      </w:r>
    </w:p>
    <w:p w:rsidR="00031A3F" w:rsidRPr="00EE1E0C" w:rsidRDefault="00031A3F">
      <w:r w:rsidRPr="00EE1E0C">
        <w:t>Polismyndigheten i Östergötlands län, (1996)</w:t>
      </w:r>
      <w:r w:rsidRPr="00EE1E0C">
        <w:rPr>
          <w:i/>
        </w:rPr>
        <w:t xml:space="preserve"> Mål och riktlinjer för pol</w:t>
      </w:r>
      <w:r w:rsidRPr="00EE1E0C">
        <w:rPr>
          <w:i/>
        </w:rPr>
        <w:t>i</w:t>
      </w:r>
      <w:r w:rsidRPr="00EE1E0C">
        <w:rPr>
          <w:i/>
        </w:rPr>
        <w:t>sverksamheten i Östergötlands län budgetåret 1997.</w:t>
      </w:r>
    </w:p>
    <w:p w:rsidR="00031A3F" w:rsidRPr="00EE1E0C" w:rsidRDefault="00031A3F">
      <w:pPr>
        <w:rPr>
          <w:i/>
        </w:rPr>
      </w:pPr>
      <w:r w:rsidRPr="00EE1E0C">
        <w:t xml:space="preserve">Polismyndigheten i Östergötlands län, (1996) </w:t>
      </w:r>
      <w:r w:rsidRPr="00EE1E0C">
        <w:rPr>
          <w:i/>
        </w:rPr>
        <w:t>Direktiv angående det fortsatta organisationsarbetet inom polisområdena.</w:t>
      </w:r>
    </w:p>
    <w:p w:rsidR="00031A3F" w:rsidRPr="00EE1E0C" w:rsidRDefault="00031A3F">
      <w:r w:rsidRPr="00EE1E0C">
        <w:t xml:space="preserve">Polismyndigheten i Östergötlands län, Polisområde Norrköping, (1996) </w:t>
      </w:r>
      <w:r w:rsidRPr="00EE1E0C">
        <w:rPr>
          <w:i/>
        </w:rPr>
        <w:t>Verksamhet, organisation och bemanning vid polisområde Norrköping.</w:t>
      </w:r>
    </w:p>
    <w:p w:rsidR="00031A3F" w:rsidRPr="00EE1E0C" w:rsidRDefault="00031A3F">
      <w:r w:rsidRPr="00EE1E0C">
        <w:t xml:space="preserve">Polismyndigheten i Östergötlands län, (1997) </w:t>
      </w:r>
      <w:r w:rsidRPr="00EE1E0C">
        <w:rPr>
          <w:i/>
        </w:rPr>
        <w:t>Mål och riktlinjer för pol</w:t>
      </w:r>
      <w:r w:rsidRPr="00EE1E0C">
        <w:rPr>
          <w:i/>
        </w:rPr>
        <w:t>i</w:t>
      </w:r>
      <w:r w:rsidRPr="00EE1E0C">
        <w:rPr>
          <w:i/>
        </w:rPr>
        <w:t>s</w:t>
      </w:r>
      <w:r w:rsidRPr="00EE1E0C">
        <w:rPr>
          <w:i/>
        </w:rPr>
        <w:softHyphen/>
        <w:t>verksamheten i Östergötlands län budgetåret 1997</w:t>
      </w:r>
      <w:r w:rsidRPr="00EE1E0C">
        <w:t>.</w:t>
      </w:r>
    </w:p>
    <w:p w:rsidR="00031A3F" w:rsidRPr="00EE1E0C" w:rsidRDefault="00031A3F">
      <w:pPr>
        <w:rPr>
          <w:i/>
        </w:rPr>
      </w:pPr>
      <w:r w:rsidRPr="00EE1E0C">
        <w:t xml:space="preserve">Polismyndigheten i Östergötlands län, (1997) </w:t>
      </w:r>
      <w:r w:rsidRPr="00EE1E0C">
        <w:rPr>
          <w:i/>
        </w:rPr>
        <w:t>Riktlinjer för polisen i Öste</w:t>
      </w:r>
      <w:r w:rsidRPr="00EE1E0C">
        <w:rPr>
          <w:i/>
        </w:rPr>
        <w:t>r</w:t>
      </w:r>
      <w:r w:rsidRPr="00EE1E0C">
        <w:rPr>
          <w:i/>
        </w:rPr>
        <w:t>götlands län budgetåret 1998.</w:t>
      </w:r>
    </w:p>
    <w:p w:rsidR="00031A3F" w:rsidRPr="00EE1E0C" w:rsidRDefault="00031A3F">
      <w:pPr>
        <w:rPr>
          <w:i/>
        </w:rPr>
      </w:pPr>
      <w:r w:rsidRPr="00EE1E0C">
        <w:t xml:space="preserve">Polismyndigheten i Östergötlands län, (1997) </w:t>
      </w:r>
      <w:r w:rsidRPr="00EE1E0C">
        <w:rPr>
          <w:i/>
        </w:rPr>
        <w:t>Uppföljning av Länsstyrelsens mål och riktlinjer för polisverksamheten i Östergötlands län, period 1996.</w:t>
      </w:r>
    </w:p>
    <w:p w:rsidR="00031A3F" w:rsidRPr="00EE1E0C" w:rsidRDefault="00031A3F">
      <w:pPr>
        <w:rPr>
          <w:i/>
        </w:rPr>
      </w:pPr>
      <w:r w:rsidRPr="00EE1E0C">
        <w:t xml:space="preserve">Polismyndigheten i Östergötlands län, (1997) </w:t>
      </w:r>
      <w:r w:rsidRPr="00EE1E0C">
        <w:rPr>
          <w:i/>
        </w:rPr>
        <w:t>Åtagande för polisverksamh</w:t>
      </w:r>
      <w:r w:rsidRPr="00EE1E0C">
        <w:rPr>
          <w:i/>
        </w:rPr>
        <w:t>e</w:t>
      </w:r>
      <w:r w:rsidRPr="00EE1E0C">
        <w:rPr>
          <w:i/>
        </w:rPr>
        <w:t>ten i Östergötlands län 1997 – 1998 med uppföljning för 1996 – 1997.</w:t>
      </w:r>
    </w:p>
    <w:p w:rsidR="00031A3F" w:rsidRPr="00EE1E0C" w:rsidRDefault="00031A3F">
      <w:pPr>
        <w:rPr>
          <w:i/>
        </w:rPr>
      </w:pPr>
      <w:r w:rsidRPr="00EE1E0C">
        <w:t xml:space="preserve">Polismyndigheten i Östergötlands län, Polisområde Norrköping, (1997) </w:t>
      </w:r>
      <w:r w:rsidRPr="00EE1E0C">
        <w:rPr>
          <w:i/>
        </w:rPr>
        <w:t>Polisanmälda brott i Motala polisområde 1997.</w:t>
      </w:r>
    </w:p>
    <w:p w:rsidR="00031A3F" w:rsidRPr="00EE1E0C" w:rsidRDefault="00031A3F">
      <w:r w:rsidRPr="00EE1E0C">
        <w:t>Polismyndigheten i Östergötlands län, Polisområde Norrköping, (1997) Polisanmälda brott i Norrköpings poliso</w:t>
      </w:r>
      <w:r w:rsidRPr="00EE1E0C">
        <w:t>m</w:t>
      </w:r>
      <w:r w:rsidRPr="00EE1E0C">
        <w:t>råde 1997.</w:t>
      </w:r>
    </w:p>
    <w:p w:rsidR="00031A3F" w:rsidRPr="00EE1E0C" w:rsidRDefault="00031A3F">
      <w:pPr>
        <w:rPr>
          <w:i/>
        </w:rPr>
      </w:pPr>
      <w:r w:rsidRPr="00EE1E0C">
        <w:t xml:space="preserve">Polismyndigheten i Östergötlands län, (1998) </w:t>
      </w:r>
      <w:r w:rsidRPr="00EE1E0C">
        <w:rPr>
          <w:i/>
        </w:rPr>
        <w:t>Uppföljning av polisverksa</w:t>
      </w:r>
      <w:r w:rsidRPr="00EE1E0C">
        <w:rPr>
          <w:i/>
        </w:rPr>
        <w:t>m</w:t>
      </w:r>
      <w:r w:rsidRPr="00EE1E0C">
        <w:rPr>
          <w:i/>
        </w:rPr>
        <w:t>heten i Östergötland län enligt Länsstyrelsens verksamhetsplan, period 1997.</w:t>
      </w:r>
    </w:p>
    <w:p w:rsidR="00031A3F" w:rsidRPr="00EE1E0C" w:rsidRDefault="00031A3F">
      <w:pPr>
        <w:rPr>
          <w:i/>
        </w:rPr>
      </w:pPr>
      <w:r w:rsidRPr="00EE1E0C">
        <w:t>Polismyndigheten i Östergötlands län, (1998)</w:t>
      </w:r>
      <w:r w:rsidRPr="00EE1E0C">
        <w:rPr>
          <w:i/>
        </w:rPr>
        <w:t xml:space="preserve"> Årsredovisning enligt Resu</w:t>
      </w:r>
      <w:r w:rsidRPr="00EE1E0C">
        <w:rPr>
          <w:i/>
        </w:rPr>
        <w:t>l</w:t>
      </w:r>
      <w:r w:rsidRPr="00EE1E0C">
        <w:rPr>
          <w:i/>
        </w:rPr>
        <w:t>tatmodellen 1997.</w:t>
      </w:r>
    </w:p>
    <w:p w:rsidR="00031A3F" w:rsidRPr="00EE1E0C" w:rsidRDefault="00031A3F">
      <w:pPr>
        <w:rPr>
          <w:i/>
        </w:rPr>
      </w:pPr>
      <w:r w:rsidRPr="00EE1E0C">
        <w:t xml:space="preserve">Polismyndigheten i Östergötlands län, (1998) </w:t>
      </w:r>
      <w:r w:rsidRPr="00EE1E0C">
        <w:rPr>
          <w:i/>
        </w:rPr>
        <w:t>Ändringar i polismyndighetens arbetsordning.</w:t>
      </w:r>
    </w:p>
    <w:p w:rsidR="00031A3F" w:rsidRPr="00EE1E0C" w:rsidRDefault="00031A3F">
      <w:pPr>
        <w:rPr>
          <w:i/>
        </w:rPr>
      </w:pPr>
      <w:r w:rsidRPr="00EE1E0C">
        <w:t xml:space="preserve">Polismyndigheten i Östergötlands län, (1998) </w:t>
      </w:r>
      <w:r w:rsidRPr="00EE1E0C">
        <w:rPr>
          <w:i/>
        </w:rPr>
        <w:t>Uppdrag avseende metodu</w:t>
      </w:r>
      <w:r w:rsidRPr="00EE1E0C">
        <w:rPr>
          <w:i/>
        </w:rPr>
        <w:t>t</w:t>
      </w:r>
      <w:r w:rsidRPr="00EE1E0C">
        <w:rPr>
          <w:i/>
        </w:rPr>
        <w:t>veckling med inriktning på utredningsverksamheten vid Polismyndigheten.</w:t>
      </w:r>
    </w:p>
    <w:p w:rsidR="00031A3F" w:rsidRPr="00EE1E0C" w:rsidRDefault="00031A3F">
      <w:pPr>
        <w:rPr>
          <w:i/>
        </w:rPr>
      </w:pPr>
      <w:r w:rsidRPr="00EE1E0C">
        <w:t>Polismyndigheten i Östergötlands län, Polisområde Norrköping, Närpoliso</w:t>
      </w:r>
      <w:r w:rsidRPr="00EE1E0C">
        <w:t>m</w:t>
      </w:r>
      <w:r w:rsidRPr="00EE1E0C">
        <w:t xml:space="preserve">råde Nordväst (1998) </w:t>
      </w:r>
      <w:r w:rsidRPr="00EE1E0C">
        <w:rPr>
          <w:i/>
        </w:rPr>
        <w:t>Närpolisen från och med september 1998.</w:t>
      </w:r>
    </w:p>
    <w:p w:rsidR="00031A3F" w:rsidRPr="00EE1E0C" w:rsidRDefault="00031A3F">
      <w:r w:rsidRPr="00EE1E0C">
        <w:t xml:space="preserve">Åklagarkammaren i Linköping, (1996) </w:t>
      </w:r>
      <w:r w:rsidRPr="00EE1E0C">
        <w:rPr>
          <w:i/>
        </w:rPr>
        <w:t>Verksamhetsplan för 1997.</w:t>
      </w:r>
    </w:p>
    <w:p w:rsidR="00031A3F" w:rsidRPr="00EE1E0C" w:rsidRDefault="00031A3F">
      <w:pPr>
        <w:rPr>
          <w:i/>
        </w:rPr>
      </w:pPr>
      <w:r w:rsidRPr="00EE1E0C">
        <w:t xml:space="preserve">Åklagarkammaren i Linköping, (1998) </w:t>
      </w:r>
      <w:r w:rsidRPr="00EE1E0C">
        <w:rPr>
          <w:i/>
        </w:rPr>
        <w:t>ÅK-projektet i Östergötland, Åte</w:t>
      </w:r>
      <w:r w:rsidRPr="00EE1E0C">
        <w:rPr>
          <w:i/>
        </w:rPr>
        <w:t>r</w:t>
      </w:r>
      <w:r w:rsidRPr="00EE1E0C">
        <w:rPr>
          <w:i/>
        </w:rPr>
        <w:t>koppling – Kvalitet.</w:t>
      </w:r>
    </w:p>
    <w:p w:rsidR="00031A3F" w:rsidRPr="00EE1E0C" w:rsidRDefault="00031A3F">
      <w:pPr>
        <w:rPr>
          <w:i/>
        </w:rPr>
      </w:pPr>
      <w:r w:rsidRPr="00EE1E0C">
        <w:t xml:space="preserve">Åklagarkammaren i Linköping, (1998) </w:t>
      </w:r>
      <w:r w:rsidRPr="00EE1E0C">
        <w:rPr>
          <w:i/>
        </w:rPr>
        <w:t>Lokal överenskommelse angående fördelning av ledningen av förundersökning i brottmål.</w:t>
      </w:r>
    </w:p>
    <w:p w:rsidR="00031A3F" w:rsidRPr="00EE1E0C" w:rsidRDefault="00031A3F">
      <w:r w:rsidRPr="00EE1E0C">
        <w:t xml:space="preserve">Åklagarkammaren i Linköping, (1998) </w:t>
      </w:r>
      <w:r w:rsidRPr="00EE1E0C">
        <w:rPr>
          <w:i/>
        </w:rPr>
        <w:t>Verksamhetsplan för 1998.</w:t>
      </w:r>
      <w:r w:rsidRPr="00EE1E0C">
        <w:t xml:space="preserve"> </w:t>
      </w:r>
    </w:p>
    <w:p w:rsidR="00031A3F" w:rsidRPr="00EE1E0C" w:rsidRDefault="00031A3F">
      <w:pPr>
        <w:rPr>
          <w:i/>
        </w:rPr>
      </w:pPr>
      <w:r w:rsidRPr="00EE1E0C">
        <w:t xml:space="preserve">Åklagarmyndigheten i Linköping, (1997) </w:t>
      </w:r>
      <w:r w:rsidRPr="00EE1E0C">
        <w:rPr>
          <w:i/>
        </w:rPr>
        <w:t>Kvartalsrapport – 1:a kvartalet 1997 – för  Åklagarmy</w:t>
      </w:r>
      <w:r w:rsidRPr="00EE1E0C">
        <w:rPr>
          <w:i/>
        </w:rPr>
        <w:t>n</w:t>
      </w:r>
      <w:r w:rsidRPr="00EE1E0C">
        <w:rPr>
          <w:i/>
        </w:rPr>
        <w:t>digheten i Linköping.</w:t>
      </w:r>
    </w:p>
    <w:p w:rsidR="00031A3F" w:rsidRPr="00EE1E0C" w:rsidRDefault="00031A3F">
      <w:r w:rsidRPr="00EE1E0C">
        <w:t xml:space="preserve">Åklagarmyndigheten i Linköping, (1997) </w:t>
      </w:r>
      <w:r w:rsidRPr="00EE1E0C">
        <w:rPr>
          <w:i/>
        </w:rPr>
        <w:t>Kvartalsrapport – 2:a kvartalet 1997 – för  Åklagarmy</w:t>
      </w:r>
      <w:r w:rsidRPr="00EE1E0C">
        <w:rPr>
          <w:i/>
        </w:rPr>
        <w:t>n</w:t>
      </w:r>
      <w:r w:rsidRPr="00EE1E0C">
        <w:rPr>
          <w:i/>
        </w:rPr>
        <w:t>digheten i Linköping.</w:t>
      </w:r>
    </w:p>
    <w:p w:rsidR="00031A3F" w:rsidRPr="00EE1E0C" w:rsidRDefault="00031A3F">
      <w:pPr>
        <w:rPr>
          <w:i/>
        </w:rPr>
      </w:pPr>
      <w:r w:rsidRPr="00EE1E0C">
        <w:t xml:space="preserve">Åklagarmyndigheten i Linköping, (1997) </w:t>
      </w:r>
      <w:r w:rsidRPr="00EE1E0C">
        <w:rPr>
          <w:i/>
        </w:rPr>
        <w:t>Kvartalsrapport – 3:e kvartalet 1997 – för  Åklagarmy</w:t>
      </w:r>
      <w:r w:rsidRPr="00EE1E0C">
        <w:rPr>
          <w:i/>
        </w:rPr>
        <w:t>n</w:t>
      </w:r>
      <w:r w:rsidRPr="00EE1E0C">
        <w:rPr>
          <w:i/>
        </w:rPr>
        <w:t>digheten i Linköping.</w:t>
      </w:r>
    </w:p>
    <w:p w:rsidR="00031A3F" w:rsidRPr="00EE1E0C" w:rsidRDefault="00031A3F">
      <w:pPr>
        <w:rPr>
          <w:i/>
        </w:rPr>
      </w:pPr>
      <w:r w:rsidRPr="00EE1E0C">
        <w:t xml:space="preserve">Åklagarmyndigheten i Linköping, (1998) </w:t>
      </w:r>
      <w:r w:rsidRPr="00EE1E0C">
        <w:rPr>
          <w:i/>
        </w:rPr>
        <w:t>Årsrapport 1998 för Åklagarmy</w:t>
      </w:r>
      <w:r w:rsidRPr="00EE1E0C">
        <w:rPr>
          <w:i/>
        </w:rPr>
        <w:t>n</w:t>
      </w:r>
      <w:r w:rsidRPr="00EE1E0C">
        <w:rPr>
          <w:i/>
        </w:rPr>
        <w:t>digheten i Linköping.</w:t>
      </w:r>
    </w:p>
    <w:p w:rsidR="00031A3F" w:rsidRPr="00EE1E0C" w:rsidRDefault="00031A3F">
      <w:pPr>
        <w:rPr>
          <w:i/>
        </w:rPr>
      </w:pPr>
      <w:r w:rsidRPr="00EE1E0C">
        <w:t xml:space="preserve">Åklagarkammaren i Linköping, (1998) </w:t>
      </w:r>
      <w:r w:rsidRPr="00EE1E0C">
        <w:rPr>
          <w:i/>
        </w:rPr>
        <w:t>Lokal överenskommelse angående fördelning av ledningen av förundersökning i brottmål.</w:t>
      </w:r>
    </w:p>
    <w:p w:rsidR="00031A3F" w:rsidRPr="00EE1E0C" w:rsidRDefault="00031A3F">
      <w:pPr>
        <w:rPr>
          <w:i/>
        </w:rPr>
      </w:pPr>
      <w:r w:rsidRPr="00EE1E0C">
        <w:t xml:space="preserve">Åklagarkammaren i Linköping, (1998) </w:t>
      </w:r>
      <w:r w:rsidRPr="00EE1E0C">
        <w:rPr>
          <w:i/>
        </w:rPr>
        <w:t xml:space="preserve">Årsrapport. </w:t>
      </w:r>
    </w:p>
    <w:p w:rsidR="00031A3F" w:rsidRPr="00EE1E0C" w:rsidRDefault="00031A3F">
      <w:r w:rsidRPr="00EE1E0C">
        <w:rPr>
          <w:u w:val="single"/>
        </w:rPr>
        <w:br w:type="page"/>
        <w:t>Handlingar från Västernorrlands län</w:t>
      </w:r>
    </w:p>
    <w:p w:rsidR="00031A3F" w:rsidRPr="00EE1E0C" w:rsidRDefault="00031A3F">
      <w:pPr>
        <w:rPr>
          <w:i/>
        </w:rPr>
      </w:pPr>
      <w:r w:rsidRPr="00EE1E0C">
        <w:t xml:space="preserve">Polismyndigheten i Västernorrlands län, (1995) </w:t>
      </w:r>
      <w:r w:rsidRPr="00EE1E0C">
        <w:rPr>
          <w:i/>
        </w:rPr>
        <w:t>Verksamhetsplan för Poli</w:t>
      </w:r>
      <w:r w:rsidRPr="00EE1E0C">
        <w:rPr>
          <w:i/>
        </w:rPr>
        <w:t>s</w:t>
      </w:r>
      <w:r w:rsidRPr="00EE1E0C">
        <w:rPr>
          <w:i/>
        </w:rPr>
        <w:t>myndigheten i Västernorrlands län 1995/96.</w:t>
      </w:r>
    </w:p>
    <w:p w:rsidR="00031A3F" w:rsidRPr="00EE1E0C" w:rsidRDefault="00031A3F">
      <w:pPr>
        <w:rPr>
          <w:i/>
        </w:rPr>
      </w:pPr>
      <w:r w:rsidRPr="00EE1E0C">
        <w:t xml:space="preserve">Polismyndigheten i Västernorrlands län, (1996) </w:t>
      </w:r>
      <w:r w:rsidRPr="00EE1E0C">
        <w:rPr>
          <w:i/>
        </w:rPr>
        <w:t>Strukturöversyn, 960930.</w:t>
      </w:r>
    </w:p>
    <w:p w:rsidR="00031A3F" w:rsidRPr="00EE1E0C" w:rsidRDefault="00031A3F">
      <w:pPr>
        <w:rPr>
          <w:i/>
        </w:rPr>
      </w:pPr>
      <w:r w:rsidRPr="00EE1E0C">
        <w:t xml:space="preserve">Polismyndigheten i Västernorrlands län, (1997) </w:t>
      </w:r>
      <w:r w:rsidRPr="00EE1E0C">
        <w:rPr>
          <w:i/>
        </w:rPr>
        <w:t>Arbetsordning för Polismy</w:t>
      </w:r>
      <w:r w:rsidRPr="00EE1E0C">
        <w:rPr>
          <w:i/>
        </w:rPr>
        <w:t>n</w:t>
      </w:r>
      <w:r w:rsidRPr="00EE1E0C">
        <w:rPr>
          <w:i/>
        </w:rPr>
        <w:t>digheten i Västernorrlands län.</w:t>
      </w:r>
    </w:p>
    <w:p w:rsidR="00031A3F" w:rsidRPr="00EE1E0C" w:rsidRDefault="00031A3F">
      <w:pPr>
        <w:rPr>
          <w:i/>
        </w:rPr>
      </w:pPr>
      <w:r w:rsidRPr="00EE1E0C">
        <w:t xml:space="preserve">Polismyndigheten i Västernorrlands län, (1997) </w:t>
      </w:r>
      <w:r w:rsidRPr="00EE1E0C">
        <w:rPr>
          <w:i/>
        </w:rPr>
        <w:t>Tjänsteföreskrift, förunde</w:t>
      </w:r>
      <w:r w:rsidRPr="00EE1E0C">
        <w:rPr>
          <w:i/>
        </w:rPr>
        <w:t>r</w:t>
      </w:r>
      <w:r w:rsidRPr="00EE1E0C">
        <w:rPr>
          <w:i/>
        </w:rPr>
        <w:t>sökningsledning m.m.</w:t>
      </w:r>
    </w:p>
    <w:p w:rsidR="00031A3F" w:rsidRPr="00EE1E0C" w:rsidRDefault="00031A3F">
      <w:pPr>
        <w:rPr>
          <w:i/>
        </w:rPr>
      </w:pPr>
      <w:r w:rsidRPr="00EE1E0C">
        <w:t xml:space="preserve">Polismyndigheten i Västernorrlands län, (1997) </w:t>
      </w:r>
      <w:r w:rsidRPr="00EE1E0C">
        <w:rPr>
          <w:i/>
        </w:rPr>
        <w:t>Verksamhetsplan för Poli</w:t>
      </w:r>
      <w:r w:rsidRPr="00EE1E0C">
        <w:rPr>
          <w:i/>
        </w:rPr>
        <w:t>s</w:t>
      </w:r>
      <w:r w:rsidRPr="00EE1E0C">
        <w:rPr>
          <w:i/>
        </w:rPr>
        <w:t>myndigheten i Västernorrlands län 1997.</w:t>
      </w:r>
    </w:p>
    <w:p w:rsidR="00031A3F" w:rsidRPr="00EE1E0C" w:rsidRDefault="00031A3F">
      <w:pPr>
        <w:rPr>
          <w:i/>
        </w:rPr>
      </w:pPr>
      <w:r w:rsidRPr="00EE1E0C">
        <w:t xml:space="preserve">Polismyndigheten i Västernorrlands län, (1998) </w:t>
      </w:r>
      <w:r w:rsidRPr="00EE1E0C">
        <w:rPr>
          <w:i/>
        </w:rPr>
        <w:t>Lokal överenskommelse om ledning av förundersökning i brottmål.</w:t>
      </w:r>
    </w:p>
    <w:p w:rsidR="00031A3F" w:rsidRPr="00EE1E0C" w:rsidRDefault="00031A3F">
      <w:pPr>
        <w:rPr>
          <w:i/>
        </w:rPr>
      </w:pPr>
      <w:r w:rsidRPr="00EE1E0C">
        <w:t>Polismyndigheten i Västernorrlands län, (1998)</w:t>
      </w:r>
      <w:r w:rsidRPr="00EE1E0C">
        <w:rPr>
          <w:i/>
        </w:rPr>
        <w:t xml:space="preserve"> Polisiär samverkan mellan Västernorrlands län och Jämtlands län.</w:t>
      </w:r>
    </w:p>
    <w:p w:rsidR="00031A3F" w:rsidRPr="00EE1E0C" w:rsidRDefault="00031A3F">
      <w:pPr>
        <w:rPr>
          <w:i/>
        </w:rPr>
      </w:pPr>
      <w:r w:rsidRPr="00EE1E0C">
        <w:t xml:space="preserve">Polismyndigheten i Västernorrlands län, (1998) </w:t>
      </w:r>
      <w:r w:rsidRPr="00EE1E0C">
        <w:rPr>
          <w:i/>
        </w:rPr>
        <w:t>Verksamhetsplan för Poli</w:t>
      </w:r>
      <w:r w:rsidRPr="00EE1E0C">
        <w:rPr>
          <w:i/>
        </w:rPr>
        <w:t>s</w:t>
      </w:r>
      <w:r w:rsidRPr="00EE1E0C">
        <w:rPr>
          <w:i/>
        </w:rPr>
        <w:t>myndigheten i Västernorrlands län 1998.</w:t>
      </w:r>
    </w:p>
    <w:p w:rsidR="00031A3F" w:rsidRPr="00EE1E0C" w:rsidRDefault="00031A3F">
      <w:pPr>
        <w:rPr>
          <w:i/>
        </w:rPr>
      </w:pPr>
      <w:r w:rsidRPr="00EE1E0C">
        <w:t xml:space="preserve">Polismyndigheten i Västernorrlands län, Närpolisområde Sundsvall Syd (1998) </w:t>
      </w:r>
      <w:r w:rsidRPr="00EE1E0C">
        <w:rPr>
          <w:i/>
        </w:rPr>
        <w:t>Handlingsplan 1998 för närpoliso</w:t>
      </w:r>
      <w:r w:rsidRPr="00EE1E0C">
        <w:rPr>
          <w:i/>
        </w:rPr>
        <w:t>m</w:t>
      </w:r>
      <w:r w:rsidRPr="00EE1E0C">
        <w:rPr>
          <w:i/>
        </w:rPr>
        <w:t>råde Sundsvall Syd.</w:t>
      </w:r>
    </w:p>
    <w:p w:rsidR="00031A3F" w:rsidRPr="00EE1E0C" w:rsidRDefault="00031A3F">
      <w:pPr>
        <w:rPr>
          <w:i/>
        </w:rPr>
      </w:pPr>
      <w:r w:rsidRPr="00EE1E0C">
        <w:t xml:space="preserve">Polismyndigheten i Västernorrlands län, Närpolisområden Kramfors och Sollefteå, (1998) </w:t>
      </w:r>
      <w:r w:rsidRPr="00EE1E0C">
        <w:rPr>
          <w:i/>
        </w:rPr>
        <w:t>Handlingsplan för Kramfors och Sollefteå närpolisområden 1998.</w:t>
      </w:r>
    </w:p>
    <w:p w:rsidR="00031A3F" w:rsidRPr="00EE1E0C" w:rsidRDefault="00031A3F">
      <w:pPr>
        <w:rPr>
          <w:i/>
        </w:rPr>
      </w:pPr>
      <w:r w:rsidRPr="00EE1E0C">
        <w:t xml:space="preserve">Åklagarmyndigheten i Sundsvall, (1997) </w:t>
      </w:r>
      <w:r w:rsidRPr="00EE1E0C">
        <w:rPr>
          <w:i/>
        </w:rPr>
        <w:t>Verksamhetsplan för 1997.</w:t>
      </w:r>
    </w:p>
    <w:p w:rsidR="00031A3F" w:rsidRPr="00EE1E0C" w:rsidRDefault="00031A3F">
      <w:r w:rsidRPr="00EE1E0C">
        <w:t xml:space="preserve">Åklagarmyndigheten i Sundsvall, (1998) </w:t>
      </w:r>
      <w:r w:rsidRPr="00EE1E0C">
        <w:rPr>
          <w:i/>
        </w:rPr>
        <w:t>Verksamhetsplan för 1998.</w:t>
      </w:r>
    </w:p>
    <w:p w:rsidR="00031A3F" w:rsidRPr="00EE1E0C" w:rsidRDefault="00031A3F">
      <w:pPr>
        <w:rPr>
          <w:i/>
        </w:rPr>
      </w:pPr>
      <w:r w:rsidRPr="00EE1E0C">
        <w:t xml:space="preserve">Åklagarkammaren i Sundsvall, (1998) </w:t>
      </w:r>
      <w:r w:rsidRPr="00EE1E0C">
        <w:rPr>
          <w:i/>
        </w:rPr>
        <w:t>Verksamhetsbeskrivning avseende åklagarkammaren i Sundsvall</w:t>
      </w:r>
    </w:p>
    <w:p w:rsidR="00031A3F" w:rsidRPr="00EE1E0C" w:rsidRDefault="00031A3F">
      <w:pPr>
        <w:rPr>
          <w:i/>
        </w:rPr>
      </w:pPr>
      <w:r w:rsidRPr="00EE1E0C">
        <w:t xml:space="preserve">Åklagarmyndigheten i Sundsvall, (1998) </w:t>
      </w:r>
      <w:r w:rsidRPr="00EE1E0C">
        <w:rPr>
          <w:i/>
        </w:rPr>
        <w:t>Delar av årsrapport 1997.</w:t>
      </w:r>
    </w:p>
    <w:p w:rsidR="00031A3F" w:rsidRPr="00EE1E0C" w:rsidRDefault="00031A3F">
      <w:r w:rsidRPr="00EE1E0C">
        <w:t xml:space="preserve">Åklagarmyndigheten i Sundsvall, (1998) </w:t>
      </w:r>
      <w:r w:rsidRPr="00EE1E0C">
        <w:rPr>
          <w:i/>
        </w:rPr>
        <w:t>Lokal överenskommelse angående ansvar för ledning av förundersökningar i Västernorrlands- och Jämtlands län.</w:t>
      </w:r>
    </w:p>
    <w:p w:rsidR="00031A3F" w:rsidRPr="00EE1E0C" w:rsidRDefault="00031A3F">
      <w:pPr>
        <w:pStyle w:val="Rubrik1"/>
        <w:sectPr w:rsidR="00000000" w:rsidRPr="00EE1E0C">
          <w:pgSz w:w="11906" w:h="16838" w:code="9"/>
          <w:pgMar w:top="567" w:right="4876" w:bottom="4508" w:left="1134" w:header="227" w:footer="227" w:gutter="0"/>
          <w:cols w:space="720"/>
        </w:sectPr>
      </w:pPr>
    </w:p>
    <w:p w:rsidR="00031A3F" w:rsidRPr="00EE1E0C" w:rsidRDefault="00031A3F">
      <w:pPr>
        <w:pStyle w:val="Rubrik1"/>
        <w:spacing w:before="0"/>
        <w:rPr>
          <w:i/>
        </w:rPr>
      </w:pPr>
      <w:bookmarkStart w:id="366" w:name="_Toc466264259"/>
      <w:r w:rsidRPr="00EE1E0C">
        <w:t>Sammanfattning av remissyttranden avseende organisationsförändringar inom rättsväsendet</w:t>
      </w:r>
      <w:bookmarkEnd w:id="366"/>
    </w:p>
    <w:p w:rsidR="00031A3F" w:rsidRPr="00EE1E0C" w:rsidRDefault="00031A3F">
      <w:pPr>
        <w:pStyle w:val="Rubrik2"/>
      </w:pPr>
      <w:bookmarkStart w:id="367" w:name="_Toc466264260"/>
      <w:r w:rsidRPr="00EE1E0C">
        <w:t>Allmänna synpunkter</w:t>
      </w:r>
      <w:bookmarkEnd w:id="367"/>
    </w:p>
    <w:p w:rsidR="00031A3F" w:rsidRPr="00EE1E0C" w:rsidRDefault="00031A3F">
      <w:r w:rsidRPr="00EE1E0C">
        <w:rPr>
          <w:i/>
        </w:rPr>
        <w:t>Justitieombudsmannen</w:t>
      </w:r>
      <w:r w:rsidRPr="00EE1E0C">
        <w:t xml:space="preserve"> menar att rapporten innehåller många intressanta iakttagelser som i stor utsträckning överensstämmer med vad han själv har kunnat iaktta i sin tillsynsverksamhet. Justitieombudsmannen ansluter sig också i allt väsentligt till revisorernas överväganden och förslag. </w:t>
      </w:r>
    </w:p>
    <w:p w:rsidR="00031A3F" w:rsidRPr="00EE1E0C" w:rsidRDefault="00031A3F">
      <w:r w:rsidRPr="00EE1E0C">
        <w:rPr>
          <w:i/>
        </w:rPr>
        <w:t>Solna tingsrätt</w:t>
      </w:r>
      <w:r w:rsidRPr="00EE1E0C">
        <w:t xml:space="preserve"> instämmer i alla väsentliga punkter i revisorernas bedö</w:t>
      </w:r>
      <w:r w:rsidRPr="00EE1E0C">
        <w:t>m</w:t>
      </w:r>
      <w:r w:rsidRPr="00EE1E0C">
        <w:t xml:space="preserve">ningar och förslag. Tingsrätten anser att det är nödvändigt att något görs för att höja kvaliteten och engagemanget hos de brottsbekämpande organen. </w:t>
      </w:r>
    </w:p>
    <w:p w:rsidR="00031A3F" w:rsidRPr="00EE1E0C" w:rsidRDefault="00031A3F">
      <w:r w:rsidRPr="00EE1E0C">
        <w:rPr>
          <w:i/>
        </w:rPr>
        <w:t xml:space="preserve">Linköpings tingsrätt </w:t>
      </w:r>
      <w:r w:rsidRPr="00EE1E0C">
        <w:t>menar att revisorerna har gjort en intressant och nö</w:t>
      </w:r>
      <w:r w:rsidRPr="00EE1E0C">
        <w:t>d</w:t>
      </w:r>
      <w:r w:rsidRPr="00EE1E0C">
        <w:t>vändig granskning av de stora reformerna inom polis- och åklagarväsendet men påpekar att tingsrätternas roll endast berörs i förbigående. Enligt ting</w:t>
      </w:r>
      <w:r w:rsidRPr="00EE1E0C">
        <w:t>s</w:t>
      </w:r>
      <w:r w:rsidRPr="00EE1E0C">
        <w:t>rätten kommer många mindre domstolar genom personalneddragningar att få en så kraftigt försvagad verksamhetsbas att fortsatt verksamhet som friståe</w:t>
      </w:r>
      <w:r w:rsidRPr="00EE1E0C">
        <w:t>n</w:t>
      </w:r>
      <w:r w:rsidRPr="00EE1E0C">
        <w:t>de domstol inte är realistisk. Tingsrätten menar att verksamhetsmålen för tingsrätterna inte kommer att kunna uppnås och att det skapas ett kaostil</w:t>
      </w:r>
      <w:r w:rsidRPr="00EE1E0C">
        <w:t>l</w:t>
      </w:r>
      <w:r w:rsidRPr="00EE1E0C">
        <w:t xml:space="preserve">stånd. Detta </w:t>
      </w:r>
      <w:r w:rsidRPr="00EE1E0C">
        <w:t xml:space="preserve">tillstånd kan förutses bli minst lika omfattande och långvarigt som de störningar som förändringarna av polis- och åklagarväsendena gav upphov till. </w:t>
      </w:r>
    </w:p>
    <w:p w:rsidR="00031A3F" w:rsidRPr="00EE1E0C" w:rsidRDefault="00031A3F">
      <w:r w:rsidRPr="00EE1E0C">
        <w:rPr>
          <w:i/>
        </w:rPr>
        <w:t xml:space="preserve">Domstolsverket </w:t>
      </w:r>
      <w:r w:rsidRPr="00EE1E0C">
        <w:t>välkomnar övergripande granskningar av det slag som rev</w:t>
      </w:r>
      <w:r w:rsidRPr="00EE1E0C">
        <w:t>i</w:t>
      </w:r>
      <w:r w:rsidRPr="00EE1E0C">
        <w:t>sorerna genomfört. Verket beklagar dock att revisorerna inte har försökt analysera vilken rimlig servicegrad som samhällsmedborgarna bör erbjudas.</w:t>
      </w:r>
    </w:p>
    <w:p w:rsidR="00031A3F" w:rsidRPr="00EE1E0C" w:rsidRDefault="00031A3F">
      <w:r w:rsidRPr="00EE1E0C">
        <w:rPr>
          <w:i/>
        </w:rPr>
        <w:t>Riksåklagaren</w:t>
      </w:r>
      <w:r w:rsidRPr="00EE1E0C">
        <w:t xml:space="preserve"> ställer sig i allt väsentligt bakom den allmänna beskrivning som lämnats i rapporten men menar att vissa avsnitt i rapporten är alltför mycket fokuserade på de problem som naturligen uppstår i samband med ett stort förändringsarbete. Han anser att de korrigerings- och förbättringsåtgä</w:t>
      </w:r>
      <w:r w:rsidRPr="00EE1E0C">
        <w:t>r</w:t>
      </w:r>
      <w:r w:rsidRPr="00EE1E0C">
        <w:t>der som genomförts har uppmärksammats för lite. Påpekandet förtar dock enligt riksåklagaren inte intrycket av en genomarbetad rapport. Han anser att revisorernas överväganden och förslag innehåller ett antal frågor av stort i</w:t>
      </w:r>
      <w:r w:rsidRPr="00EE1E0C">
        <w:t>ntre</w:t>
      </w:r>
      <w:r w:rsidRPr="00EE1E0C">
        <w:t>s</w:t>
      </w:r>
      <w:r w:rsidRPr="00EE1E0C">
        <w:t>se.</w:t>
      </w:r>
    </w:p>
    <w:p w:rsidR="00031A3F" w:rsidRPr="00EE1E0C" w:rsidRDefault="00031A3F">
      <w:r w:rsidRPr="00EE1E0C">
        <w:rPr>
          <w:i/>
        </w:rPr>
        <w:t>Rikspolisstyrelsen</w:t>
      </w:r>
      <w:r w:rsidRPr="00EE1E0C">
        <w:t xml:space="preserve"> påpekar att de förhållanden och problem som revisorerna pekar på är kända hos polisen och att åtgärder har vidtagits och kommer att vidtas för att få till stånd en effektivare polisverksamhet.</w:t>
      </w:r>
    </w:p>
    <w:p w:rsidR="00031A3F" w:rsidRPr="00EE1E0C" w:rsidRDefault="00031A3F">
      <w:pPr>
        <w:rPr>
          <w:i/>
        </w:rPr>
      </w:pPr>
      <w:r w:rsidRPr="00EE1E0C">
        <w:rPr>
          <w:i/>
        </w:rPr>
        <w:t xml:space="preserve">Polismyndigheten i Östergötlands län </w:t>
      </w:r>
      <w:r w:rsidRPr="00EE1E0C">
        <w:t>tillstyrker de förslag angående pol</w:t>
      </w:r>
      <w:r w:rsidRPr="00EE1E0C">
        <w:t>i</w:t>
      </w:r>
      <w:r w:rsidRPr="00EE1E0C">
        <w:t>sens verksamhet som revisorerna lämnar.</w:t>
      </w:r>
    </w:p>
    <w:p w:rsidR="00031A3F" w:rsidRPr="00EE1E0C" w:rsidRDefault="00031A3F">
      <w:r w:rsidRPr="00EE1E0C">
        <w:rPr>
          <w:i/>
        </w:rPr>
        <w:t>Polismyndigheten i Blekinge län</w:t>
      </w:r>
      <w:r w:rsidRPr="00EE1E0C">
        <w:t xml:space="preserve"> delar i stort de uppfattningar som redovisats när det gäller effekterna av de organisationsförändringar som genomförts på polisväsendets område, men påpekar att modellerna och tiderna för genomf</w:t>
      </w:r>
      <w:r w:rsidRPr="00EE1E0C">
        <w:t>ö</w:t>
      </w:r>
      <w:r w:rsidRPr="00EE1E0C">
        <w:t>randet varierat avsevärt mellan de olika länen och polismyndighete</w:t>
      </w:r>
      <w:r w:rsidRPr="00EE1E0C">
        <w:t>r</w:t>
      </w:r>
      <w:r w:rsidRPr="00EE1E0C">
        <w:t>na.</w:t>
      </w:r>
    </w:p>
    <w:p w:rsidR="00031A3F" w:rsidRPr="00EE1E0C" w:rsidRDefault="00031A3F">
      <w:pPr>
        <w:rPr>
          <w:i/>
        </w:rPr>
      </w:pPr>
      <w:r w:rsidRPr="00EE1E0C">
        <w:rPr>
          <w:i/>
        </w:rPr>
        <w:t xml:space="preserve">Polismyndigheten i Skåne </w:t>
      </w:r>
      <w:r w:rsidRPr="00EE1E0C">
        <w:t>menar att revisorerna väl fångat läget vad gäller närpolisreformen och införandet av problemorienterat polisarbete. Myndi</w:t>
      </w:r>
      <w:r w:rsidRPr="00EE1E0C">
        <w:t>g</w:t>
      </w:r>
      <w:r w:rsidRPr="00EE1E0C">
        <w:t>heten uppfattar revisorernas granskning av förundersökningsverksamheten som ytlig, men ifrågasätter inte revisorernas slutsatser</w:t>
      </w:r>
      <w:r w:rsidRPr="00EE1E0C">
        <w:rPr>
          <w:i/>
        </w:rPr>
        <w:t xml:space="preserve">. </w:t>
      </w:r>
    </w:p>
    <w:p w:rsidR="00031A3F" w:rsidRPr="00EE1E0C" w:rsidRDefault="00031A3F">
      <w:r w:rsidRPr="00EE1E0C">
        <w:rPr>
          <w:i/>
        </w:rPr>
        <w:t xml:space="preserve">Polismyndigheten i Örebro län </w:t>
      </w:r>
      <w:r w:rsidRPr="00EE1E0C">
        <w:t>delar i allt väsentligt revisorernas överväga</w:t>
      </w:r>
      <w:r w:rsidRPr="00EE1E0C">
        <w:t>n</w:t>
      </w:r>
      <w:r w:rsidRPr="00EE1E0C">
        <w:t>den och förslag; särskilt delen där ärendenas kvalitet och ärendenas han</w:t>
      </w:r>
      <w:r w:rsidRPr="00EE1E0C">
        <w:t>d</w:t>
      </w:r>
      <w:r w:rsidRPr="00EE1E0C">
        <w:t>läggningstid är av stor betydelse för den enskilde medborgaren och utgång</w:t>
      </w:r>
      <w:r w:rsidRPr="00EE1E0C">
        <w:t>s</w:t>
      </w:r>
      <w:r w:rsidRPr="00EE1E0C">
        <w:t xml:space="preserve">punkten att dennes tilltro till rättsväsendets förmåga att utreda och lagföra. </w:t>
      </w:r>
    </w:p>
    <w:p w:rsidR="00031A3F" w:rsidRPr="00EE1E0C" w:rsidRDefault="00031A3F">
      <w:r w:rsidRPr="00EE1E0C">
        <w:rPr>
          <w:i/>
        </w:rPr>
        <w:t xml:space="preserve">Polismyndigheten i Västernorrlands län </w:t>
      </w:r>
      <w:r w:rsidRPr="00EE1E0C">
        <w:t>framhåller att de förhållanden som revisorerna pekar på är kända vid myndigheten. Myndigheten påpekar att verksamheten har utvecklats mer positivt än vad som framkommer i rappo</w:t>
      </w:r>
      <w:r w:rsidRPr="00EE1E0C">
        <w:t>r</w:t>
      </w:r>
      <w:r w:rsidRPr="00EE1E0C">
        <w:t>ten. Man anser vidare att intervjuerna i revisorernas granskning inte alltid är gjorda med rätt personer. Exempelvis kan det vara så att personal som i praktiken arbetar på ett sätt som nära överensstämmer med närpolismodellen inte fått tillräckligt utry</w:t>
      </w:r>
      <w:r w:rsidRPr="00EE1E0C">
        <w:t>m</w:t>
      </w:r>
      <w:r w:rsidRPr="00EE1E0C">
        <w:t xml:space="preserve">me. </w:t>
      </w:r>
    </w:p>
    <w:p w:rsidR="00031A3F" w:rsidRPr="00EE1E0C" w:rsidRDefault="00031A3F">
      <w:r w:rsidRPr="00EE1E0C">
        <w:rPr>
          <w:i/>
        </w:rPr>
        <w:t xml:space="preserve">Brottsförebyggande rådet </w:t>
      </w:r>
      <w:r w:rsidRPr="00EE1E0C">
        <w:t>anser att granskningen bör fortsätta med ett fö</w:t>
      </w:r>
      <w:r w:rsidRPr="00EE1E0C">
        <w:t>r</w:t>
      </w:r>
      <w:r w:rsidRPr="00EE1E0C">
        <w:t>djupat analys- och förslagsarbete. Myndigheten menar att det saknas en övergripande diskussion om vad som kan avkrävas av respektive myndighet efter det att stora reformer eller besparingar har genomförts. Vidare menar Brottsförebyggande rådet att det är osäkert om revisorernas förslag löser rättsväsendets problem. Brottsförebyggande rådet påpekar också att revis</w:t>
      </w:r>
      <w:r w:rsidRPr="00EE1E0C">
        <w:t>o</w:t>
      </w:r>
      <w:r w:rsidRPr="00EE1E0C">
        <w:t>rernas förslag i hög grad bygger på uppgifter som kommit fram genom inte</w:t>
      </w:r>
      <w:r w:rsidRPr="00EE1E0C">
        <w:t>r</w:t>
      </w:r>
      <w:r w:rsidRPr="00EE1E0C">
        <w:t>vjuer. Myndigheten ifråga</w:t>
      </w:r>
      <w:r w:rsidRPr="00EE1E0C">
        <w:t>sätter om intervjuundersökningarna ger en balans</w:t>
      </w:r>
      <w:r w:rsidRPr="00EE1E0C">
        <w:t>e</w:t>
      </w:r>
      <w:r w:rsidRPr="00EE1E0C">
        <w:t xml:space="preserve">rad bild av förhållandena inom polis- och åklagarväsendena. </w:t>
      </w:r>
    </w:p>
    <w:p w:rsidR="00031A3F" w:rsidRPr="00EE1E0C" w:rsidRDefault="00031A3F">
      <w:pPr>
        <w:pStyle w:val="Rubrik2"/>
      </w:pPr>
      <w:bookmarkStart w:id="368" w:name="_Toc466264261"/>
      <w:r w:rsidRPr="00EE1E0C">
        <w:t>Revisorernas överväganden</w:t>
      </w:r>
      <w:bookmarkEnd w:id="368"/>
    </w:p>
    <w:p w:rsidR="00031A3F" w:rsidRPr="00EE1E0C" w:rsidRDefault="00031A3F">
      <w:pPr>
        <w:pStyle w:val="Rubrik3"/>
      </w:pPr>
      <w:bookmarkStart w:id="369" w:name="_Toc465973528"/>
      <w:bookmarkStart w:id="370" w:name="_Toc466264262"/>
      <w:r w:rsidRPr="00EE1E0C">
        <w:t>Medelsförbrukningen</w:t>
      </w:r>
      <w:bookmarkEnd w:id="369"/>
      <w:bookmarkEnd w:id="370"/>
      <w:r w:rsidRPr="00EE1E0C">
        <w:t xml:space="preserve"> </w:t>
      </w:r>
    </w:p>
    <w:p w:rsidR="00031A3F" w:rsidRPr="00EE1E0C" w:rsidRDefault="00031A3F">
      <w:pPr>
        <w:rPr>
          <w:i/>
        </w:rPr>
      </w:pPr>
      <w:r w:rsidRPr="00EE1E0C">
        <w:rPr>
          <w:i/>
        </w:rPr>
        <w:t xml:space="preserve">Varken polisen eller åklagarna kan uppvisa någon varaktig minskning av medelsförbrukningen under 1990-talet trots att båda verksamheterna ålagts besparingskrav. </w:t>
      </w:r>
    </w:p>
    <w:p w:rsidR="00031A3F" w:rsidRPr="00EE1E0C" w:rsidRDefault="00031A3F">
      <w:r w:rsidRPr="00EE1E0C">
        <w:rPr>
          <w:i/>
        </w:rPr>
        <w:t>Riksåklagaren</w:t>
      </w:r>
      <w:r w:rsidRPr="00EE1E0C">
        <w:t xml:space="preserve"> framhåller att han inför justitieutskottet hösten 1995 pekade på att åklagarväsendet stod inför ett rationaliseringsbehov om ca 50 miljoner kronor. Från Riksåklagarens utgångspunkt var syftet med reformen inte i första hand att minska kostnaderna utan att skapa en långsiktigt modern och effektiv åklagarorganisation för brottsbekämpning.</w:t>
      </w:r>
      <w:r w:rsidRPr="00EE1E0C">
        <w:rPr>
          <w:i/>
        </w:rPr>
        <w:t xml:space="preserve"> </w:t>
      </w:r>
      <w:r w:rsidRPr="00EE1E0C">
        <w:t>Riksåklagaren framför också att han i sitt budgetunderlag för 2000 föreslår en översyn av anslagen för åklagarorganisationen och Ekobrottsmyndigheten. Riksåklagaren ifråg</w:t>
      </w:r>
      <w:r w:rsidRPr="00EE1E0C">
        <w:t>a</w:t>
      </w:r>
      <w:r w:rsidRPr="00EE1E0C">
        <w:t>s</w:t>
      </w:r>
      <w:r w:rsidRPr="00EE1E0C">
        <w:t>ätter lämpligheten i att ha två skilda anslag för verksamhete</w:t>
      </w:r>
      <w:r w:rsidRPr="00EE1E0C">
        <w:t>r</w:t>
      </w:r>
      <w:r w:rsidRPr="00EE1E0C">
        <w:t>na.</w:t>
      </w:r>
    </w:p>
    <w:p w:rsidR="00031A3F" w:rsidRPr="00EE1E0C" w:rsidRDefault="00031A3F">
      <w:r w:rsidRPr="00EE1E0C">
        <w:rPr>
          <w:i/>
        </w:rPr>
        <w:t>Rikspolisstyrelsen</w:t>
      </w:r>
      <w:r w:rsidRPr="00EE1E0C">
        <w:t xml:space="preserve"> menar att även Ekonomistyrningsverkets bedömning av den ekonomiska redovisningen för polisen bör beaktas vid en granskning av polisväsendets ekonomi. Enligt Rikspolisstyrelsen har Ekonomistyrningsve</w:t>
      </w:r>
      <w:r w:rsidRPr="00EE1E0C">
        <w:t>r</w:t>
      </w:r>
      <w:r w:rsidRPr="00EE1E0C">
        <w:t>ket fastställt styrelsens ekonomiadministrativa värde för 1998 som fullt til</w:t>
      </w:r>
      <w:r w:rsidRPr="00EE1E0C">
        <w:t>l</w:t>
      </w:r>
      <w:r w:rsidRPr="00EE1E0C">
        <w:t xml:space="preserve">fredsställande. Rikspolisstyrelsen påpekar också att Statskontoret i en rapport visat att de reala kostnaderna inom polisen minskat under åren 1990 till 1997. Rikspolisstyrelsen menar att skillnaden i bedömningarna borde ha berörts av </w:t>
      </w:r>
      <w:r w:rsidRPr="00EE1E0C">
        <w:t>revis</w:t>
      </w:r>
      <w:r w:rsidRPr="00EE1E0C">
        <w:t>o</w:t>
      </w:r>
      <w:r w:rsidRPr="00EE1E0C">
        <w:t xml:space="preserve">rerna. </w:t>
      </w:r>
    </w:p>
    <w:p w:rsidR="00031A3F" w:rsidRPr="00EE1E0C" w:rsidRDefault="00031A3F">
      <w:r w:rsidRPr="00EE1E0C">
        <w:rPr>
          <w:i/>
        </w:rPr>
        <w:t>Polisförbundet</w:t>
      </w:r>
      <w:r w:rsidRPr="00EE1E0C">
        <w:t xml:space="preserve"> menar att en orsak till polisens ogynnsamma ekonomiska läge är ramanslagstekniken. Enligt förbundet har statsmakten vid beräkningar av pris- och löneomräkningar anpassat omräkningstalen till olika intressen från tid till annan. Polisförbundet hävdar att ramanslagstekniken måste tillämpas i enlighet med statsmaktens ursprungliga beslut och intentioner, om medel för investeringar och ökade polisiära resurser ska skapas.</w:t>
      </w:r>
    </w:p>
    <w:p w:rsidR="00031A3F" w:rsidRPr="00EE1E0C" w:rsidRDefault="00031A3F">
      <w:pPr>
        <w:pStyle w:val="Rubrik3"/>
      </w:pPr>
      <w:bookmarkStart w:id="371" w:name="_Toc465973529"/>
      <w:bookmarkStart w:id="372" w:name="_Toc466264263"/>
      <w:r w:rsidRPr="00EE1E0C">
        <w:t>Omorganisationer</w:t>
      </w:r>
      <w:bookmarkEnd w:id="371"/>
      <w:bookmarkEnd w:id="372"/>
    </w:p>
    <w:p w:rsidR="00031A3F" w:rsidRPr="00EE1E0C" w:rsidRDefault="00031A3F">
      <w:pPr>
        <w:rPr>
          <w:i/>
        </w:rPr>
      </w:pPr>
      <w:r w:rsidRPr="00EE1E0C">
        <w:rPr>
          <w:i/>
        </w:rPr>
        <w:t>Av granskningen framgår att man vid omorganisationerna av polis- och åklagarväsendena har anpassat sina organisationer till lokala förutsättnin</w:t>
      </w:r>
      <w:r w:rsidRPr="00EE1E0C">
        <w:rPr>
          <w:i/>
        </w:rPr>
        <w:t>g</w:t>
      </w:r>
      <w:r w:rsidRPr="00EE1E0C">
        <w:rPr>
          <w:i/>
        </w:rPr>
        <w:t>ar, geografiska förhållanden, befolkning och personalsituation. Man har också i vissa fall tagit hänsyn till den tidigare organisationen och bara gjort marginella förändringar. Revisorerna anser dock inte att det är något själ</w:t>
      </w:r>
      <w:r w:rsidRPr="00EE1E0C">
        <w:rPr>
          <w:i/>
        </w:rPr>
        <w:t>v</w:t>
      </w:r>
      <w:r w:rsidRPr="00EE1E0C">
        <w:rPr>
          <w:i/>
        </w:rPr>
        <w:t>ändamål att polisen är organiserad på samma sätt i hela landet. Vidare konstateras att utbildningen i närpolisverksamhet och i problemorienterat arbete borde har varit mer omfattande när polisen omorganiserades.</w:t>
      </w:r>
    </w:p>
    <w:p w:rsidR="00031A3F" w:rsidRPr="00EE1E0C" w:rsidRDefault="00031A3F">
      <w:r w:rsidRPr="00EE1E0C">
        <w:rPr>
          <w:i/>
        </w:rPr>
        <w:t>Justitieombudsmannen</w:t>
      </w:r>
      <w:r w:rsidRPr="00EE1E0C">
        <w:t xml:space="preserve"> framhåller att det av såväl rättssäkerhets- som effe</w:t>
      </w:r>
      <w:r w:rsidRPr="00EE1E0C">
        <w:t>k</w:t>
      </w:r>
      <w:r w:rsidRPr="00EE1E0C">
        <w:t>tivitetsskäl är angeläget att åklagaruppgiften hålls organisatoriskt åtskild från polisväsendet.</w:t>
      </w:r>
    </w:p>
    <w:p w:rsidR="00031A3F" w:rsidRPr="00EE1E0C" w:rsidRDefault="00031A3F">
      <w:r w:rsidRPr="00EE1E0C">
        <w:rPr>
          <w:i/>
        </w:rPr>
        <w:t>Justitiedepartementet</w:t>
      </w:r>
      <w:r w:rsidRPr="00EE1E0C">
        <w:t xml:space="preserve"> delar revisorernas uppfattning att det inte är möjligt att utifrån granskningen dra slutsatsen att en organisationsform är bättre än en annan. </w:t>
      </w:r>
    </w:p>
    <w:p w:rsidR="00031A3F" w:rsidRPr="00EE1E0C" w:rsidRDefault="00031A3F">
      <w:r w:rsidRPr="00EE1E0C">
        <w:rPr>
          <w:i/>
        </w:rPr>
        <w:t>Nacka tingsrätt</w:t>
      </w:r>
      <w:r w:rsidRPr="00EE1E0C">
        <w:t xml:space="preserve"> menar att den centralisering som genomförts inom delar av rättsväsendet inte varit utan negativa konsekvenser. Tingsrätten har tidigare framfört att det bästa är att polis, åklagare och domstol finns på samma ort. </w:t>
      </w:r>
    </w:p>
    <w:p w:rsidR="00031A3F" w:rsidRPr="00EE1E0C" w:rsidRDefault="00031A3F">
      <w:r w:rsidRPr="00EE1E0C">
        <w:rPr>
          <w:i/>
        </w:rPr>
        <w:t>Riksåklagaren</w:t>
      </w:r>
      <w:r w:rsidRPr="00EE1E0C">
        <w:t xml:space="preserve"> framhåller att reformarbetet inte varit begränsat till den 1 juli 1996 och tiden närmast efter. Ett målmedvetet, långsiktigt och systematiskt arbete har därefter bedrivits för att ytterligare utveckla reformen och ta till</w:t>
      </w:r>
      <w:r w:rsidRPr="00EE1E0C">
        <w:softHyphen/>
        <w:t>vara alla de fördelar som den nya organisationen erbjuder. Riksåklagaren framhåller att resultatet av åklagarreformen måste betraktas som mycket positivt. Mycket av den kritik som framförts går att hänföra till annat än åklagarnas omorganisation. Även inrättandet av Ekobrottsmyndigheten k</w:t>
      </w:r>
      <w:r w:rsidRPr="00EE1E0C">
        <w:t>nappa två år efter omorganisationen skapade enligt riksåklagaren ytterligare påfrestningar för verksamheten.</w:t>
      </w:r>
    </w:p>
    <w:p w:rsidR="00031A3F" w:rsidRPr="00EE1E0C" w:rsidRDefault="00031A3F">
      <w:r w:rsidRPr="00EE1E0C">
        <w:rPr>
          <w:i/>
        </w:rPr>
        <w:t>Åklagarmyndigheten i Göteborg</w:t>
      </w:r>
      <w:r w:rsidRPr="00EE1E0C">
        <w:t xml:space="preserve"> påpekar att mycket av den kritik som fra</w:t>
      </w:r>
      <w:r w:rsidRPr="00EE1E0C">
        <w:t>m</w:t>
      </w:r>
      <w:r w:rsidRPr="00EE1E0C">
        <w:t>förts mot omorganisationen är att hänföra till andra faktorer, t.ex. det ek</w:t>
      </w:r>
      <w:r w:rsidRPr="00EE1E0C">
        <w:t>o</w:t>
      </w:r>
      <w:r w:rsidRPr="00EE1E0C">
        <w:t>nomiska läget och bildandet av Ekobrottsmyndigheten.</w:t>
      </w:r>
    </w:p>
    <w:p w:rsidR="00031A3F" w:rsidRPr="00EE1E0C" w:rsidRDefault="00031A3F">
      <w:r w:rsidRPr="00EE1E0C">
        <w:rPr>
          <w:i/>
        </w:rPr>
        <w:t>Åklagarmyndigheten i Umeå</w:t>
      </w:r>
      <w:r w:rsidRPr="00EE1E0C">
        <w:t xml:space="preserve"> menar att möjligheterna att lösa persona</w:t>
      </w:r>
      <w:r w:rsidRPr="00EE1E0C">
        <w:t>l</w:t>
      </w:r>
      <w:r w:rsidRPr="00EE1E0C">
        <w:t>problem och tillfälliga arbetsanhopningar ökat väsentligt genom samma</w:t>
      </w:r>
      <w:r w:rsidRPr="00EE1E0C">
        <w:t>n</w:t>
      </w:r>
      <w:r w:rsidRPr="00EE1E0C">
        <w:t>slagningen av de två Norrlandsmyndigheterna. Man menar att kamrarna är väl lämpade att hantera den mer vardagsnära brottsligheten. Beträffande den mer kvalificerade brottsligheten har samordning av vissa av dessa brott g</w:t>
      </w:r>
      <w:r w:rsidRPr="00EE1E0C">
        <w:t>e</w:t>
      </w:r>
      <w:r w:rsidRPr="00EE1E0C">
        <w:t>nomförts.</w:t>
      </w:r>
    </w:p>
    <w:p w:rsidR="00031A3F" w:rsidRPr="00EE1E0C" w:rsidRDefault="00031A3F">
      <w:r w:rsidRPr="00EE1E0C">
        <w:rPr>
          <w:i/>
        </w:rPr>
        <w:t>Polismyndigheten i Östergötlands län</w:t>
      </w:r>
      <w:r w:rsidRPr="00EE1E0C">
        <w:t xml:space="preserve"> finner revisorernas slutsats, att det inte går att se något samband mellan resultat och valet av en viss organisation</w:t>
      </w:r>
      <w:r w:rsidRPr="00EE1E0C">
        <w:t>s</w:t>
      </w:r>
      <w:r w:rsidRPr="00EE1E0C">
        <w:t>form, vara naturlig. Polismyndigheten menar att detta ska tolkas så att my</w:t>
      </w:r>
      <w:r w:rsidRPr="00EE1E0C">
        <w:t>n</w:t>
      </w:r>
      <w:r w:rsidRPr="00EE1E0C">
        <w:t>digheterna varit framgångsrika i att anpassa verksamheten till de lokala fö</w:t>
      </w:r>
      <w:r w:rsidRPr="00EE1E0C">
        <w:t>r</w:t>
      </w:r>
      <w:r w:rsidRPr="00EE1E0C">
        <w:t>hållanden som råder.</w:t>
      </w:r>
    </w:p>
    <w:p w:rsidR="00031A3F" w:rsidRPr="00EE1E0C" w:rsidRDefault="00031A3F">
      <w:r w:rsidRPr="00EE1E0C">
        <w:rPr>
          <w:i/>
        </w:rPr>
        <w:t>Polismyndigheten i Blekinge län</w:t>
      </w:r>
      <w:r w:rsidRPr="00EE1E0C">
        <w:t xml:space="preserve"> påpekar att det alltid uppstår missnöje och därmed sämre arbetsresultat vid förändringar som inte stöds av alla. Sämre arbetsresultat kan också enligt myndigheten uppstå om inte alla känner sig delaktiga i reformen.</w:t>
      </w:r>
    </w:p>
    <w:p w:rsidR="00031A3F" w:rsidRPr="00EE1E0C" w:rsidRDefault="00031A3F">
      <w:r w:rsidRPr="00EE1E0C">
        <w:rPr>
          <w:i/>
        </w:rPr>
        <w:t>Polismyndigheten i Skåne</w:t>
      </w:r>
      <w:r w:rsidRPr="00EE1E0C">
        <w:t xml:space="preserve"> anser att en diskussion bör föras om att införa en gemensam myndighetsstruktur för polis och åklagare. Även frågan om att ge polisen rätt att uppträda som åklagare inför domstol i vissa brott bör diskut</w:t>
      </w:r>
      <w:r w:rsidRPr="00EE1E0C">
        <w:t>e</w:t>
      </w:r>
      <w:r w:rsidRPr="00EE1E0C">
        <w:t>ras.</w:t>
      </w:r>
    </w:p>
    <w:p w:rsidR="00031A3F" w:rsidRPr="00EE1E0C" w:rsidRDefault="00031A3F">
      <w:r w:rsidRPr="00EE1E0C">
        <w:rPr>
          <w:i/>
        </w:rPr>
        <w:t>Brottsförebyggande rådet</w:t>
      </w:r>
      <w:r w:rsidRPr="00EE1E0C">
        <w:t xml:space="preserve"> menar att det är intressant att revisorerna har b</w:t>
      </w:r>
      <w:r w:rsidRPr="00EE1E0C">
        <w:t>e</w:t>
      </w:r>
      <w:r w:rsidRPr="00EE1E0C">
        <w:t>lyst det förhållandet att vad som på papperet framstår som omfattande refo</w:t>
      </w:r>
      <w:r w:rsidRPr="00EE1E0C">
        <w:t>r</w:t>
      </w:r>
      <w:r w:rsidRPr="00EE1E0C">
        <w:t xml:space="preserve">mer i praktiken inte alltid innebär så stora förändringar som man först tror. </w:t>
      </w:r>
    </w:p>
    <w:p w:rsidR="00031A3F" w:rsidRPr="00EE1E0C" w:rsidRDefault="00031A3F">
      <w:r w:rsidRPr="00EE1E0C">
        <w:rPr>
          <w:i/>
        </w:rPr>
        <w:t xml:space="preserve">Polisförbundet </w:t>
      </w:r>
      <w:r w:rsidRPr="00EE1E0C">
        <w:t>anser att en återgång till den tidigare prestationsnivån ko</w:t>
      </w:r>
      <w:r w:rsidRPr="00EE1E0C">
        <w:t>m</w:t>
      </w:r>
      <w:r w:rsidRPr="00EE1E0C">
        <w:t>mer att ta mycket lång tid. Förbundet framhåller att kriminalavdelningar har slagits sönder och erfarna utredare pensionerats. Myndigheten har inte til</w:t>
      </w:r>
      <w:r w:rsidRPr="00EE1E0C">
        <w:t>l</w:t>
      </w:r>
      <w:r w:rsidRPr="00EE1E0C">
        <w:t>räckliga resurser för att öka sin kompetens.  Polisförbundet menar också att resultatet då organisationsförändringarna inom polisen överlåtits till länsst</w:t>
      </w:r>
      <w:r w:rsidRPr="00EE1E0C">
        <w:t>y</w:t>
      </w:r>
      <w:r w:rsidRPr="00EE1E0C">
        <w:t>relserna och myndigheterna har blivit tämligen olika över hela landet. Man påpekar att nomenklaturen både för organisationsdelar och funktioner i</w:t>
      </w:r>
      <w:r w:rsidRPr="00EE1E0C">
        <w:t xml:space="preserve">nte är jämförbara mellan myndigheterna. Polisförbundet anser därför att polislagen och polisförordningen bör bli föremål för översyn för att rätt spegla den organisation och de funktioner som finns.  Polisen bör få en linjeorganisation med Rikspolisstyrelsen som överordnad myndighet. Slutligen framhåller förbundet att åtgärder skyndsamt måste vidtas för att säkra rekryteringen av poliser. Exempelvis menar man att ökade beslutsbefogenheter och större ansvar genom förändringar i organisationen bör införas så </w:t>
      </w:r>
      <w:r w:rsidRPr="00EE1E0C">
        <w:t>att den enskilde polismannen får ett större inflytande i verksamh</w:t>
      </w:r>
      <w:r w:rsidRPr="00EE1E0C">
        <w:t>e</w:t>
      </w:r>
      <w:r w:rsidRPr="00EE1E0C">
        <w:t>ten.</w:t>
      </w:r>
    </w:p>
    <w:p w:rsidR="00031A3F" w:rsidRPr="00EE1E0C" w:rsidRDefault="00031A3F">
      <w:pPr>
        <w:pStyle w:val="Rubrik3"/>
      </w:pPr>
      <w:bookmarkStart w:id="373" w:name="_Toc465973530"/>
      <w:bookmarkStart w:id="374" w:name="_Toc466264264"/>
      <w:r w:rsidRPr="00EE1E0C">
        <w:t>Rättsväsendets prestationer</w:t>
      </w:r>
      <w:bookmarkEnd w:id="373"/>
      <w:bookmarkEnd w:id="374"/>
      <w:r w:rsidRPr="00EE1E0C">
        <w:t xml:space="preserve"> </w:t>
      </w:r>
    </w:p>
    <w:p w:rsidR="00031A3F" w:rsidRPr="00EE1E0C" w:rsidRDefault="00031A3F">
      <w:pPr>
        <w:rPr>
          <w:i/>
        </w:rPr>
      </w:pPr>
      <w:r w:rsidRPr="00EE1E0C">
        <w:rPr>
          <w:i/>
        </w:rPr>
        <w:t>Revisorerna har som prestationsmått använt bl.a. handläggningstider, antal ärenden överlämnade till åklagare samt ärendens genomströmningstid g</w:t>
      </w:r>
      <w:r w:rsidRPr="00EE1E0C">
        <w:rPr>
          <w:i/>
        </w:rPr>
        <w:t>e</w:t>
      </w:r>
      <w:r w:rsidRPr="00EE1E0C">
        <w:rPr>
          <w:i/>
        </w:rPr>
        <w:t>nom rättsväsendet. Revisorerna konstaterar att de prestationer som gran</w:t>
      </w:r>
      <w:r w:rsidRPr="00EE1E0C">
        <w:rPr>
          <w:i/>
        </w:rPr>
        <w:t>s</w:t>
      </w:r>
      <w:r w:rsidRPr="00EE1E0C">
        <w:rPr>
          <w:i/>
        </w:rPr>
        <w:t>kats har försämrats under senare delen av 1990-talet. Polisens och åklaga</w:t>
      </w:r>
      <w:r w:rsidRPr="00EE1E0C">
        <w:rPr>
          <w:i/>
        </w:rPr>
        <w:t>r</w:t>
      </w:r>
      <w:r w:rsidRPr="00EE1E0C">
        <w:rPr>
          <w:i/>
        </w:rPr>
        <w:t>nas prestationer mäts nästan uteslutande i kvantitativa termer. Revisorerna efterlyser fler kvalitativa mått för att rättssäkerhetsfrågorna ska kunna up</w:t>
      </w:r>
      <w:r w:rsidRPr="00EE1E0C">
        <w:rPr>
          <w:i/>
        </w:rPr>
        <w:t>p</w:t>
      </w:r>
      <w:r w:rsidRPr="00EE1E0C">
        <w:rPr>
          <w:i/>
        </w:rPr>
        <w:t>märksammas tillräckligt. Utifrån revisorernas undersökning av prestation</w:t>
      </w:r>
      <w:r w:rsidRPr="00EE1E0C">
        <w:rPr>
          <w:i/>
        </w:rPr>
        <w:t>s</w:t>
      </w:r>
      <w:r w:rsidRPr="00EE1E0C">
        <w:rPr>
          <w:i/>
        </w:rPr>
        <w:t>måtten går det inte att dra slutsatsen att en organisationsform är bättre än en a</w:t>
      </w:r>
      <w:r w:rsidRPr="00EE1E0C">
        <w:rPr>
          <w:i/>
        </w:rPr>
        <w:t>n</w:t>
      </w:r>
      <w:r w:rsidRPr="00EE1E0C">
        <w:rPr>
          <w:i/>
        </w:rPr>
        <w:t>nan.</w:t>
      </w:r>
    </w:p>
    <w:p w:rsidR="00031A3F" w:rsidRPr="00EE1E0C" w:rsidRDefault="00031A3F">
      <w:r w:rsidRPr="00EE1E0C">
        <w:rPr>
          <w:i/>
        </w:rPr>
        <w:t>Justitieombudsmannen</w:t>
      </w:r>
      <w:r w:rsidRPr="00EE1E0C">
        <w:t xml:space="preserve"> efterlyser en mera nyanserad metod för att mäta prestationer inom rättsväsendet. Justitieombudsmannen understryker att rättsväsendet utgör själva kärnan i rättsstaten och menar att det är uppenbart att rättssäkerhetsaspekter och andra kvalitetsaspekter måste tillmätas central betydelse när man utvärderar rättsväsendets prestationer. Effektivitetstä</w:t>
      </w:r>
      <w:r w:rsidRPr="00EE1E0C">
        <w:t>n</w:t>
      </w:r>
      <w:r w:rsidRPr="00EE1E0C">
        <w:t>kandet får inte gå så långt att man kommer i konflikt med kravet på rättss</w:t>
      </w:r>
      <w:r w:rsidRPr="00EE1E0C">
        <w:t>ä</w:t>
      </w:r>
      <w:r w:rsidRPr="00EE1E0C">
        <w:t>kerhet för den enskilde.</w:t>
      </w:r>
    </w:p>
    <w:p w:rsidR="00031A3F" w:rsidRPr="00EE1E0C" w:rsidRDefault="00031A3F">
      <w:r w:rsidRPr="00EE1E0C">
        <w:rPr>
          <w:i/>
        </w:rPr>
        <w:t>Solna tingsrätt</w:t>
      </w:r>
      <w:r w:rsidRPr="00EE1E0C">
        <w:t xml:space="preserve"> menar att en oproportionerligt stor andel av de åtal som på senare år inkommit till tingsrätten gäller sådant som snatteri och våldsamt motstånd. Enligt tingsrätten kan detta möjligen sammanhänga med att pol</w:t>
      </w:r>
      <w:r w:rsidRPr="00EE1E0C">
        <w:t>i</w:t>
      </w:r>
      <w:r w:rsidRPr="00EE1E0C">
        <w:t>sens och åklagarnas verksamhet mäts i enbart kvantitativa termer.</w:t>
      </w:r>
    </w:p>
    <w:p w:rsidR="00031A3F" w:rsidRPr="00EE1E0C" w:rsidRDefault="00031A3F">
      <w:r w:rsidRPr="00EE1E0C">
        <w:rPr>
          <w:i/>
        </w:rPr>
        <w:t>Riksåklagaren</w:t>
      </w:r>
      <w:r w:rsidRPr="00EE1E0C">
        <w:t xml:space="preserve"> påpekar att en helt ny modell för att överskådligt kunna följa utvecklingen av åklagarväsendets prestationer har tagits fram. Modellen tillämpas fr.o.m. budgetåret 1999 och tar även sikte på kvaliteten i verksa</w:t>
      </w:r>
      <w:r w:rsidRPr="00EE1E0C">
        <w:t>m</w:t>
      </w:r>
      <w:r w:rsidRPr="00EE1E0C">
        <w:t>heten, såsom lagföring och handläggningstider. Riksåklagaren framhåller också att arbetet med att utveckla metoder och modeller för kvalitetssäkring och b</w:t>
      </w:r>
      <w:r w:rsidRPr="00EE1E0C">
        <w:t>e</w:t>
      </w:r>
      <w:r w:rsidRPr="00EE1E0C">
        <w:t>dömning av rättssäkerheten fortsätter.</w:t>
      </w:r>
    </w:p>
    <w:p w:rsidR="00031A3F" w:rsidRPr="00EE1E0C" w:rsidRDefault="00031A3F">
      <w:r w:rsidRPr="00EE1E0C">
        <w:rPr>
          <w:i/>
        </w:rPr>
        <w:t>Åklagarmyndigheten i Umeå</w:t>
      </w:r>
      <w:r w:rsidRPr="00EE1E0C">
        <w:t xml:space="preserve"> delar revisorernas uppfattning att det är viktigt att kvalitetsmått tas fram. Myndigheten menar att revisorerna i sin analys av förundersökningarnas kvalitet skulle kunna ha använt sig av andelen fällande domar för att se om den mer allmänt hållna kritiken mot förundersökningarna också visat sig få genomslag i domstolarnas behandling.</w:t>
      </w:r>
    </w:p>
    <w:p w:rsidR="00031A3F" w:rsidRPr="00EE1E0C" w:rsidRDefault="00031A3F">
      <w:r w:rsidRPr="00EE1E0C">
        <w:rPr>
          <w:i/>
        </w:rPr>
        <w:t>Rikspolisstyrelsen</w:t>
      </w:r>
      <w:r w:rsidRPr="00EE1E0C">
        <w:t xml:space="preserve"> framhåller att den resultatmodell som polisen använder fortlöpande ses över. Vid översynen söker man enligt Rikspolisstyrelsen bl.a. efter kvalitetsbeskrivande mått och mått som belyser hur det problemorient</w:t>
      </w:r>
      <w:r w:rsidRPr="00EE1E0C">
        <w:t>e</w:t>
      </w:r>
      <w:r w:rsidRPr="00EE1E0C">
        <w:t>rade arbetssättet fungerar. Rikspolisstyrelsen efterlyser en förklaring till varför revisorerna har valt vissa mätetal medan Statskontoret i sina effekt</w:t>
      </w:r>
      <w:r w:rsidRPr="00EE1E0C">
        <w:t>i</w:t>
      </w:r>
      <w:r w:rsidRPr="00EE1E0C">
        <w:t xml:space="preserve">vitetsmätningar använt andra. </w:t>
      </w:r>
    </w:p>
    <w:p w:rsidR="00031A3F" w:rsidRPr="00EE1E0C" w:rsidRDefault="00031A3F">
      <w:r w:rsidRPr="00EE1E0C">
        <w:rPr>
          <w:i/>
        </w:rPr>
        <w:t>Polismyndigheten i Östergötlands län</w:t>
      </w:r>
      <w:r w:rsidRPr="00EE1E0C">
        <w:t xml:space="preserve"> menar att en orsak till att prestation</w:t>
      </w:r>
      <w:r w:rsidRPr="00EE1E0C">
        <w:t>s</w:t>
      </w:r>
      <w:r w:rsidRPr="00EE1E0C">
        <w:t>nivån ännu inte återgått till tidigare nivå kan vara att omfattande pers</w:t>
      </w:r>
      <w:r w:rsidRPr="00EE1E0C">
        <w:t>o</w:t>
      </w:r>
      <w:r w:rsidRPr="00EE1E0C">
        <w:t>nalminskningar genomförts i länet parallellt med organisationsförändringa</w:t>
      </w:r>
      <w:r w:rsidRPr="00EE1E0C">
        <w:t>r</w:t>
      </w:r>
      <w:r w:rsidRPr="00EE1E0C">
        <w:t>na.</w:t>
      </w:r>
    </w:p>
    <w:p w:rsidR="00031A3F" w:rsidRPr="00EE1E0C" w:rsidRDefault="00031A3F">
      <w:r w:rsidRPr="00EE1E0C">
        <w:rPr>
          <w:i/>
        </w:rPr>
        <w:t>Polismyndigheten i Blekinge län</w:t>
      </w:r>
      <w:r w:rsidRPr="00EE1E0C">
        <w:t xml:space="preserve"> anser att den nuvarande resultatmodellen inte är bra – utom möjligen för regeringen och Rikspolisstyrelsen. Modellen speglar enligt polismyndigheten inte verkligheten och ger inte något återfl</w:t>
      </w:r>
      <w:r w:rsidRPr="00EE1E0C">
        <w:t>ö</w:t>
      </w:r>
      <w:r w:rsidRPr="00EE1E0C">
        <w:t>de efte</w:t>
      </w:r>
      <w:r w:rsidRPr="00EE1E0C">
        <w:t>r</w:t>
      </w:r>
      <w:r w:rsidRPr="00EE1E0C">
        <w:t>som den inte har trängt ut i organisationen.</w:t>
      </w:r>
    </w:p>
    <w:p w:rsidR="00031A3F" w:rsidRPr="00EE1E0C" w:rsidRDefault="00031A3F">
      <w:r w:rsidRPr="00EE1E0C">
        <w:rPr>
          <w:i/>
        </w:rPr>
        <w:t>Polismyndigheten i Västernorrlands län</w:t>
      </w:r>
      <w:r w:rsidRPr="00EE1E0C">
        <w:t xml:space="preserve"> anser att den anmälda brottsligheten och uppklarningsprocenten är bra kvalitetsmått. Myndigheten menar också att en möjlighet att mäta kvalitet är att fråga invånarna i ett närpolisområde om vad de anser om polisens arbete.</w:t>
      </w:r>
    </w:p>
    <w:p w:rsidR="00031A3F" w:rsidRPr="00EE1E0C" w:rsidRDefault="00031A3F">
      <w:pPr>
        <w:pStyle w:val="Rubrik3"/>
      </w:pPr>
      <w:bookmarkStart w:id="375" w:name="_Toc465973531"/>
      <w:bookmarkStart w:id="376" w:name="_Toc466264265"/>
      <w:r w:rsidRPr="00EE1E0C">
        <w:t>Polisens synlighet</w:t>
      </w:r>
      <w:bookmarkEnd w:id="375"/>
      <w:bookmarkEnd w:id="376"/>
    </w:p>
    <w:p w:rsidR="00031A3F" w:rsidRPr="00EE1E0C" w:rsidRDefault="00031A3F">
      <w:pPr>
        <w:rPr>
          <w:i/>
        </w:rPr>
      </w:pPr>
      <w:r w:rsidRPr="00EE1E0C">
        <w:rPr>
          <w:i/>
        </w:rPr>
        <w:t>Revisorerna konstaterar att andelen poliser av det totala antalet poliser i tjänst under nätterna minskat. Revisorerna betonar vikten av att polisen blir så synlig som möjligt. Det gäller såväl närpoliser som poliser som tjänstgör under helgnätte</w:t>
      </w:r>
      <w:r w:rsidRPr="00EE1E0C">
        <w:rPr>
          <w:i/>
        </w:rPr>
        <w:t>r</w:t>
      </w:r>
      <w:r w:rsidRPr="00EE1E0C">
        <w:rPr>
          <w:i/>
        </w:rPr>
        <w:t>na.</w:t>
      </w:r>
    </w:p>
    <w:p w:rsidR="00031A3F" w:rsidRPr="00EE1E0C" w:rsidRDefault="00031A3F">
      <w:r w:rsidRPr="00EE1E0C">
        <w:rPr>
          <w:i/>
        </w:rPr>
        <w:t>Södra Roslags tingsrätt</w:t>
      </w:r>
      <w:r w:rsidRPr="00EE1E0C">
        <w:t xml:space="preserve"> anser att det är viktigt att ett tillräckligt antal poliser tjänstgör under helgnätter och att polisen kommer till rätta med de problem som finns med arbetstiderna. Enligt tingsrätten bör närpoliserna vara så synliga som möjligt ute i det egna närpolisområdet för att allmänheten ska känna sig trygg på gator och torg.</w:t>
      </w:r>
    </w:p>
    <w:p w:rsidR="00031A3F" w:rsidRPr="00EE1E0C" w:rsidRDefault="00031A3F">
      <w:r w:rsidRPr="00EE1E0C">
        <w:rPr>
          <w:i/>
        </w:rPr>
        <w:t>Riksåklagaren</w:t>
      </w:r>
      <w:r w:rsidRPr="00EE1E0C">
        <w:t xml:space="preserve"> delar revisorernas uppfattning att det är nödvändigt att närp</w:t>
      </w:r>
      <w:r w:rsidRPr="00EE1E0C">
        <w:t>o</w:t>
      </w:r>
      <w:r w:rsidRPr="00EE1E0C">
        <w:t>lisernas tid inte upptas av alltför mycket inre tjänst. Riksåklagren vill dock samtidigt framhålla vikten av att de brottsutredningar som läggs på närpol</w:t>
      </w:r>
      <w:r w:rsidRPr="00EE1E0C">
        <w:t>i</w:t>
      </w:r>
      <w:r w:rsidRPr="00EE1E0C">
        <w:t>sen utförs snabbt och med god kvalitet och att närpolisen har ett heltäckande ansvar för alla polisverksamhet, såväl repressiv som preventiv.</w:t>
      </w:r>
    </w:p>
    <w:p w:rsidR="00031A3F" w:rsidRPr="00EE1E0C" w:rsidRDefault="00031A3F">
      <w:r w:rsidRPr="00EE1E0C">
        <w:rPr>
          <w:i/>
        </w:rPr>
        <w:t>Åklagarmyndigheten i Göteborg</w:t>
      </w:r>
      <w:r w:rsidRPr="00EE1E0C">
        <w:t xml:space="preserve"> delar revisorernas uppfattning att det är viktigt att närpoliserna är synliga på gator och torg, inte minst under helgnätter. Myndigheten framhåller dock att det också är viktigt att tillräckl</w:t>
      </w:r>
      <w:r w:rsidRPr="00EE1E0C">
        <w:t>i</w:t>
      </w:r>
      <w:r w:rsidRPr="00EE1E0C">
        <w:t>ga resurser tillförs närpolisområdena för utredningsverksamheten.</w:t>
      </w:r>
    </w:p>
    <w:p w:rsidR="00031A3F" w:rsidRPr="00EE1E0C" w:rsidRDefault="00031A3F">
      <w:r w:rsidRPr="00EE1E0C">
        <w:rPr>
          <w:i/>
        </w:rPr>
        <w:t>Rikspolisstyrelsen</w:t>
      </w:r>
      <w:r w:rsidRPr="00EE1E0C">
        <w:t xml:space="preserve"> anser att det är viktigt att polisen finns på plats på tider när brott och ordningsstörningar regelmässigt äger rum. Rikspolisstyrelsen m</w:t>
      </w:r>
      <w:r w:rsidRPr="00EE1E0C">
        <w:t>e</w:t>
      </w:r>
      <w:r w:rsidRPr="00EE1E0C">
        <w:t>nar dock att polisen ställs inför delvis oförenliga krav. Om poliserna ska ägna mer tid och omsorg åt förundersökningsverksamhet i syfte att höja förunde</w:t>
      </w:r>
      <w:r w:rsidRPr="00EE1E0C">
        <w:t>r</w:t>
      </w:r>
      <w:r w:rsidRPr="00EE1E0C">
        <w:t>sökningarnas kvalitet blir synligheten lidande.</w:t>
      </w:r>
    </w:p>
    <w:p w:rsidR="00031A3F" w:rsidRPr="00EE1E0C" w:rsidRDefault="00031A3F">
      <w:r w:rsidRPr="00EE1E0C">
        <w:rPr>
          <w:i/>
        </w:rPr>
        <w:t>Polismyndigheten i Västernorrlands län</w:t>
      </w:r>
      <w:r w:rsidRPr="00EE1E0C">
        <w:t xml:space="preserve"> menar att polisens synlighet kunde vara bättre. Myndigheten framhåller att en översyn har gjorts av polisernas tjänstgöringslistor i syfte att fler poliser ska arbeta under hel</w:t>
      </w:r>
      <w:r w:rsidRPr="00EE1E0C">
        <w:t>g</w:t>
      </w:r>
      <w:r w:rsidRPr="00EE1E0C">
        <w:t>nätter.</w:t>
      </w:r>
    </w:p>
    <w:p w:rsidR="00031A3F" w:rsidRPr="00EE1E0C" w:rsidRDefault="00031A3F">
      <w:r w:rsidRPr="00EE1E0C">
        <w:rPr>
          <w:i/>
        </w:rPr>
        <w:t>Brottsförebyggande rådet</w:t>
      </w:r>
      <w:r w:rsidRPr="00EE1E0C">
        <w:t xml:space="preserve"> påpekar att man måste ha klart för sig att ökad synlighet innebär att annan verksamhet minskar, främst utredningsverksa</w:t>
      </w:r>
      <w:r w:rsidRPr="00EE1E0C">
        <w:t>m</w:t>
      </w:r>
      <w:r w:rsidRPr="00EE1E0C">
        <w:t>heten.</w:t>
      </w:r>
    </w:p>
    <w:p w:rsidR="00031A3F" w:rsidRPr="00EE1E0C" w:rsidRDefault="00031A3F">
      <w:r w:rsidRPr="00EE1E0C">
        <w:rPr>
          <w:i/>
        </w:rPr>
        <w:t>Polisförbundet</w:t>
      </w:r>
      <w:r w:rsidRPr="00EE1E0C">
        <w:t xml:space="preserve"> framhåller att under 1996 och fram till januari 1998 har de flesta polismyndigheter påkallat förhandlingar om ändrad arbetstidsförkor</w:t>
      </w:r>
      <w:r w:rsidRPr="00EE1E0C">
        <w:t>t</w:t>
      </w:r>
      <w:r w:rsidRPr="00EE1E0C">
        <w:t>ning. Förbundet menar att andelen polismän i skifttjänst och andelen nattjänstgöring har ökat de senaste åren. Dessutom har medelåldern hos dem som utför skifttjänsten ökat. Polisförbundet anser, under rådande arbetssitu</w:t>
      </w:r>
      <w:r w:rsidRPr="00EE1E0C">
        <w:t>a</w:t>
      </w:r>
      <w:r w:rsidRPr="00EE1E0C">
        <w:t>tion med små resurser, hårdnande klimat och hög medelålder, att om man koncentrerar arbetstiden till fredags- och lördagsnätter ökar risken för arbet</w:t>
      </w:r>
      <w:r w:rsidRPr="00EE1E0C">
        <w:t>s</w:t>
      </w:r>
      <w:r w:rsidRPr="00EE1E0C">
        <w:t>skador</w:t>
      </w:r>
      <w:r w:rsidRPr="00EE1E0C">
        <w:t xml:space="preserve"> och utbrändhet. Förbundet menar att ojämnheter i produktionen och arbetsbelas</w:t>
      </w:r>
      <w:r w:rsidRPr="00EE1E0C">
        <w:t>t</w:t>
      </w:r>
      <w:r w:rsidRPr="00EE1E0C">
        <w:t>ningen i ökad utsträckning måste bemästras med övertidsarbete.</w:t>
      </w:r>
    </w:p>
    <w:p w:rsidR="00031A3F" w:rsidRPr="00EE1E0C" w:rsidRDefault="00031A3F">
      <w:pPr>
        <w:rPr>
          <w:b/>
        </w:rPr>
      </w:pPr>
    </w:p>
    <w:p w:rsidR="00031A3F" w:rsidRPr="00EE1E0C" w:rsidRDefault="00031A3F">
      <w:pPr>
        <w:rPr>
          <w:b/>
        </w:rPr>
      </w:pPr>
    </w:p>
    <w:p w:rsidR="00031A3F" w:rsidRPr="00EE1E0C" w:rsidRDefault="00031A3F">
      <w:pPr>
        <w:rPr>
          <w:b/>
        </w:rPr>
      </w:pPr>
    </w:p>
    <w:p w:rsidR="00031A3F" w:rsidRPr="00EE1E0C" w:rsidRDefault="00031A3F">
      <w:pPr>
        <w:pStyle w:val="Rubrik3"/>
      </w:pPr>
      <w:bookmarkStart w:id="377" w:name="_Toc465973532"/>
      <w:bookmarkStart w:id="378" w:name="_Toc466264266"/>
      <w:r w:rsidRPr="00EE1E0C">
        <w:t>Förundersökningarnas kvalitet</w:t>
      </w:r>
      <w:bookmarkEnd w:id="377"/>
      <w:bookmarkEnd w:id="378"/>
    </w:p>
    <w:p w:rsidR="00031A3F" w:rsidRPr="00EE1E0C" w:rsidRDefault="00031A3F">
      <w:pPr>
        <w:rPr>
          <w:i/>
        </w:rPr>
      </w:pPr>
      <w:r w:rsidRPr="00EE1E0C">
        <w:rPr>
          <w:i/>
        </w:rPr>
        <w:t xml:space="preserve">Revisorerna menar att ett viktigt mått på polisens och åklagarnas arbete är förundersökningarnas kvalitet. Revisorerna ser allvarligt på den kritik som framkommit i granskningen mot långa handläggningstider av ärenden och brister i förundersökningarnas kvalitet. </w:t>
      </w:r>
    </w:p>
    <w:p w:rsidR="00031A3F" w:rsidRPr="00EE1E0C" w:rsidRDefault="00031A3F">
      <w:r w:rsidRPr="00EE1E0C">
        <w:rPr>
          <w:i/>
        </w:rPr>
        <w:t>Justitieombudsmannen</w:t>
      </w:r>
      <w:r w:rsidRPr="00EE1E0C">
        <w:t xml:space="preserve"> menar att den omständigheten att förundersökninga</w:t>
      </w:r>
      <w:r w:rsidRPr="00EE1E0C">
        <w:t>r</w:t>
      </w:r>
      <w:r w:rsidRPr="00EE1E0C">
        <w:t>nas kvalitet sätts i fråga måste tas på största allvar. Han anser också att r</w:t>
      </w:r>
      <w:r w:rsidRPr="00EE1E0C">
        <w:t>e</w:t>
      </w:r>
      <w:r w:rsidRPr="00EE1E0C">
        <w:t>sultatet av undersökningen av ärendena om misshandel framstår som särskilt nedslående eftersom våldsbrott är en av de brottskategorier som ska priorit</w:t>
      </w:r>
      <w:r w:rsidRPr="00EE1E0C">
        <w:t>e</w:t>
      </w:r>
      <w:r w:rsidRPr="00EE1E0C">
        <w:t>ras i utredningshänseende. Justitieombudsmannen understryker vikten av att åklagarna bedriver en aktiv förundersökningsledning och att de därmed kan utgöra en förebild för polisens egna förundersökningsledare. Enligt Justiti</w:t>
      </w:r>
      <w:r w:rsidRPr="00EE1E0C">
        <w:t>e</w:t>
      </w:r>
      <w:r w:rsidRPr="00EE1E0C">
        <w:t>ombudsm</w:t>
      </w:r>
      <w:r w:rsidRPr="00EE1E0C">
        <w:t>annen är det angeläget inte minst ur rättssäkerhetssynpunkt att samarbetet mellan polis och åklagare får en sådan utformning att det inte uppstår skilda ”förundersökningskulturer” i de polisledda och i de åklaga</w:t>
      </w:r>
      <w:r w:rsidRPr="00EE1E0C">
        <w:t>r</w:t>
      </w:r>
      <w:r w:rsidRPr="00EE1E0C">
        <w:t>ledda förunde</w:t>
      </w:r>
      <w:r w:rsidRPr="00EE1E0C">
        <w:t>r</w:t>
      </w:r>
      <w:r w:rsidRPr="00EE1E0C">
        <w:t xml:space="preserve">sökningarna. </w:t>
      </w:r>
    </w:p>
    <w:p w:rsidR="00031A3F" w:rsidRPr="00EE1E0C" w:rsidRDefault="00031A3F">
      <w:r w:rsidRPr="00EE1E0C">
        <w:rPr>
          <w:i/>
        </w:rPr>
        <w:t>Justitiedepartementet</w:t>
      </w:r>
      <w:r w:rsidRPr="00EE1E0C">
        <w:t xml:space="preserve"> instämmer i slutsatsen att handläggningstiden vad gäller handläggningen av brottmål är alltför lång. Departementet påpekar att det inom rättsväsendet pågår arbete för att förkorta handläggningstiderna. Bland annat har regeringen i regleringsbrevet för 1998 uppdragit åt Riksp</w:t>
      </w:r>
      <w:r w:rsidRPr="00EE1E0C">
        <w:t>o</w:t>
      </w:r>
      <w:r w:rsidRPr="00EE1E0C">
        <w:t>lisstyrelsen att leda och samordna ett projekt som syftar till att minska g</w:t>
      </w:r>
      <w:r w:rsidRPr="00EE1E0C">
        <w:t>e</w:t>
      </w:r>
      <w:r w:rsidRPr="00EE1E0C">
        <w:t>nomströmningstiderna för våldsbrott. Justitiedepartementet menar vidare att det finns skäl att utveckla kompetensen på förundersökningsområdet. D</w:t>
      </w:r>
      <w:r w:rsidRPr="00EE1E0C">
        <w:t>e</w:t>
      </w:r>
      <w:r w:rsidRPr="00EE1E0C">
        <w:t>partementet f</w:t>
      </w:r>
      <w:r w:rsidRPr="00EE1E0C">
        <w:t>ramhåller också att åklagarorganisationen under de senaste åren har utvecklat organisationen och arbetsmetoderna. Åklagarna har också efter genomförandet av närpolisreformen fått större ansvar för förundersökninga</w:t>
      </w:r>
      <w:r w:rsidRPr="00EE1E0C">
        <w:t>r</w:t>
      </w:r>
      <w:r w:rsidRPr="00EE1E0C">
        <w:t>nas kvalitet.</w:t>
      </w:r>
    </w:p>
    <w:p w:rsidR="00031A3F" w:rsidRPr="00EE1E0C" w:rsidRDefault="00031A3F">
      <w:r w:rsidRPr="00EE1E0C">
        <w:rPr>
          <w:i/>
        </w:rPr>
        <w:t>Nacka tingsrätt</w:t>
      </w:r>
      <w:r w:rsidRPr="00EE1E0C">
        <w:t xml:space="preserve"> konstaterar att revisorernas utredning om förundersökninga</w:t>
      </w:r>
      <w:r w:rsidRPr="00EE1E0C">
        <w:t>r</w:t>
      </w:r>
      <w:r w:rsidRPr="00EE1E0C">
        <w:t xml:space="preserve">nas kvalitet bekräftar vissa av tingsrättens erfarenheter. Tingsrätten efterlyser dock ett mer radikalt nytänkande när det gäller att hitta mera långsiktiga lösningar på de problem som redovisas i rapporten. Tingsrätten menar att en tänkbar lösning skulle vara att polis, åklagare och domstol samarbetade mer intimt redan från tidpunkten för brottet. </w:t>
      </w:r>
    </w:p>
    <w:p w:rsidR="00031A3F" w:rsidRPr="00EE1E0C" w:rsidRDefault="00031A3F">
      <w:r w:rsidRPr="00EE1E0C">
        <w:rPr>
          <w:i/>
        </w:rPr>
        <w:t>Södra Roslags tingsrätt</w:t>
      </w:r>
      <w:r w:rsidRPr="00EE1E0C">
        <w:t xml:space="preserve"> framhåller det viktiga i att genomströmningstakten när det gäller brottmålen blir så hög som möjligt. Man menar också att det är viktigt att tiden från brottsanmälan till dom blir någorlunda lika över hela landet.</w:t>
      </w:r>
    </w:p>
    <w:p w:rsidR="00031A3F" w:rsidRPr="00EE1E0C" w:rsidRDefault="00031A3F">
      <w:r w:rsidRPr="00EE1E0C">
        <w:rPr>
          <w:i/>
        </w:rPr>
        <w:t>Riksåklagaren</w:t>
      </w:r>
      <w:r w:rsidRPr="00EE1E0C">
        <w:t xml:space="preserve"> framhåller att ett stort antal projekt och aktiviteter har initi</w:t>
      </w:r>
      <w:r w:rsidRPr="00EE1E0C">
        <w:t>e</w:t>
      </w:r>
      <w:r w:rsidRPr="00EE1E0C">
        <w:t>rats för att höja kvaliteten på förundersökningarna. Riksåklagaren menar att de undersökningsmetoder som använts i rapporten och de resultat som där redovisats inte speglar dagens situation. Ytterligare ansträngningar görs enligt riksåklagaren fortlöpande för att förbättra läget, t.ex. genom åklaga</w:t>
      </w:r>
      <w:r w:rsidRPr="00EE1E0C">
        <w:t>r</w:t>
      </w:r>
      <w:r w:rsidRPr="00EE1E0C">
        <w:t>mentorernas arbete och kvalitetssäkring.</w:t>
      </w:r>
    </w:p>
    <w:p w:rsidR="00031A3F" w:rsidRPr="00EE1E0C" w:rsidRDefault="00031A3F">
      <w:r w:rsidRPr="00EE1E0C">
        <w:rPr>
          <w:i/>
        </w:rPr>
        <w:t>Åklagarmyndigheten i Malmö</w:t>
      </w:r>
      <w:r w:rsidRPr="00EE1E0C">
        <w:t xml:space="preserve"> menar att revisorernas förslag till förbättringar kan verka kvalitetshöjande, även om det befintliga systemet med åklaga</w:t>
      </w:r>
      <w:r w:rsidRPr="00EE1E0C">
        <w:t>r</w:t>
      </w:r>
      <w:r w:rsidRPr="00EE1E0C">
        <w:t>mentorer och kvalitetssäkring av brottsutredningar är bra för att höja kval</w:t>
      </w:r>
      <w:r w:rsidRPr="00EE1E0C">
        <w:t>i</w:t>
      </w:r>
      <w:r w:rsidRPr="00EE1E0C">
        <w:t>teten på utredningarna. Myndigheten anser dock att den föreslagna special</w:t>
      </w:r>
      <w:r w:rsidRPr="00EE1E0C">
        <w:t>i</w:t>
      </w:r>
      <w:r w:rsidRPr="00EE1E0C">
        <w:t>seringen är en återgång till en ordning som gällde tidigare inom polisen.</w:t>
      </w:r>
    </w:p>
    <w:p w:rsidR="00031A3F" w:rsidRPr="00EE1E0C" w:rsidRDefault="00031A3F">
      <w:r w:rsidRPr="00EE1E0C">
        <w:rPr>
          <w:i/>
        </w:rPr>
        <w:t>Åklagarmyndigheten i Göteborg</w:t>
      </w:r>
      <w:r w:rsidRPr="00EE1E0C">
        <w:t xml:space="preserve"> menar att det är viktigt för allmänhetens förtroende för rättsväsendet att förundersökningarna håller en hög kvalitet och att handläggningstiden från anmälan till ett slutligt avgörande förkortas. Enligt myndigheten är detta en rättssäkerhetsfråga. Åklagarmyndigheten anser att förundersökningarna blivit sämre i distriktet efter 1996, men då anställningsstoppet för åklagare nu är hävt kommer möjligheterna för ett aktivt förundersökningsledarskap att öka.</w:t>
      </w:r>
    </w:p>
    <w:p w:rsidR="00031A3F" w:rsidRPr="00EE1E0C" w:rsidRDefault="00031A3F">
      <w:r w:rsidRPr="00EE1E0C">
        <w:rPr>
          <w:i/>
        </w:rPr>
        <w:t>Rikspolisstyrelsen</w:t>
      </w:r>
      <w:r w:rsidRPr="00EE1E0C">
        <w:t xml:space="preserve"> pekar på att det gått förhållandevis kort tid sedan polisen på mer genomgripande sätt ändrade arbetssätt och metoder. Rikspolisstyre</w:t>
      </w:r>
      <w:r w:rsidRPr="00EE1E0C">
        <w:t>l</w:t>
      </w:r>
      <w:r w:rsidRPr="00EE1E0C">
        <w:t>sen menar att de positiva effekterna av arbetet i flertalet fall förväntas först på längre sikt. Man framhåller också att det pågår ett omfattande arbete för att höja kvaliteten på och fö</w:t>
      </w:r>
      <w:r w:rsidRPr="00EE1E0C">
        <w:t>r</w:t>
      </w:r>
      <w:r w:rsidRPr="00EE1E0C">
        <w:t>bättra ledningen av förundersökningarna.</w:t>
      </w:r>
    </w:p>
    <w:p w:rsidR="00031A3F" w:rsidRPr="00EE1E0C" w:rsidRDefault="00031A3F">
      <w:r w:rsidRPr="00EE1E0C">
        <w:rPr>
          <w:i/>
        </w:rPr>
        <w:t>Polismyndigheten i Blekinge län</w:t>
      </w:r>
      <w:r w:rsidRPr="00EE1E0C">
        <w:t xml:space="preserve"> framhåller att handläggningstider och ant</w:t>
      </w:r>
      <w:r w:rsidRPr="00EE1E0C">
        <w:t>a</w:t>
      </w:r>
      <w:r w:rsidRPr="00EE1E0C">
        <w:t>let balanserade ärenden nästan alltid varierar över tiden och att organisation</w:t>
      </w:r>
      <w:r w:rsidRPr="00EE1E0C">
        <w:t>s</w:t>
      </w:r>
      <w:r w:rsidRPr="00EE1E0C">
        <w:t>förändringarna inte har förbättrat detta. Myndigheten menar att frågan bör utredas inom ramen för hela rättsväsendet eftersom en snabbare brot</w:t>
      </w:r>
      <w:r w:rsidRPr="00EE1E0C">
        <w:t>t</w:t>
      </w:r>
      <w:r w:rsidRPr="00EE1E0C">
        <w:t>målsprocess måste vara ett mål för hela rättsväsendet.</w:t>
      </w:r>
    </w:p>
    <w:p w:rsidR="00031A3F" w:rsidRPr="00EE1E0C" w:rsidRDefault="00031A3F">
      <w:r w:rsidRPr="00EE1E0C">
        <w:rPr>
          <w:i/>
        </w:rPr>
        <w:t>Polismyndigheten i Skåne</w:t>
      </w:r>
      <w:r w:rsidRPr="00EE1E0C">
        <w:t xml:space="preserve"> anser att det numera utvecklats två brottmålspr</w:t>
      </w:r>
      <w:r w:rsidRPr="00EE1E0C">
        <w:t>o</w:t>
      </w:r>
      <w:r w:rsidRPr="00EE1E0C">
        <w:t>cesser, en skriftlig under förundersökningen och en muntlig inför domstolen.</w:t>
      </w:r>
    </w:p>
    <w:p w:rsidR="00031A3F" w:rsidRPr="00EE1E0C" w:rsidRDefault="00031A3F">
      <w:r w:rsidRPr="00EE1E0C">
        <w:rPr>
          <w:i/>
        </w:rPr>
        <w:t>Polismyndigheten i Västernorrlands län</w:t>
      </w:r>
      <w:r w:rsidRPr="00EE1E0C">
        <w:t xml:space="preserve"> framhåller att myndigheten fått övervägande positiva omdömen om kvaliteten på myndighetens arbete. Myndigheten ställer sig därför frågande till revisorernas uppfattning att fö</w:t>
      </w:r>
      <w:r w:rsidRPr="00EE1E0C">
        <w:t>r</w:t>
      </w:r>
      <w:r w:rsidRPr="00EE1E0C">
        <w:t>undersöknin</w:t>
      </w:r>
      <w:r w:rsidRPr="00EE1E0C">
        <w:t>g</w:t>
      </w:r>
      <w:r w:rsidRPr="00EE1E0C">
        <w:t>arnas kvalitet kan sättas i fråga.</w:t>
      </w:r>
    </w:p>
    <w:p w:rsidR="00031A3F" w:rsidRPr="00EE1E0C" w:rsidRDefault="00031A3F">
      <w:r w:rsidRPr="00EE1E0C">
        <w:rPr>
          <w:i/>
        </w:rPr>
        <w:t>Brottsförebyggande rådet</w:t>
      </w:r>
      <w:r w:rsidRPr="00EE1E0C">
        <w:t xml:space="preserve"> menar att den undersökning som revisorerna gjort av utfallet av ett antal ärenden är av stort intresse. Studien ger enligt Brott</w:t>
      </w:r>
      <w:r w:rsidRPr="00EE1E0C">
        <w:t>s</w:t>
      </w:r>
      <w:r w:rsidRPr="00EE1E0C">
        <w:t>förebyggande rådet en tydlig bild av vad som faktiskt sker med ett anmält ärende hos polis respektive åklagare. Brottsförebyggande rådet menar dock att den stora frågan i sammanhanget är på vilken nivå utredningarna bör ligga. Man bör enligt Brottsförebyggande rådet ställa frågan vad en lång handläggningstid innebär och vilken kvalitetsnivå som är acceptabel.</w:t>
      </w:r>
    </w:p>
    <w:p w:rsidR="00031A3F" w:rsidRPr="00EE1E0C" w:rsidRDefault="00031A3F">
      <w:r w:rsidRPr="00EE1E0C">
        <w:rPr>
          <w:i/>
        </w:rPr>
        <w:t>Polisförbundet</w:t>
      </w:r>
      <w:r w:rsidRPr="00EE1E0C">
        <w:t xml:space="preserve"> menar att det ställs ökade beviskrav av åklagare och domare i brottmålsärenden. Detta kan enligt förbundet till en del förklara domares och försvarares enkätsvar i undersökningarna av förundersökningens kvalitet. Polisförbundet anser också att begränsningen av vilka arbetsmetoder som polis och åklagare tillåts använda utgör hinder för att snabbt följa utvecklin</w:t>
      </w:r>
      <w:r w:rsidRPr="00EE1E0C">
        <w:t>g</w:t>
      </w:r>
      <w:r w:rsidRPr="00EE1E0C">
        <w:t>en i brottslingarnas värld.</w:t>
      </w:r>
    </w:p>
    <w:p w:rsidR="00031A3F" w:rsidRPr="00EE1E0C" w:rsidRDefault="00031A3F">
      <w:pPr>
        <w:rPr>
          <w:b/>
        </w:rPr>
      </w:pPr>
    </w:p>
    <w:p w:rsidR="00031A3F" w:rsidRPr="00EE1E0C" w:rsidRDefault="00031A3F">
      <w:pPr>
        <w:rPr>
          <w:b/>
        </w:rPr>
      </w:pPr>
    </w:p>
    <w:p w:rsidR="00031A3F" w:rsidRPr="00EE1E0C" w:rsidRDefault="00031A3F">
      <w:pPr>
        <w:pStyle w:val="Rubrik3"/>
      </w:pPr>
      <w:bookmarkStart w:id="379" w:name="_Toc465973533"/>
      <w:bookmarkStart w:id="380" w:name="_Toc466264267"/>
      <w:r w:rsidRPr="00EE1E0C">
        <w:t>Rättsväsendets samverkansformer</w:t>
      </w:r>
      <w:bookmarkEnd w:id="379"/>
      <w:bookmarkEnd w:id="380"/>
    </w:p>
    <w:p w:rsidR="00031A3F" w:rsidRPr="00EE1E0C" w:rsidRDefault="00031A3F">
      <w:pPr>
        <w:rPr>
          <w:i/>
        </w:rPr>
      </w:pPr>
      <w:r w:rsidRPr="00EE1E0C">
        <w:rPr>
          <w:i/>
        </w:rPr>
        <w:t>Revisorerna menar att polis, åklagare och tingsrätt har olika roller i rättsv</w:t>
      </w:r>
      <w:r w:rsidRPr="00EE1E0C">
        <w:rPr>
          <w:i/>
        </w:rPr>
        <w:t>ä</w:t>
      </w:r>
      <w:r w:rsidRPr="00EE1E0C">
        <w:rPr>
          <w:i/>
        </w:rPr>
        <w:t>sendet. Det är därför viktigt att verksamheten bedrivs i skilda organisationer men det är samtidigt  nödvändigt att myndigheterna samverkar. Revisorerna menar att mycket tyder på att polisen och åklagarna på ett bra sätt har a</w:t>
      </w:r>
      <w:r w:rsidRPr="00EE1E0C">
        <w:rPr>
          <w:i/>
        </w:rPr>
        <w:t>n</w:t>
      </w:r>
      <w:r w:rsidRPr="00EE1E0C">
        <w:rPr>
          <w:i/>
        </w:rPr>
        <w:t>passat sitt arbetssätt och samarbete till de nya organisationerna. I grans</w:t>
      </w:r>
      <w:r w:rsidRPr="00EE1E0C">
        <w:rPr>
          <w:i/>
        </w:rPr>
        <w:t>k</w:t>
      </w:r>
      <w:r w:rsidRPr="00EE1E0C">
        <w:rPr>
          <w:i/>
        </w:rPr>
        <w:t>ningen har dock framkommit att samarbetet mellan åklagarna och tingsrä</w:t>
      </w:r>
      <w:r w:rsidRPr="00EE1E0C">
        <w:rPr>
          <w:i/>
        </w:rPr>
        <w:t>t</w:t>
      </w:r>
      <w:r w:rsidRPr="00EE1E0C">
        <w:rPr>
          <w:i/>
        </w:rPr>
        <w:t xml:space="preserve">terna inte alltid fungerar. </w:t>
      </w:r>
    </w:p>
    <w:p w:rsidR="00031A3F" w:rsidRPr="00EE1E0C" w:rsidRDefault="00031A3F">
      <w:r w:rsidRPr="00EE1E0C">
        <w:rPr>
          <w:i/>
        </w:rPr>
        <w:t xml:space="preserve">Nacka tingsrätt </w:t>
      </w:r>
      <w:r w:rsidRPr="00EE1E0C">
        <w:t>menar att åklagaren, i brottmål som inte är av ett alltför komplicerat slag, redan på brottsplatsen eller i nära anslutning till denna skulle kunna utfärda stämning och kalla tilltalade och eventuella målsägande och vittnen direkt till förhandling inför tingsrätten på en tid som står till åklagarens förfogande. Detta skulle enligt tingsrätten kunna påskynda han</w:t>
      </w:r>
      <w:r w:rsidRPr="00EE1E0C">
        <w:t>d</w:t>
      </w:r>
      <w:r w:rsidRPr="00EE1E0C">
        <w:t>läggningen.</w:t>
      </w:r>
    </w:p>
    <w:p w:rsidR="00031A3F" w:rsidRPr="00EE1E0C" w:rsidRDefault="00031A3F">
      <w:r w:rsidRPr="00EE1E0C">
        <w:rPr>
          <w:i/>
        </w:rPr>
        <w:t>Solna tingsrätt</w:t>
      </w:r>
      <w:r w:rsidRPr="00EE1E0C">
        <w:t xml:space="preserve"> framhåller att ingenting i rapporten tyder på att domstolarna för närvarande är ineffektiva, frånsett den ineffektivitet som blir resultatet av färre brottmål. </w:t>
      </w:r>
    </w:p>
    <w:p w:rsidR="00031A3F" w:rsidRPr="00EE1E0C" w:rsidRDefault="00031A3F">
      <w:r w:rsidRPr="00EE1E0C">
        <w:rPr>
          <w:i/>
        </w:rPr>
        <w:t>Stockholms tingsrätt</w:t>
      </w:r>
      <w:r w:rsidRPr="00EE1E0C">
        <w:t xml:space="preserve"> menar att förslaget att åklagarkammaren och tingsrätten gemensamt ska fatta beslut om förhandlingsdagar nog är praktiskt ogörligt. Det måste vara tingsrätten som slutligen bestämmer över arbetet i domstolen.</w:t>
      </w:r>
    </w:p>
    <w:p w:rsidR="00031A3F" w:rsidRPr="00EE1E0C" w:rsidRDefault="00031A3F">
      <w:r w:rsidRPr="00EE1E0C">
        <w:rPr>
          <w:i/>
        </w:rPr>
        <w:t>Södra Roslags tingsrätt</w:t>
      </w:r>
      <w:r w:rsidRPr="00EE1E0C">
        <w:t xml:space="preserve"> anser att en vidgad administrativ samverkan mellan åklagare och domstol är intressant. Tingsrätten pekar på frågan om möjli</w:t>
      </w:r>
      <w:r w:rsidRPr="00EE1E0C">
        <w:t>g</w:t>
      </w:r>
      <w:r w:rsidRPr="00EE1E0C">
        <w:t>heten för åklagarna att själva stämma och kalla i brottmål.</w:t>
      </w:r>
    </w:p>
    <w:p w:rsidR="00031A3F" w:rsidRPr="00EE1E0C" w:rsidRDefault="00031A3F">
      <w:r w:rsidRPr="00EE1E0C">
        <w:rPr>
          <w:i/>
        </w:rPr>
        <w:t>Domstolsverket</w:t>
      </w:r>
      <w:r w:rsidRPr="00EE1E0C">
        <w:t xml:space="preserve"> delar revisorernas uppfattning om samarbete mellan åklagare och domstol, men understryker att man skulle kunna pröva andra former för arbetsfördelning mellan domarna för att skapa bättre samordning. Verket pekar på möjligheten med ett system där man lottar sessioner i stället för mål på domarna. Det skulle göra det möjligt för de flesta åklagare att ha sina egna mål.</w:t>
      </w:r>
    </w:p>
    <w:p w:rsidR="00031A3F" w:rsidRPr="00EE1E0C" w:rsidRDefault="00031A3F">
      <w:r w:rsidRPr="00EE1E0C">
        <w:rPr>
          <w:i/>
        </w:rPr>
        <w:t>Riksåklagaren</w:t>
      </w:r>
      <w:r w:rsidRPr="00EE1E0C">
        <w:t xml:space="preserve"> pekar på att ett utvecklingsarbete sedan en tid inletts i syfte att förbättra samarbetet mellan åklagare och domstol. Han menar att de sy</w:t>
      </w:r>
      <w:r w:rsidRPr="00EE1E0C">
        <w:t>n</w:t>
      </w:r>
      <w:r w:rsidRPr="00EE1E0C">
        <w:t>punkter som revisorerna lämnat kommer att vara viktiga komponenter i detta arbete. Riksåklagaren framhåller vidare att han fortlöpande diskuterar fr</w:t>
      </w:r>
      <w:r w:rsidRPr="00EE1E0C">
        <w:t>å</w:t>
      </w:r>
      <w:r w:rsidRPr="00EE1E0C">
        <w:t>gorna om placeringen av tingsrätter och häkten med cheferna för Do</w:t>
      </w:r>
      <w:r w:rsidRPr="00EE1E0C">
        <w:t>m</w:t>
      </w:r>
      <w:r w:rsidRPr="00EE1E0C">
        <w:t>stolsverket och Kriminalvårdsstyrelsen.</w:t>
      </w:r>
    </w:p>
    <w:p w:rsidR="00031A3F" w:rsidRPr="00EE1E0C" w:rsidRDefault="00031A3F">
      <w:r w:rsidRPr="00EE1E0C">
        <w:rPr>
          <w:i/>
        </w:rPr>
        <w:t>Åklagarmyndigheten i Malmö</w:t>
      </w:r>
      <w:r w:rsidRPr="00EE1E0C">
        <w:t xml:space="preserve"> anser att samarbete mellan tingsrätter och åklagare, t.ex. för att gemensamt bestämma förhandlingsdagar, är viktigt för att arbetet ska bli rationellt och för att åklagarna i största möjliga utsträc</w:t>
      </w:r>
      <w:r w:rsidRPr="00EE1E0C">
        <w:t>k</w:t>
      </w:r>
      <w:r w:rsidRPr="00EE1E0C">
        <w:t>ning ska kunna ta sina egna mål.</w:t>
      </w:r>
    </w:p>
    <w:p w:rsidR="00031A3F" w:rsidRPr="00EE1E0C" w:rsidRDefault="00031A3F">
      <w:r w:rsidRPr="00EE1E0C">
        <w:rPr>
          <w:i/>
        </w:rPr>
        <w:t>Åklagarmyndigheten i Göteborg</w:t>
      </w:r>
      <w:r w:rsidRPr="00EE1E0C">
        <w:t xml:space="preserve"> menar att en vidgad administrativ samve</w:t>
      </w:r>
      <w:r w:rsidRPr="00EE1E0C">
        <w:t>r</w:t>
      </w:r>
      <w:r w:rsidRPr="00EE1E0C">
        <w:t>kan mellan åklagarkamrarna och tingsrätten skulle få till följd att åklagarr</w:t>
      </w:r>
      <w:r w:rsidRPr="00EE1E0C">
        <w:t>e</w:t>
      </w:r>
      <w:r w:rsidRPr="00EE1E0C">
        <w:t>surserna utnyttjades mera rationellt.</w:t>
      </w:r>
    </w:p>
    <w:p w:rsidR="00031A3F" w:rsidRPr="00EE1E0C" w:rsidRDefault="00031A3F">
      <w:r w:rsidRPr="00EE1E0C">
        <w:rPr>
          <w:i/>
        </w:rPr>
        <w:t>Polismyndigheten i Örebro län</w:t>
      </w:r>
      <w:r w:rsidRPr="00EE1E0C">
        <w:t xml:space="preserve"> pekar på att varje överlämnande av ett ärende till en annan myndighet innebär att ärendet ska administreras internt hos respektive myndighet med åtföljande tidsutdräkt till följd. Polismyndigheten menar att en polisiär talerätt vid domstol skulle göra förundersökningsleda</w:t>
      </w:r>
      <w:r w:rsidRPr="00EE1E0C">
        <w:t>r</w:t>
      </w:r>
      <w:r w:rsidRPr="00EE1E0C">
        <w:t>skapet och processandet tydligare.</w:t>
      </w:r>
    </w:p>
    <w:p w:rsidR="00031A3F" w:rsidRPr="00EE1E0C" w:rsidRDefault="00031A3F">
      <w:r w:rsidRPr="00EE1E0C">
        <w:rPr>
          <w:i/>
        </w:rPr>
        <w:t>Polismyndigheten i Västernorrlands län</w:t>
      </w:r>
      <w:r w:rsidRPr="00EE1E0C">
        <w:t xml:space="preserve"> framhåller att samarbetet med ko</w:t>
      </w:r>
      <w:r w:rsidRPr="00EE1E0C">
        <w:t>n</w:t>
      </w:r>
      <w:r w:rsidRPr="00EE1E0C">
        <w:t>taktåklagarna fungerar mycket bra.</w:t>
      </w:r>
    </w:p>
    <w:p w:rsidR="00031A3F" w:rsidRPr="00EE1E0C" w:rsidRDefault="00031A3F">
      <w:r w:rsidRPr="00EE1E0C">
        <w:rPr>
          <w:i/>
        </w:rPr>
        <w:t>Polisförbundet</w:t>
      </w:r>
      <w:r w:rsidRPr="00EE1E0C">
        <w:t xml:space="preserve"> menar att samverkan mellan åklagare och polis huvudsakl</w:t>
      </w:r>
      <w:r w:rsidRPr="00EE1E0C">
        <w:t>i</w:t>
      </w:r>
      <w:r w:rsidRPr="00EE1E0C">
        <w:t>gen kommit till uttryck genom ökad samverkan mellan myndigheternas ledningar. Förbundet anser att samverkan inom den operativa delen av rätt</w:t>
      </w:r>
      <w:r w:rsidRPr="00EE1E0C">
        <w:t>s</w:t>
      </w:r>
      <w:r w:rsidRPr="00EE1E0C">
        <w:t>väsendet måste förbättras.</w:t>
      </w:r>
    </w:p>
    <w:p w:rsidR="00031A3F" w:rsidRPr="00EE1E0C" w:rsidRDefault="00031A3F">
      <w:pPr>
        <w:pStyle w:val="Rubrik2"/>
      </w:pPr>
      <w:bookmarkStart w:id="381" w:name="_Toc466264268"/>
      <w:r w:rsidRPr="00EE1E0C">
        <w:t>Revisorernas förslag</w:t>
      </w:r>
      <w:bookmarkEnd w:id="381"/>
    </w:p>
    <w:p w:rsidR="00031A3F" w:rsidRPr="00EE1E0C" w:rsidRDefault="00031A3F">
      <w:pPr>
        <w:pStyle w:val="Rubrik3"/>
      </w:pPr>
      <w:bookmarkStart w:id="382" w:name="_Toc465973535"/>
      <w:bookmarkStart w:id="383" w:name="_Toc466264269"/>
      <w:r w:rsidRPr="00EE1E0C">
        <w:t>Förbättra möjligheterna att följa rättsväsendets ekonomiska utveckling</w:t>
      </w:r>
      <w:bookmarkEnd w:id="382"/>
      <w:bookmarkEnd w:id="383"/>
    </w:p>
    <w:p w:rsidR="00031A3F" w:rsidRPr="00EE1E0C" w:rsidRDefault="00031A3F">
      <w:pPr>
        <w:rPr>
          <w:i/>
        </w:rPr>
      </w:pPr>
      <w:r w:rsidRPr="00EE1E0C">
        <w:rPr>
          <w:i/>
        </w:rPr>
        <w:t xml:space="preserve">Enligt revisorerna är det nödvändigt att regeringen i budgetpropositionen presenterar längre tidsserier, detta för att riksdagen ska kunna göra en riktig bedömning av rättsväsendets kostnadsutveckling. </w:t>
      </w:r>
    </w:p>
    <w:p w:rsidR="00031A3F" w:rsidRPr="00EE1E0C" w:rsidRDefault="00031A3F">
      <w:r w:rsidRPr="00EE1E0C">
        <w:rPr>
          <w:i/>
        </w:rPr>
        <w:t xml:space="preserve">Justitiedepartementet </w:t>
      </w:r>
      <w:r w:rsidRPr="00EE1E0C">
        <w:t>delar revisorernas uppfattning att möjligheterna att i budgetpropositionen följa rättsväsendets ekonomiska utveckling kan förbät</w:t>
      </w:r>
      <w:r w:rsidRPr="00EE1E0C">
        <w:t>t</w:t>
      </w:r>
      <w:r w:rsidRPr="00EE1E0C">
        <w:t>ras. Departementet påpekar att beräkningar av anslagsbelopp har förändrats i flera fall. Justitiedepartementet menar att förändringarna gör att en jämföre</w:t>
      </w:r>
      <w:r w:rsidRPr="00EE1E0C">
        <w:t>l</w:t>
      </w:r>
      <w:r w:rsidRPr="00EE1E0C">
        <w:t>se längre tillbaka i tiden än 1996 är förenad med tolkning</w:t>
      </w:r>
      <w:r w:rsidRPr="00EE1E0C">
        <w:t>s</w:t>
      </w:r>
      <w:r w:rsidRPr="00EE1E0C">
        <w:t>problem.</w:t>
      </w:r>
    </w:p>
    <w:p w:rsidR="00031A3F" w:rsidRPr="00EE1E0C" w:rsidRDefault="00031A3F">
      <w:r w:rsidRPr="00EE1E0C">
        <w:rPr>
          <w:i/>
        </w:rPr>
        <w:t>Domstolsverket</w:t>
      </w:r>
      <w:r w:rsidRPr="00EE1E0C">
        <w:t xml:space="preserve"> menar att det för en rättvisande bild av kostnadsutvecklingen krävs en omfattande analys av olika förändringar som inträffat under den valda perioden. Verket anser att värdet av redovisningen måste vägas mot det arbete som det inn</w:t>
      </w:r>
      <w:r w:rsidRPr="00EE1E0C">
        <w:t>e</w:t>
      </w:r>
      <w:r w:rsidRPr="00EE1E0C">
        <w:t>bär att ta fram den.</w:t>
      </w:r>
    </w:p>
    <w:p w:rsidR="00031A3F" w:rsidRPr="00EE1E0C" w:rsidRDefault="00031A3F">
      <w:r w:rsidRPr="00EE1E0C">
        <w:rPr>
          <w:i/>
        </w:rPr>
        <w:t>Brottsförebyggande rådet</w:t>
      </w:r>
      <w:r w:rsidRPr="00EE1E0C">
        <w:t xml:space="preserve"> instämmer i uppfattningen att statsmakternas b</w:t>
      </w:r>
      <w:r w:rsidRPr="00EE1E0C">
        <w:t>e</w:t>
      </w:r>
      <w:r w:rsidRPr="00EE1E0C">
        <w:t>slutsunderlag bör förbättras. Man pekar på att andra faktorer vid sidan av rättsväsendets utgifter behöver belysas, t.ex. hur formulerade delmål om handläggningstider etc. har u</w:t>
      </w:r>
      <w:r w:rsidRPr="00EE1E0C">
        <w:t>t</w:t>
      </w:r>
      <w:r w:rsidRPr="00EE1E0C">
        <w:t>vecklats.</w:t>
      </w:r>
    </w:p>
    <w:p w:rsidR="00031A3F" w:rsidRPr="00EE1E0C" w:rsidRDefault="00031A3F">
      <w:pPr>
        <w:pStyle w:val="Rubrik3"/>
      </w:pPr>
      <w:bookmarkStart w:id="384" w:name="_Toc465973536"/>
      <w:bookmarkStart w:id="385" w:name="_Toc466264270"/>
      <w:r w:rsidRPr="00EE1E0C">
        <w:t>Specialisering och förstärkt utbildning</w:t>
      </w:r>
      <w:bookmarkEnd w:id="384"/>
      <w:bookmarkEnd w:id="385"/>
    </w:p>
    <w:p w:rsidR="00031A3F" w:rsidRPr="00EE1E0C" w:rsidRDefault="00031A3F">
      <w:pPr>
        <w:rPr>
          <w:i/>
        </w:rPr>
      </w:pPr>
      <w:r w:rsidRPr="00EE1E0C">
        <w:rPr>
          <w:i/>
        </w:rPr>
        <w:t>Revisorerna menar att utredningskvaliteten skulle öka och handläggningst</w:t>
      </w:r>
      <w:r w:rsidRPr="00EE1E0C">
        <w:rPr>
          <w:i/>
        </w:rPr>
        <w:t>i</w:t>
      </w:r>
      <w:r w:rsidRPr="00EE1E0C">
        <w:rPr>
          <w:i/>
        </w:rPr>
        <w:t>derna bli kortare om en specialisering av utredningsverksamheten inom närpolisområdena genomfördes. En ökad satsning på utbildning av de pol</w:t>
      </w:r>
      <w:r w:rsidRPr="00EE1E0C">
        <w:rPr>
          <w:i/>
        </w:rPr>
        <w:t>i</w:t>
      </w:r>
      <w:r w:rsidRPr="00EE1E0C">
        <w:rPr>
          <w:i/>
        </w:rPr>
        <w:t>ser som arbetar med utredningar skulle också förbättra utredningarnas kvalitet.</w:t>
      </w:r>
    </w:p>
    <w:p w:rsidR="00031A3F" w:rsidRPr="00EE1E0C" w:rsidRDefault="00031A3F">
      <w:r w:rsidRPr="00EE1E0C">
        <w:rPr>
          <w:i/>
        </w:rPr>
        <w:t>Justitieombudsmannen</w:t>
      </w:r>
      <w:r w:rsidRPr="00EE1E0C">
        <w:t xml:space="preserve"> framhåller att god utbildning är en förutsättning för framgångsrikt utredningsarbete. Justitieombudsmannen menar också att god yrkesskicklighet förutsätter erfarenhet som inte kan inhämtas på annat sätt än genom arbete med brottsutredningar. Justitieombudsmannen anser därför i likhet med revisorerna att utredningsarbetet inom polisen bör specialiseras och utbildningen av utredningspersonal förstärkas.</w:t>
      </w:r>
    </w:p>
    <w:p w:rsidR="00031A3F" w:rsidRPr="00EE1E0C" w:rsidRDefault="00031A3F">
      <w:r w:rsidRPr="00EE1E0C">
        <w:rPr>
          <w:i/>
        </w:rPr>
        <w:t>Justitiedepartementet</w:t>
      </w:r>
      <w:r w:rsidRPr="00EE1E0C">
        <w:t xml:space="preserve"> framhåller att det brottsutredande arbetet är en viktig beståndsdel i närpolisverksamheten. Genom utredningsarbetet får polisen ökad kunskap om de faktorer som orsakar brott och om de boende i området. Departementet menar att denna kunskap utgör en viktig beståndsdel i ett framgångsrikt problemorienterat arbetssätt och ett långsiktigt brottsföreby</w:t>
      </w:r>
      <w:r w:rsidRPr="00EE1E0C">
        <w:t>g</w:t>
      </w:r>
      <w:r w:rsidRPr="00EE1E0C">
        <w:t xml:space="preserve">gande arbete. Man anser också att det inom närpolisorganisationen måste finnas välutbildade specialister för förundersökningsledning och att även övrig personal </w:t>
      </w:r>
      <w:r w:rsidRPr="00EE1E0C">
        <w:t>inom närpolisen har kompetens för utredningsa</w:t>
      </w:r>
      <w:r w:rsidRPr="00EE1E0C">
        <w:t>r</w:t>
      </w:r>
      <w:r w:rsidRPr="00EE1E0C">
        <w:t>bete.</w:t>
      </w:r>
    </w:p>
    <w:p w:rsidR="00031A3F" w:rsidRPr="00EE1E0C" w:rsidRDefault="00031A3F">
      <w:r w:rsidRPr="00EE1E0C">
        <w:rPr>
          <w:i/>
        </w:rPr>
        <w:t>Södra Roslags tingsrätt</w:t>
      </w:r>
      <w:r w:rsidRPr="00EE1E0C">
        <w:t xml:space="preserve"> framhåller att det är av största vikt att resurser a</w:t>
      </w:r>
      <w:r w:rsidRPr="00EE1E0C">
        <w:t>v</w:t>
      </w:r>
      <w:r w:rsidRPr="00EE1E0C">
        <w:t>sätts för att utbilda polisen i förundersökningsarbete. Tingsrätten anser att införandet av åklagarmentorer är ett steg i rätt riktning men menar samtidigt att ökade utbildningsinsatser säkerligen skulle leda till att förundersöknin</w:t>
      </w:r>
      <w:r w:rsidRPr="00EE1E0C">
        <w:t>g</w:t>
      </w:r>
      <w:r w:rsidRPr="00EE1E0C">
        <w:t>arnas kvalitet på sikt skulle förbättras.</w:t>
      </w:r>
    </w:p>
    <w:p w:rsidR="00031A3F" w:rsidRPr="00EE1E0C" w:rsidRDefault="00031A3F">
      <w:r w:rsidRPr="00EE1E0C">
        <w:rPr>
          <w:i/>
        </w:rPr>
        <w:t>Åklagarmyndigheten i Göteborg</w:t>
      </w:r>
      <w:r w:rsidRPr="00EE1E0C">
        <w:t xml:space="preserve"> menar att det är viktigt att kompetensen att utreda brott höjs hos närpoliserna.</w:t>
      </w:r>
    </w:p>
    <w:p w:rsidR="00031A3F" w:rsidRPr="00EE1E0C" w:rsidRDefault="00031A3F">
      <w:r w:rsidRPr="00EE1E0C">
        <w:rPr>
          <w:i/>
        </w:rPr>
        <w:t>Rikspolisstyrelsen</w:t>
      </w:r>
      <w:r w:rsidRPr="00EE1E0C">
        <w:t xml:space="preserve"> är tveksam till det lämpliga i att utredningsarbetet inom ett närpolisområde specialiseras. Styrelsen menar att en specialisering i det korta perspektivet visserligen kan leda till rationaliseringsvinster och höja kvalit</w:t>
      </w:r>
      <w:r w:rsidRPr="00EE1E0C">
        <w:t>e</w:t>
      </w:r>
      <w:r w:rsidRPr="00EE1E0C">
        <w:t xml:space="preserve">ten på utredningarna. Enligt Rikspolisstyrelsen leder utredningserfarenhet på sikt till att förstahandsåtgärderna blir bättre och till att närpoliserna får en större bredd i sitt arbete. </w:t>
      </w:r>
    </w:p>
    <w:p w:rsidR="00031A3F" w:rsidRPr="00EE1E0C" w:rsidRDefault="00031A3F">
      <w:r w:rsidRPr="00EE1E0C">
        <w:rPr>
          <w:i/>
        </w:rPr>
        <w:t>Polismyndigheten i Stockholms län</w:t>
      </w:r>
      <w:r w:rsidRPr="00EE1E0C">
        <w:t xml:space="preserve"> framhåller att det vid myndigheten finns ett stort antal utredningsenheter och att utredningsverksamheten inte bör spridas på alltför många enheter om den ska vara effektiv. Polismyndigheten menar att det är angeläget med en klar och tydlig gränsdragning för vilka utredningar som ska bedrivas. Myndighetens uppfattning är att endast äre</w:t>
      </w:r>
      <w:r w:rsidRPr="00EE1E0C">
        <w:t>n</w:t>
      </w:r>
      <w:r w:rsidRPr="00EE1E0C">
        <w:t>den av enkel beskaffenhet bör utredas vid närpolisområdena. Förundersö</w:t>
      </w:r>
      <w:r w:rsidRPr="00EE1E0C">
        <w:t>k</w:t>
      </w:r>
      <w:r w:rsidRPr="00EE1E0C">
        <w:t>ningsledarskapet bör utövas av ett fåtal specialister. Man framhåller också att det är av vikt att när</w:t>
      </w:r>
      <w:r w:rsidRPr="00EE1E0C">
        <w:t>poliserna får utbildning för att klara av den utredning</w:t>
      </w:r>
      <w:r w:rsidRPr="00EE1E0C">
        <w:t>s</w:t>
      </w:r>
      <w:r w:rsidRPr="00EE1E0C">
        <w:t>verksamhet de åläggs.</w:t>
      </w:r>
    </w:p>
    <w:p w:rsidR="00031A3F" w:rsidRPr="00EE1E0C" w:rsidRDefault="00031A3F">
      <w:r w:rsidRPr="00EE1E0C">
        <w:rPr>
          <w:i/>
        </w:rPr>
        <w:t>Polismyndigheten i Blekinge län</w:t>
      </w:r>
      <w:r w:rsidRPr="00EE1E0C">
        <w:t xml:space="preserve"> menar att det för en rationell utredning</w:t>
      </w:r>
      <w:r w:rsidRPr="00EE1E0C">
        <w:t>s</w:t>
      </w:r>
      <w:r w:rsidRPr="00EE1E0C">
        <w:t>verksamhet krävs att denna inte bedrivs på alltför många nivåer och att samtliga utredningsmän arbetar på ett problemorienterat sätt. Myndigheten anser därför att en specialisering av utredningsverksamheten är lämplig.</w:t>
      </w:r>
    </w:p>
    <w:p w:rsidR="00031A3F" w:rsidRPr="00EE1E0C" w:rsidRDefault="00031A3F">
      <w:r w:rsidRPr="00EE1E0C">
        <w:rPr>
          <w:i/>
        </w:rPr>
        <w:t>Polismyndigheten i Dalarna</w:t>
      </w:r>
      <w:r w:rsidRPr="00EE1E0C">
        <w:t xml:space="preserve"> menar att revisorerna i sitt förslag om att spec</w:t>
      </w:r>
      <w:r w:rsidRPr="00EE1E0C">
        <w:t>i</w:t>
      </w:r>
      <w:r w:rsidRPr="00EE1E0C">
        <w:t>alisera utredningsarbetet bortser från att ett brett utredande inom närpoliso</w:t>
      </w:r>
      <w:r w:rsidRPr="00EE1E0C">
        <w:t>r</w:t>
      </w:r>
      <w:r w:rsidRPr="00EE1E0C">
        <w:t>ganisationen på sikt medför ökade kunskaper, bättre förstahandsåtgärder, fler ärenden färdigställda på plats och ökad användning av förenklade utre</w:t>
      </w:r>
      <w:r w:rsidRPr="00EE1E0C">
        <w:t>d</w:t>
      </w:r>
      <w:r w:rsidRPr="00EE1E0C">
        <w:t>ningsförfaranden. Myndigheten framhåller att en koncentration av utre</w:t>
      </w:r>
      <w:r w:rsidRPr="00EE1E0C">
        <w:t>d</w:t>
      </w:r>
      <w:r w:rsidRPr="00EE1E0C">
        <w:t xml:space="preserve">ningsverksamheten inom närpolisområdena skulle återskapa en uppdelning av de olika verksamhetsgrenarna. Man påpekar att nya ”utredningsenheter” inom närpolisområdena </w:t>
      </w:r>
      <w:r w:rsidRPr="00EE1E0C">
        <w:t>skulle bli följden. Enligt myndighetens uppfattning bör i stället förstärkt utbildning betonas. Utbildningen bör enligt polismy</w:t>
      </w:r>
      <w:r w:rsidRPr="00EE1E0C">
        <w:t>n</w:t>
      </w:r>
      <w:r w:rsidRPr="00EE1E0C">
        <w:t>digheten förstärkas både  kvalitativt och kvantitativt samt avse såväl utre</w:t>
      </w:r>
      <w:r w:rsidRPr="00EE1E0C">
        <w:t>d</w:t>
      </w:r>
      <w:r w:rsidRPr="00EE1E0C">
        <w:t>ning av vardagsbrottslighet som mer spec</w:t>
      </w:r>
      <w:r w:rsidRPr="00EE1E0C">
        <w:t>i</w:t>
      </w:r>
      <w:r w:rsidRPr="00EE1E0C">
        <w:t xml:space="preserve">aliserad utredning. </w:t>
      </w:r>
    </w:p>
    <w:p w:rsidR="00031A3F" w:rsidRPr="00EE1E0C" w:rsidRDefault="00031A3F">
      <w:r w:rsidRPr="00EE1E0C">
        <w:rPr>
          <w:i/>
        </w:rPr>
        <w:t>Polismyndigheten i Västernorrlands län</w:t>
      </w:r>
      <w:r w:rsidRPr="00EE1E0C">
        <w:t xml:space="preserve"> menar att fler anställda borde ha fått en bättre grund i problemorienterat arbetssätt redan när det nya arbetssättet infördes. Myndigheten är tveksam till att specialisera brottsutredningsarbetet inom närpolisområdena. Man  påpekar att en specialisering på kort sikt kan vara en bra åtgärd, men för att långsiktigt kunna använda personalen på ett flexibelt sätt är det inte möjligt att genomföra en sådan specialisering. Poli</w:t>
      </w:r>
      <w:r w:rsidRPr="00EE1E0C">
        <w:t>s</w:t>
      </w:r>
      <w:r w:rsidRPr="00EE1E0C">
        <w:t>myndigheten framhåller att om utredningar bedrivs av ett större antal poliser i närpo</w:t>
      </w:r>
      <w:r w:rsidRPr="00EE1E0C">
        <w:t>lisorganisationen bör detta medföra att förstahandsåtgärderna blir bättre, vilket bör leda till större rättssäkerhet, kortare redovisningstider och att fler brott klaras upp. Poliser som har utredning som sin huvudsakliga arbetsup</w:t>
      </w:r>
      <w:r w:rsidRPr="00EE1E0C">
        <w:t>p</w:t>
      </w:r>
      <w:r w:rsidRPr="00EE1E0C">
        <w:t>gift bör däremot finnas enligt myndigheten.</w:t>
      </w:r>
    </w:p>
    <w:p w:rsidR="00031A3F" w:rsidRPr="00EE1E0C" w:rsidRDefault="00031A3F">
      <w:r w:rsidRPr="00EE1E0C">
        <w:rPr>
          <w:i/>
        </w:rPr>
        <w:t>Brottsförebyggande rådet</w:t>
      </w:r>
      <w:r w:rsidRPr="00EE1E0C">
        <w:t xml:space="preserve"> ifrågasätter om inte en alltför långt gången speci</w:t>
      </w:r>
      <w:r w:rsidRPr="00EE1E0C">
        <w:t>a</w:t>
      </w:r>
      <w:r w:rsidRPr="00EE1E0C">
        <w:t>lisering av polisarbetet kommer i konflikt med närpolisreformens syfte. Myndigheten anser inte att revisorerna ger svar på frågan i vilken utsträc</w:t>
      </w:r>
      <w:r w:rsidRPr="00EE1E0C">
        <w:t>k</w:t>
      </w:r>
      <w:r w:rsidRPr="00EE1E0C">
        <w:t>ning de poliser som arbetar med utredningar av brott inom närpolisområdena bör vara specialiserade. Brottsförebyggande rådet påpekar att det pågår ett projekt att belysa polisens utredningsverksamhet. Myndigheten instämmer generellt i förslaget om en förstärkt utbildning för de poliser som arbetar med brottsutre</w:t>
      </w:r>
      <w:r w:rsidRPr="00EE1E0C">
        <w:t>d</w:t>
      </w:r>
      <w:r w:rsidRPr="00EE1E0C">
        <w:t xml:space="preserve">ningar. </w:t>
      </w:r>
    </w:p>
    <w:p w:rsidR="00031A3F" w:rsidRPr="00EE1E0C" w:rsidRDefault="00031A3F">
      <w:r w:rsidRPr="00EE1E0C">
        <w:rPr>
          <w:i/>
        </w:rPr>
        <w:t>Polisförbundet</w:t>
      </w:r>
      <w:r w:rsidRPr="00EE1E0C">
        <w:t xml:space="preserve"> framhåller att många polismän inte har fått någon annan utbildning än grundutbildning. Man menar att utbildningen av ekonomiska skäl varit eftersatt även vad gäller vidareutbildningen. Vidareutbildning bör enligt Polisförbundet bl.a. innehålla brottsutredningsverksamhet, nyheter inom lagstiftningen och metodfrågor som problemorienterat arbetssätt. Fö</w:t>
      </w:r>
      <w:r w:rsidRPr="00EE1E0C">
        <w:t>r</w:t>
      </w:r>
      <w:r w:rsidRPr="00EE1E0C">
        <w:t>bundet anser att det bör skapas en regelbunden tvåveckors central vidareu</w:t>
      </w:r>
      <w:r w:rsidRPr="00EE1E0C">
        <w:t>t</w:t>
      </w:r>
      <w:r w:rsidRPr="00EE1E0C">
        <w:t>bildning vart tredje år.</w:t>
      </w:r>
    </w:p>
    <w:p w:rsidR="00031A3F" w:rsidRPr="00EE1E0C" w:rsidRDefault="00031A3F">
      <w:pPr>
        <w:pStyle w:val="Rubrik3"/>
      </w:pPr>
      <w:bookmarkStart w:id="386" w:name="_Toc465973537"/>
      <w:bookmarkStart w:id="387" w:name="_Toc466264271"/>
      <w:r w:rsidRPr="00EE1E0C">
        <w:t>Förbättra tillsynen</w:t>
      </w:r>
      <w:bookmarkEnd w:id="386"/>
      <w:bookmarkEnd w:id="387"/>
    </w:p>
    <w:p w:rsidR="00031A3F" w:rsidRPr="00EE1E0C" w:rsidRDefault="00031A3F">
      <w:pPr>
        <w:rPr>
          <w:i/>
        </w:rPr>
      </w:pPr>
      <w:r w:rsidRPr="00EE1E0C">
        <w:rPr>
          <w:i/>
        </w:rPr>
        <w:t>Revisorerna anser att den tillsyn som bedrivs av förundersökningsverksa</w:t>
      </w:r>
      <w:r w:rsidRPr="00EE1E0C">
        <w:rPr>
          <w:i/>
        </w:rPr>
        <w:t>m</w:t>
      </w:r>
      <w:r w:rsidRPr="00EE1E0C">
        <w:rPr>
          <w:i/>
        </w:rPr>
        <w:t>heten inte är tillräcklig. Polisens och åklagarnas utredningsverksamhet bör betraktas som en helhet när förundersökningsarbetet inspekteras. Därför bör tillsynen förstärkas både över polisens förundersökningsarbete och åklaga</w:t>
      </w:r>
      <w:r w:rsidRPr="00EE1E0C">
        <w:rPr>
          <w:i/>
        </w:rPr>
        <w:t>r</w:t>
      </w:r>
      <w:r w:rsidRPr="00EE1E0C">
        <w:rPr>
          <w:i/>
        </w:rPr>
        <w:t>nas förundersökningsledarskap.</w:t>
      </w:r>
    </w:p>
    <w:p w:rsidR="00031A3F" w:rsidRPr="00EE1E0C" w:rsidRDefault="00031A3F">
      <w:r w:rsidRPr="00EE1E0C">
        <w:rPr>
          <w:i/>
        </w:rPr>
        <w:t>Justitieombudsmannen</w:t>
      </w:r>
      <w:r w:rsidRPr="00EE1E0C">
        <w:t xml:space="preserve"> menar att den nuvarande organisationen för ordinär tillsyn över polis och åklagare är otillfredsställande i flera hänseenden. Den är enligt Justitieombudsmannen uppbygd på ett sådant sätt att den i hög grad försvårar en sådan enhetlig tillsyn över förundersökningsarbetet som revis</w:t>
      </w:r>
      <w:r w:rsidRPr="00EE1E0C">
        <w:t>o</w:t>
      </w:r>
      <w:r w:rsidRPr="00EE1E0C">
        <w:t>rerna förordar. Tillsynsuppgiften är inte bara uppdelad mellan olika myndi</w:t>
      </w:r>
      <w:r w:rsidRPr="00EE1E0C">
        <w:t>g</w:t>
      </w:r>
      <w:r w:rsidRPr="00EE1E0C">
        <w:t>hetsorganisationer utan utövas dessutom centralt vad gäller polisen och reg</w:t>
      </w:r>
      <w:r w:rsidRPr="00EE1E0C">
        <w:t>i</w:t>
      </w:r>
      <w:r w:rsidRPr="00EE1E0C">
        <w:t>onalt i fråga om åklagarväsendet. Justitieombudsmannen anser vidare att tillsy</w:t>
      </w:r>
      <w:r w:rsidRPr="00EE1E0C">
        <w:t>nsverksamheten har alltför knappa resurser och frågar sig om det för åklagarverksamhetens del över huvud taget är fråga om tillsyn. Uppgiften att utöva tillsyn över verksamheten inom en myndighet ligger på myndigheten själv genom dess chef. Slutligen föreslår Justitieombudsmannen att en utre</w:t>
      </w:r>
      <w:r w:rsidRPr="00EE1E0C">
        <w:t>d</w:t>
      </w:r>
      <w:r w:rsidRPr="00EE1E0C">
        <w:t>ning tillsätts för att utreda ett särskilt, från båda myndighetsorganisationerna, fristående organ för tillsyn.</w:t>
      </w:r>
    </w:p>
    <w:p w:rsidR="00031A3F" w:rsidRPr="00EE1E0C" w:rsidRDefault="00031A3F">
      <w:r w:rsidRPr="00EE1E0C">
        <w:rPr>
          <w:i/>
        </w:rPr>
        <w:t>Justitiedepartementet</w:t>
      </w:r>
      <w:r w:rsidRPr="00EE1E0C">
        <w:t xml:space="preserve"> framhåller att även åklagare oftast deltar i Rikspoli</w:t>
      </w:r>
      <w:r w:rsidRPr="00EE1E0C">
        <w:t>s</w:t>
      </w:r>
      <w:r w:rsidRPr="00EE1E0C">
        <w:t>styrelsens inspektioner. Dessutom intervjuas lokala åklagare om effektivit</w:t>
      </w:r>
      <w:r w:rsidRPr="00EE1E0C">
        <w:t>e</w:t>
      </w:r>
      <w:r w:rsidRPr="00EE1E0C">
        <w:t xml:space="preserve">ten och kvaliteten i polisens verksamhet. Enligt departementets uppfattning finns det utrymme för att samordna tillsynen.  </w:t>
      </w:r>
    </w:p>
    <w:p w:rsidR="00031A3F" w:rsidRPr="00EE1E0C" w:rsidRDefault="00031A3F">
      <w:r w:rsidRPr="00EE1E0C">
        <w:rPr>
          <w:i/>
        </w:rPr>
        <w:t>Riksåklagaren</w:t>
      </w:r>
      <w:r w:rsidRPr="00EE1E0C">
        <w:t xml:space="preserve"> delar uppfattningen att tillsynen över förundersökningsarbetet bör förstärkas. Han framhåller att det arbete som inletts med bl.a. fördjupad samverkan med polisen och i vissa fall även gemensam inspektionsverksa</w:t>
      </w:r>
      <w:r w:rsidRPr="00EE1E0C">
        <w:t>m</w:t>
      </w:r>
      <w:r w:rsidRPr="00EE1E0C">
        <w:t>het kommer att utvecklas.</w:t>
      </w:r>
    </w:p>
    <w:p w:rsidR="00031A3F" w:rsidRPr="00EE1E0C" w:rsidRDefault="00031A3F">
      <w:r w:rsidRPr="00EE1E0C">
        <w:rPr>
          <w:i/>
        </w:rPr>
        <w:t>Åklagarmyndigheten i Malmö</w:t>
      </w:r>
      <w:r w:rsidRPr="00EE1E0C">
        <w:t xml:space="preserve"> finner inga skäl för att utöka tillsynen över åklagarna. Myndigheten menar att polisens arbetsmetoder och annat som inte kan läsas direkt ut vid en genomgång av ett förundersökningsmaterial får hanteras i annan ordning.</w:t>
      </w:r>
    </w:p>
    <w:p w:rsidR="00031A3F" w:rsidRPr="00EE1E0C" w:rsidRDefault="00031A3F">
      <w:r w:rsidRPr="00EE1E0C">
        <w:rPr>
          <w:i/>
        </w:rPr>
        <w:t>Rikspolisstyrelsen</w:t>
      </w:r>
      <w:r w:rsidRPr="00EE1E0C">
        <w:t xml:space="preserve"> framhåller att man inom ramen för sin verksamhet i</w:t>
      </w:r>
      <w:r w:rsidRPr="00EE1E0C">
        <w:t>n</w:t>
      </w:r>
      <w:r w:rsidRPr="00EE1E0C">
        <w:t>spekterar bl.a. polismyndigheternas förundersökningar, i vissa fall tillsa</w:t>
      </w:r>
      <w:r w:rsidRPr="00EE1E0C">
        <w:t>m</w:t>
      </w:r>
      <w:r w:rsidRPr="00EE1E0C">
        <w:t>mans med åklagare. Huvudmålet med inspektionerna är enligt styrelsen att öka kvaliteten i utre</w:t>
      </w:r>
      <w:r w:rsidRPr="00EE1E0C">
        <w:t>d</w:t>
      </w:r>
      <w:r w:rsidRPr="00EE1E0C">
        <w:t xml:space="preserve">ningsarbetet. </w:t>
      </w:r>
    </w:p>
    <w:p w:rsidR="00031A3F" w:rsidRPr="00EE1E0C" w:rsidRDefault="00031A3F">
      <w:r w:rsidRPr="00EE1E0C">
        <w:rPr>
          <w:i/>
        </w:rPr>
        <w:t>Polismyndigheten i Örebro län</w:t>
      </w:r>
      <w:r w:rsidRPr="00EE1E0C">
        <w:t xml:space="preserve"> framhåller att utvecklingen av förundersö</w:t>
      </w:r>
      <w:r w:rsidRPr="00EE1E0C">
        <w:t>k</w:t>
      </w:r>
      <w:r w:rsidRPr="00EE1E0C">
        <w:t>ningarna, förundersökningsledarskapet och resursanvändningen måste följas upp på ett närmare sätt. Dessutom menar myndigheten att resultatet för hela rättsväsendet måste tydliggöras. Myndigheten anser också att utökad tillsyn krävs om metoder och organ</w:t>
      </w:r>
      <w:r w:rsidRPr="00EE1E0C">
        <w:t>i</w:t>
      </w:r>
      <w:r w:rsidRPr="00EE1E0C">
        <w:t>sation ska utvecklas.</w:t>
      </w:r>
    </w:p>
    <w:p w:rsidR="00031A3F" w:rsidRPr="00EE1E0C" w:rsidRDefault="00031A3F">
      <w:pPr>
        <w:rPr>
          <w:i/>
        </w:rPr>
      </w:pPr>
      <w:r w:rsidRPr="00EE1E0C">
        <w:rPr>
          <w:i/>
        </w:rPr>
        <w:t>Polismyndigheten i Västernorrlands län</w:t>
      </w:r>
      <w:r w:rsidRPr="00EE1E0C">
        <w:t xml:space="preserve"> menar att den tillsyn som bedrivs genom kontaktåklagarna, myndighetens egen tillsyn och Rikspolisstyrelsens tillsyn är tillräcklig. </w:t>
      </w:r>
      <w:r w:rsidRPr="00EE1E0C">
        <w:rPr>
          <w:i/>
        </w:rPr>
        <w:t xml:space="preserve"> </w:t>
      </w:r>
    </w:p>
    <w:p w:rsidR="00031A3F" w:rsidRPr="00EE1E0C" w:rsidRDefault="00031A3F">
      <w:r w:rsidRPr="00EE1E0C">
        <w:rPr>
          <w:i/>
        </w:rPr>
        <w:t>Brottsförebyggande rådet</w:t>
      </w:r>
      <w:r w:rsidRPr="00EE1E0C">
        <w:t xml:space="preserve"> instämmer i förslaget att tillsynen över polis- och åklagarverksamheten bör förstärkas.</w:t>
      </w:r>
    </w:p>
    <w:p w:rsidR="00031A3F" w:rsidRPr="00EE1E0C" w:rsidRDefault="00031A3F">
      <w:pPr>
        <w:pStyle w:val="Rubrik3"/>
      </w:pPr>
      <w:bookmarkStart w:id="388" w:name="_Toc465973538"/>
      <w:bookmarkStart w:id="389" w:name="_Toc466264272"/>
      <w:r w:rsidRPr="00EE1E0C">
        <w:t>Utveckla det problemorienterade arbetssättet</w:t>
      </w:r>
      <w:bookmarkEnd w:id="388"/>
      <w:bookmarkEnd w:id="389"/>
    </w:p>
    <w:p w:rsidR="00031A3F" w:rsidRPr="00EE1E0C" w:rsidRDefault="00031A3F">
      <w:pPr>
        <w:rPr>
          <w:i/>
        </w:rPr>
      </w:pPr>
      <w:r w:rsidRPr="00EE1E0C">
        <w:rPr>
          <w:i/>
        </w:rPr>
        <w:t>Revisorernas granskning har visat att det problemorienterade arbetssättet inte fått genomslag i all polisverksamhet. Begreppet har i stort sett utesl</w:t>
      </w:r>
      <w:r w:rsidRPr="00EE1E0C">
        <w:rPr>
          <w:i/>
        </w:rPr>
        <w:t>u</w:t>
      </w:r>
      <w:r w:rsidRPr="00EE1E0C">
        <w:rPr>
          <w:i/>
        </w:rPr>
        <w:t>tande kommit att förknippas med närpolisverksamhet.</w:t>
      </w:r>
    </w:p>
    <w:p w:rsidR="00031A3F" w:rsidRPr="00EE1E0C" w:rsidRDefault="00031A3F">
      <w:r w:rsidRPr="00EE1E0C">
        <w:rPr>
          <w:i/>
        </w:rPr>
        <w:t xml:space="preserve">Rikspolisstyrelsen </w:t>
      </w:r>
      <w:r w:rsidRPr="00EE1E0C">
        <w:t>framhåller att tilldelade resurser och den löpande, akuta verksamheten sätter gränser för vilka utbildningsinsatser som kan göras. Styrelsen påpekar att medarbetare på alla nivåer i polisorganisationen får pröva och lära sig nya arbetsuppgifter. Rikspolisstyrelsen bedömer att den kunskapsförmedling som äger rum på detta sätt när det gäller t.ex. närpolisen och problemorienterat polisarbete är effektiv men ger resultat först på lite längre sikt. Man framhåller också att polisen fortlöpande utvecklar sättet a</w:t>
      </w:r>
      <w:r w:rsidRPr="00EE1E0C">
        <w:t>tt arbeta. Man har t.ex. genomfört tre nivåanpassade utbildningar och seminar</w:t>
      </w:r>
      <w:r w:rsidRPr="00EE1E0C">
        <w:t>i</w:t>
      </w:r>
      <w:r w:rsidRPr="00EE1E0C">
        <w:t>er om problemorienterat polisarbete. Under våren 1999 har också ett projekt startats för att utveckla en brottsanalys till stöd för det problemorienterade arbetet och för bekämpningen av vardag</w:t>
      </w:r>
      <w:r w:rsidRPr="00EE1E0C">
        <w:t>s</w:t>
      </w:r>
      <w:r w:rsidRPr="00EE1E0C">
        <w:t>brottsligheten.</w:t>
      </w:r>
    </w:p>
    <w:p w:rsidR="00031A3F" w:rsidRPr="00EE1E0C" w:rsidRDefault="00031A3F">
      <w:r w:rsidRPr="00EE1E0C">
        <w:rPr>
          <w:i/>
        </w:rPr>
        <w:t xml:space="preserve">Polismyndigheten i Blekinge län </w:t>
      </w:r>
      <w:r w:rsidRPr="00EE1E0C">
        <w:t>delar revisorernas uppfattning att det pr</w:t>
      </w:r>
      <w:r w:rsidRPr="00EE1E0C">
        <w:t>o</w:t>
      </w:r>
      <w:r w:rsidRPr="00EE1E0C">
        <w:t>blemorienterade arbetssättet inte fått genomslag i all polisverksamhet och att arbetssättet i stort sett uteslutande kommit att förknippas med närpolisver</w:t>
      </w:r>
      <w:r w:rsidRPr="00EE1E0C">
        <w:t>k</w:t>
      </w:r>
      <w:r w:rsidRPr="00EE1E0C">
        <w:t>samhet. Enligt myndigheten beror detta på att satsningen på utbildning varit otillräcklig och på att den utvecklade specialiseringen påverkat resultaten. Myndigheten menar att det är nödvändigt att de närpoliser som arbetar på ett problemorienterat sätt erhåller kompetens och erfarenhet som gör att de kan utreda b</w:t>
      </w:r>
      <w:r w:rsidRPr="00EE1E0C">
        <w:t xml:space="preserve">rott som hör samman med deras förebyggande arbete bland framför allt ungdomar.  </w:t>
      </w:r>
    </w:p>
    <w:p w:rsidR="00031A3F" w:rsidRPr="00EE1E0C" w:rsidRDefault="00031A3F">
      <w:r w:rsidRPr="00EE1E0C">
        <w:rPr>
          <w:i/>
        </w:rPr>
        <w:t>Brottsförebyggande rådet</w:t>
      </w:r>
      <w:r w:rsidRPr="00EE1E0C">
        <w:t xml:space="preserve"> framhåller att många poliser deltagit i utbildningar i problemorienterat arbete utan att för den skull använda detta arbetssätt. Myndigheten menar att för att det problemorienterade arbetssättet ska anvä</w:t>
      </w:r>
      <w:r w:rsidRPr="00EE1E0C">
        <w:t>n</w:t>
      </w:r>
      <w:r w:rsidRPr="00EE1E0C">
        <w:t>das i större omfattning än för närvarande bör goda praktiska exempel lyftas fram. Vidare anser Brottsförebyggande rådet att det problemorienterade arbetssättet kan ses som en arbetsledningsfråga. Då bör i första hand personal med arbetsledande uppgifter erhålla relevant utbildning.</w:t>
      </w:r>
    </w:p>
    <w:p w:rsidR="00031A3F" w:rsidRPr="00EE1E0C" w:rsidRDefault="00031A3F">
      <w:r w:rsidRPr="00EE1E0C">
        <w:rPr>
          <w:i/>
        </w:rPr>
        <w:t>Sveriges Advokatsamfund</w:t>
      </w:r>
      <w:r w:rsidRPr="00EE1E0C">
        <w:t xml:space="preserve"> menar att vissa brister i polisens arbete, t.ex. att polisen underlåter att höra personer av intresse för alla parter i ett brottmål, endast kan avhjälpas genom ökad motivation hos polisen. Samfundet fra</w:t>
      </w:r>
      <w:r w:rsidRPr="00EE1E0C">
        <w:t>m</w:t>
      </w:r>
      <w:r w:rsidRPr="00EE1E0C">
        <w:t>håller att förslaget om problemorienterat arbetssätt kan vara ett sätt att öka motivati</w:t>
      </w:r>
      <w:r w:rsidRPr="00EE1E0C">
        <w:t>o</w:t>
      </w:r>
      <w:r w:rsidRPr="00EE1E0C">
        <w:t>nen.</w:t>
      </w:r>
    </w:p>
    <w:p w:rsidR="00031A3F" w:rsidRPr="00EE1E0C" w:rsidRDefault="00031A3F">
      <w:pPr>
        <w:pStyle w:val="Rubrik3"/>
      </w:pPr>
      <w:bookmarkStart w:id="390" w:name="_Toc465973539"/>
      <w:bookmarkStart w:id="391" w:name="_Toc466264273"/>
      <w:r w:rsidRPr="00EE1E0C">
        <w:t>Se över åklagarnas arbetsformer</w:t>
      </w:r>
      <w:bookmarkEnd w:id="390"/>
      <w:bookmarkEnd w:id="391"/>
    </w:p>
    <w:p w:rsidR="00031A3F" w:rsidRPr="00EE1E0C" w:rsidRDefault="00031A3F">
      <w:pPr>
        <w:rPr>
          <w:i/>
        </w:rPr>
      </w:pPr>
      <w:r w:rsidRPr="00EE1E0C">
        <w:rPr>
          <w:i/>
        </w:rPr>
        <w:t>Revisorerna menar att åklagarnas arbetsformer bör ses över. Mycket talar för att åklagarna i större utsträckning bör ha sina egna mål i tingsrätten. Möjligheten att åklagarna i större utsträckning arbetar mot vissa tingsrätter bör också övervägas. Revisorerna menar också att vidgad administrativ samverkan mellan tingsrätter och åklagare är motiverad.</w:t>
      </w:r>
    </w:p>
    <w:p w:rsidR="00031A3F" w:rsidRPr="00EE1E0C" w:rsidRDefault="00031A3F">
      <w:r w:rsidRPr="00EE1E0C">
        <w:rPr>
          <w:i/>
        </w:rPr>
        <w:t>Justitieombudsmannen</w:t>
      </w:r>
      <w:r w:rsidRPr="00EE1E0C">
        <w:t xml:space="preserve"> menar att det som framkommit i granskningen av åklagarnas arbetsformer i relation till tingsrätterna är av den arten att en översyn av arbetsformerna framstår som i hög grad påkallad.</w:t>
      </w:r>
    </w:p>
    <w:p w:rsidR="00031A3F" w:rsidRPr="00EE1E0C" w:rsidRDefault="00031A3F">
      <w:r w:rsidRPr="00EE1E0C">
        <w:rPr>
          <w:i/>
        </w:rPr>
        <w:t>Justitiedepartementet</w:t>
      </w:r>
      <w:r w:rsidRPr="00EE1E0C">
        <w:t xml:space="preserve"> framhåller att det för ett väl fungerande rättsväsende är väsentligt att det finns ändamålsenliga rutiner för ärendefördelningen. D</w:t>
      </w:r>
      <w:r w:rsidRPr="00EE1E0C">
        <w:t>e</w:t>
      </w:r>
      <w:r w:rsidRPr="00EE1E0C">
        <w:t>partementet menar därför att det är en viktig uppgift för Riksåklagaren att fortlöpande se över verksamheten inom åklagarväsendet. Justitiedepart</w:t>
      </w:r>
      <w:r w:rsidRPr="00EE1E0C">
        <w:t>e</w:t>
      </w:r>
      <w:r w:rsidRPr="00EE1E0C">
        <w:t>mentet menar vidare att det i vissa fall kan vara ändamålsenligt att i kompl</w:t>
      </w:r>
      <w:r w:rsidRPr="00EE1E0C">
        <w:t>i</w:t>
      </w:r>
      <w:r w:rsidRPr="00EE1E0C">
        <w:t>cerade brottmålsärenden binda ärendet till den åklagare som varit förunde</w:t>
      </w:r>
      <w:r w:rsidRPr="00EE1E0C">
        <w:t>r</w:t>
      </w:r>
      <w:r w:rsidRPr="00EE1E0C">
        <w:t>sökningsledare, men framhåller att det är en uppgift för Riksåklagaren att fortlöp</w:t>
      </w:r>
      <w:r w:rsidRPr="00EE1E0C">
        <w:t>ande se till att resurserna inom åklagarorganisationen används på ett effektivt sätt.</w:t>
      </w:r>
    </w:p>
    <w:p w:rsidR="00031A3F" w:rsidRPr="00EE1E0C" w:rsidRDefault="00031A3F">
      <w:r w:rsidRPr="00EE1E0C">
        <w:rPr>
          <w:i/>
        </w:rPr>
        <w:t>Stockholms tingsrätt</w:t>
      </w:r>
      <w:r w:rsidRPr="00EE1E0C">
        <w:t xml:space="preserve"> menar att nackdelarna med att åklagarna inte får ha sina egna mål i tingsrätten är överdrivna. Tingsrätten anser att mål där huvudfö</w:t>
      </w:r>
      <w:r w:rsidRPr="00EE1E0C">
        <w:t>r</w:t>
      </w:r>
      <w:r w:rsidRPr="00EE1E0C">
        <w:t>handlingen tar en halv dag eller mindre utan beaktansvärd effektivitetsförlust bör kunna läsas in och handläggas av en annan åklagare än den som har väckt åtalet.</w:t>
      </w:r>
    </w:p>
    <w:p w:rsidR="00031A3F" w:rsidRPr="00EE1E0C" w:rsidRDefault="00031A3F">
      <w:r w:rsidRPr="00EE1E0C">
        <w:rPr>
          <w:i/>
        </w:rPr>
        <w:t>Södra Roslags tingsrätt</w:t>
      </w:r>
      <w:r w:rsidRPr="00EE1E0C">
        <w:t xml:space="preserve"> menar att nuvarande ordning med åklagarnas arbet</w:t>
      </w:r>
      <w:r w:rsidRPr="00EE1E0C">
        <w:t>s</w:t>
      </w:r>
      <w:r w:rsidRPr="00EE1E0C">
        <w:t>former fungerar helt tillfredsställande. Tingsrätten påpekar att det ur objekt</w:t>
      </w:r>
      <w:r w:rsidRPr="00EE1E0C">
        <w:t>i</w:t>
      </w:r>
      <w:r w:rsidRPr="00EE1E0C">
        <w:t>vitetssynpunkt kan te sig tveksamt om det är lämpligt att en och samma åklagare år efter år arbetar med en och samma domare.</w:t>
      </w:r>
    </w:p>
    <w:p w:rsidR="00031A3F" w:rsidRPr="00EE1E0C" w:rsidRDefault="00031A3F">
      <w:r w:rsidRPr="00EE1E0C">
        <w:rPr>
          <w:i/>
        </w:rPr>
        <w:t>Riksåklagaren</w:t>
      </w:r>
      <w:r w:rsidRPr="00EE1E0C">
        <w:t xml:space="preserve"> påpekar att den översyn av åklagarnas arbetsformer som revisorerna aktualiserar i många hänseenden redan är påbörjad. Det fortsatta arbetet kommer enligt riksåklagaren att bedrivas med hänsyn till revisorernas synpunkter.</w:t>
      </w:r>
    </w:p>
    <w:p w:rsidR="00031A3F" w:rsidRPr="00EE1E0C" w:rsidRDefault="00031A3F">
      <w:r w:rsidRPr="00EE1E0C">
        <w:rPr>
          <w:i/>
        </w:rPr>
        <w:t>Åklagarmyndigheten i Malmö</w:t>
      </w:r>
      <w:r w:rsidRPr="00EE1E0C">
        <w:t xml:space="preserve"> anser att det är mest rationellt att åklagarna i största möjliga utsträckning tar sina egna mål i såväl tingsätt som hovrätt. Myndigheten framhåller att man i största möjliga utsträckning låter åklagarna arbeta mot vissa tingsrätter. </w:t>
      </w:r>
    </w:p>
    <w:p w:rsidR="00031A3F" w:rsidRPr="00EE1E0C" w:rsidRDefault="00031A3F">
      <w:r w:rsidRPr="00EE1E0C">
        <w:rPr>
          <w:i/>
        </w:rPr>
        <w:t>Åklagarmyndigheten i Göteborg</w:t>
      </w:r>
      <w:r w:rsidRPr="00EE1E0C">
        <w:t xml:space="preserve"> menar att det i möjligaste mån ska vara samma åklagare som handlägger ett ärende från början till slut. För att mö</w:t>
      </w:r>
      <w:r w:rsidRPr="00EE1E0C">
        <w:t>j</w:t>
      </w:r>
      <w:r w:rsidRPr="00EE1E0C">
        <w:t>liggöra detta krävs att domstolarna samråder med åklagarna om förhan</w:t>
      </w:r>
      <w:r w:rsidRPr="00EE1E0C">
        <w:t>d</w:t>
      </w:r>
      <w:r w:rsidRPr="00EE1E0C">
        <w:t>lingsdagar och försöker medverka till att åklagarna i större utsträckning kan ha sina egna mål.</w:t>
      </w:r>
    </w:p>
    <w:p w:rsidR="00031A3F" w:rsidRPr="00EE1E0C" w:rsidRDefault="00031A3F">
      <w:r w:rsidRPr="00EE1E0C">
        <w:rPr>
          <w:i/>
        </w:rPr>
        <w:t>Åklagarmyndigheten i Västerås</w:t>
      </w:r>
      <w:r w:rsidRPr="00EE1E0C">
        <w:t xml:space="preserve"> menar att målsättningen med åklagarrefo</w:t>
      </w:r>
      <w:r w:rsidRPr="00EE1E0C">
        <w:t>r</w:t>
      </w:r>
      <w:r w:rsidRPr="00EE1E0C">
        <w:t>men, liksom en utveckling mot en mer schablonmässig hantering av enkla ärenden, motverkas av arbetsfördelningar som tar sin utgångspunkt i annat än ärendenas beskaffenhet. Myndigheten anser att en strävan ska vara att ge</w:t>
      </w:r>
      <w:r w:rsidRPr="00EE1E0C">
        <w:t>o</w:t>
      </w:r>
      <w:r w:rsidRPr="00EE1E0C">
        <w:t>grafiska indelningar av åklagarkamrarnas område som grund för fördelning av ärendena mellan åklagarna ska brytas upp. Myndigheten påpekar också att det kan vara lämpligt att en åklagare som bor nära en domstol eller ett ting</w:t>
      </w:r>
      <w:r w:rsidRPr="00EE1E0C">
        <w:t>s</w:t>
      </w:r>
      <w:r w:rsidRPr="00EE1E0C">
        <w:t xml:space="preserve">ställe tas i anspråk för </w:t>
      </w:r>
      <w:r w:rsidRPr="00EE1E0C">
        <w:t>förhandlingar som hålls där. Enligt åklagarmyndigh</w:t>
      </w:r>
      <w:r w:rsidRPr="00EE1E0C">
        <w:t>e</w:t>
      </w:r>
      <w:r w:rsidRPr="00EE1E0C">
        <w:t>ten kan vissa negativa effekter uppkomma om flera åklagare befattar sig med ett mål, men man menar att en återgång till geografiska uppdelningar skulle minska flexibiliteten och effektiviteten. Man menar också att en ordning där åklagarna arbetar mot vissa bestämda tingsrätter kan medföra att en åklagare i huvudsak processar inför en viss domare. Detta kan enligt myndigheten kritiseras från rättssäkerhetssy</w:t>
      </w:r>
      <w:r w:rsidRPr="00EE1E0C">
        <w:t>n</w:t>
      </w:r>
      <w:r w:rsidRPr="00EE1E0C">
        <w:t>punkt.</w:t>
      </w:r>
    </w:p>
    <w:p w:rsidR="00031A3F" w:rsidRPr="00EE1E0C" w:rsidRDefault="00031A3F">
      <w:r w:rsidRPr="00EE1E0C">
        <w:rPr>
          <w:i/>
        </w:rPr>
        <w:t>Svenska Advokatsamfundet</w:t>
      </w:r>
      <w:r w:rsidRPr="00EE1E0C">
        <w:t xml:space="preserve"> menar att det utifrån samhällets intresse av e</w:t>
      </w:r>
      <w:r w:rsidRPr="00EE1E0C">
        <w:t>f</w:t>
      </w:r>
      <w:r w:rsidRPr="00EE1E0C">
        <w:t>fektiv lagföring borde vara en självklarhet att åklagarna har sina egna mål i domstolarna. Samfundet anser att undantag endast bör ske i erkända eller uppenbara mål då valet av åklagare saknar betydelse för utgången i målet. Ekonomiska skäl eller tidsskäl bör enligt samfundet komma i andra hand. Man påpekar också att om åklagarna ska arbeta med kanske endast en ting</w:t>
      </w:r>
      <w:r w:rsidRPr="00EE1E0C">
        <w:t>s</w:t>
      </w:r>
      <w:r w:rsidRPr="00EE1E0C">
        <w:t>rätt är det viktig att målen inte alltid handläggs på samma rotel. Detta kan leda till ett samf</w:t>
      </w:r>
      <w:r w:rsidRPr="00EE1E0C">
        <w:t>örstånd mellan åklagare och domare som kan skada förtr</w:t>
      </w:r>
      <w:r w:rsidRPr="00EE1E0C">
        <w:t>o</w:t>
      </w:r>
      <w:r w:rsidRPr="00EE1E0C">
        <w:t>endet för rättsväsendet.</w:t>
      </w:r>
    </w:p>
    <w:p w:rsidR="00031A3F" w:rsidRPr="00EE1E0C" w:rsidRDefault="00031A3F">
      <w:pPr>
        <w:pStyle w:val="Rubrik1"/>
        <w:sectPr w:rsidR="00000000" w:rsidRPr="00EE1E0C">
          <w:headerReference w:type="default" r:id="rId31"/>
          <w:footerReference w:type="default" r:id="rId32"/>
          <w:pgSz w:w="11906" w:h="16838" w:code="9"/>
          <w:pgMar w:top="567" w:right="4876" w:bottom="4508" w:left="1134" w:header="227" w:footer="227" w:gutter="0"/>
          <w:cols w:space="720"/>
        </w:sectPr>
      </w:pPr>
      <w:bookmarkStart w:id="392" w:name="_Toc466264274"/>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EE1E0C">
        <w:tblPrEx>
          <w:tblCellMar>
            <w:top w:w="0" w:type="dxa"/>
            <w:bottom w:w="0" w:type="dxa"/>
          </w:tblCellMar>
        </w:tblPrEx>
        <w:tc>
          <w:tcPr>
            <w:tcW w:w="4323" w:type="dxa"/>
          </w:tcPr>
          <w:p w:rsidR="00031A3F" w:rsidRPr="00EE1E0C" w:rsidRDefault="00031A3F">
            <w:pPr>
              <w:pStyle w:val="Normaltindrag"/>
              <w:rPr>
                <w:sz w:val="20"/>
              </w:rPr>
            </w:pPr>
          </w:p>
          <w:p w:rsidR="00031A3F" w:rsidRPr="00EE1E0C" w:rsidRDefault="00031A3F">
            <w:pPr>
              <w:pStyle w:val="Normaltindrag"/>
              <w:rPr>
                <w:sz w:val="20"/>
              </w:rPr>
            </w:pPr>
          </w:p>
          <w:p w:rsidR="00031A3F" w:rsidRPr="00EE1E0C" w:rsidRDefault="00031A3F">
            <w:pPr>
              <w:pStyle w:val="Normaltindrag"/>
              <w:rPr>
                <w:sz w:val="20"/>
              </w:rPr>
            </w:pPr>
          </w:p>
          <w:p w:rsidR="00031A3F" w:rsidRPr="00EE1E0C" w:rsidRDefault="00031A3F">
            <w:pPr>
              <w:pStyle w:val="Normaltindrag"/>
              <w:rPr>
                <w:sz w:val="20"/>
              </w:rPr>
            </w:pPr>
          </w:p>
          <w:p w:rsidR="00031A3F" w:rsidRPr="00EE1E0C" w:rsidRDefault="00031A3F">
            <w:pPr>
              <w:pStyle w:val="Normaltindrag"/>
              <w:rPr>
                <w:sz w:val="20"/>
              </w:rPr>
            </w:pPr>
            <w:r w:rsidRPr="00EE1E0C">
              <w:rPr>
                <w:sz w:val="20"/>
              </w:rPr>
              <w:tab/>
            </w:r>
          </w:p>
          <w:p w:rsidR="00031A3F" w:rsidRPr="00EE1E0C" w:rsidRDefault="00031A3F">
            <w:pPr>
              <w:pStyle w:val="Normaltindrag"/>
              <w:spacing w:after="80"/>
              <w:ind w:firstLine="0"/>
            </w:pPr>
            <w:r w:rsidRPr="00EE1E0C">
              <w:rPr>
                <w:rFonts w:ascii="GillSans Light" w:hAnsi="GillSans Light"/>
                <w:sz w:val="28"/>
              </w:rPr>
              <w:t>Rapport 1997/98:7</w:t>
            </w:r>
            <w:r w:rsidRPr="00EE1E0C">
              <w:rPr>
                <w:sz w:val="20"/>
              </w:rPr>
              <w:tab/>
            </w:r>
          </w:p>
        </w:tc>
        <w:tc>
          <w:tcPr>
            <w:tcW w:w="1843" w:type="dxa"/>
          </w:tcPr>
          <w:p w:rsidR="00031A3F" w:rsidRPr="00EE1E0C" w:rsidRDefault="00031A3F">
            <w:pPr>
              <w:pStyle w:val="Normaltindrag"/>
            </w:pPr>
          </w:p>
          <w:p w:rsidR="00031A3F" w:rsidRPr="00EE1E0C" w:rsidRDefault="00EE1E0C">
            <w:pPr>
              <w:pStyle w:val="Normaltindrag"/>
              <w:spacing w:line="720" w:lineRule="atLeast"/>
            </w:pPr>
            <w:r w:rsidRPr="00EE1E0C">
              <w:rPr>
                <w:noProof/>
              </w:rPr>
              <w:drawing>
                <wp:inline distT="0" distB="0" distL="0" distR="0">
                  <wp:extent cx="876300" cy="8928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031A3F" w:rsidRPr="00EE1E0C" w:rsidRDefault="00031A3F">
      <w:pPr>
        <w:rPr>
          <w:rFonts w:ascii="GillSans Light" w:hAnsi="GillSans Light"/>
          <w:sz w:val="28"/>
        </w:rPr>
      </w:pPr>
    </w:p>
    <w:p w:rsidR="00031A3F" w:rsidRPr="00EE1E0C" w:rsidRDefault="00031A3F"/>
    <w:p w:rsidR="00031A3F" w:rsidRPr="00EE1E0C" w:rsidRDefault="00031A3F"/>
    <w:p w:rsidR="00031A3F" w:rsidRPr="00EE1E0C" w:rsidRDefault="00031A3F">
      <w:pPr>
        <w:spacing w:line="600" w:lineRule="atLeast"/>
        <w:rPr>
          <w:rFonts w:ascii="GillSans Light" w:hAnsi="GillSans Light"/>
          <w:sz w:val="60"/>
        </w:rPr>
      </w:pPr>
    </w:p>
    <w:p w:rsidR="00031A3F" w:rsidRPr="00EE1E0C" w:rsidRDefault="00031A3F">
      <w:pPr>
        <w:spacing w:line="600" w:lineRule="atLeast"/>
        <w:rPr>
          <w:rFonts w:ascii="GillSans Light" w:hAnsi="GillSans Light"/>
          <w:sz w:val="60"/>
        </w:rPr>
      </w:pPr>
    </w:p>
    <w:p w:rsidR="00031A3F" w:rsidRPr="00EE1E0C" w:rsidRDefault="00031A3F">
      <w:pPr>
        <w:spacing w:line="600" w:lineRule="atLeast"/>
        <w:rPr>
          <w:rFonts w:ascii="GillSans Light" w:hAnsi="GillSans Light"/>
          <w:sz w:val="48"/>
        </w:rPr>
      </w:pPr>
      <w:r w:rsidRPr="00EE1E0C">
        <w:rPr>
          <w:rFonts w:ascii="GillSans Light" w:hAnsi="GillSans Light"/>
          <w:sz w:val="48"/>
        </w:rPr>
        <w:t xml:space="preserve">Nedläggningen av </w:t>
      </w:r>
    </w:p>
    <w:p w:rsidR="00031A3F" w:rsidRPr="00EE1E0C" w:rsidRDefault="00031A3F">
      <w:pPr>
        <w:spacing w:line="600" w:lineRule="atLeast"/>
        <w:rPr>
          <w:sz w:val="48"/>
        </w:rPr>
      </w:pPr>
      <w:r w:rsidRPr="00EE1E0C">
        <w:rPr>
          <w:rFonts w:ascii="GillSans Light" w:hAnsi="GillSans Light"/>
          <w:sz w:val="48"/>
        </w:rPr>
        <w:t>häktet i Östersund</w:t>
      </w:r>
    </w:p>
    <w:p w:rsidR="00031A3F" w:rsidRPr="00EE1E0C" w:rsidRDefault="00031A3F"/>
    <w:p w:rsidR="00031A3F" w:rsidRPr="00EE1E0C" w:rsidRDefault="00031A3F"/>
    <w:p w:rsidR="00031A3F" w:rsidRPr="00EE1E0C" w:rsidRDefault="00031A3F"/>
    <w:p w:rsidR="00031A3F" w:rsidRPr="00EE1E0C" w:rsidRDefault="00031A3F"/>
    <w:p w:rsidR="00031A3F" w:rsidRPr="00EE1E0C" w:rsidRDefault="00031A3F"/>
    <w:p w:rsidR="00031A3F" w:rsidRPr="00EE1E0C" w:rsidRDefault="00031A3F"/>
    <w:p w:rsidR="00031A3F" w:rsidRPr="00EE1E0C" w:rsidRDefault="00031A3F">
      <w:pPr>
        <w:pStyle w:val="Normaltindrag"/>
      </w:pPr>
    </w:p>
    <w:p w:rsidR="00031A3F" w:rsidRPr="00EE1E0C" w:rsidRDefault="00031A3F">
      <w:pPr>
        <w:pStyle w:val="Normaltindrag"/>
        <w:rPr>
          <w:sz w:val="24"/>
        </w:rPr>
      </w:pPr>
    </w:p>
    <w:p w:rsidR="00031A3F" w:rsidRPr="00EE1E0C" w:rsidRDefault="00031A3F">
      <w:pPr>
        <w:spacing w:line="720" w:lineRule="atLeast"/>
      </w:pPr>
    </w:p>
    <w:p w:rsidR="00031A3F" w:rsidRPr="00EE1E0C" w:rsidRDefault="00031A3F">
      <w:pPr>
        <w:rPr>
          <w:sz w:val="56"/>
        </w:rPr>
      </w:pPr>
    </w:p>
    <w:p w:rsidR="00031A3F" w:rsidRPr="00EE1E0C" w:rsidRDefault="00031A3F">
      <w:pPr>
        <w:rPr>
          <w:sz w:val="14"/>
        </w:rPr>
      </w:pPr>
      <w:r w:rsidRPr="00EE1E0C">
        <w:rPr>
          <w:rFonts w:ascii="GillSans Light" w:hAnsi="GillSans Light"/>
          <w:caps/>
          <w:spacing w:val="20"/>
          <w:sz w:val="14"/>
        </w:rPr>
        <w:t>Riksdagens revisorer</w:t>
      </w:r>
      <w:r w:rsidRPr="00EE1E0C">
        <w:rPr>
          <w:rFonts w:ascii="GillSans Light" w:hAnsi="GillSans Light"/>
          <w:caps/>
          <w:sz w:val="14"/>
        </w:rPr>
        <w:t xml:space="preserve"> · 100 12  STOCKHOLM · TEL 08-786 40 00 · fax 786 61 88</w:t>
      </w:r>
    </w:p>
    <w:p w:rsidR="00031A3F" w:rsidRPr="00EE1E0C" w:rsidRDefault="00031A3F"/>
    <w:p w:rsidR="00031A3F" w:rsidRPr="00EE1E0C" w:rsidRDefault="00031A3F">
      <w:pPr>
        <w:pStyle w:val="Rubrik1"/>
        <w:sectPr w:rsidR="00000000" w:rsidRPr="00EE1E0C">
          <w:headerReference w:type="default" r:id="rId33"/>
          <w:pgSz w:w="11906" w:h="16838" w:code="9"/>
          <w:pgMar w:top="567" w:right="4876" w:bottom="4508" w:left="1134" w:header="227" w:footer="227" w:gutter="0"/>
          <w:cols w:space="720"/>
        </w:sectPr>
      </w:pPr>
      <w:r w:rsidRPr="00EE1E0C">
        <w:br w:type="page"/>
      </w:r>
    </w:p>
    <w:p w:rsidR="00031A3F" w:rsidRPr="00EE1E0C" w:rsidRDefault="00031A3F">
      <w:pPr>
        <w:pStyle w:val="Rubrik1"/>
        <w:spacing w:before="0"/>
      </w:pPr>
      <w:bookmarkStart w:id="393" w:name="_Toc422038685"/>
      <w:r w:rsidRPr="00EE1E0C">
        <w:t>Förord</w:t>
      </w:r>
      <w:bookmarkEnd w:id="393"/>
    </w:p>
    <w:p w:rsidR="00031A3F" w:rsidRPr="00EE1E0C" w:rsidRDefault="00031A3F">
      <w:r w:rsidRPr="00EE1E0C">
        <w:t>Häktet i Östersund lades ned den 1 januari 1996. Vid nedläggningen rådde vitt skilda uppfattningar om vilka effekter nedläggningen skulle komma att få. Östersunds kommun respektive Kriminalvårdsstyrelsen gjorde var sin kostnadsuppskattning beträffande nedläggningen. Riksdagens revisorer granskade i en rapport (1995/96:6) det underlag som förelåg vid beslutet. I rapporten utökades underlaget till att även innefatta konsekvenser för staten och samhället i övrigt.</w:t>
      </w:r>
    </w:p>
    <w:p w:rsidR="00031A3F" w:rsidRPr="00EE1E0C" w:rsidRDefault="00031A3F">
      <w:pPr>
        <w:pStyle w:val="Normaltindrag"/>
      </w:pPr>
      <w:r w:rsidRPr="00EE1E0C">
        <w:t>År 1996 kan betecknas som ett övergångsår beträffande förvaringen av de häktade från Östersundsområdet. Exempelvis stod häktet i Härnösand för delar av förhörsresorna till Östersund. Organisationen 1997 har av berörda tjänstemän karaktäriserats som mera stabil. Några större förändringar plan</w:t>
      </w:r>
      <w:r w:rsidRPr="00EE1E0C">
        <w:t>e</w:t>
      </w:r>
      <w:r w:rsidRPr="00EE1E0C">
        <w:t>ras inte. Riksdagen har nyligen beslutat om nya regler för behandlingen av häktade, anhållna och gripna (prop. 1997/98:104, bet. 1997/98: JuU22, rskr. 1997/98:227). Dessa förändringar kan komma att påverka hela rättsväsendets verksamhet. Det är inte självklart att situationen i Östersund påverkas på något speciellt sätt. Successiva förändringar av rättsväsendet kommer dock att göra det svårt att efter några år urskilja de effekter som direkt kan hänf</w:t>
      </w:r>
      <w:r w:rsidRPr="00EE1E0C">
        <w:t>ö</w:t>
      </w:r>
      <w:r w:rsidRPr="00EE1E0C">
        <w:t>ras till häktesnedläg</w:t>
      </w:r>
      <w:r w:rsidRPr="00EE1E0C">
        <w:t>g</w:t>
      </w:r>
      <w:r w:rsidRPr="00EE1E0C">
        <w:t>ningen.</w:t>
      </w:r>
    </w:p>
    <w:p w:rsidR="00031A3F" w:rsidRPr="00EE1E0C" w:rsidRDefault="00031A3F">
      <w:pPr>
        <w:pStyle w:val="Normaltindrag"/>
      </w:pPr>
      <w:r w:rsidRPr="00EE1E0C">
        <w:t>Kriminalvårdsstyrelsen har</w:t>
      </w:r>
      <w:r w:rsidRPr="00EE1E0C">
        <w:t xml:space="preserve"> inte gjort någon uppföljning av de ekonomiska effekterna av häktesnedläggningen i Östersund. Revisorerna anser att til</w:t>
      </w:r>
      <w:r w:rsidRPr="00EE1E0C">
        <w:t>l</w:t>
      </w:r>
      <w:r w:rsidRPr="00EE1E0C">
        <w:t>räcklig tid förflutit sedan nedläggningen för att en sådan skall vara motiv</w:t>
      </w:r>
      <w:r w:rsidRPr="00EE1E0C">
        <w:t>e</w:t>
      </w:r>
      <w:r w:rsidRPr="00EE1E0C">
        <w:t>rad. Finansutskottet ställde sig i sitt betänkande med anledning av revisore</w:t>
      </w:r>
      <w:r w:rsidRPr="00EE1E0C">
        <w:t>r</w:t>
      </w:r>
      <w:r w:rsidRPr="00EE1E0C">
        <w:t>nas rapport (rapport 1995/96:6, bet. 1996/97:FiU2y) bakom det revisorerna framhållit om vikten av efterkalkyler. Utskottet anförde i likhet med revis</w:t>
      </w:r>
      <w:r w:rsidRPr="00EE1E0C">
        <w:t>o</w:t>
      </w:r>
      <w:r w:rsidRPr="00EE1E0C">
        <w:t>rerna att det i de fall ekonomiska konsekvensanalyser utgjort underlag för beslut även är</w:t>
      </w:r>
      <w:r w:rsidRPr="00EE1E0C">
        <w:t xml:space="preserve"> av intresse att efter en tid följa upp besluten och med hjälp av efterkalkyler studera det faktiska utfallet. Eftersom revisorerna anser att det är viktigt med efterkalkyler har en uppföljning av häktesnedläggningen i Östersund gjorts. Uppföljningen består dels av en beskrivning av praktiska konsekvenser av häktesnedläggningen, dels av en uppföljning av den sa</w:t>
      </w:r>
      <w:r w:rsidRPr="00EE1E0C">
        <w:t>m</w:t>
      </w:r>
      <w:r w:rsidRPr="00EE1E0C">
        <w:t>hällsekonomiska kalkyl revisorerna presenterade i sin tidigare ra</w:t>
      </w:r>
      <w:r w:rsidRPr="00EE1E0C">
        <w:t>p</w:t>
      </w:r>
      <w:r w:rsidRPr="00EE1E0C">
        <w:t>port.</w:t>
      </w:r>
    </w:p>
    <w:p w:rsidR="00031A3F" w:rsidRPr="00EE1E0C" w:rsidRDefault="00031A3F">
      <w:pPr>
        <w:pStyle w:val="Normaltindrag"/>
      </w:pPr>
      <w:r w:rsidRPr="00EE1E0C">
        <w:t>Arbetet med uppföljningen har beretts i revisorernas tredje avdelning. I den</w:t>
      </w:r>
      <w:r w:rsidRPr="00EE1E0C">
        <w:t xml:space="preserve"> tredje avdelningen ingår riksdagsledamöterna Anders G Högmark (m), ordförande, Anita Jönsson (s), Bengt Kronblad (s), Bengt Harding Olson (fp), Hans Stenberg (s), Stig Grauers (m), Christina Pettersson (s) och Le</w:t>
      </w:r>
      <w:r w:rsidRPr="00EE1E0C">
        <w:t>n</w:t>
      </w:r>
      <w:r w:rsidRPr="00EE1E0C">
        <w:t>nart Brunander (c). Beslut om rapporten har fattats av revisorerna i plenum den 9 juni 1998.</w:t>
      </w:r>
    </w:p>
    <w:p w:rsidR="00031A3F" w:rsidRPr="00EE1E0C" w:rsidRDefault="00031A3F">
      <w:pPr>
        <w:pStyle w:val="Normaltindrag"/>
      </w:pPr>
      <w:r w:rsidRPr="00EE1E0C">
        <w:t>Ansvarig vid revisorernas kansli har förste byråsekreterare Carin Khakee varit. Kanslichef Åke Dahlberg och utredningschef Karin Brunsson har oc</w:t>
      </w:r>
      <w:r w:rsidRPr="00EE1E0C">
        <w:t>k</w:t>
      </w:r>
      <w:r w:rsidRPr="00EE1E0C">
        <w:t>så deltagit i arb</w:t>
      </w:r>
      <w:r w:rsidRPr="00EE1E0C">
        <w:t>e</w:t>
      </w:r>
      <w:r w:rsidRPr="00EE1E0C">
        <w:t>tet.</w:t>
      </w:r>
    </w:p>
    <w:p w:rsidR="00031A3F" w:rsidRPr="00EE1E0C" w:rsidRDefault="00031A3F">
      <w:pPr>
        <w:pStyle w:val="Normaltindrag"/>
      </w:pPr>
      <w:r w:rsidRPr="00EE1E0C">
        <w:t>Under arbetet med uppföljningen har kontakterna med representanter för polis, åklagare, tingsrätt, advokat och kommun i Östersund samt represe</w:t>
      </w:r>
      <w:r w:rsidRPr="00EE1E0C">
        <w:t>n</w:t>
      </w:r>
      <w:r w:rsidRPr="00EE1E0C">
        <w:t>tanter för häktet, transporttjänsten och Kriminalvårdens regionkansli i Hä</w:t>
      </w:r>
      <w:r w:rsidRPr="00EE1E0C">
        <w:t>r</w:t>
      </w:r>
      <w:r w:rsidRPr="00EE1E0C">
        <w:t>nösand periodvis varit intensiva. Dessa har också under hand framfört sy</w:t>
      </w:r>
      <w:r w:rsidRPr="00EE1E0C">
        <w:t>n</w:t>
      </w:r>
      <w:r w:rsidRPr="00EE1E0C">
        <w:t>pun</w:t>
      </w:r>
      <w:r w:rsidRPr="00EE1E0C">
        <w:t>k</w:t>
      </w:r>
      <w:r w:rsidRPr="00EE1E0C">
        <w:t>ter på delar av texten.</w:t>
      </w:r>
    </w:p>
    <w:p w:rsidR="00031A3F" w:rsidRPr="00EE1E0C" w:rsidRDefault="00031A3F">
      <w:pPr>
        <w:sectPr w:rsidR="00000000" w:rsidRPr="00EE1E0C">
          <w:headerReference w:type="even" r:id="rId34"/>
          <w:headerReference w:type="default" r:id="rId35"/>
          <w:footerReference w:type="even" r:id="rId36"/>
          <w:footerReference w:type="default" r:id="rId37"/>
          <w:headerReference w:type="first" r:id="rId38"/>
          <w:footerReference w:type="first" r:id="rId39"/>
          <w:type w:val="oddPage"/>
          <w:pgSz w:w="11906" w:h="16838" w:code="9"/>
          <w:pgMar w:top="567" w:right="4876" w:bottom="4508" w:left="1134" w:header="0" w:footer="0" w:gutter="0"/>
          <w:cols w:space="397"/>
          <w:titlePg/>
        </w:sectPr>
      </w:pPr>
    </w:p>
    <w:p w:rsidR="00031A3F" w:rsidRPr="00EE1E0C" w:rsidRDefault="00031A3F">
      <w:pPr>
        <w:pStyle w:val="Rubrik1"/>
      </w:pPr>
      <w:bookmarkStart w:id="394" w:name="_Toc422038686"/>
      <w:r w:rsidRPr="00EE1E0C">
        <w:t>Sammanfattning</w:t>
      </w:r>
      <w:bookmarkEnd w:id="394"/>
    </w:p>
    <w:p w:rsidR="00031A3F" w:rsidRPr="00EE1E0C" w:rsidRDefault="00031A3F">
      <w:r w:rsidRPr="00EE1E0C">
        <w:t>Häktet i Östersund lades ned den 1 januari 1996. Nedläggningen var ett led i de besparingar kriminalvården genomfört de senaste åren. Man valde att lägga ned häktet i Östersund eftersom häktet var förhållandevis litet och hade öve</w:t>
      </w:r>
      <w:r w:rsidRPr="00EE1E0C">
        <w:t>r</w:t>
      </w:r>
      <w:r w:rsidRPr="00EE1E0C">
        <w:t>kapacitet.</w:t>
      </w:r>
    </w:p>
    <w:p w:rsidR="00031A3F" w:rsidRPr="00EE1E0C" w:rsidRDefault="00031A3F">
      <w:pPr>
        <w:pStyle w:val="Normaltindrag"/>
      </w:pPr>
      <w:r w:rsidRPr="00EE1E0C">
        <w:t>I en rapport från Riksdagens revisorer (1995/96:6) om konsekvensanalyser inom kriminalvården utgjorde häktesnedläggningen i Östersund en av tre fallstudier. I rapporten beskrevs de skilda uppfattningar som Kriminalvården i Östersund och de lokala myndigheterna hade beträffande vilka konsekve</w:t>
      </w:r>
      <w:r w:rsidRPr="00EE1E0C">
        <w:t>n</w:t>
      </w:r>
      <w:r w:rsidRPr="00EE1E0C">
        <w:t>ser nedläggningen av häktet skulle kunna få. Östersunds kommun respektive Kriminalvårdsstyrelsen gjorde skilda kostnadsuppskattningar för nedläg</w:t>
      </w:r>
      <w:r w:rsidRPr="00EE1E0C">
        <w:t>g</w:t>
      </w:r>
      <w:r w:rsidRPr="00EE1E0C">
        <w:t>ningen av häktet. Riksdagens revisorer konstaterade att det underlag som låg till grund för regeringens beslut att lägga ned häktet i Östersund var oful</w:t>
      </w:r>
      <w:r w:rsidRPr="00EE1E0C">
        <w:t>l</w:t>
      </w:r>
      <w:r w:rsidRPr="00EE1E0C">
        <w:t>ständigt och missvisande då det inte täckte de samhällsekonomiska konse-kvenserna. I revisorernas granskning framkom att det var osäkert om ne</w:t>
      </w:r>
      <w:r w:rsidRPr="00EE1E0C">
        <w:t>d</w:t>
      </w:r>
      <w:r w:rsidRPr="00EE1E0C">
        <w:t>läggningen av häktet i Östersund skulle vara sa</w:t>
      </w:r>
      <w:r w:rsidRPr="00EE1E0C">
        <w:t>m</w:t>
      </w:r>
      <w:r w:rsidRPr="00EE1E0C">
        <w:t>hällsekonomiskt lönsam</w:t>
      </w:r>
      <w:r w:rsidRPr="00EE1E0C">
        <w:t>.</w:t>
      </w:r>
    </w:p>
    <w:p w:rsidR="00031A3F" w:rsidRPr="00EE1E0C" w:rsidRDefault="00031A3F">
      <w:pPr>
        <w:pStyle w:val="Normaltindrag"/>
      </w:pPr>
      <w:r w:rsidRPr="00EE1E0C">
        <w:t>Sedan häktet i Östersund lagts ned förvaras de häktade främst vid häktet i Härnösand. Polisen reser till häktet för att hålla förhör i samband med utre</w:t>
      </w:r>
      <w:r w:rsidRPr="00EE1E0C">
        <w:t>d</w:t>
      </w:r>
      <w:r w:rsidRPr="00EE1E0C">
        <w:t>ningar. Häktet transporterar den häktade till Tingsrätten i Östersund för förhandlingar.</w:t>
      </w:r>
    </w:p>
    <w:p w:rsidR="00031A3F" w:rsidRPr="00EE1E0C" w:rsidRDefault="00031A3F">
      <w:pPr>
        <w:pStyle w:val="Normaltindrag"/>
      </w:pPr>
      <w:r w:rsidRPr="00EE1E0C">
        <w:t>Representanter för rättsväsendets myndigheter i Östersund anser att ne</w:t>
      </w:r>
      <w:r w:rsidRPr="00EE1E0C">
        <w:t>d</w:t>
      </w:r>
      <w:r w:rsidRPr="00EE1E0C">
        <w:t>läggningen av häktet har inneburit betydande försämringar för verksamheten. Man menar bl.a. att utredningarna och säkerheten blivit sämre. Vid häktet och transporttjänsten i Härnösand anser man inte att häktade från Öste</w:t>
      </w:r>
      <w:r w:rsidRPr="00EE1E0C">
        <w:t>r</w:t>
      </w:r>
      <w:r w:rsidRPr="00EE1E0C">
        <w:t>sundsområdet behandlas annorlunda än andra häktade. Den enda skillnaden är, enligt tjänstemän vid häktet, att häktade från Östersundsområdet får färre besök av anhöriga.</w:t>
      </w:r>
    </w:p>
    <w:p w:rsidR="00031A3F" w:rsidRPr="00EE1E0C" w:rsidRDefault="00031A3F">
      <w:pPr>
        <w:pStyle w:val="Normaltindrag"/>
      </w:pPr>
      <w:r w:rsidRPr="00EE1E0C">
        <w:t>Revisorernas slutsatser är främst följande. De beräkningar som gjorts visar en vinst för kriminalvården. Till stor del b</w:t>
      </w:r>
      <w:r w:rsidRPr="00EE1E0C">
        <w:t>eror det på att man hade överkap</w:t>
      </w:r>
      <w:r w:rsidRPr="00EE1E0C">
        <w:t>a</w:t>
      </w:r>
      <w:r w:rsidRPr="00EE1E0C">
        <w:t>citet och höga kostnader vid häktet i Östersund samt att överkapacitet förelåg även i Härnösand. Sammantaget överensstämmer den samhällsekonomiska beräkningen förhållandevis väl med revisorernas tidigare beräkning. Jämfört med de tidigare beräkningarna har dock kostnaderna för resor blivit betydligt lägre. Däremot har fler personer blivit arbetslösa eller pensionerade än vad revisorerna tidigare hade räknat med.</w:t>
      </w:r>
    </w:p>
    <w:p w:rsidR="00031A3F" w:rsidRPr="00EE1E0C" w:rsidRDefault="00031A3F">
      <w:pPr>
        <w:pStyle w:val="Normaltindrag"/>
      </w:pPr>
      <w:r w:rsidRPr="00EE1E0C">
        <w:t>Nedläggningen har medfört ökade kostnader för främst polisen. Ö</w:t>
      </w:r>
      <w:r w:rsidRPr="00EE1E0C">
        <w:t>kade kostnader för hyror, arrestbevakning och resor har givit mindre utrymme för operativt polisarbete. Färre häktade har inneburit en större besparing för kriminalvården till följd av häktesnedläggningen. Häktade från Östersund</w:t>
      </w:r>
      <w:r w:rsidRPr="00EE1E0C">
        <w:t>s</w:t>
      </w:r>
      <w:r w:rsidRPr="00EE1E0C">
        <w:t>området får inte lika ofta besök av sina anhöriga som övriga häktade. De har även sämre möjligheter att träffa sin advokat. Det finns risk för att utre</w:t>
      </w:r>
      <w:r w:rsidRPr="00EE1E0C">
        <w:t>d</w:t>
      </w:r>
      <w:r w:rsidRPr="00EE1E0C">
        <w:t xml:space="preserve">ningskvaliteten har försämrats efter nedläggningen. Detta innebär att vinsten för staten och samhället i övrigt kan diskuteras. </w:t>
      </w:r>
    </w:p>
    <w:p w:rsidR="00031A3F" w:rsidRPr="00EE1E0C" w:rsidRDefault="00031A3F">
      <w:pPr>
        <w:pStyle w:val="Rubrik1"/>
      </w:pPr>
      <w:bookmarkStart w:id="395" w:name="_Toc422038687"/>
      <w:r w:rsidRPr="00EE1E0C">
        <w:t xml:space="preserve">1 </w:t>
      </w:r>
      <w:r w:rsidRPr="00EE1E0C">
        <w:t>Häktet i Östersund</w:t>
      </w:r>
      <w:bookmarkEnd w:id="395"/>
    </w:p>
    <w:p w:rsidR="00031A3F" w:rsidRPr="00EE1E0C" w:rsidRDefault="00031A3F">
      <w:r w:rsidRPr="00EE1E0C">
        <w:t>Nedan beskrivs häktet i Östersund samt händelserna kring nedläggningen. Beskrivningen bygger på statistik från häktet samt på den information repr</w:t>
      </w:r>
      <w:r w:rsidRPr="00EE1E0C">
        <w:t>e</w:t>
      </w:r>
      <w:r w:rsidRPr="00EE1E0C">
        <w:t>sentanter för olika myndigh</w:t>
      </w:r>
      <w:r w:rsidRPr="00EE1E0C">
        <w:t>e</w:t>
      </w:r>
      <w:r w:rsidRPr="00EE1E0C">
        <w:t>ter i Östersund förmedlat.</w:t>
      </w:r>
    </w:p>
    <w:p w:rsidR="00031A3F" w:rsidRPr="00EE1E0C" w:rsidRDefault="00031A3F">
      <w:pPr>
        <w:pStyle w:val="Rubrik2"/>
      </w:pPr>
      <w:bookmarkStart w:id="396" w:name="_Toc422038688"/>
      <w:r w:rsidRPr="00EE1E0C">
        <w:t>Uppgifter om häktet i Östersund</w:t>
      </w:r>
      <w:bookmarkEnd w:id="396"/>
    </w:p>
    <w:p w:rsidR="00031A3F" w:rsidRPr="00EE1E0C" w:rsidRDefault="00031A3F">
      <w:r w:rsidRPr="00EE1E0C">
        <w:t>Häktet i Östersund hade 18 platser och 25 anställda och var ett av de minsta i landet. Vid häktet förvarades även anhållna. Häktespersonalen stod för b</w:t>
      </w:r>
      <w:r w:rsidRPr="00EE1E0C">
        <w:t>e</w:t>
      </w:r>
      <w:r w:rsidRPr="00EE1E0C">
        <w:t>vakningen av polisarresten. Upptagningsområdet var polisdistrikten i Öste</w:t>
      </w:r>
      <w:r w:rsidRPr="00EE1E0C">
        <w:t>r</w:t>
      </w:r>
      <w:r w:rsidRPr="00EE1E0C">
        <w:t>sund och Sveg. Polisen hade regelbunden kontakt med de häktade och utre</w:t>
      </w:r>
      <w:r w:rsidRPr="00EE1E0C">
        <w:t>d</w:t>
      </w:r>
      <w:r w:rsidRPr="00EE1E0C">
        <w:t>ningsarbetet pågick under häktningstiden. Åklagaren deltog ofta vid förhör. Åklagaren eller någon av de utredande poliserna bevakade även de besök häktade med restriktioner fick av sina anhöriga. På begäran från den häktade besökte advokaten häktet för att tala med sin klient. Häktet i Östersund up</w:t>
      </w:r>
      <w:r w:rsidRPr="00EE1E0C">
        <w:t>p</w:t>
      </w:r>
      <w:r w:rsidRPr="00EE1E0C">
        <w:t>levdes som säkert av de lokala representanterna för polis, åklaga</w:t>
      </w:r>
      <w:r w:rsidRPr="00EE1E0C">
        <w:t>re och do</w:t>
      </w:r>
      <w:r w:rsidRPr="00EE1E0C">
        <w:t>m</w:t>
      </w:r>
      <w:r w:rsidRPr="00EE1E0C">
        <w:t>stol. Ett tecken på det ansågs vara att häktade personer, misstänkta för svåra brott, ofta transporterades till häktet från andra delar av la</w:t>
      </w:r>
      <w:r w:rsidRPr="00EE1E0C">
        <w:t>n</w:t>
      </w:r>
      <w:r w:rsidRPr="00EE1E0C">
        <w:t>det.</w:t>
      </w:r>
    </w:p>
    <w:p w:rsidR="00031A3F" w:rsidRPr="00EE1E0C" w:rsidRDefault="00031A3F">
      <w:pPr>
        <w:pStyle w:val="Normaltindrag"/>
      </w:pPr>
      <w:r w:rsidRPr="00EE1E0C">
        <w:t>När beslutet om nedläggningen av häktet kom protesterade samtliga i</w:t>
      </w:r>
      <w:r w:rsidRPr="00EE1E0C">
        <w:t>n</w:t>
      </w:r>
      <w:r w:rsidRPr="00EE1E0C">
        <w:t>stanser inom det lokala rättsväsendet mot nedläggningen genom skrivelser till regeringen. Polis och åklagare uttryckte oro för att praktiska problem skulle försvåra, försena och fördyra polisutredningarna. Man befarade att antalet förhör skulle bli mindre och utredningskvaliteten försämras. Domare vid tingsrätten i Östersund bedömde att planeringen av de olika brottmål</w:t>
      </w:r>
      <w:r w:rsidRPr="00EE1E0C">
        <w:t>s</w:t>
      </w:r>
      <w:r w:rsidRPr="00EE1E0C">
        <w:t>förhandlingarna skulle kompliceras när hänsyn måste tas till transporter. Advokater menade att häktade skulle få svårare att träffa sina fö</w:t>
      </w:r>
      <w:r w:rsidRPr="00EE1E0C">
        <w:t>rsvarare. Från samtliga instanser i Östersund uttryckte man oro för att de häktades möjligheter att ta emot besök från anhöriga skulle minska. Man befarade att rättss</w:t>
      </w:r>
      <w:r w:rsidRPr="00EE1E0C">
        <w:t>ä</w:t>
      </w:r>
      <w:r w:rsidRPr="00EE1E0C">
        <w:t>kerheten skulle försämras.</w:t>
      </w:r>
    </w:p>
    <w:p w:rsidR="00031A3F" w:rsidRPr="00EE1E0C" w:rsidRDefault="00031A3F">
      <w:pPr>
        <w:pStyle w:val="Rubrik3"/>
      </w:pPr>
      <w:bookmarkStart w:id="397" w:name="_Toc422038689"/>
      <w:r w:rsidRPr="00EE1E0C">
        <w:t>Regeringsbeslutet</w:t>
      </w:r>
      <w:bookmarkEnd w:id="397"/>
    </w:p>
    <w:p w:rsidR="00031A3F" w:rsidRPr="00EE1E0C" w:rsidRDefault="00031A3F">
      <w:r w:rsidRPr="00EE1E0C">
        <w:t>Våren 1995 begärde Kriminalvårdsstyrelsen att regeringen skulle besluta om att en rad anstalter och två häkten skulle stängas. Ett av dessa häkten var häktet i Östersund. Orsaken var att kriminalvården i budgetpropositionen (prop. 1994/95:100) hade ålagts att spara 50 miljoner kronor. Regeringen biföll Kriminalvårdsstyrelsens begäran (regeringsbeslut 1995-04-06). Häktet i Östersund lades ned den 1 januari 1996.</w:t>
      </w:r>
    </w:p>
    <w:p w:rsidR="00031A3F" w:rsidRPr="00EE1E0C" w:rsidRDefault="00031A3F">
      <w:pPr>
        <w:pStyle w:val="Rubrik3"/>
      </w:pPr>
      <w:bookmarkStart w:id="398" w:name="_Toc422038690"/>
      <w:r w:rsidRPr="00EE1E0C">
        <w:t>Ett projekt för fortsatt häktesverksamhet i Östersund</w:t>
      </w:r>
      <w:bookmarkEnd w:id="398"/>
    </w:p>
    <w:p w:rsidR="00031A3F" w:rsidRPr="00EE1E0C" w:rsidRDefault="00031A3F">
      <w:r w:rsidRPr="00EE1E0C">
        <w:t>I Östersund har representanter för rättsväsendet efter nedläggningen börjat arbeta med ett nytt projekt kallat Frösöprojektet. Vid Frösö behandlingshem för psykiskt sjuka personer har man häktesstandard och ledig kapacitet. Polisen i Jämtland anser sig ha behov av 10 häktesplatser. Representanter för olika myndigheter inom rättsväsendet i Östersund anser att det finns möjli</w:t>
      </w:r>
      <w:r w:rsidRPr="00EE1E0C">
        <w:t>g</w:t>
      </w:r>
      <w:r w:rsidRPr="00EE1E0C">
        <w:t>heter till en gemensamhetslö</w:t>
      </w:r>
      <w:r w:rsidRPr="00EE1E0C">
        <w:t>s</w:t>
      </w:r>
      <w:r w:rsidRPr="00EE1E0C">
        <w:t>ning med den psykiatriska vården.</w:t>
      </w:r>
    </w:p>
    <w:p w:rsidR="00031A3F" w:rsidRPr="00EE1E0C" w:rsidRDefault="00031A3F">
      <w:pPr>
        <w:pStyle w:val="Rubrik1"/>
      </w:pPr>
      <w:bookmarkStart w:id="399" w:name="_Toc422038691"/>
      <w:r w:rsidRPr="00EE1E0C">
        <w:t>2 Riksdagens revisorers rapport</w:t>
      </w:r>
      <w:bookmarkEnd w:id="399"/>
    </w:p>
    <w:p w:rsidR="00031A3F" w:rsidRPr="00EE1E0C" w:rsidRDefault="00031A3F">
      <w:r w:rsidRPr="00EE1E0C">
        <w:t xml:space="preserve">Efter ett förslag från justitieutskottet genomförde Riksdagens revisorer en granskning som kom att resultera i rapporten </w:t>
      </w:r>
      <w:r w:rsidRPr="00EE1E0C">
        <w:rPr>
          <w:i/>
        </w:rPr>
        <w:t>Bygga nytt eller avveckla? Konsekvensanalyser inom kriminalvården</w:t>
      </w:r>
      <w:r w:rsidRPr="00EE1E0C">
        <w:t xml:space="preserve"> (rapport 1995/96:6). Gransknin</w:t>
      </w:r>
      <w:r w:rsidRPr="00EE1E0C">
        <w:t>g</w:t>
      </w:r>
      <w:r w:rsidRPr="00EE1E0C">
        <w:t>en hade flera syften. Bl.a. ville revisorerna undersöka kvaliteten på de b</w:t>
      </w:r>
      <w:r w:rsidRPr="00EE1E0C">
        <w:t>e</w:t>
      </w:r>
      <w:r w:rsidRPr="00EE1E0C">
        <w:t>slutsunderlag som tas fram inför beslut om förändringar, byggande och ne</w:t>
      </w:r>
      <w:r w:rsidRPr="00EE1E0C">
        <w:t>d</w:t>
      </w:r>
      <w:r w:rsidRPr="00EE1E0C">
        <w:t>läggning av anstalter och häkten.</w:t>
      </w:r>
    </w:p>
    <w:p w:rsidR="00031A3F" w:rsidRPr="00EE1E0C" w:rsidRDefault="00031A3F">
      <w:pPr>
        <w:pStyle w:val="Normaltindrag"/>
      </w:pPr>
      <w:r w:rsidRPr="00EE1E0C">
        <w:t>En av tre fallstudier rörde häktet i Östersund. Två separata ekonomiska b</w:t>
      </w:r>
      <w:r w:rsidRPr="00EE1E0C">
        <w:t>e</w:t>
      </w:r>
      <w:r w:rsidRPr="00EE1E0C">
        <w:t>räkningar hade gjorts av Kriminalvårdsstyrelsen respektive Östersunds kommun. Beträffande vissa kostnader var skillnaderna mellan de två berä</w:t>
      </w:r>
      <w:r w:rsidRPr="00EE1E0C">
        <w:t>k</w:t>
      </w:r>
      <w:r w:rsidRPr="00EE1E0C">
        <w:t>ningarna mycket stora. Representanter för kriminalvården och representanter för berörda myndigheter i Östersund redovisade vitt skilda uppfattningar om vilka prakti</w:t>
      </w:r>
      <w:r w:rsidRPr="00EE1E0C">
        <w:t>s</w:t>
      </w:r>
      <w:r w:rsidRPr="00EE1E0C">
        <w:t>ka konsekvenser nedläggningen av häktet skulle få.</w:t>
      </w:r>
    </w:p>
    <w:p w:rsidR="00031A3F" w:rsidRPr="00EE1E0C" w:rsidRDefault="00031A3F">
      <w:pPr>
        <w:pStyle w:val="Normaltindrag"/>
      </w:pPr>
      <w:r w:rsidRPr="00EE1E0C">
        <w:t>Riksdagens revisorers kalkyl visade att nedläggningen av häktet i Öste</w:t>
      </w:r>
      <w:r w:rsidRPr="00EE1E0C">
        <w:t>r</w:t>
      </w:r>
      <w:r w:rsidRPr="00EE1E0C">
        <w:t>sund kunde beräknas vara lönsam för kriminalvården. Revisorerna vidgade dock perspektivet till att även gälla samhällsekonomiska kostnader och e</w:t>
      </w:r>
      <w:r w:rsidRPr="00EE1E0C">
        <w:t>f</w:t>
      </w:r>
      <w:r w:rsidRPr="00EE1E0C">
        <w:t>fekter. Revisorernas redovisning omfattade utfall för kriminalvården, stat</w:t>
      </w:r>
      <w:r w:rsidRPr="00EE1E0C">
        <w:t>s</w:t>
      </w:r>
      <w:r w:rsidRPr="00EE1E0C">
        <w:t>budgeten i övrigt samt samhällsekonomin. Då hänsyn togs till hela samhäll</w:t>
      </w:r>
      <w:r w:rsidRPr="00EE1E0C">
        <w:t>s</w:t>
      </w:r>
      <w:r w:rsidRPr="00EE1E0C">
        <w:t>ekonomin tillkom effekter för personal, intagna och anhöriga samt effekter av den ökade resandevolymen och regionalpolitiska effekter. Revisorerna konstaterade att det underlag som låg till grund för regeringens beslu</w:t>
      </w:r>
      <w:r w:rsidRPr="00EE1E0C">
        <w:t>t att lägga ned häktet i Östersund var ofullständigt och missvisande. De komple</w:t>
      </w:r>
      <w:r w:rsidRPr="00EE1E0C">
        <w:t>t</w:t>
      </w:r>
      <w:r w:rsidRPr="00EE1E0C">
        <w:t>terande beräkningarna som revisorerna gjort visade att beslutet skulle komma att leda till betydande tillkommande kostnader. Revisorerna konstaterade vidare att det mot bakgrund av de kompletterande beräkningarna inte kunde uteslutas att nedläggningen var både statsfinansiellt och samhällsekonomiskt olönsam. Att kriminalvården skulle göra en besparing vid nedläggningen menade man var otvetydigt. Revisorerna menade vidare att eko</w:t>
      </w:r>
      <w:r w:rsidRPr="00EE1E0C">
        <w:t>nomiska konsekvensanalyser borde användas i större utsträckning inom kriminalvå</w:t>
      </w:r>
      <w:r w:rsidRPr="00EE1E0C">
        <w:t>r</w:t>
      </w:r>
      <w:r w:rsidRPr="00EE1E0C">
        <w:t>den. Både statsfinansiella konsekvenser och samhällsekonomiska effekter av ett förslag borde beskrivas och utgöra en del av underlaget för regeringens beslut.</w:t>
      </w:r>
    </w:p>
    <w:p w:rsidR="00031A3F" w:rsidRPr="00EE1E0C" w:rsidRDefault="00031A3F">
      <w:pPr>
        <w:pStyle w:val="Normaltindrag"/>
      </w:pPr>
      <w:r w:rsidRPr="00EE1E0C">
        <w:t>Revisorernas rapport resulterade i förslag till riksdagen (förs. 1996/97:RR7). Förslagen handlade främst om användningen av ekonomiska konsekvensanalyser, kapitalkostnader samt beslutsunderlaget vid bedö</w:t>
      </w:r>
      <w:r w:rsidRPr="00EE1E0C">
        <w:t>m</w:t>
      </w:r>
      <w:r w:rsidRPr="00EE1E0C">
        <w:t>ningen av platstillgång och platsbehov vid häkten och anstalter. Nedläg</w:t>
      </w:r>
      <w:r w:rsidRPr="00EE1E0C">
        <w:t>g</w:t>
      </w:r>
      <w:r w:rsidRPr="00EE1E0C">
        <w:t>ningen av häktet i Östersund berördes inte.</w:t>
      </w:r>
    </w:p>
    <w:p w:rsidR="00031A3F" w:rsidRPr="00EE1E0C" w:rsidRDefault="00031A3F">
      <w:pPr>
        <w:pStyle w:val="Rubrik1"/>
      </w:pPr>
      <w:bookmarkStart w:id="400" w:name="_Toc422038692"/>
      <w:r w:rsidRPr="00EE1E0C">
        <w:t>3 Östersundsperspektivet</w:t>
      </w:r>
      <w:bookmarkEnd w:id="400"/>
    </w:p>
    <w:p w:rsidR="00031A3F" w:rsidRPr="00EE1E0C" w:rsidRDefault="00031A3F">
      <w:r w:rsidRPr="00EE1E0C">
        <w:t>I syfte att göra en uppföljning av den kalkyl som presenterades i ovannäm</w:t>
      </w:r>
      <w:r w:rsidRPr="00EE1E0C">
        <w:t>n</w:t>
      </w:r>
      <w:r w:rsidRPr="00EE1E0C">
        <w:t>da rapport har revisorerna undersökt effekterna av häktesnedläggningen i Östersund. Inledningsvis beskrivs de praktiska effekter nedläggningen fått. Därefter redovisas uppföljningen av den kalkyl som presenterades i revis</w:t>
      </w:r>
      <w:r w:rsidRPr="00EE1E0C">
        <w:t>o</w:t>
      </w:r>
      <w:r w:rsidRPr="00EE1E0C">
        <w:t xml:space="preserve">rernas tidigare rapport (1995/96:6). </w:t>
      </w:r>
    </w:p>
    <w:p w:rsidR="00031A3F" w:rsidRPr="00EE1E0C" w:rsidRDefault="00031A3F">
      <w:pPr>
        <w:pStyle w:val="Normaltindrag"/>
      </w:pPr>
      <w:r w:rsidRPr="00EE1E0C">
        <w:t>Detta avsnitt är baserat på statistik och olika typer av dokumentation som respektive myndighet lämnat samt på uppgifter som framkommit vid inte</w:t>
      </w:r>
      <w:r w:rsidRPr="00EE1E0C">
        <w:t>r</w:t>
      </w:r>
      <w:r w:rsidRPr="00EE1E0C">
        <w:t>vjuer med representanter för de lokala myndigheterna. I de fall enbart en representant intervjuats har han före intervjun samrått med sina kolleger. Vid intervjun återgavs såväl de egna som kollegernas uppfattningar och sy</w:t>
      </w:r>
      <w:r w:rsidRPr="00EE1E0C">
        <w:t>n</w:t>
      </w:r>
      <w:r w:rsidRPr="00EE1E0C">
        <w:t>punkter. I några fall har man kompletterat med kollegernas åsikter i efte</w:t>
      </w:r>
      <w:r w:rsidRPr="00EE1E0C">
        <w:t>r</w:t>
      </w:r>
      <w:r w:rsidRPr="00EE1E0C">
        <w:t xml:space="preserve">hand. </w:t>
      </w:r>
    </w:p>
    <w:p w:rsidR="00031A3F" w:rsidRPr="00EE1E0C" w:rsidRDefault="00031A3F">
      <w:pPr>
        <w:pStyle w:val="Rubrik2"/>
      </w:pPr>
      <w:bookmarkStart w:id="401" w:name="_Toc422038693"/>
      <w:r w:rsidRPr="00EE1E0C">
        <w:t>De gamla häkteslokalerna</w:t>
      </w:r>
      <w:bookmarkEnd w:id="401"/>
    </w:p>
    <w:p w:rsidR="00031A3F" w:rsidRPr="00EE1E0C" w:rsidRDefault="00031A3F">
      <w:r w:rsidRPr="00EE1E0C">
        <w:t>När häktet lades ned byggde man om de gamla häkteslokalerna som låg högst upp i polishuset. I lokalerna finns nu omklädningsrum, tjänsterum, datasal, sammanträdesrum och personalmatsal. Lokalerna hyrs av polisen. Liksom övriga polismyndigheter i landet ålades Polismyndigheten i Öste</w:t>
      </w:r>
      <w:r w:rsidRPr="00EE1E0C">
        <w:t>r</w:t>
      </w:r>
      <w:r w:rsidRPr="00EE1E0C">
        <w:t>sund besparingar i början av 1990-talet. Man genomförde dessa besparingar bl.a. genom att inte återbesätta tjänster som blev lediga vid pensionsavgån</w:t>
      </w:r>
      <w:r w:rsidRPr="00EE1E0C">
        <w:t>g</w:t>
      </w:r>
      <w:r w:rsidRPr="00EE1E0C">
        <w:t>ar. Vid polismyndigheten har man nu 18 poliser mindre än år 1994. Vidare har omfattningen av investeringar och internutbildning minskat. Hyreskos</w:t>
      </w:r>
      <w:r w:rsidRPr="00EE1E0C">
        <w:t>t</w:t>
      </w:r>
      <w:r w:rsidRPr="00EE1E0C">
        <w:t xml:space="preserve">naderna för polisstationerna i länet har minskats, något som också bidragit till minskade utgifter. När häktet lades ned byggdes 8 av de 16 cellerna i arresten om till anhållningsceller. I dag står två poliser samt </w:t>
      </w:r>
      <w:r w:rsidRPr="00EE1E0C">
        <w:t xml:space="preserve">en civilanställd för polisarrestens drift. Polisen disponerar fortfarande de fyra rastgårdarna på taket. </w:t>
      </w:r>
    </w:p>
    <w:p w:rsidR="00031A3F" w:rsidRPr="00EE1E0C" w:rsidRDefault="00031A3F">
      <w:pPr>
        <w:pStyle w:val="Rubrik2"/>
        <w:spacing w:line="240" w:lineRule="atLeast"/>
      </w:pPr>
    </w:p>
    <w:p w:rsidR="00031A3F" w:rsidRPr="00EE1E0C" w:rsidRDefault="00031A3F">
      <w:pPr>
        <w:pStyle w:val="Rubrik2"/>
        <w:spacing w:before="123"/>
      </w:pPr>
      <w:bookmarkStart w:id="402" w:name="_Toc422038695"/>
      <w:r w:rsidRPr="00EE1E0C">
        <w:t>Resor</w:t>
      </w:r>
      <w:bookmarkEnd w:id="402"/>
    </w:p>
    <w:p w:rsidR="00031A3F" w:rsidRPr="00EE1E0C" w:rsidRDefault="00031A3F">
      <w:r w:rsidRPr="00EE1E0C">
        <w:t>I Härnösand, 25 mil från Östersund, finns det närmaste häktet. Vid de tillfä</w:t>
      </w:r>
      <w:r w:rsidRPr="00EE1E0C">
        <w:t>l</w:t>
      </w:r>
      <w:r w:rsidRPr="00EE1E0C">
        <w:t xml:space="preserve">len det är fullt vid häktet i Härnösand transporteras de häktade till de mest närliggande häktena i förhållande till Östersund. Dessa är Falun (35 mil), Gävle (38 mil) och Umeå (38) mil; dock svarar andelen transporter till och från dessa häkten för en marginell del av de sammanlagda transporterna. Enligt Östersundspolisen används i vissa fall polisarresten i Krokom som ligger 2 mil från Östersund. Sammanlagt reste polisen, advokater, häktet i Härnösand och Transporttjänsten under år 1997 ca 9 700 mil för </w:t>
      </w:r>
      <w:r w:rsidRPr="00EE1E0C">
        <w:t>att tran</w:t>
      </w:r>
      <w:r w:rsidRPr="00EE1E0C">
        <w:t>s</w:t>
      </w:r>
      <w:r w:rsidRPr="00EE1E0C">
        <w:t>portera eller besöka häktade från Ö</w:t>
      </w:r>
      <w:r w:rsidRPr="00EE1E0C">
        <w:t>s</w:t>
      </w:r>
      <w:r w:rsidRPr="00EE1E0C">
        <w:t>tersund.</w:t>
      </w:r>
    </w:p>
    <w:p w:rsidR="00031A3F" w:rsidRPr="00EE1E0C" w:rsidRDefault="00031A3F">
      <w:pPr>
        <w:pStyle w:val="Rubrik2"/>
      </w:pPr>
      <w:bookmarkStart w:id="403" w:name="_Toc422038696"/>
      <w:r w:rsidRPr="00EE1E0C">
        <w:t>Transporterna</w:t>
      </w:r>
      <w:bookmarkEnd w:id="403"/>
    </w:p>
    <w:p w:rsidR="00031A3F" w:rsidRPr="00EE1E0C" w:rsidRDefault="00031A3F">
      <w:r w:rsidRPr="00EE1E0C">
        <w:t>Polis, åklagare, domstol och advokat anser samtliga att man har ett gott sa</w:t>
      </w:r>
      <w:r w:rsidRPr="00EE1E0C">
        <w:t>m</w:t>
      </w:r>
      <w:r w:rsidRPr="00EE1E0C">
        <w:t>arbete med transporttjänsten och häktet i Härnösand. Åklagare och advokat riktar dock kritik mot att häktade i samma mål och med restriktioner i vissa fall transporteras i samma bil, trots att detta inte får ske.</w:t>
      </w:r>
    </w:p>
    <w:p w:rsidR="00031A3F" w:rsidRPr="00EE1E0C" w:rsidRDefault="00031A3F">
      <w:pPr>
        <w:pStyle w:val="Normaltindrag"/>
      </w:pPr>
      <w:r w:rsidRPr="00EE1E0C">
        <w:t>Efter häktningsförhandlingar kan man enligt polis och åklagare bli tvungen att dra ut på tidsfristen för överförande till häkte på grund av att tran</w:t>
      </w:r>
      <w:r w:rsidRPr="00EE1E0C">
        <w:t>s</w:t>
      </w:r>
      <w:r w:rsidRPr="00EE1E0C">
        <w:t>porttjänsten inte kan komma och hämta den häktade. Detta får som konse-kvens att den häktade förvaras i anhål</w:t>
      </w:r>
      <w:r w:rsidRPr="00EE1E0C">
        <w:t>l</w:t>
      </w:r>
      <w:r w:rsidRPr="00EE1E0C">
        <w:t>ningscell.</w:t>
      </w:r>
    </w:p>
    <w:p w:rsidR="00031A3F" w:rsidRPr="00EE1E0C" w:rsidRDefault="00031A3F">
      <w:pPr>
        <w:pStyle w:val="Normaltindrag"/>
      </w:pPr>
      <w:r w:rsidRPr="00EE1E0C">
        <w:t>Enligt polis, åklagare och advokat gör polishusets beskaffenhet att säke</w:t>
      </w:r>
      <w:r w:rsidRPr="00EE1E0C">
        <w:t>r</w:t>
      </w:r>
      <w:r w:rsidRPr="00EE1E0C">
        <w:t>heten vid polisarresten i Östersund är låg. Det anses innebära en risk för utredningssäkerheten. Om två personer som är misstänkta för samma brott är gripna plac</w:t>
      </w:r>
      <w:r w:rsidRPr="00EE1E0C">
        <w:t>e</w:t>
      </w:r>
      <w:r w:rsidRPr="00EE1E0C">
        <w:t xml:space="preserve">ras en av dem i arresten i Krokom, två mil bort. </w:t>
      </w:r>
    </w:p>
    <w:p w:rsidR="00031A3F" w:rsidRPr="00EE1E0C" w:rsidRDefault="00031A3F">
      <w:pPr>
        <w:pStyle w:val="Rubrik2"/>
      </w:pPr>
      <w:bookmarkStart w:id="404" w:name="_Toc422038697"/>
      <w:r w:rsidRPr="00EE1E0C">
        <w:t>Utredningarna</w:t>
      </w:r>
      <w:bookmarkEnd w:id="404"/>
    </w:p>
    <w:p w:rsidR="00031A3F" w:rsidRPr="00EE1E0C" w:rsidRDefault="00031A3F">
      <w:r w:rsidRPr="00EE1E0C">
        <w:t>Numera görs i princip hela utredningsarbetet under anhållningstiden. Efte</w:t>
      </w:r>
      <w:r w:rsidRPr="00EE1E0C">
        <w:t>r</w:t>
      </w:r>
      <w:r w:rsidRPr="00EE1E0C">
        <w:t>som resorna till häktet för förhör anses vara dyra åker polisen sällan till häktet för att hålla förhör. Polisen brukar begära att häktningsförhandlingar hålls så tidigt som möjligt på dagen. Då hinner man beställa transport samt hålla förhör innan den häktade transporteras till häktet.</w:t>
      </w:r>
    </w:p>
    <w:p w:rsidR="00031A3F" w:rsidRPr="00EE1E0C" w:rsidRDefault="00031A3F">
      <w:pPr>
        <w:pStyle w:val="Normaltindrag"/>
      </w:pPr>
      <w:r w:rsidRPr="00EE1E0C">
        <w:t>När häktet fanns i Östersund deltog åklagaren vid förhör. Nu åker åklag</w:t>
      </w:r>
      <w:r w:rsidRPr="00EE1E0C">
        <w:t>a</w:t>
      </w:r>
      <w:r w:rsidRPr="00EE1E0C">
        <w:t>ren aldrig till häktet för att delta vid förhör. Arbetet som förundersökningsl</w:t>
      </w:r>
      <w:r w:rsidRPr="00EE1E0C">
        <w:t>e</w:t>
      </w:r>
      <w:r w:rsidRPr="00EE1E0C">
        <w:t>dare sköts genom muntliga direktiv till de utredande poliserna. Åklagarna kan begära av polisen att de häktade transporteras till Östersund för förhör. Kostnaden för detta debiteras polisen. Åklagarna är dock medvetna om pol</w:t>
      </w:r>
      <w:r w:rsidRPr="00EE1E0C">
        <w:t>i</w:t>
      </w:r>
      <w:r w:rsidRPr="00EE1E0C">
        <w:t>sens ekon</w:t>
      </w:r>
      <w:r w:rsidRPr="00EE1E0C">
        <w:t>o</w:t>
      </w:r>
      <w:r w:rsidRPr="00EE1E0C">
        <w:t>miska situation och undviker därför att begära sådana transporter.</w:t>
      </w:r>
    </w:p>
    <w:p w:rsidR="00031A3F" w:rsidRPr="00EE1E0C" w:rsidRDefault="00031A3F">
      <w:pPr>
        <w:pStyle w:val="Normaltindrag"/>
      </w:pPr>
      <w:r w:rsidRPr="00EE1E0C">
        <w:t>I vissa fall måste de häktade komma till Östersund för förhör. Det gäller bl.a. vid konfrontationer, vid beslagsförhör eller när d</w:t>
      </w:r>
      <w:r w:rsidRPr="00EE1E0C">
        <w:t>en brottsmisstänkte skall visas en brottsplats. Antalet beslagsförhör har enligt polis och åklagare minskat väsentligt sedan häktet lades ned. Åklagaren menar att bristen på beslagsförhör kan gynna den häktade eftersom det eventuella stöldgodset tillfaller honom om de rätta ägarförhållandena inte kunnat avgöras. Vid förhör i Östersund har polisen möjlighet att mot ersättning beställa transpo</w:t>
      </w:r>
      <w:r w:rsidRPr="00EE1E0C">
        <w:t>r</w:t>
      </w:r>
      <w:r w:rsidRPr="00EE1E0C">
        <w:t>ter från Kriminalvårdens transporttjänst. Detta upplevs som alltför dyrt. Polisen skjutsar i stället de häktade i egn</w:t>
      </w:r>
      <w:r w:rsidRPr="00EE1E0C">
        <w:t>a bilar. Kompletterande förhör och delgivningsförhör hålls ofta per telefon eller med hjälp av Härnösandspol</w:t>
      </w:r>
      <w:r w:rsidRPr="00EE1E0C">
        <w:t>i</w:t>
      </w:r>
      <w:r w:rsidRPr="00EE1E0C">
        <w:t>sen.</w:t>
      </w:r>
    </w:p>
    <w:p w:rsidR="00031A3F" w:rsidRPr="00EE1E0C" w:rsidRDefault="00031A3F">
      <w:pPr>
        <w:pStyle w:val="Normaltindrag"/>
      </w:pPr>
      <w:r w:rsidRPr="00EE1E0C">
        <w:t>Polis, domare och advokater är alla överens om att förundersökningarna har blivit sämre sedan häktet lades ned. Domarna menar att de sämre utre</w:t>
      </w:r>
      <w:r w:rsidRPr="00EE1E0C">
        <w:t>d</w:t>
      </w:r>
      <w:r w:rsidRPr="00EE1E0C">
        <w:t>ningarna delvis kan hänföras till att de häktade förvaras långt från polis och åklagare men att utredningskvaliteten även kan ha påverkats av de budge</w:t>
      </w:r>
      <w:r w:rsidRPr="00EE1E0C">
        <w:t>t</w:t>
      </w:r>
      <w:r w:rsidRPr="00EE1E0C">
        <w:t>nedskärningar polisen drabbats av. Polisen anser att den sämre kvaliteten beror på att man inte kan hålla förhör i samma utsträckning som tidigare.</w:t>
      </w:r>
    </w:p>
    <w:p w:rsidR="00031A3F" w:rsidRPr="00EE1E0C" w:rsidRDefault="00031A3F">
      <w:pPr>
        <w:pStyle w:val="Rubrik3"/>
      </w:pPr>
      <w:bookmarkStart w:id="405" w:name="_Toc422038698"/>
      <w:r w:rsidRPr="00EE1E0C">
        <w:t>Förhörssituationen</w:t>
      </w:r>
      <w:bookmarkEnd w:id="405"/>
    </w:p>
    <w:p w:rsidR="00031A3F" w:rsidRPr="00EE1E0C" w:rsidRDefault="00031A3F">
      <w:r w:rsidRPr="00EE1E0C">
        <w:t>Polisen menar att man numera sällan hinner bygga upp någon relation till den häktade. Åklagaren menar att god kontakt mellan misstänkt och fö</w:t>
      </w:r>
      <w:r w:rsidRPr="00EE1E0C">
        <w:t>r</w:t>
      </w:r>
      <w:r w:rsidRPr="00EE1E0C">
        <w:t>hörsledare inte bara är avgörande för ett gott utredningsresultat utan också har en social och brottsavhållande funktion. Avståndet gör enligt polisen att det blir svårare för den häktade att följa utredningens gång, något som kan innebära färre medgivanden. Polisen vill inte lämna över ansvaret för vissa förhör till Härnösandspolisen. Polis och åklagare anser att det är viktigt att förhörsledare har god kunskap om förhå</w:t>
      </w:r>
      <w:r w:rsidRPr="00EE1E0C">
        <w:t>l</w:t>
      </w:r>
      <w:r w:rsidRPr="00EE1E0C">
        <w:t>landena kring det aktuella fallet.</w:t>
      </w:r>
    </w:p>
    <w:p w:rsidR="00031A3F" w:rsidRPr="00EE1E0C" w:rsidRDefault="00031A3F">
      <w:pPr>
        <w:pStyle w:val="Rubrik3"/>
      </w:pPr>
      <w:bookmarkStart w:id="406" w:name="_Toc422038699"/>
      <w:r w:rsidRPr="00EE1E0C">
        <w:t>Frivården</w:t>
      </w:r>
      <w:bookmarkEnd w:id="406"/>
    </w:p>
    <w:p w:rsidR="00031A3F" w:rsidRPr="00EE1E0C" w:rsidRDefault="00031A3F">
      <w:r w:rsidRPr="00EE1E0C">
        <w:t>Vid frivården i Östersund anger man att kontakterna med de häktade efter häktesnedläggningen sker per telefon. Den häktades vilja att genomgå ko</w:t>
      </w:r>
      <w:r w:rsidRPr="00EE1E0C">
        <w:t>n</w:t>
      </w:r>
      <w:r w:rsidRPr="00EE1E0C">
        <w:t>traktsvård kan vara svårbedömd efter ett telefonsamtal. Representanter för Frivårdsmyndigheten anser att bristande utredningar leder till felbedömnin</w:t>
      </w:r>
      <w:r w:rsidRPr="00EE1E0C">
        <w:t>g</w:t>
      </w:r>
      <w:r w:rsidRPr="00EE1E0C">
        <w:t>ar. Ibland förordnas en person i Härnösand att göra utre</w:t>
      </w:r>
      <w:r w:rsidRPr="00EE1E0C">
        <w:t>d</w:t>
      </w:r>
      <w:r w:rsidRPr="00EE1E0C">
        <w:t xml:space="preserve">ningen. </w:t>
      </w:r>
    </w:p>
    <w:p w:rsidR="00031A3F" w:rsidRPr="00EE1E0C" w:rsidRDefault="00031A3F">
      <w:pPr>
        <w:pStyle w:val="Rubrik2"/>
      </w:pPr>
      <w:bookmarkStart w:id="407" w:name="_Toc422038700"/>
      <w:r w:rsidRPr="00EE1E0C">
        <w:t>Det rättsliga förfarandet</w:t>
      </w:r>
      <w:bookmarkEnd w:id="407"/>
    </w:p>
    <w:p w:rsidR="00031A3F" w:rsidRPr="00EE1E0C" w:rsidRDefault="00031A3F">
      <w:r w:rsidRPr="00EE1E0C">
        <w:t>Tid för huvudförhandling bestäms i samråd mellan häktet och tingsrätten. Enligt domaren händer det att häktet inte kan ställa upp med transporter när tingsrätten begär det. Tingsrätten får då anpassa sig till häktet. Vid huvudfö</w:t>
      </w:r>
      <w:r w:rsidRPr="00EE1E0C">
        <w:t>r</w:t>
      </w:r>
      <w:r w:rsidRPr="00EE1E0C">
        <w:t>handling transporteras de häktade till Tingsrätten i Östersund. Normalt följer tre personer från häktet med för att sköta transporterna och bevaka de häkt</w:t>
      </w:r>
      <w:r w:rsidRPr="00EE1E0C">
        <w:t>a</w:t>
      </w:r>
      <w:r w:rsidRPr="00EE1E0C">
        <w:t>de vid rättegången.</w:t>
      </w:r>
    </w:p>
    <w:p w:rsidR="00031A3F" w:rsidRPr="00EE1E0C" w:rsidRDefault="00031A3F">
      <w:pPr>
        <w:pStyle w:val="Normaltindrag"/>
      </w:pPr>
      <w:r w:rsidRPr="00EE1E0C">
        <w:t>Vid tingsrätten har man märkt att åklagaren i vissa fall låter åtal falla dä</w:t>
      </w:r>
      <w:r w:rsidRPr="00EE1E0C">
        <w:t>r</w:t>
      </w:r>
      <w:r w:rsidRPr="00EE1E0C">
        <w:t>för att man inte hunnit kontrollera en uppgift. Polisen anger att man har märkt att åtalen har begränsats. Åklagaren anser dock inte att åtalsunderlåte</w:t>
      </w:r>
      <w:r w:rsidRPr="00EE1E0C">
        <w:t>l</w:t>
      </w:r>
      <w:r w:rsidRPr="00EE1E0C">
        <w:t>sernas omfattning har påverkats av häktesnedläggningen.</w:t>
      </w:r>
    </w:p>
    <w:p w:rsidR="00031A3F" w:rsidRPr="00EE1E0C" w:rsidRDefault="00031A3F">
      <w:pPr>
        <w:pStyle w:val="Normaltindrag"/>
      </w:pPr>
      <w:r w:rsidRPr="00EE1E0C">
        <w:t>Vid tingsrätten anser intervjuade tjänstemän att huvudförhandlingar som egentligen bör ta mer än en dag forceras för att klaras av på en dag. Domarna anger att de ofta märker att den åtalade och hans försvarare inte har hunnit gå igenom målet eller personutredningen tillräckligt noggrant inför huvudfö</w:t>
      </w:r>
      <w:r w:rsidRPr="00EE1E0C">
        <w:t>r</w:t>
      </w:r>
      <w:r w:rsidRPr="00EE1E0C">
        <w:t>handling.</w:t>
      </w:r>
    </w:p>
    <w:p w:rsidR="00031A3F" w:rsidRPr="00EE1E0C" w:rsidRDefault="00031A3F">
      <w:pPr>
        <w:pStyle w:val="Rubrik2"/>
      </w:pPr>
      <w:bookmarkStart w:id="408" w:name="_Toc422038701"/>
      <w:r w:rsidRPr="00EE1E0C">
        <w:t>De häktades situation</w:t>
      </w:r>
      <w:bookmarkEnd w:id="408"/>
    </w:p>
    <w:p w:rsidR="00031A3F" w:rsidRPr="00EE1E0C" w:rsidRDefault="00031A3F">
      <w:r w:rsidRPr="00EE1E0C">
        <w:t>Avståndet till häktet försvårar de häktades möjligheter till social kontakt. Enligt polis, åklagare och advokat har de häktade i dag liten kontakt med förhörsledare, advokater och anhöriga. Avståndet innebär att en utredare inte kan övervaka besök, vilket får till följd att häktade med restriktioner måste nekas besök.</w:t>
      </w:r>
    </w:p>
    <w:p w:rsidR="00031A3F" w:rsidRPr="00EE1E0C" w:rsidRDefault="00031A3F">
      <w:pPr>
        <w:pStyle w:val="Normaltindrag"/>
      </w:pPr>
      <w:r w:rsidRPr="00EE1E0C">
        <w:t>Enligt uppgift från tingsrätten åker advokaterna till häktet för att tala med sina klienter i drygt hälften av fallen. Det är ytterst ovanligt att advokaterna deltar vid förhör. Ofta ber de att få tala med sina klienter under 15–30 min</w:t>
      </w:r>
      <w:r w:rsidRPr="00EE1E0C">
        <w:t>u</w:t>
      </w:r>
      <w:r w:rsidRPr="00EE1E0C">
        <w:t>ter före huvudförhandling. De häktade är rädda för att bli avlyssnade när de talar i telefon. I stället vill de träffa sin advokat.</w:t>
      </w:r>
    </w:p>
    <w:p w:rsidR="00031A3F" w:rsidRPr="00EE1E0C" w:rsidRDefault="00031A3F">
      <w:pPr>
        <w:pStyle w:val="Normaltindrag"/>
      </w:pPr>
      <w:r w:rsidRPr="00EE1E0C">
        <w:t>Enligt polisen förvaras de häktade i anhållningscell i polisarrest över na</w:t>
      </w:r>
      <w:r w:rsidRPr="00EE1E0C">
        <w:t>t</w:t>
      </w:r>
      <w:r w:rsidRPr="00EE1E0C">
        <w:t>ten när huvudförhandling pågår i flera dagar. Detta sker efter beslut av ting</w:t>
      </w:r>
      <w:r w:rsidRPr="00EE1E0C">
        <w:t>s</w:t>
      </w:r>
      <w:r w:rsidRPr="00EE1E0C">
        <w:t>rätten. Om ett häktningsbeslut kommer sent på eftermiddagen beslutar län</w:t>
      </w:r>
      <w:r w:rsidRPr="00EE1E0C">
        <w:t>s</w:t>
      </w:r>
      <w:r w:rsidRPr="00EE1E0C">
        <w:t>polismästaren om den häktade skall kvarstanna i anhållningscell över natten för att transporteras till häktet dagen därpå.</w:t>
      </w:r>
    </w:p>
    <w:p w:rsidR="00031A3F" w:rsidRPr="00EE1E0C" w:rsidRDefault="00031A3F">
      <w:pPr>
        <w:pStyle w:val="Rubrik2"/>
      </w:pPr>
      <w:bookmarkStart w:id="409" w:name="_Toc422038702"/>
      <w:r w:rsidRPr="00EE1E0C">
        <w:t>Övrigt</w:t>
      </w:r>
      <w:bookmarkEnd w:id="409"/>
    </w:p>
    <w:p w:rsidR="00031A3F" w:rsidRPr="00EE1E0C" w:rsidRDefault="00031A3F">
      <w:r w:rsidRPr="00EE1E0C">
        <w:t>Samtliga representanter för rättsväsendet i Östersund menar att nedläggnin</w:t>
      </w:r>
      <w:r w:rsidRPr="00EE1E0C">
        <w:t>g</w:t>
      </w:r>
      <w:r w:rsidRPr="00EE1E0C">
        <w:t>en av häktet har inneburit en övervältring av kostnader, inte bara på andra delar av rättsväsendet utan även på den enskilde. Polisen i Östersund anser dock att nedläggningen av häktet inte har kostat lika mycket som man tidig</w:t>
      </w:r>
      <w:r w:rsidRPr="00EE1E0C">
        <w:t>a</w:t>
      </w:r>
      <w:r w:rsidRPr="00EE1E0C">
        <w:t>re befarade. Vid advokatbyråerna i Östersund har man inte märkt någon minskning av antalet klienter.</w:t>
      </w:r>
    </w:p>
    <w:p w:rsidR="00031A3F" w:rsidRPr="00EE1E0C" w:rsidRDefault="00031A3F">
      <w:pPr>
        <w:pStyle w:val="Rubrik1"/>
      </w:pPr>
      <w:bookmarkStart w:id="410" w:name="_Toc422038703"/>
      <w:r w:rsidRPr="00EE1E0C">
        <w:t>4 Härnösandsperspektivet</w:t>
      </w:r>
      <w:bookmarkEnd w:id="410"/>
    </w:p>
    <w:p w:rsidR="00031A3F" w:rsidRPr="00EE1E0C" w:rsidRDefault="00031A3F">
      <w:r w:rsidRPr="00EE1E0C">
        <w:t>Detta avsnitt är liksom det tidigare baserat på statistik och olika typer av dokumentation som respektive myndighet lämnat samt på uppgifter som framkommit vid intervjuer med representanter för de lokala myndigheterna.</w:t>
      </w:r>
    </w:p>
    <w:p w:rsidR="00031A3F" w:rsidRPr="00EE1E0C" w:rsidRDefault="00031A3F">
      <w:pPr>
        <w:pStyle w:val="Rubrik2"/>
      </w:pPr>
      <w:bookmarkStart w:id="411" w:name="_Toc422038704"/>
      <w:r w:rsidRPr="00EE1E0C">
        <w:t>Häktet i Härnösand</w:t>
      </w:r>
      <w:bookmarkEnd w:id="411"/>
      <w:r w:rsidRPr="00EE1E0C">
        <w:t xml:space="preserve"> </w:t>
      </w:r>
    </w:p>
    <w:p w:rsidR="00031A3F" w:rsidRPr="00EE1E0C" w:rsidRDefault="00031A3F">
      <w:r w:rsidRPr="00EE1E0C">
        <w:t>Häktet i Härnösand tar emot i princip samtliga häktade från Östersund. Pe</w:t>
      </w:r>
      <w:r w:rsidRPr="00EE1E0C">
        <w:t>r</w:t>
      </w:r>
      <w:r w:rsidRPr="00EE1E0C">
        <w:t>sonalen består av 25 personer och man har 31 häktesplatser. Häktets uppta</w:t>
      </w:r>
      <w:r w:rsidRPr="00EE1E0C">
        <w:t>g</w:t>
      </w:r>
      <w:r w:rsidRPr="00EE1E0C">
        <w:t>ningsområde är Västernorrlands och Jämtlands län. Under 1997 var 69 hä</w:t>
      </w:r>
      <w:r w:rsidRPr="00EE1E0C">
        <w:t>k</w:t>
      </w:r>
      <w:r w:rsidRPr="00EE1E0C">
        <w:t>tade från Östersundsområdet, motsvarande 24 % av det totala antalet häktade inskrivna vid häktet i Härnösand. Antalet häktade från Östersundsområdet varierar, men uppgår i genomsnitt till 6 personer.</w:t>
      </w:r>
    </w:p>
    <w:p w:rsidR="00031A3F" w:rsidRPr="00EE1E0C" w:rsidRDefault="00031A3F">
      <w:pPr>
        <w:pStyle w:val="Normaltindrag"/>
      </w:pPr>
      <w:r w:rsidRPr="00EE1E0C">
        <w:t>Häktet står för transporterna av de häktade till och från tingsrättsförhan</w:t>
      </w:r>
      <w:r w:rsidRPr="00EE1E0C">
        <w:t>d</w:t>
      </w:r>
      <w:r w:rsidRPr="00EE1E0C">
        <w:t>ling. Vid huvudförhandlingar som pågår i flera dagar övernattar de häktade i polisens anhållningsceller. Den medföljande häktespersonalen sover på h</w:t>
      </w:r>
      <w:r w:rsidRPr="00EE1E0C">
        <w:t>o</w:t>
      </w:r>
      <w:r w:rsidRPr="00EE1E0C">
        <w:t xml:space="preserve">tell. </w:t>
      </w:r>
    </w:p>
    <w:p w:rsidR="00031A3F" w:rsidRPr="00EE1E0C" w:rsidRDefault="00031A3F">
      <w:pPr>
        <w:pStyle w:val="Normaltindrag"/>
      </w:pPr>
      <w:r w:rsidRPr="00EE1E0C">
        <w:t>Första året efter nedläggningen transporterade häktet i Härnösand de hä</w:t>
      </w:r>
      <w:r w:rsidRPr="00EE1E0C">
        <w:t>k</w:t>
      </w:r>
      <w:r w:rsidRPr="00EE1E0C">
        <w:t>tade till Östersund för förhör, något man gjorde för att i viss mån lindra effekterna av nedläggningen. Från och med år 1997 händer det att häktet transporterar häktade till Östersund för förhör om det går att samordna med någon annan transport till Östersund, exempelvis vid huvudförhandling. Det gör häktet utan att begära ersättning från polisen i Östersund.</w:t>
      </w:r>
    </w:p>
    <w:p w:rsidR="00031A3F" w:rsidRPr="00EE1E0C" w:rsidRDefault="00031A3F">
      <w:pPr>
        <w:pStyle w:val="Normaltindrag"/>
      </w:pPr>
      <w:r w:rsidRPr="00EE1E0C">
        <w:t>Vid de tillfällen häktet är fullt transporteras häktade till andra häkten i no</w:t>
      </w:r>
      <w:r w:rsidRPr="00EE1E0C">
        <w:t>r</w:t>
      </w:r>
      <w:r w:rsidRPr="00EE1E0C">
        <w:t>ra Sverige. Vid utplacering av de häktade meddelar häktet åklagare och advokat detta. I första hand följs åklagarens begäran om var de häktade skall placeras. I andra hand omplaceras de personer som överklagat sin dom och väntar på ny rättegång. Ambitionen är att behålla häktade från Östersund</w:t>
      </w:r>
      <w:r w:rsidRPr="00EE1E0C">
        <w:t>s</w:t>
      </w:r>
      <w:r w:rsidRPr="00EE1E0C">
        <w:t>området vid häktet i Härnösand.</w:t>
      </w:r>
    </w:p>
    <w:p w:rsidR="00031A3F" w:rsidRPr="00EE1E0C" w:rsidRDefault="00031A3F">
      <w:pPr>
        <w:pStyle w:val="Normaltindrag"/>
      </w:pPr>
      <w:r w:rsidRPr="00EE1E0C">
        <w:t>När häktet i Östersund lades ned hade man överkapacitet vid häktet i Hä</w:t>
      </w:r>
      <w:r w:rsidRPr="00EE1E0C">
        <w:t>r</w:t>
      </w:r>
      <w:r w:rsidRPr="00EE1E0C">
        <w:t>nösand. Man har inte utökat häktets lokaler sedan nedläggningen i Öste</w:t>
      </w:r>
      <w:r w:rsidRPr="00EE1E0C">
        <w:t>r</w:t>
      </w:r>
      <w:r w:rsidRPr="00EE1E0C">
        <w:t>sund. I dag har man en medelbeläggning på ca 90 %, dvs. 28 platser. Pers</w:t>
      </w:r>
      <w:r w:rsidRPr="00EE1E0C">
        <w:t>o</w:t>
      </w:r>
      <w:r w:rsidRPr="00EE1E0C">
        <w:t>nalen har inte utökats, men antalet övertidstimmar har ökat sedan nedläg</w:t>
      </w:r>
      <w:r w:rsidRPr="00EE1E0C">
        <w:t>g</w:t>
      </w:r>
      <w:r w:rsidRPr="00EE1E0C">
        <w:t>ningen.</w:t>
      </w:r>
    </w:p>
    <w:p w:rsidR="00031A3F" w:rsidRPr="00EE1E0C" w:rsidRDefault="00031A3F">
      <w:pPr>
        <w:pStyle w:val="Normaltindrag"/>
      </w:pPr>
      <w:r w:rsidRPr="00EE1E0C">
        <w:t>Med tjänstebesök menas besök från polis, åklagare och frivård. År 1996 och 1997 fördes ingen statistik över tjänstebesök till de häktade. Sådan st</w:t>
      </w:r>
      <w:r w:rsidRPr="00EE1E0C">
        <w:t>a</w:t>
      </w:r>
      <w:r w:rsidRPr="00EE1E0C">
        <w:t>tistik började föras den 1 januari 1998. Det första kvartalet år 1998 visar att antalet tjänstebesök till häktade var totalt 130. Därav var 35 besök (27 %) från Östersund. Uppgifterna visar hur många häktade som fått besök. Det totala antalet häktade vid häktet i Härnösand var under första kvartalet 1998 ca 120 personer. Från Östersundsområdet kom sammanlagt 23 personer (19 %). Under hela år 1997 var 24 % av det totala antalet häktade från Öste</w:t>
      </w:r>
      <w:r w:rsidRPr="00EE1E0C">
        <w:t>r</w:t>
      </w:r>
      <w:r w:rsidRPr="00EE1E0C">
        <w:t>sundsområdet. Uppgifterna beträffande antalet tjänstebesök gäl</w:t>
      </w:r>
      <w:r w:rsidRPr="00EE1E0C">
        <w:t>ler emellertid en begränsad period. Det är inte möjligt att avgöra om de över huvud taget är representat</w:t>
      </w:r>
      <w:r w:rsidRPr="00EE1E0C">
        <w:t>i</w:t>
      </w:r>
      <w:r w:rsidRPr="00EE1E0C">
        <w:t>va.</w:t>
      </w:r>
    </w:p>
    <w:p w:rsidR="00031A3F" w:rsidRPr="00EE1E0C" w:rsidRDefault="00031A3F">
      <w:pPr>
        <w:pStyle w:val="Normaltindrag"/>
      </w:pPr>
      <w:r w:rsidRPr="00EE1E0C">
        <w:t>Andelen häktade som försätts på fri fot under häktningstiden eller fram till och med huvudförhandling är betydligt större för häktade från Östersund</w:t>
      </w:r>
      <w:r w:rsidRPr="00EE1E0C">
        <w:t>s</w:t>
      </w:r>
      <w:r w:rsidRPr="00EE1E0C">
        <w:t>området än för övriga häktade. Under 1996 var det genomsnittliga antalet vårddygn för häktade vid Härnösandshäktet ungefär detsamma för häktade från Östersund, 31 dygn, som för övriga häktade, 30 dygn. Samma år försa</w:t>
      </w:r>
      <w:r w:rsidRPr="00EE1E0C">
        <w:t>t</w:t>
      </w:r>
      <w:r w:rsidRPr="00EE1E0C">
        <w:t>tes 32 % av de häktade från häktet i Härnösand på fri fot under häktningst</w:t>
      </w:r>
      <w:r w:rsidRPr="00EE1E0C">
        <w:t>i</w:t>
      </w:r>
      <w:r w:rsidRPr="00EE1E0C">
        <w:t>den. Motsvarande andel för häktade från Östersund var 60 %. År 1997 var antalet häktningsdygn vid häktet i Härnösand i genomsnitt 31. För häktade från Östersund var antalet häktningsdygn 30. Andelen som försattes på fri</w:t>
      </w:r>
      <w:r w:rsidRPr="00EE1E0C">
        <w:t xml:space="preserve"> fot under denna tid var för samtliga häktade fortfarande 32 % medan samma andel för häktade från Östersund fortfarande var högre, 48 %.</w:t>
      </w:r>
    </w:p>
    <w:p w:rsidR="00031A3F" w:rsidRPr="00EE1E0C" w:rsidRDefault="00031A3F">
      <w:pPr>
        <w:pStyle w:val="Normaltindrag"/>
      </w:pPr>
      <w:r w:rsidRPr="00EE1E0C">
        <w:t>Häktespersonalen menar att polis, åklagare och advokat från andra städer besöker sina häktade lika sällan som representanter från Östersund. Den stora skillnaden för häktade från Östersundsområdet anser man vara att de får besök av sina anhöriga mera sällan än övriga klienter vid häktet. Häktade med restriktioner får ta emot övervakade besök av anhöriga enbart med åkl</w:t>
      </w:r>
      <w:r w:rsidRPr="00EE1E0C">
        <w:t>a</w:t>
      </w:r>
      <w:r w:rsidRPr="00EE1E0C">
        <w:t>garens godkännande. Vårdare vid häktet övervakar samtliga besök till häkt</w:t>
      </w:r>
      <w:r w:rsidRPr="00EE1E0C">
        <w:t>a</w:t>
      </w:r>
      <w:r w:rsidRPr="00EE1E0C">
        <w:t xml:space="preserve">de med restriktioner. </w:t>
      </w:r>
    </w:p>
    <w:p w:rsidR="00031A3F" w:rsidRPr="00EE1E0C" w:rsidRDefault="00031A3F">
      <w:pPr>
        <w:pStyle w:val="Rubrik2"/>
      </w:pPr>
      <w:bookmarkStart w:id="412" w:name="_Toc422038705"/>
      <w:r w:rsidRPr="00EE1E0C">
        <w:t>Transporttjänsten</w:t>
      </w:r>
      <w:bookmarkEnd w:id="412"/>
    </w:p>
    <w:p w:rsidR="00031A3F" w:rsidRPr="00EE1E0C" w:rsidRDefault="00031A3F">
      <w:r w:rsidRPr="00EE1E0C">
        <w:t>Transporttjänsten är en egen myndighet under Kriminalvårdsverket. Tran</w:t>
      </w:r>
      <w:r w:rsidRPr="00EE1E0C">
        <w:t>s</w:t>
      </w:r>
      <w:r w:rsidRPr="00EE1E0C">
        <w:t>porttjänsten står för transporter mellan olika myndigheter. Enheten i Härn</w:t>
      </w:r>
      <w:r w:rsidRPr="00EE1E0C">
        <w:t>ö</w:t>
      </w:r>
      <w:r w:rsidRPr="00EE1E0C">
        <w:t>sand har 14 anställda och 3 bilar. Man har inte utökat antalet bilar eller ant</w:t>
      </w:r>
      <w:r w:rsidRPr="00EE1E0C">
        <w:t>a</w:t>
      </w:r>
      <w:r w:rsidRPr="00EE1E0C">
        <w:t>let anställda efter nedläggningen av häktet i Öste</w:t>
      </w:r>
      <w:r w:rsidRPr="00EE1E0C">
        <w:t>r</w:t>
      </w:r>
      <w:r w:rsidRPr="00EE1E0C">
        <w:t xml:space="preserve">sund. </w:t>
      </w:r>
    </w:p>
    <w:p w:rsidR="00031A3F" w:rsidRPr="00EE1E0C" w:rsidRDefault="00031A3F">
      <w:pPr>
        <w:pStyle w:val="Normaltindrag"/>
      </w:pPr>
      <w:r w:rsidRPr="00EE1E0C">
        <w:t>Samtransporter kan ske i de allra flesta fall. Om åklagaren begär det tran</w:t>
      </w:r>
      <w:r w:rsidRPr="00EE1E0C">
        <w:t>s</w:t>
      </w:r>
      <w:r w:rsidRPr="00EE1E0C">
        <w:t>porteras de häktade ensamma. Polisen i Östersund begär vid behov att häkt</w:t>
      </w:r>
      <w:r w:rsidRPr="00EE1E0C">
        <w:t>a</w:t>
      </w:r>
      <w:r w:rsidRPr="00EE1E0C">
        <w:t>de skall transporteras till Östersund för förhör. Transporttjänsten utför dessa transporter utan ersättning från polisen i Östersund. Vid lunchraster och övernattningar förvaras de häktade i polisarrest.</w:t>
      </w:r>
    </w:p>
    <w:p w:rsidR="00031A3F" w:rsidRPr="00EE1E0C" w:rsidRDefault="00031A3F">
      <w:pPr>
        <w:pStyle w:val="Normaltindrag"/>
      </w:pPr>
      <w:r w:rsidRPr="00EE1E0C">
        <w:t>Enligt statistik från Transporttjänsten har den tid som ägnats åt transporter vid Härnösandenheten under åren 1994–1997 minskat något. Minskningen gäller även antalet transporter. Nedläggningen av häktet i Östersund märks alltså inte</w:t>
      </w:r>
      <w:r w:rsidRPr="00EE1E0C">
        <w:t xml:space="preserve"> i ökad arbetsbelastning eller flera transporter.</w:t>
      </w:r>
    </w:p>
    <w:p w:rsidR="00031A3F" w:rsidRPr="00EE1E0C" w:rsidRDefault="00031A3F">
      <w:pPr>
        <w:pStyle w:val="Rubrik2"/>
      </w:pPr>
      <w:bookmarkStart w:id="413" w:name="_Toc422038706"/>
      <w:r w:rsidRPr="00EE1E0C">
        <w:t>Kriminalvårdens regionmyndighet</w:t>
      </w:r>
      <w:bookmarkEnd w:id="413"/>
    </w:p>
    <w:p w:rsidR="00031A3F" w:rsidRPr="00EE1E0C" w:rsidRDefault="00031A3F">
      <w:r w:rsidRPr="00EE1E0C">
        <w:t>Kriminalvårdens regionmyndighet i Härnösand anser att nedläggningen av häktet har två sidor. Det är å ena sidan viktigt för de häktade att vara vid ett så stort häkte att de har möjlighet till socialt umgänge. Det kunde inte häktet i Östersund erbjuda. Å andra sidan har den häktade rätt till närhet till och besök av sina anhöriga under häktning</w:t>
      </w:r>
      <w:r w:rsidRPr="00EE1E0C">
        <w:t>s</w:t>
      </w:r>
      <w:r w:rsidRPr="00EE1E0C">
        <w:t>tiden.</w:t>
      </w:r>
    </w:p>
    <w:p w:rsidR="00031A3F" w:rsidRPr="00EE1E0C" w:rsidRDefault="00031A3F">
      <w:pPr>
        <w:pStyle w:val="Rubrik1"/>
      </w:pPr>
      <w:bookmarkStart w:id="414" w:name="_Toc422038707"/>
      <w:r w:rsidRPr="00EE1E0C">
        <w:t>5 Sammanställning av ekonomiska effekter</w:t>
      </w:r>
      <w:bookmarkEnd w:id="414"/>
    </w:p>
    <w:p w:rsidR="00031A3F" w:rsidRPr="00EE1E0C" w:rsidRDefault="00031A3F">
      <w:r w:rsidRPr="00EE1E0C">
        <w:t>I det här avsnittet redovisas de ekonomiska effekterna av häktesnedläggnin</w:t>
      </w:r>
      <w:r w:rsidRPr="00EE1E0C">
        <w:t>g</w:t>
      </w:r>
      <w:r w:rsidRPr="00EE1E0C">
        <w:t>en i Östersund. Huvuddelen ägnas åt en jämförelse mellan den samhällsek</w:t>
      </w:r>
      <w:r w:rsidRPr="00EE1E0C">
        <w:t>o</w:t>
      </w:r>
      <w:r w:rsidRPr="00EE1E0C">
        <w:t>nomiska kalkyl som revisorerna presenterade i sin tidigare rapport (1995/96:6) samt beräkningar av motsvarande slag år 1997. Revisorernas kalkyl inkluderade besparingar och kostnader för kriminalvården. Vidare beaktades effekter för övriga statliga myndigheter såsom polis, åklagare och advokat. I kalkylen togs även hänsyn till samhällsekonomin. Den uppföljning som presenteras är upplagd på samma sätt. Avsnittet avslutas med en redog</w:t>
      </w:r>
      <w:r w:rsidRPr="00EE1E0C">
        <w:t>ö</w:t>
      </w:r>
      <w:r w:rsidRPr="00EE1E0C">
        <w:t>re</w:t>
      </w:r>
      <w:r w:rsidRPr="00EE1E0C">
        <w:t>lse för kostnader som inte kvantifierats i beräkninga</w:t>
      </w:r>
      <w:r w:rsidRPr="00EE1E0C">
        <w:t>r</w:t>
      </w:r>
      <w:r w:rsidRPr="00EE1E0C">
        <w:t xml:space="preserve">na. </w:t>
      </w:r>
    </w:p>
    <w:p w:rsidR="00031A3F" w:rsidRPr="00EE1E0C" w:rsidRDefault="00031A3F">
      <w:pPr>
        <w:pStyle w:val="Rubrik2"/>
      </w:pPr>
      <w:bookmarkStart w:id="415" w:name="_Toc422038708"/>
      <w:r w:rsidRPr="00EE1E0C">
        <w:t>Engångskostnader och engångsbesparingar</w:t>
      </w:r>
      <w:bookmarkEnd w:id="415"/>
    </w:p>
    <w:p w:rsidR="00031A3F" w:rsidRPr="00EE1E0C" w:rsidRDefault="00031A3F">
      <w:r w:rsidRPr="00EE1E0C">
        <w:t>Nedan redovisas de engångskostnader och den besparing som häktesne</w:t>
      </w:r>
      <w:r w:rsidRPr="00EE1E0C">
        <w:t>d</w:t>
      </w:r>
      <w:r w:rsidRPr="00EE1E0C">
        <w:t>läggningen me</w:t>
      </w:r>
      <w:r w:rsidRPr="00EE1E0C">
        <w:t>d</w:t>
      </w:r>
      <w:r w:rsidRPr="00EE1E0C">
        <w:t>förde.</w:t>
      </w:r>
    </w:p>
    <w:p w:rsidR="00031A3F" w:rsidRPr="00EE1E0C" w:rsidRDefault="00031A3F">
      <w:pPr>
        <w:pStyle w:val="R4"/>
      </w:pPr>
      <w:r w:rsidRPr="00EE1E0C">
        <w:t>Kostnader</w:t>
      </w:r>
    </w:p>
    <w:p w:rsidR="00031A3F" w:rsidRPr="00EE1E0C" w:rsidRDefault="00031A3F">
      <w:r w:rsidRPr="00EE1E0C">
        <w:t>I samband med nedläggningen av häktet tillkom engångskostnader för krim</w:t>
      </w:r>
      <w:r w:rsidRPr="00EE1E0C">
        <w:t>i</w:t>
      </w:r>
      <w:r w:rsidRPr="00EE1E0C">
        <w:t>nalvården. Enligt Kriminalvårdsstyrelsen uppgick slutregleringen av lokalh</w:t>
      </w:r>
      <w:r w:rsidRPr="00EE1E0C">
        <w:t>y</w:t>
      </w:r>
      <w:r w:rsidRPr="00EE1E0C">
        <w:t>ran till 2,5 miljoner kronor. De totala lönekostnaderna vid nedläggningen av häktet uppgick till 1,8 miljoner kronor. Avvecklingskostnaderna består av ersättning till personal för dubbel bosättning och resor. Dessa kostnader uppgick till sammanlagt 325 000 kr</w:t>
      </w:r>
      <w:r w:rsidRPr="00EE1E0C">
        <w:t>o</w:t>
      </w:r>
      <w:r w:rsidRPr="00EE1E0C">
        <w:t>nor.</w:t>
      </w:r>
    </w:p>
    <w:p w:rsidR="00031A3F" w:rsidRPr="00EE1E0C" w:rsidRDefault="00031A3F">
      <w:pPr>
        <w:pStyle w:val="Normaltindrag"/>
      </w:pPr>
      <w:r w:rsidRPr="00EE1E0C">
        <w:t>Stenvalvet Fastighets AB, som förvaltar fastigheten, anger att ombyggn</w:t>
      </w:r>
      <w:r w:rsidRPr="00EE1E0C">
        <w:t>a</w:t>
      </w:r>
      <w:r w:rsidRPr="00EE1E0C">
        <w:t>den av häktet kostade mellan 3 och 3,5 miljoner kronor. Ombyggnaden av delar av arrestlokalerna kostade 646 000 kr. Denna engångssumma fick polismyndigheten i Östersund av Rikspolisstyrelsen. Således uppgår de sammanlagda engångskostnaderna till mellan</w:t>
      </w:r>
      <w:r w:rsidRPr="00EE1E0C">
        <w:rPr>
          <w:b/>
        </w:rPr>
        <w:t xml:space="preserve"> </w:t>
      </w:r>
      <w:r w:rsidRPr="00EE1E0C">
        <w:t>8,3 och 8,8 miljoner kronor.</w:t>
      </w:r>
    </w:p>
    <w:p w:rsidR="00031A3F" w:rsidRPr="00EE1E0C" w:rsidRDefault="00031A3F">
      <w:pPr>
        <w:pStyle w:val="Normaltindrag"/>
      </w:pPr>
      <w:r w:rsidRPr="00EE1E0C">
        <w:t xml:space="preserve">Polisen i Östersund kommer att ta ett lån på ca 1 miljon kronor i juni 1998 för att bl.a. finansiera förbättringar i de nya lokalerna. Vidare planeras en ombyggnad av rastgårdarna på polishusets tak under sommaren 1998. </w:t>
      </w:r>
    </w:p>
    <w:p w:rsidR="00031A3F" w:rsidRPr="00EE1E0C" w:rsidRDefault="00031A3F">
      <w:pPr>
        <w:pStyle w:val="R4"/>
      </w:pPr>
      <w:r w:rsidRPr="00EE1E0C">
        <w:t>Besparingar</w:t>
      </w:r>
    </w:p>
    <w:p w:rsidR="00031A3F" w:rsidRPr="00EE1E0C" w:rsidRDefault="00031A3F">
      <w:r w:rsidRPr="00EE1E0C">
        <w:t>I det fall regeringen inte skulle ha bifallit Kriminalvårdsstyrelsens begäran att lägga ned häktet i Östersund skulle det ha byggts om. Häktet var slitet och levde inte upp till de ökade kraven på möjligheter till gemensamma aktivit</w:t>
      </w:r>
      <w:r w:rsidRPr="00EE1E0C">
        <w:t>e</w:t>
      </w:r>
      <w:r w:rsidRPr="00EE1E0C">
        <w:t>ter för de häktade. Enligt Kriminalvårdens regionkansli i Härnösand skulle denna ombyggnad ha kostat ca 2,5 miljoner kronor, ett belopp som krimina</w:t>
      </w:r>
      <w:r w:rsidRPr="00EE1E0C">
        <w:t>l</w:t>
      </w:r>
      <w:r w:rsidRPr="00EE1E0C">
        <w:t>vården alltså sparade genom beslutet att lägga ned häktet.</w:t>
      </w:r>
    </w:p>
    <w:p w:rsidR="00031A3F" w:rsidRPr="00EE1E0C" w:rsidRDefault="00031A3F">
      <w:pPr>
        <w:pStyle w:val="Rubrik2"/>
      </w:pPr>
      <w:bookmarkStart w:id="416" w:name="_Toc422038709"/>
      <w:r w:rsidRPr="00EE1E0C">
        <w:t>Ekonomiska effekter år 1997</w:t>
      </w:r>
      <w:bookmarkEnd w:id="416"/>
    </w:p>
    <w:p w:rsidR="00031A3F" w:rsidRPr="00EE1E0C" w:rsidRDefault="00031A3F">
      <w:r w:rsidRPr="00EE1E0C">
        <w:t>Nedan presenteras de ekonomiska effekterna av nedläggningen av häktet i Östersund för år 1997. Under år 1996 var förhållandena delvis annorlunda. Exempelvis stod häktet i Härnösand för transporter av häktade vid polisfö</w:t>
      </w:r>
      <w:r w:rsidRPr="00EE1E0C">
        <w:t>r</w:t>
      </w:r>
      <w:r w:rsidRPr="00EE1E0C">
        <w:t>hör i Östersund i betydligt större utsträckning än år 1997. Ett vaktbolag skötte arrestbevakningen vid polishuset i Östersund. Från och med den 1 januari 1997 har polisen i Östersund ansvaret för transporter i samband med polisförhör. Polisen sköter även arrestbevakningen. Tjänstemän vid berörda myndigheter i Östersund och Härnösand anger att organisationen år 1997 funnit sin bestående form. Flera faktorer påverkar utvecklingen i fra</w:t>
      </w:r>
      <w:r w:rsidRPr="00EE1E0C">
        <w:t>m</w:t>
      </w:r>
      <w:r w:rsidRPr="00EE1E0C">
        <w:t>tiden, bl.a. ändrad brottslighet, lagändringar och den ekonomiska utveckl</w:t>
      </w:r>
      <w:r w:rsidRPr="00EE1E0C">
        <w:t>in</w:t>
      </w:r>
      <w:r w:rsidRPr="00EE1E0C">
        <w:t>g</w:t>
      </w:r>
      <w:r w:rsidRPr="00EE1E0C">
        <w:t>en. Det blir därför svårare att i ett senare skede särskilja effekterna av hä</w:t>
      </w:r>
      <w:r w:rsidRPr="00EE1E0C">
        <w:t>k</w:t>
      </w:r>
      <w:r w:rsidRPr="00EE1E0C">
        <w:t>tesne</w:t>
      </w:r>
      <w:r w:rsidRPr="00EE1E0C">
        <w:t>d</w:t>
      </w:r>
      <w:r w:rsidRPr="00EE1E0C">
        <w:t>läggningen.</w:t>
      </w:r>
    </w:p>
    <w:p w:rsidR="00031A3F" w:rsidRPr="00EE1E0C" w:rsidRDefault="00031A3F">
      <w:pPr>
        <w:pStyle w:val="R3"/>
        <w:rPr>
          <w:i/>
        </w:rPr>
      </w:pPr>
      <w:r w:rsidRPr="00EE1E0C">
        <w:t>Kriminalvården</w:t>
      </w:r>
    </w:p>
    <w:p w:rsidR="00031A3F" w:rsidRPr="00EE1E0C" w:rsidRDefault="00031A3F">
      <w:pPr>
        <w:pStyle w:val="R4"/>
        <w:spacing w:before="123"/>
      </w:pPr>
      <w:r w:rsidRPr="00EE1E0C">
        <w:t>Besparingar</w:t>
      </w:r>
    </w:p>
    <w:p w:rsidR="00031A3F" w:rsidRPr="00EE1E0C" w:rsidRDefault="00031A3F">
      <w:r w:rsidRPr="00EE1E0C">
        <w:t>Driftskostnaderna för häktet i Östersund var ca 9 miljoner kronor årligen. Om häktet i Östersund skulle ha varit kvar skulle, enligt Kriminalvårdens regionkansli, personalstyrkan ha utökats. För att tillgodose de ökade kraven på gemensamhet för de häktade hade det, enligt kansliets bedömning, varit nödvändigt att anställa mer personal för att leda aktiviteter och sköta öve</w:t>
      </w:r>
      <w:r w:rsidRPr="00EE1E0C">
        <w:t>r</w:t>
      </w:r>
      <w:r w:rsidRPr="00EE1E0C">
        <w:t>vakningen. Den överkapacitet som rådde vid häktet i Östersund gällde eme</w:t>
      </w:r>
      <w:r w:rsidRPr="00EE1E0C">
        <w:t>l</w:t>
      </w:r>
      <w:r w:rsidRPr="00EE1E0C">
        <w:t>lertid även personalen. Man hade ungefär två årsarbetskrafter mer än övriga häkten i förhållande till antalet häktesplatser. Det är därför inte självklart att personalen vid häktet i Östersund hade behövt utökas om häktet hade varit kvar. Det är inte heller uteslutet att häktet i Östersund skulle ha ålagts besp</w:t>
      </w:r>
      <w:r w:rsidRPr="00EE1E0C">
        <w:t>a</w:t>
      </w:r>
      <w:r w:rsidRPr="00EE1E0C">
        <w:t xml:space="preserve">ringar. Verksamheten hade då rationaliserats och driftskostnaderna minskat. Kostnaderna för häktet i Östersund kunde således </w:t>
      </w:r>
      <w:r w:rsidRPr="00EE1E0C">
        <w:t xml:space="preserve">ha blivit både högre och lägre beroende på vilka åtgärder som hade vidtagits. </w:t>
      </w:r>
    </w:p>
    <w:p w:rsidR="00031A3F" w:rsidRPr="00EE1E0C" w:rsidRDefault="00031A3F">
      <w:pPr>
        <w:pStyle w:val="R4"/>
        <w:rPr>
          <w:b/>
        </w:rPr>
      </w:pPr>
      <w:r w:rsidRPr="00EE1E0C">
        <w:t>Kostnader</w:t>
      </w:r>
    </w:p>
    <w:p w:rsidR="00031A3F" w:rsidRPr="00EE1E0C" w:rsidRDefault="00031A3F">
      <w:pPr>
        <w:rPr>
          <w:i/>
        </w:rPr>
      </w:pPr>
      <w:r w:rsidRPr="00EE1E0C">
        <w:t>Kostnaderna vid häktet i Härnösand för transporter till och från Östersund består av lönekostnader, övernattningar samt kostnad för bil vid sammanlagt 78 transporter. År 1997 gav detta en årlig kostnad på ca 550 000 kr</w:t>
      </w:r>
      <w:r w:rsidRPr="00EE1E0C">
        <w:rPr>
          <w:i/>
        </w:rPr>
        <w:t>.</w:t>
      </w:r>
    </w:p>
    <w:p w:rsidR="00031A3F" w:rsidRPr="00EE1E0C" w:rsidRDefault="00031A3F">
      <w:pPr>
        <w:pStyle w:val="Normaltindrag"/>
      </w:pPr>
      <w:r w:rsidRPr="00EE1E0C">
        <w:t>Då häktet i Härnösand inte har utökat sin personal eller sina lokaler efter nedläggningen av häktet i Östersund består den tillkommande vårdkostnaden av ökade driftskostnader. Denna kostnad är vid Härnösandshäktet 195 kr per dygn. År 1997 uppgick kostnaderna för häktade från Östersund till ca 400 000 kr.</w:t>
      </w:r>
    </w:p>
    <w:p w:rsidR="00031A3F" w:rsidRPr="00EE1E0C" w:rsidRDefault="00031A3F">
      <w:pPr>
        <w:pStyle w:val="Normaltindrag"/>
      </w:pPr>
      <w:r w:rsidRPr="00EE1E0C">
        <w:t>Häktade transporterades även till häktena i Gävle, Falun och Umeå. De tillkommande vårdkostnaderna består då även av den rörliga driftskostnaden per dygn. Genomsnittskostnaden för övrig drift vid landets häkten är ca 200 kr per dygn. Den beräknade kostnaden för häktade från Östersund vid dessa tre häkten blir ca 110 000 kr.</w:t>
      </w:r>
    </w:p>
    <w:p w:rsidR="00031A3F" w:rsidRPr="00EE1E0C" w:rsidRDefault="00031A3F">
      <w:pPr>
        <w:pStyle w:val="Normaltindrag"/>
      </w:pPr>
      <w:r w:rsidRPr="00EE1E0C">
        <w:t>Transporttjänstens kostnader för transporter av häktade från Östersund</w:t>
      </w:r>
      <w:r w:rsidRPr="00EE1E0C">
        <w:t>s</w:t>
      </w:r>
      <w:r w:rsidRPr="00EE1E0C">
        <w:t>området uppgick under år 1997 till ca 249 000 kr. Hela summan är dock inte en ökning jämfört med tidigare. Redan 1994 och 1995 hade Transporttjän</w:t>
      </w:r>
      <w:r w:rsidRPr="00EE1E0C">
        <w:t>s</w:t>
      </w:r>
      <w:r w:rsidRPr="00EE1E0C">
        <w:t>ten kostnader för transporter av häktade till och från Östersund på i geno</w:t>
      </w:r>
      <w:r w:rsidRPr="00EE1E0C">
        <w:t>m</w:t>
      </w:r>
      <w:r w:rsidRPr="00EE1E0C">
        <w:t>snitt 115 000 kr. Detta innebär att den årliga kostnaden kan beräknas ha ökat med i storlek</w:t>
      </w:r>
      <w:r w:rsidRPr="00EE1E0C">
        <w:t>s</w:t>
      </w:r>
      <w:r w:rsidRPr="00EE1E0C">
        <w:t>ordningen 130 000 kr.</w:t>
      </w:r>
    </w:p>
    <w:p w:rsidR="00031A3F" w:rsidRPr="00EE1E0C" w:rsidRDefault="00031A3F">
      <w:pPr>
        <w:pStyle w:val="R4"/>
      </w:pPr>
      <w:r w:rsidRPr="00EE1E0C">
        <w:t>Ekonomiska konsekvenser för kriminalvården</w:t>
      </w:r>
    </w:p>
    <w:p w:rsidR="00031A3F" w:rsidRPr="00EE1E0C" w:rsidRDefault="00031A3F">
      <w:r w:rsidRPr="00EE1E0C">
        <w:t>För kriminalvården innebar nedläggningen av häktet i Östersund en besp</w:t>
      </w:r>
      <w:r w:rsidRPr="00EE1E0C">
        <w:t>a</w:t>
      </w:r>
      <w:r w:rsidRPr="00EE1E0C">
        <w:t>ring på ca 7,8 miljoner kronor år 1997.</w:t>
      </w:r>
    </w:p>
    <w:p w:rsidR="00031A3F" w:rsidRPr="00EE1E0C" w:rsidRDefault="00031A3F">
      <w:pPr>
        <w:pStyle w:val="R3"/>
        <w:rPr>
          <w:i/>
        </w:rPr>
      </w:pPr>
      <w:r w:rsidRPr="00EE1E0C">
        <w:t>Staten i övrigt</w:t>
      </w:r>
    </w:p>
    <w:p w:rsidR="00031A3F" w:rsidRPr="00EE1E0C" w:rsidRDefault="00031A3F">
      <w:pPr>
        <w:pStyle w:val="R4"/>
        <w:spacing w:before="123"/>
      </w:pPr>
      <w:r w:rsidRPr="00EE1E0C">
        <w:t>Kostnader</w:t>
      </w:r>
    </w:p>
    <w:p w:rsidR="00031A3F" w:rsidRPr="00EE1E0C" w:rsidRDefault="00031A3F">
      <w:r w:rsidRPr="00EE1E0C">
        <w:t>Den tillkommande kostnaden för polisen för hyra och lokalvård av häktets gamla lokaler uppgick år 1997 till 754 000 kr. Denna kostnad har polisen valt att åta sig. Man var inte tvungen att överta lokalerna, men ansåg sig behöva större utrymmen för bl.a. undervisning och sammanträden. Man tog tillfället i akt när häktet lades ned. Det är inte självklart att polisens hyre</w:t>
      </w:r>
      <w:r w:rsidRPr="00EE1E0C">
        <w:t>s</w:t>
      </w:r>
      <w:r w:rsidRPr="00EE1E0C">
        <w:t>kostnad bör hänföras till häktesnedläggningen. Polisen hade dock inte tidig</w:t>
      </w:r>
      <w:r w:rsidRPr="00EE1E0C">
        <w:t>a</w:t>
      </w:r>
      <w:r w:rsidRPr="00EE1E0C">
        <w:t>re, trots mer internutbildning och fler anställda, utökat sina lokaler.</w:t>
      </w:r>
    </w:p>
    <w:p w:rsidR="00031A3F" w:rsidRPr="00EE1E0C" w:rsidRDefault="00031A3F">
      <w:pPr>
        <w:pStyle w:val="Normaltindrag"/>
      </w:pPr>
      <w:r w:rsidRPr="00EE1E0C">
        <w:t>Två poliser och en civilanställd sköter arrestbevakningen. Kostnaden för arrestbevakningen år 1997 var ca 1,6 mi</w:t>
      </w:r>
      <w:r w:rsidRPr="00EE1E0C">
        <w:t>l</w:t>
      </w:r>
      <w:r w:rsidRPr="00EE1E0C">
        <w:t>joner kronor.</w:t>
      </w:r>
    </w:p>
    <w:p w:rsidR="00031A3F" w:rsidRPr="00EE1E0C" w:rsidRDefault="00031A3F">
      <w:pPr>
        <w:pStyle w:val="Normaltindrag"/>
      </w:pPr>
      <w:r w:rsidRPr="00EE1E0C">
        <w:t>Under 1997 gjorde polisen 30 resor som var och en tog 6 timmar. Oftast åker två poliser till Härnösand för att hålla förhör. Under 1997 åkte en polis ensam till häktet för att hålla förhör vid tre tillfällen. De totala resekostn</w:t>
      </w:r>
      <w:r w:rsidRPr="00EE1E0C">
        <w:t>a</w:t>
      </w:r>
      <w:r w:rsidRPr="00EE1E0C">
        <w:t>derna för polisen uppgick under år 1997 till ca</w:t>
      </w:r>
      <w:r w:rsidRPr="00EE1E0C">
        <w:rPr>
          <w:i/>
        </w:rPr>
        <w:t xml:space="preserve"> </w:t>
      </w:r>
      <w:r w:rsidRPr="00EE1E0C">
        <w:t>120 000 kr</w:t>
      </w:r>
      <w:r w:rsidRPr="00EE1E0C">
        <w:rPr>
          <w:i/>
        </w:rPr>
        <w:t xml:space="preserve">. </w:t>
      </w:r>
      <w:r w:rsidRPr="00EE1E0C">
        <w:t>Kostnaden för advokaternas resor till häktet uppgick under år 1997, enligt beräkningar från Tingsrätten i Östersund, till ca 310 000 kr.</w:t>
      </w:r>
    </w:p>
    <w:p w:rsidR="00031A3F" w:rsidRPr="00EE1E0C" w:rsidRDefault="00031A3F">
      <w:pPr>
        <w:pStyle w:val="Normaltindrag"/>
      </w:pPr>
      <w:r w:rsidRPr="00EE1E0C">
        <w:t>År 1997 hade staten utgifter för a-kassa till de tidigare anställda vid häktet som inte fått nytt arbete motsvarande 1,6 miljoner kronor. Två tidigare a</w:t>
      </w:r>
      <w:r w:rsidRPr="00EE1E0C">
        <w:t>n</w:t>
      </w:r>
      <w:r w:rsidRPr="00EE1E0C">
        <w:t>ställda pensionerades före 65 års ålder, vilket innebar en kostnad för staten i form av pensioner motsvarande ca 400 000 kr inklusive lönekostnadsp</w:t>
      </w:r>
      <w:r w:rsidRPr="00EE1E0C">
        <w:t>å</w:t>
      </w:r>
      <w:r w:rsidRPr="00EE1E0C">
        <w:t>lägg.</w:t>
      </w:r>
    </w:p>
    <w:p w:rsidR="00031A3F" w:rsidRPr="00EE1E0C" w:rsidRDefault="00031A3F">
      <w:pPr>
        <w:rPr>
          <w:i/>
        </w:rPr>
      </w:pPr>
      <w:r w:rsidRPr="00EE1E0C">
        <w:rPr>
          <w:i/>
        </w:rPr>
        <w:t>Ekonomiska konsekvenser för staten</w:t>
      </w:r>
    </w:p>
    <w:p w:rsidR="00031A3F" w:rsidRPr="00EE1E0C" w:rsidRDefault="00031A3F">
      <w:r w:rsidRPr="00EE1E0C">
        <w:t>För kriminalvården innebar nedläggningen av häktet i Östersund att man under 1997 gjorde en besparing på ca 7,8 miljoner kronor. För staten innebar häktesnedläggningen tillkommande kostnader på mellan 4,0 och 4,8 miljoner kronor. De ökade kostnaderna för kriminalvården och staten i övrigt översteg dock, enligt dessa beräkningar, inte kriminalvårdens besparing. Flera effekter av nedläggningen har dock inte kvantifierats. De ingår inte i ovanstående beräkningar utan diskuteras mera utförligt nedan.</w:t>
      </w:r>
    </w:p>
    <w:p w:rsidR="00031A3F" w:rsidRPr="00EE1E0C" w:rsidRDefault="00031A3F">
      <w:pPr>
        <w:pStyle w:val="Rubrik2"/>
      </w:pPr>
      <w:bookmarkStart w:id="417" w:name="_Toc422038710"/>
      <w:r w:rsidRPr="00EE1E0C">
        <w:t>Riksdagens revisorers tidigare rapport – en jämförelse av resultat</w:t>
      </w:r>
      <w:bookmarkEnd w:id="417"/>
    </w:p>
    <w:p w:rsidR="00031A3F" w:rsidRPr="00EE1E0C" w:rsidRDefault="00031A3F">
      <w:r w:rsidRPr="00EE1E0C">
        <w:t>Häktet i Östersund lades ned till följd av de besparingar som kriminalvården hade ålagts. Kriminalvårdsstyrelsen hade en rad argument för att lägga ned häktet i Östersund. Driftskostnaden per plats var högst i landet vid häktet i Östersund. Av statistik från Kriminalvårdens transporttjänst framgick att ett femtiotal häktade flyttades till häktet i Östersund från andra häkten. Styrelsen såg detta som en förklaring till att häktet uppvisade en genomsnittligt högre beläggning än vad upptagningsområdet generer</w:t>
      </w:r>
      <w:r w:rsidRPr="00EE1E0C">
        <w:t>ade. Överkapacitet rådde även vid häktet i Hä</w:t>
      </w:r>
      <w:r w:rsidRPr="00EE1E0C">
        <w:t>r</w:t>
      </w:r>
      <w:r w:rsidRPr="00EE1E0C">
        <w:t>nösand.</w:t>
      </w:r>
    </w:p>
    <w:p w:rsidR="00031A3F" w:rsidRPr="00EE1E0C" w:rsidRDefault="00031A3F">
      <w:pPr>
        <w:pStyle w:val="Normaltindrag"/>
      </w:pPr>
      <w:r w:rsidRPr="00EE1E0C">
        <w:t>Sverige hade år 1991 fått kritik för häktesstandarden av Europarådets kommitté till förhindrande av tortyr och inhuman eller förnedrande behan</w:t>
      </w:r>
      <w:r w:rsidRPr="00EE1E0C">
        <w:t>d</w:t>
      </w:r>
      <w:r w:rsidRPr="00EE1E0C">
        <w:t>ling eller straff. Kritiken ledde till åtgärder som främst syftade till att förbät</w:t>
      </w:r>
      <w:r w:rsidRPr="00EE1E0C">
        <w:t>t</w:t>
      </w:r>
      <w:r w:rsidRPr="00EE1E0C">
        <w:t>ra möjligheterna till gemensamma aktiviteter vid landets häkten. Krimina</w:t>
      </w:r>
      <w:r w:rsidRPr="00EE1E0C">
        <w:t>l</w:t>
      </w:r>
      <w:r w:rsidRPr="00EE1E0C">
        <w:t>vårdsstyrelsen ansåg att häktet i Östersund inte uppfyllde de senaste årens krav på utformningen av häkten. Skulle man ha behållit häktet i Östersund hade detta behövt byggas om till betydande kostn</w:t>
      </w:r>
      <w:r w:rsidRPr="00EE1E0C">
        <w:t>a</w:t>
      </w:r>
      <w:r w:rsidRPr="00EE1E0C">
        <w:t>der.</w:t>
      </w:r>
    </w:p>
    <w:p w:rsidR="00031A3F" w:rsidRPr="00EE1E0C" w:rsidRDefault="00031A3F">
      <w:pPr>
        <w:pStyle w:val="Normaltindrag"/>
      </w:pPr>
      <w:r w:rsidRPr="00EE1E0C">
        <w:t>I rapporten (1995/96:6) drog revisorerna slutsatsen att det var ekonomiskt motiverat för Kriminalvårdsstyrelsen att lägga ned häktet i Östersund, under</w:t>
      </w:r>
      <w:r w:rsidRPr="00EE1E0C">
        <w:t xml:space="preserve"> förutsättning att häktena i Östersund och Härnösand båda hade en betydande överkapacitet och att verksamheten där inte rationaliserades. Revisorernas kalkyl innefattade även utfall för statsbudgeten i övrigt samt för samhäll</w:t>
      </w:r>
      <w:r w:rsidRPr="00EE1E0C">
        <w:t>s</w:t>
      </w:r>
      <w:r w:rsidRPr="00EE1E0C">
        <w:t>ekonomin. Dessa beräkningar visade att beslutet skulle komma att leda till betydande tillkommande kostnader. Revisorerna konstaterade att det inte kunde uteslutas att nedläggningen var både statsfinansiellt och samhällsek</w:t>
      </w:r>
      <w:r w:rsidRPr="00EE1E0C">
        <w:t>o</w:t>
      </w:r>
      <w:r w:rsidRPr="00EE1E0C">
        <w:t>nomiskt olönsam.</w:t>
      </w:r>
    </w:p>
    <w:p w:rsidR="00031A3F" w:rsidRPr="00EE1E0C" w:rsidRDefault="00031A3F">
      <w:pPr>
        <w:pStyle w:val="Normaltindrag"/>
      </w:pPr>
      <w:r w:rsidRPr="00EE1E0C">
        <w:t>Antalet tillsvidareanställda vid häktet i Öster</w:t>
      </w:r>
      <w:r w:rsidRPr="00EE1E0C">
        <w:t>sund var vid nedläggningsti</w:t>
      </w:r>
      <w:r w:rsidRPr="00EE1E0C">
        <w:t>d</w:t>
      </w:r>
      <w:r w:rsidRPr="00EE1E0C">
        <w:t>punkten 22 personer. En person gick i pension under hösten 1995 och fyra fick nytt arbete inom kriminalvården. Följande prognos gjordes för de övr</w:t>
      </w:r>
      <w:r w:rsidRPr="00EE1E0C">
        <w:t>i</w:t>
      </w:r>
      <w:r w:rsidRPr="00EE1E0C">
        <w:t>ga. Revisorerna antog att två personer av 22 tillsvidareanställda skulle vara anställda hos annan arbetsgivare än kriminalvården. Fem personer förvänt</w:t>
      </w:r>
      <w:r w:rsidRPr="00EE1E0C">
        <w:t>a</w:t>
      </w:r>
      <w:r w:rsidRPr="00EE1E0C">
        <w:t>des studera och därefter erhålla sysselsättning. En person antogs få sjukb</w:t>
      </w:r>
      <w:r w:rsidRPr="00EE1E0C">
        <w:t>i</w:t>
      </w:r>
      <w:r w:rsidRPr="00EE1E0C">
        <w:t>drag under hela kalkylperioden. Revisorerna räknade med att nio personer skulle vara arbetslösa med a-kassa var</w:t>
      </w:r>
      <w:r w:rsidRPr="00EE1E0C">
        <w:t>vat med olika arbetsmarknadspolitiska åtgärder under 2,5 år, dvs. till och med år 1998. Därefter förväntades sex personer finna ny sysselsättning under resterande delen av kalkylperioden. Tre personer väntades förbli arbetslösa till och med 60 års ålder, då särskild pensionsersättning skulle utbet</w:t>
      </w:r>
      <w:r w:rsidRPr="00EE1E0C">
        <w:t>a</w:t>
      </w:r>
      <w:r w:rsidRPr="00EE1E0C">
        <w:t>las.</w:t>
      </w:r>
    </w:p>
    <w:p w:rsidR="00031A3F" w:rsidRPr="00EE1E0C" w:rsidRDefault="00031A3F">
      <w:pPr>
        <w:pStyle w:val="Normaltindrag"/>
      </w:pPr>
      <w:r w:rsidRPr="00EE1E0C">
        <w:t>År 1997 var situationen annorlunda. Ytterligare tre personer var pension</w:t>
      </w:r>
      <w:r w:rsidRPr="00EE1E0C">
        <w:t>e</w:t>
      </w:r>
      <w:r w:rsidRPr="00EE1E0C">
        <w:t>rade jämfört med revisorernas tidigare prognos. Ingen av de tidigare anstäl</w:t>
      </w:r>
      <w:r w:rsidRPr="00EE1E0C">
        <w:t>l</w:t>
      </w:r>
      <w:r w:rsidRPr="00EE1E0C">
        <w:t>da studerade. Den tidigare prognosen bör därför justeras. Beträffande dem som var arbetslösa år 1997 antas att de är arbetslösa i fyra år, dvs. till och med år 2000. Därefter antas huvuddelen ha fått nytt arbete. Beräknings</w:t>
      </w:r>
      <w:r w:rsidRPr="00EE1E0C">
        <w:softHyphen/>
        <w:t>mässigt förutsätts att två personer erhåller särskild pensionsersättning vid 60 års ålder.</w:t>
      </w:r>
    </w:p>
    <w:p w:rsidR="00031A3F" w:rsidRPr="00EE1E0C" w:rsidRDefault="00031A3F">
      <w:pPr>
        <w:pStyle w:val="Normaltindrag"/>
      </w:pPr>
      <w:r w:rsidRPr="00EE1E0C">
        <w:t>Jämförelsen nedan avser de beräkningar som gjordes i revisorernas tidigare rapport och beräkningar som gjorts väsentlige</w:t>
      </w:r>
      <w:r w:rsidRPr="00EE1E0C">
        <w:t>n avseende år 1997. I den tidigare rapporten användes en kalkylränta på 5 % och en kalkylperiod på åtta år. I rapporten angavs att denna ränta användes i avsaknad av en enhe</w:t>
      </w:r>
      <w:r w:rsidRPr="00EE1E0C">
        <w:t>t</w:t>
      </w:r>
      <w:r w:rsidRPr="00EE1E0C">
        <w:t>ligt rekommenderad kalkylränta för den offentliga sektorn i Sverige. Kalk</w:t>
      </w:r>
      <w:r w:rsidRPr="00EE1E0C">
        <w:t>y</w:t>
      </w:r>
      <w:r w:rsidRPr="00EE1E0C">
        <w:t>len är gjord i 1995 års prisnivå. I sammanställningen av de beräkningar som gjorts för år 1997 används en ränta på 4 % och en kalkylperiod på åtta år. I en rapport</w:t>
      </w:r>
      <w:r w:rsidRPr="00EE1E0C">
        <w:rPr>
          <w:rStyle w:val="Fotnotsreferens"/>
        </w:rPr>
        <w:footnoteReference w:id="6"/>
      </w:r>
      <w:r w:rsidRPr="00EE1E0C">
        <w:t xml:space="preserve"> argumenterar Statens institut för kommunikationsanalys för en sänkning av räntan vid samhällsekonomiska kalkyler från 5 % till 4 %. Sammanställningen utgår från 1997 års priser. De kostnader som inkluderas i den sa</w:t>
      </w:r>
      <w:r w:rsidRPr="00EE1E0C">
        <w:t>m</w:t>
      </w:r>
      <w:r w:rsidRPr="00EE1E0C">
        <w:t xml:space="preserve">hällsekonomiska lönsamhetsbedömningen markeras med </w:t>
      </w:r>
      <w:r w:rsidRPr="00EE1E0C">
        <w:sym w:font="Symbol" w:char="F0B7"/>
      </w:r>
      <w:r w:rsidRPr="00EE1E0C">
        <w:t>.</w:t>
      </w:r>
    </w:p>
    <w:p w:rsidR="00031A3F" w:rsidRPr="00EE1E0C" w:rsidRDefault="00031A3F">
      <w:pPr>
        <w:pStyle w:val="Tabellrubrik"/>
        <w:spacing w:line="20" w:lineRule="exact"/>
      </w:pPr>
      <w:r w:rsidRPr="00EE1E0C">
        <w:tab/>
      </w:r>
      <w:r w:rsidRPr="00EE1E0C">
        <w:tab/>
      </w:r>
      <w:r w:rsidRPr="00EE1E0C">
        <w:tab/>
      </w:r>
      <w:r w:rsidRPr="00EE1E0C">
        <w:tab/>
      </w: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8"/>
        <w:gridCol w:w="822"/>
        <w:gridCol w:w="850"/>
        <w:gridCol w:w="851"/>
        <w:gridCol w:w="850"/>
      </w:tblGrid>
      <w:tr w:rsidR="00000000" w:rsidRPr="00EE1E0C">
        <w:tblPrEx>
          <w:tblCellMar>
            <w:top w:w="0" w:type="dxa"/>
            <w:bottom w:w="0" w:type="dxa"/>
          </w:tblCellMar>
        </w:tblPrEx>
        <w:tc>
          <w:tcPr>
            <w:tcW w:w="2948" w:type="dxa"/>
            <w:tcBorders>
              <w:top w:val="nil"/>
              <w:left w:val="nil"/>
              <w:bottom w:val="nil"/>
            </w:tcBorders>
          </w:tcPr>
          <w:p w:rsidR="00031A3F" w:rsidRPr="00EE1E0C" w:rsidRDefault="00031A3F">
            <w:pPr>
              <w:pStyle w:val="Citat"/>
              <w:ind w:right="113"/>
            </w:pPr>
            <w:r w:rsidRPr="00EE1E0C">
              <w:rPr>
                <w:b/>
              </w:rPr>
              <w:t>Jämförelse mellan sammanstäl</w:t>
            </w:r>
            <w:r w:rsidRPr="00EE1E0C">
              <w:rPr>
                <w:b/>
              </w:rPr>
              <w:t>l</w:t>
            </w:r>
            <w:r w:rsidRPr="00EE1E0C">
              <w:rPr>
                <w:b/>
              </w:rPr>
              <w:t>ningen i revisorernas rapport 1995/96:6 och uppföljningen a</w:t>
            </w:r>
            <w:r w:rsidRPr="00EE1E0C">
              <w:rPr>
                <w:b/>
              </w:rPr>
              <w:t>v</w:t>
            </w:r>
            <w:r w:rsidRPr="00EE1E0C">
              <w:rPr>
                <w:b/>
              </w:rPr>
              <w:t>seende år 1997. Miljoner kronor, beloppen är avrundade till en decimal.</w:t>
            </w:r>
            <w:r w:rsidRPr="00EE1E0C">
              <w:rPr>
                <w:b/>
              </w:rPr>
              <w:tab/>
            </w:r>
          </w:p>
        </w:tc>
        <w:tc>
          <w:tcPr>
            <w:tcW w:w="822" w:type="dxa"/>
            <w:tcBorders>
              <w:top w:val="single" w:sz="12" w:space="0" w:color="auto"/>
              <w:bottom w:val="single" w:sz="12" w:space="0" w:color="auto"/>
            </w:tcBorders>
          </w:tcPr>
          <w:p w:rsidR="00031A3F" w:rsidRPr="00EE1E0C" w:rsidRDefault="00031A3F">
            <w:pPr>
              <w:pStyle w:val="Citat"/>
              <w:jc w:val="left"/>
            </w:pPr>
            <w:r w:rsidRPr="00EE1E0C">
              <w:t>Årlig kostnad eller nytta, rapport 1995/ 96:6</w:t>
            </w:r>
          </w:p>
        </w:tc>
        <w:tc>
          <w:tcPr>
            <w:tcW w:w="850" w:type="dxa"/>
            <w:tcBorders>
              <w:top w:val="single" w:sz="12" w:space="0" w:color="auto"/>
              <w:bottom w:val="single" w:sz="12" w:space="0" w:color="auto"/>
            </w:tcBorders>
          </w:tcPr>
          <w:p w:rsidR="00031A3F" w:rsidRPr="00EE1E0C" w:rsidRDefault="00031A3F">
            <w:pPr>
              <w:pStyle w:val="Citat"/>
              <w:jc w:val="left"/>
            </w:pPr>
            <w:r w:rsidRPr="00EE1E0C">
              <w:t>Nuvärde, rapport 1995/ 96:6</w:t>
            </w:r>
          </w:p>
        </w:tc>
        <w:tc>
          <w:tcPr>
            <w:tcW w:w="851" w:type="dxa"/>
            <w:tcBorders>
              <w:top w:val="single" w:sz="12" w:space="0" w:color="auto"/>
              <w:bottom w:val="single" w:sz="12" w:space="0" w:color="auto"/>
            </w:tcBorders>
          </w:tcPr>
          <w:p w:rsidR="00031A3F" w:rsidRPr="00EE1E0C" w:rsidRDefault="00031A3F">
            <w:pPr>
              <w:pStyle w:val="Citat"/>
              <w:jc w:val="left"/>
            </w:pPr>
            <w:r w:rsidRPr="00EE1E0C">
              <w:t>Kostnad eller nytta, avseende år 1997</w:t>
            </w:r>
          </w:p>
        </w:tc>
        <w:tc>
          <w:tcPr>
            <w:tcW w:w="850" w:type="dxa"/>
            <w:tcBorders>
              <w:top w:val="single" w:sz="12" w:space="0" w:color="auto"/>
              <w:bottom w:val="single" w:sz="12" w:space="0" w:color="auto"/>
            </w:tcBorders>
          </w:tcPr>
          <w:p w:rsidR="00031A3F" w:rsidRPr="00EE1E0C" w:rsidRDefault="00031A3F">
            <w:pPr>
              <w:pStyle w:val="Citat"/>
              <w:jc w:val="left"/>
            </w:pPr>
            <w:r w:rsidRPr="00EE1E0C">
              <w:t>Nuvärde, avseende år 1997</w:t>
            </w:r>
          </w:p>
        </w:tc>
      </w:tr>
      <w:tr w:rsidR="00000000" w:rsidRPr="00EE1E0C">
        <w:tblPrEx>
          <w:tblCellMar>
            <w:top w:w="0" w:type="dxa"/>
            <w:bottom w:w="0" w:type="dxa"/>
          </w:tblCellMar>
        </w:tblPrEx>
        <w:trPr>
          <w:trHeight w:hRule="exact" w:val="220"/>
        </w:trPr>
        <w:tc>
          <w:tcPr>
            <w:tcW w:w="2948" w:type="dxa"/>
            <w:tcBorders>
              <w:top w:val="single" w:sz="12" w:space="0" w:color="auto"/>
              <w:left w:val="single" w:sz="12" w:space="0" w:color="auto"/>
              <w:bottom w:val="single" w:sz="12" w:space="0" w:color="auto"/>
              <w:right w:val="nil"/>
            </w:tcBorders>
          </w:tcPr>
          <w:p w:rsidR="00031A3F" w:rsidRPr="00EE1E0C" w:rsidRDefault="00031A3F">
            <w:pPr>
              <w:pStyle w:val="Citat"/>
              <w:spacing w:before="0"/>
            </w:pPr>
            <w:r w:rsidRPr="00EE1E0C">
              <w:rPr>
                <w:b/>
              </w:rPr>
              <w:t>KRIMINALVÅRDEN</w:t>
            </w:r>
          </w:p>
        </w:tc>
        <w:tc>
          <w:tcPr>
            <w:tcW w:w="822" w:type="dxa"/>
            <w:tcBorders>
              <w:top w:val="nil"/>
              <w:left w:val="nil"/>
              <w:bottom w:val="single" w:sz="12" w:space="0" w:color="auto"/>
              <w:right w:val="nil"/>
            </w:tcBorders>
          </w:tcPr>
          <w:p w:rsidR="00031A3F" w:rsidRPr="00EE1E0C" w:rsidRDefault="00031A3F">
            <w:pPr>
              <w:pStyle w:val="Citat"/>
              <w:jc w:val="right"/>
            </w:pPr>
          </w:p>
        </w:tc>
        <w:tc>
          <w:tcPr>
            <w:tcW w:w="850" w:type="dxa"/>
            <w:tcBorders>
              <w:top w:val="nil"/>
              <w:left w:val="nil"/>
              <w:bottom w:val="single" w:sz="12" w:space="0" w:color="auto"/>
              <w:right w:val="nil"/>
            </w:tcBorders>
          </w:tcPr>
          <w:p w:rsidR="00031A3F" w:rsidRPr="00EE1E0C" w:rsidRDefault="00031A3F">
            <w:pPr>
              <w:pStyle w:val="Citat"/>
              <w:jc w:val="right"/>
            </w:pPr>
          </w:p>
        </w:tc>
        <w:tc>
          <w:tcPr>
            <w:tcW w:w="851" w:type="dxa"/>
            <w:tcBorders>
              <w:top w:val="nil"/>
              <w:left w:val="nil"/>
              <w:bottom w:val="single" w:sz="12" w:space="0" w:color="auto"/>
              <w:right w:val="nil"/>
            </w:tcBorders>
          </w:tcPr>
          <w:p w:rsidR="00031A3F" w:rsidRPr="00EE1E0C" w:rsidRDefault="00031A3F">
            <w:pPr>
              <w:pStyle w:val="Citat"/>
              <w:jc w:val="right"/>
            </w:pPr>
          </w:p>
        </w:tc>
        <w:tc>
          <w:tcPr>
            <w:tcW w:w="850" w:type="dxa"/>
            <w:tcBorders>
              <w:top w:val="nil"/>
              <w:left w:val="nil"/>
              <w:bottom w:val="single" w:sz="12" w:space="0" w:color="auto"/>
              <w:right w:val="single" w:sz="12" w:space="0" w:color="auto"/>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spacing w:before="60"/>
              <w:jc w:val="left"/>
            </w:pPr>
            <w:r w:rsidRPr="00EE1E0C">
              <w:t xml:space="preserve">Besparing, nedläggning av häktet </w:t>
            </w:r>
            <w:r w:rsidRPr="00EE1E0C">
              <w:sym w:font="Symbol" w:char="F0B7"/>
            </w:r>
          </w:p>
          <w:p w:rsidR="00031A3F" w:rsidRPr="00EE1E0C" w:rsidRDefault="00031A3F">
            <w:pPr>
              <w:pStyle w:val="Citat"/>
              <w:jc w:val="left"/>
            </w:pPr>
            <w:r w:rsidRPr="00EE1E0C">
              <w:rPr>
                <w:i/>
              </w:rPr>
              <w:t>Kommentar: Skillnaden vid berä</w:t>
            </w:r>
            <w:r w:rsidRPr="00EE1E0C">
              <w:rPr>
                <w:i/>
              </w:rPr>
              <w:t>k</w:t>
            </w:r>
            <w:r w:rsidRPr="00EE1E0C">
              <w:rPr>
                <w:i/>
              </w:rPr>
              <w:t>ningen av nuvärde beror på att räntan i den senare beräkningen sänkts från 5 %  till 4 %.</w:t>
            </w:r>
          </w:p>
        </w:tc>
        <w:tc>
          <w:tcPr>
            <w:tcW w:w="822" w:type="dxa"/>
            <w:tcBorders>
              <w:top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+ 9,0</w:t>
            </w:r>
          </w:p>
        </w:tc>
        <w:tc>
          <w:tcPr>
            <w:tcW w:w="850" w:type="dxa"/>
            <w:tcBorders>
              <w:top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+58,2</w:t>
            </w:r>
          </w:p>
        </w:tc>
        <w:tc>
          <w:tcPr>
            <w:tcW w:w="851" w:type="dxa"/>
            <w:tcBorders>
              <w:top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+9,0</w:t>
            </w:r>
          </w:p>
        </w:tc>
        <w:tc>
          <w:tcPr>
            <w:tcW w:w="850" w:type="dxa"/>
            <w:tcBorders>
              <w:top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+60,6</w:t>
            </w:r>
          </w:p>
        </w:tc>
      </w:tr>
      <w:tr w:rsidR="00000000" w:rsidRPr="00EE1E0C">
        <w:tblPrEx>
          <w:tblCellMar>
            <w:top w:w="0" w:type="dxa"/>
            <w:bottom w:w="0" w:type="dxa"/>
          </w:tblCellMar>
        </w:tblPrEx>
        <w:tc>
          <w:tcPr>
            <w:tcW w:w="2948" w:type="dxa"/>
          </w:tcPr>
          <w:p w:rsidR="00031A3F" w:rsidRPr="00EE1E0C" w:rsidRDefault="00031A3F">
            <w:pPr>
              <w:pStyle w:val="Citat"/>
              <w:spacing w:before="60"/>
              <w:jc w:val="left"/>
            </w:pPr>
            <w:r w:rsidRPr="00EE1E0C">
              <w:t xml:space="preserve">Besparing, ombyggnad av häktet i Östersund </w:t>
            </w:r>
            <w:r w:rsidRPr="00EE1E0C">
              <w:sym w:font="Symbol" w:char="F0B7"/>
            </w:r>
          </w:p>
          <w:p w:rsidR="00031A3F" w:rsidRPr="00EE1E0C" w:rsidRDefault="00031A3F">
            <w:pPr>
              <w:pStyle w:val="Citat"/>
              <w:jc w:val="left"/>
            </w:pPr>
            <w:r w:rsidRPr="00EE1E0C">
              <w:rPr>
                <w:i/>
              </w:rPr>
              <w:t>Kommentar: Denna besparing i</w:t>
            </w:r>
            <w:r w:rsidRPr="00EE1E0C">
              <w:rPr>
                <w:i/>
              </w:rPr>
              <w:t>n</w:t>
            </w:r>
            <w:r w:rsidRPr="00EE1E0C">
              <w:rPr>
                <w:i/>
              </w:rPr>
              <w:t>gick ej i revisorernas tidigare b</w:t>
            </w:r>
            <w:r w:rsidRPr="00EE1E0C">
              <w:rPr>
                <w:i/>
              </w:rPr>
              <w:t>e</w:t>
            </w:r>
            <w:r w:rsidRPr="00EE1E0C">
              <w:rPr>
                <w:i/>
              </w:rPr>
              <w:t>räkning</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51"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+2,5</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+2,5</w:t>
            </w:r>
          </w:p>
        </w:tc>
      </w:tr>
      <w:tr w:rsidR="00000000" w:rsidRPr="00EE1E0C">
        <w:tblPrEx>
          <w:tblCellMar>
            <w:top w:w="0" w:type="dxa"/>
            <w:bottom w:w="0" w:type="dxa"/>
          </w:tblCellMar>
        </w:tblPrEx>
        <w:tc>
          <w:tcPr>
            <w:tcW w:w="2948" w:type="dxa"/>
          </w:tcPr>
          <w:p w:rsidR="00031A3F" w:rsidRPr="00EE1E0C" w:rsidRDefault="00031A3F">
            <w:pPr>
              <w:pStyle w:val="Citat"/>
              <w:spacing w:before="60"/>
              <w:jc w:val="left"/>
            </w:pPr>
            <w:r w:rsidRPr="00EE1E0C">
              <w:t xml:space="preserve">Vårdkostnader </w:t>
            </w:r>
            <w:r w:rsidRPr="00EE1E0C">
              <w:sym w:font="Symbol" w:char="F0B7"/>
            </w:r>
          </w:p>
          <w:p w:rsidR="00031A3F" w:rsidRPr="00EE1E0C" w:rsidRDefault="00031A3F">
            <w:pPr>
              <w:pStyle w:val="Citat"/>
              <w:jc w:val="left"/>
              <w:rPr>
                <w:i/>
              </w:rPr>
            </w:pPr>
            <w:r w:rsidRPr="00EE1E0C">
              <w:rPr>
                <w:i/>
              </w:rPr>
              <w:t xml:space="preserve">Kommentar: Denna kostnad består av vårdkostnader för häktet i </w:t>
            </w:r>
          </w:p>
          <w:p w:rsidR="00031A3F" w:rsidRPr="00EE1E0C" w:rsidRDefault="00031A3F">
            <w:pPr>
              <w:pStyle w:val="Citat"/>
              <w:spacing w:before="0"/>
              <w:jc w:val="left"/>
              <w:rPr>
                <w:i/>
              </w:rPr>
            </w:pPr>
            <w:r w:rsidRPr="00EE1E0C">
              <w:rPr>
                <w:i/>
              </w:rPr>
              <w:t>Härnösand samt övriga häkten som tar emot häktade från Östersunds-</w:t>
            </w:r>
          </w:p>
          <w:p w:rsidR="00031A3F" w:rsidRPr="00EE1E0C" w:rsidRDefault="00031A3F">
            <w:pPr>
              <w:pStyle w:val="Citat"/>
              <w:spacing w:before="0"/>
              <w:jc w:val="left"/>
            </w:pPr>
            <w:r w:rsidRPr="00EE1E0C">
              <w:rPr>
                <w:i/>
              </w:rPr>
              <w:t>omr</w:t>
            </w:r>
            <w:r w:rsidRPr="00EE1E0C">
              <w:rPr>
                <w:i/>
              </w:rPr>
              <w:t>å</w:t>
            </w:r>
            <w:r w:rsidRPr="00EE1E0C">
              <w:rPr>
                <w:i/>
              </w:rPr>
              <w:t>det.</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-0,5/-0,2</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-3,2/-1,3</w:t>
            </w:r>
          </w:p>
        </w:tc>
        <w:tc>
          <w:tcPr>
            <w:tcW w:w="851"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-0,5</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-3,4</w:t>
            </w:r>
          </w:p>
        </w:tc>
      </w:tr>
      <w:tr w:rsidR="00000000" w:rsidRPr="00EE1E0C">
        <w:tblPrEx>
          <w:tblCellMar>
            <w:top w:w="0" w:type="dxa"/>
            <w:bottom w:w="0" w:type="dxa"/>
          </w:tblCellMar>
        </w:tblPrEx>
        <w:tc>
          <w:tcPr>
            <w:tcW w:w="2948" w:type="dxa"/>
          </w:tcPr>
          <w:p w:rsidR="00031A3F" w:rsidRPr="00EE1E0C" w:rsidRDefault="00031A3F">
            <w:pPr>
              <w:pStyle w:val="Citat"/>
              <w:spacing w:before="60"/>
              <w:jc w:val="left"/>
            </w:pPr>
            <w:r w:rsidRPr="00EE1E0C">
              <w:br w:type="page"/>
              <w:t xml:space="preserve">Ökade transportkostnader </w:t>
            </w:r>
            <w:r w:rsidRPr="00EE1E0C">
              <w:sym w:font="Symbol" w:char="F0B7"/>
            </w:r>
          </w:p>
          <w:p w:rsidR="00031A3F" w:rsidRPr="00EE1E0C" w:rsidRDefault="00031A3F">
            <w:pPr>
              <w:pStyle w:val="Citat"/>
              <w:jc w:val="left"/>
            </w:pPr>
            <w:r w:rsidRPr="00EE1E0C">
              <w:rPr>
                <w:i/>
              </w:rPr>
              <w:t>Kommentar: Detta är transportkos</w:t>
            </w:r>
            <w:r w:rsidRPr="00EE1E0C">
              <w:rPr>
                <w:i/>
              </w:rPr>
              <w:t>t</w:t>
            </w:r>
            <w:r w:rsidRPr="00EE1E0C">
              <w:rPr>
                <w:i/>
              </w:rPr>
              <w:t xml:space="preserve">naderna för häktet i Härnösand samt övriga häkten. </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-0,7/-0,3</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-4,5/-1,9</w:t>
            </w:r>
          </w:p>
        </w:tc>
        <w:tc>
          <w:tcPr>
            <w:tcW w:w="851"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-0,7</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-4,6</w:t>
            </w:r>
          </w:p>
        </w:tc>
      </w:tr>
    </w:tbl>
    <w:p w:rsidR="00031A3F" w:rsidRPr="00EE1E0C" w:rsidRDefault="00031A3F">
      <w:pPr>
        <w:spacing w:before="0" w:line="20" w:lineRule="exact"/>
      </w:pPr>
      <w:r w:rsidRPr="00EE1E0C">
        <w:br w:type="page"/>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8"/>
        <w:gridCol w:w="822"/>
        <w:gridCol w:w="850"/>
        <w:gridCol w:w="696"/>
        <w:gridCol w:w="709"/>
      </w:tblGrid>
      <w:tr w:rsidR="00000000" w:rsidRPr="00EE1E0C">
        <w:tblPrEx>
          <w:tblCellMar>
            <w:top w:w="0" w:type="dxa"/>
            <w:bottom w:w="0" w:type="dxa"/>
          </w:tblCellMar>
        </w:tblPrEx>
        <w:tc>
          <w:tcPr>
            <w:tcW w:w="2948" w:type="dxa"/>
          </w:tcPr>
          <w:p w:rsidR="00031A3F" w:rsidRPr="00EE1E0C" w:rsidRDefault="00031A3F">
            <w:pPr>
              <w:pStyle w:val="Citat"/>
              <w:jc w:val="left"/>
            </w:pPr>
            <w:r w:rsidRPr="00EE1E0C">
              <w:t xml:space="preserve">Övernattning </w:t>
            </w:r>
            <w:r w:rsidRPr="00EE1E0C">
              <w:sym w:font="Symbol" w:char="F0B7"/>
            </w:r>
          </w:p>
          <w:p w:rsidR="00031A3F" w:rsidRPr="00EE1E0C" w:rsidRDefault="00031A3F">
            <w:pPr>
              <w:pStyle w:val="Citat"/>
              <w:jc w:val="left"/>
            </w:pPr>
            <w:r w:rsidRPr="00EE1E0C">
              <w:rPr>
                <w:i/>
              </w:rPr>
              <w:t>Kommentar: Denna kostnad ingår för år 1997 i de sammanlagda transportkostnade</w:t>
            </w:r>
            <w:r w:rsidRPr="00EE1E0C">
              <w:rPr>
                <w:i/>
              </w:rPr>
              <w:t>r</w:t>
            </w:r>
            <w:r w:rsidRPr="00EE1E0C">
              <w:rPr>
                <w:i/>
              </w:rPr>
              <w:t>na (ovan).</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-0,2</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-1,3</w:t>
            </w:r>
          </w:p>
        </w:tc>
        <w:tc>
          <w:tcPr>
            <w:tcW w:w="696"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709" w:type="dxa"/>
          </w:tcPr>
          <w:p w:rsidR="00031A3F" w:rsidRPr="00EE1E0C" w:rsidRDefault="00031A3F">
            <w:pPr>
              <w:pStyle w:val="Citat"/>
              <w:jc w:val="right"/>
            </w:pPr>
          </w:p>
          <w:p w:rsidR="00031A3F" w:rsidRPr="00EE1E0C" w:rsidRDefault="00031A3F">
            <w:pPr>
              <w:pStyle w:val="CitatIndrag"/>
              <w:jc w:val="right"/>
            </w:pPr>
          </w:p>
          <w:p w:rsidR="00031A3F" w:rsidRPr="00EE1E0C" w:rsidRDefault="00031A3F">
            <w:pPr>
              <w:pStyle w:val="CitatIndrag"/>
              <w:jc w:val="right"/>
            </w:pPr>
            <w:r w:rsidRPr="00EE1E0C">
              <w:t>–</w:t>
            </w:r>
          </w:p>
        </w:tc>
      </w:tr>
      <w:tr w:rsidR="00000000" w:rsidRPr="00EE1E0C">
        <w:tblPrEx>
          <w:tblCellMar>
            <w:top w:w="0" w:type="dxa"/>
            <w:bottom w:w="0" w:type="dxa"/>
          </w:tblCellMar>
        </w:tblPrEx>
        <w:tc>
          <w:tcPr>
            <w:tcW w:w="2948" w:type="dxa"/>
            <w:tcBorders>
              <w:bottom w:val="nil"/>
            </w:tcBorders>
          </w:tcPr>
          <w:p w:rsidR="00031A3F" w:rsidRPr="00EE1E0C" w:rsidRDefault="00031A3F">
            <w:pPr>
              <w:pStyle w:val="Citat"/>
              <w:jc w:val="left"/>
            </w:pPr>
            <w:r w:rsidRPr="00EE1E0C">
              <w:t>Hyreskostnad</w:t>
            </w:r>
          </w:p>
          <w:p w:rsidR="00031A3F" w:rsidRPr="00EE1E0C" w:rsidRDefault="00031A3F">
            <w:pPr>
              <w:pStyle w:val="Citat"/>
              <w:jc w:val="left"/>
            </w:pPr>
            <w:r w:rsidRPr="00EE1E0C">
              <w:rPr>
                <w:i/>
              </w:rPr>
              <w:t>Kommentar: Häkteslokalerna lä</w:t>
            </w:r>
            <w:r w:rsidRPr="00EE1E0C">
              <w:rPr>
                <w:i/>
              </w:rPr>
              <w:t>m</w:t>
            </w:r>
            <w:r w:rsidRPr="00EE1E0C">
              <w:rPr>
                <w:i/>
              </w:rPr>
              <w:t>nades i förtid, redan den 1 juni 1996. För år 1997 redovisas här den slutliga hyreskos</w:t>
            </w:r>
            <w:r w:rsidRPr="00EE1E0C">
              <w:rPr>
                <w:i/>
              </w:rPr>
              <w:t>t</w:t>
            </w:r>
            <w:r w:rsidRPr="00EE1E0C">
              <w:rPr>
                <w:i/>
              </w:rPr>
              <w:t xml:space="preserve">naden.  </w:t>
            </w:r>
          </w:p>
        </w:tc>
        <w:tc>
          <w:tcPr>
            <w:tcW w:w="822" w:type="dxa"/>
            <w:tcBorders>
              <w:bottom w:val="nil"/>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-1,5</w:t>
            </w:r>
          </w:p>
        </w:tc>
        <w:tc>
          <w:tcPr>
            <w:tcW w:w="850"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-2,1</w:t>
            </w:r>
          </w:p>
        </w:tc>
        <w:tc>
          <w:tcPr>
            <w:tcW w:w="696"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r w:rsidRPr="00EE1E0C">
              <w:t>-2,5</w:t>
            </w:r>
          </w:p>
        </w:tc>
        <w:tc>
          <w:tcPr>
            <w:tcW w:w="709" w:type="dxa"/>
            <w:tcBorders>
              <w:bottom w:val="nil"/>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-2,5</w:t>
            </w:r>
          </w:p>
        </w:tc>
      </w:tr>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br w:type="page"/>
            </w:r>
            <w:r w:rsidRPr="00EE1E0C">
              <w:br w:type="page"/>
              <w:t>Lönekostnad</w:t>
            </w:r>
          </w:p>
          <w:p w:rsidR="00031A3F" w:rsidRPr="00EE1E0C" w:rsidRDefault="00031A3F">
            <w:pPr>
              <w:pStyle w:val="Citat"/>
              <w:jc w:val="left"/>
            </w:pPr>
            <w:r w:rsidRPr="00EE1E0C">
              <w:rPr>
                <w:i/>
              </w:rPr>
              <w:t>Kommentar: För år 1997 redovisas här den slutl</w:t>
            </w:r>
            <w:r w:rsidRPr="00EE1E0C">
              <w:rPr>
                <w:i/>
              </w:rPr>
              <w:t>i</w:t>
            </w:r>
            <w:r w:rsidRPr="00EE1E0C">
              <w:rPr>
                <w:i/>
              </w:rPr>
              <w:t>ga lönekostnaden.</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r w:rsidRPr="00EE1E0C">
              <w:t>-1,0</w:t>
            </w:r>
          </w:p>
        </w:tc>
        <w:tc>
          <w:tcPr>
            <w:tcW w:w="850"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r w:rsidRPr="00EE1E0C">
              <w:t>-1,0</w:t>
            </w:r>
          </w:p>
        </w:tc>
        <w:tc>
          <w:tcPr>
            <w:tcW w:w="696" w:type="dxa"/>
            <w:tcBorders>
              <w:bottom w:val="single" w:sz="6" w:space="0" w:color="auto"/>
            </w:tcBorders>
          </w:tcPr>
          <w:p w:rsidR="00031A3F" w:rsidRPr="00EE1E0C" w:rsidRDefault="00031A3F">
            <w:pPr>
              <w:pStyle w:val="CitatIndrag"/>
            </w:pPr>
          </w:p>
          <w:p w:rsidR="00031A3F" w:rsidRPr="00EE1E0C" w:rsidRDefault="00031A3F">
            <w:pPr>
              <w:pStyle w:val="Citat"/>
              <w:jc w:val="right"/>
            </w:pPr>
            <w:r w:rsidRPr="00EE1E0C">
              <w:t>-1,8</w:t>
            </w:r>
          </w:p>
        </w:tc>
        <w:tc>
          <w:tcPr>
            <w:tcW w:w="709"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r w:rsidRPr="00EE1E0C">
              <w:t>-1,8</w:t>
            </w:r>
          </w:p>
        </w:tc>
      </w:tr>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t>Avvecklingskostnad, t.o.m. 960630</w:t>
            </w:r>
            <w:r w:rsidRPr="00EE1E0C">
              <w:sym w:font="Symbol" w:char="F0B7"/>
            </w:r>
          </w:p>
          <w:p w:rsidR="00031A3F" w:rsidRPr="00EE1E0C" w:rsidRDefault="00031A3F">
            <w:pPr>
              <w:pStyle w:val="Citat"/>
              <w:jc w:val="left"/>
            </w:pPr>
            <w:r w:rsidRPr="00EE1E0C">
              <w:rPr>
                <w:i/>
              </w:rPr>
              <w:t>Kommentar: Avvecklingskostnade</w:t>
            </w:r>
            <w:r w:rsidRPr="00EE1E0C">
              <w:rPr>
                <w:i/>
              </w:rPr>
              <w:t>r</w:t>
            </w:r>
            <w:r w:rsidRPr="00EE1E0C">
              <w:rPr>
                <w:i/>
              </w:rPr>
              <w:t>na består av personalkostnader i samband med avvecklingen av hä</w:t>
            </w:r>
            <w:r w:rsidRPr="00EE1E0C">
              <w:rPr>
                <w:i/>
              </w:rPr>
              <w:t>k</w:t>
            </w:r>
            <w:r w:rsidRPr="00EE1E0C">
              <w:rPr>
                <w:i/>
              </w:rPr>
              <w:t>tet. I avvecklingskostnader ingår exempelvis ersättning till personalen för dubbel bosättning och resekos</w:t>
            </w:r>
            <w:r w:rsidRPr="00EE1E0C">
              <w:rPr>
                <w:i/>
              </w:rPr>
              <w:t>t</w:t>
            </w:r>
            <w:r w:rsidRPr="00EE1E0C">
              <w:rPr>
                <w:i/>
              </w:rPr>
              <w:t>nader. För år 1997 redovisas här den slutliga avvecklingskostn</w:t>
            </w:r>
            <w:r w:rsidRPr="00EE1E0C">
              <w:rPr>
                <w:i/>
              </w:rPr>
              <w:t>a</w:t>
            </w:r>
            <w:r w:rsidRPr="00EE1E0C">
              <w:rPr>
                <w:i/>
              </w:rPr>
              <w:t>den.</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r w:rsidRPr="00EE1E0C">
              <w:t>-0,8</w:t>
            </w:r>
          </w:p>
        </w:tc>
        <w:tc>
          <w:tcPr>
            <w:tcW w:w="850"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-0,8</w:t>
            </w:r>
          </w:p>
        </w:tc>
        <w:tc>
          <w:tcPr>
            <w:tcW w:w="696"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r w:rsidRPr="00EE1E0C">
              <w:t>-0,3</w:t>
            </w:r>
          </w:p>
        </w:tc>
        <w:tc>
          <w:tcPr>
            <w:tcW w:w="709"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r w:rsidRPr="00EE1E0C">
              <w:t>-0,3</w:t>
            </w:r>
          </w:p>
        </w:tc>
      </w:tr>
      <w:tr w:rsidR="00000000" w:rsidRPr="00EE1E0C">
        <w:tblPrEx>
          <w:tblCellMar>
            <w:top w:w="0" w:type="dxa"/>
            <w:bottom w:w="0" w:type="dxa"/>
          </w:tblCellMar>
        </w:tblPrEx>
        <w:tc>
          <w:tcPr>
            <w:tcW w:w="2948" w:type="dxa"/>
            <w:tcBorders>
              <w:top w:val="single" w:sz="6" w:space="0" w:color="auto"/>
              <w:left w:val="single" w:sz="6" w:space="0" w:color="auto"/>
              <w:bottom w:val="single" w:sz="12" w:space="0" w:color="auto"/>
              <w:right w:val="nil"/>
            </w:tcBorders>
          </w:tcPr>
          <w:p w:rsidR="00031A3F" w:rsidRPr="00EE1E0C" w:rsidRDefault="00031A3F">
            <w:pPr>
              <w:pStyle w:val="Citat"/>
              <w:jc w:val="left"/>
              <w:rPr>
                <w:b/>
              </w:rPr>
            </w:pPr>
            <w:r w:rsidRPr="00EE1E0C">
              <w:rPr>
                <w:b/>
              </w:rPr>
              <w:t>Totalt nuvärde, kriminalvården</w:t>
            </w:r>
          </w:p>
        </w:tc>
        <w:tc>
          <w:tcPr>
            <w:tcW w:w="822" w:type="dxa"/>
            <w:tcBorders>
              <w:top w:val="single" w:sz="6" w:space="0" w:color="auto"/>
              <w:left w:val="single" w:sz="6" w:space="0" w:color="auto"/>
              <w:bottom w:val="single" w:sz="12" w:space="0" w:color="auto"/>
              <w:right w:val="single" w:sz="6" w:space="0" w:color="auto"/>
            </w:tcBorders>
          </w:tcPr>
          <w:p w:rsidR="00031A3F" w:rsidRPr="00EE1E0C" w:rsidRDefault="00031A3F">
            <w:pPr>
              <w:pStyle w:val="Citat"/>
              <w:jc w:val="right"/>
            </w:pPr>
            <w:r w:rsidRPr="00EE1E0C">
              <w:t>*</w:t>
            </w:r>
          </w:p>
        </w:tc>
        <w:tc>
          <w:tcPr>
            <w:tcW w:w="850" w:type="dxa"/>
            <w:tcBorders>
              <w:top w:val="single" w:sz="6" w:space="0" w:color="auto"/>
              <w:left w:val="nil"/>
              <w:bottom w:val="single" w:sz="12" w:space="0" w:color="auto"/>
              <w:right w:val="single" w:sz="6" w:space="0" w:color="auto"/>
            </w:tcBorders>
          </w:tcPr>
          <w:p w:rsidR="00031A3F" w:rsidRPr="00EE1E0C" w:rsidRDefault="00031A3F">
            <w:pPr>
              <w:pStyle w:val="Citat"/>
              <w:jc w:val="right"/>
              <w:rPr>
                <w:b/>
              </w:rPr>
            </w:pPr>
            <w:r w:rsidRPr="00EE1E0C">
              <w:rPr>
                <w:b/>
              </w:rPr>
              <w:t>+45,3/</w:t>
            </w:r>
          </w:p>
          <w:p w:rsidR="00031A3F" w:rsidRPr="00EE1E0C" w:rsidRDefault="00031A3F">
            <w:pPr>
              <w:pStyle w:val="Citat"/>
              <w:jc w:val="right"/>
            </w:pPr>
            <w:r w:rsidRPr="00EE1E0C">
              <w:rPr>
                <w:b/>
              </w:rPr>
              <w:t>+49,8</w:t>
            </w:r>
          </w:p>
        </w:tc>
        <w:tc>
          <w:tcPr>
            <w:tcW w:w="696" w:type="dxa"/>
            <w:tcBorders>
              <w:top w:val="single" w:sz="6" w:space="0" w:color="auto"/>
              <w:left w:val="nil"/>
              <w:bottom w:val="single" w:sz="12" w:space="0" w:color="auto"/>
              <w:right w:val="single" w:sz="6" w:space="0" w:color="auto"/>
            </w:tcBorders>
          </w:tcPr>
          <w:p w:rsidR="00031A3F" w:rsidRPr="00EE1E0C" w:rsidRDefault="00031A3F">
            <w:pPr>
              <w:pStyle w:val="Citat"/>
              <w:jc w:val="right"/>
            </w:pPr>
            <w:r w:rsidRPr="00EE1E0C">
              <w:t>*</w:t>
            </w:r>
          </w:p>
        </w:tc>
        <w:tc>
          <w:tcPr>
            <w:tcW w:w="709" w:type="dxa"/>
            <w:tcBorders>
              <w:top w:val="single" w:sz="6" w:space="0" w:color="auto"/>
              <w:left w:val="nil"/>
              <w:bottom w:val="single" w:sz="12" w:space="0" w:color="auto"/>
              <w:right w:val="single" w:sz="6" w:space="0" w:color="auto"/>
            </w:tcBorders>
          </w:tcPr>
          <w:p w:rsidR="00031A3F" w:rsidRPr="00EE1E0C" w:rsidRDefault="00031A3F">
            <w:pPr>
              <w:pStyle w:val="Citat"/>
              <w:jc w:val="right"/>
            </w:pPr>
            <w:r w:rsidRPr="00EE1E0C">
              <w:rPr>
                <w:b/>
              </w:rPr>
              <w:t>+50,5</w:t>
            </w:r>
          </w:p>
          <w:p w:rsidR="00031A3F" w:rsidRPr="00EE1E0C" w:rsidRDefault="00031A3F">
            <w:pPr>
              <w:pStyle w:val="Citat"/>
              <w:jc w:val="right"/>
            </w:pPr>
          </w:p>
        </w:tc>
      </w:tr>
      <w:tr w:rsidR="00000000" w:rsidRPr="00EE1E0C">
        <w:tblPrEx>
          <w:tblCellMar>
            <w:top w:w="0" w:type="dxa"/>
            <w:bottom w:w="0" w:type="dxa"/>
          </w:tblCellMar>
        </w:tblPrEx>
        <w:tc>
          <w:tcPr>
            <w:tcW w:w="2948" w:type="dxa"/>
            <w:tcBorders>
              <w:top w:val="single" w:sz="12" w:space="0" w:color="auto"/>
              <w:left w:val="single" w:sz="12" w:space="0" w:color="auto"/>
              <w:bottom w:val="single" w:sz="12" w:space="0" w:color="auto"/>
              <w:right w:val="nil"/>
            </w:tcBorders>
          </w:tcPr>
          <w:p w:rsidR="00031A3F" w:rsidRPr="00EE1E0C" w:rsidRDefault="00031A3F">
            <w:pPr>
              <w:pStyle w:val="Citat"/>
              <w:jc w:val="left"/>
            </w:pPr>
            <w:r w:rsidRPr="00EE1E0C">
              <w:rPr>
                <w:b/>
              </w:rPr>
              <w:t>STATEN I ÖVRIGT</w:t>
            </w:r>
          </w:p>
        </w:tc>
        <w:tc>
          <w:tcPr>
            <w:tcW w:w="822" w:type="dxa"/>
            <w:tcBorders>
              <w:top w:val="single" w:sz="12" w:space="0" w:color="auto"/>
              <w:left w:val="nil"/>
              <w:bottom w:val="single" w:sz="12" w:space="0" w:color="auto"/>
              <w:right w:val="nil"/>
            </w:tcBorders>
          </w:tcPr>
          <w:p w:rsidR="00031A3F" w:rsidRPr="00EE1E0C" w:rsidRDefault="00031A3F">
            <w:pPr>
              <w:pStyle w:val="Citat"/>
              <w:jc w:val="right"/>
            </w:pPr>
          </w:p>
        </w:tc>
        <w:tc>
          <w:tcPr>
            <w:tcW w:w="850" w:type="dxa"/>
            <w:tcBorders>
              <w:top w:val="single" w:sz="12" w:space="0" w:color="auto"/>
              <w:left w:val="nil"/>
              <w:bottom w:val="single" w:sz="12" w:space="0" w:color="auto"/>
              <w:right w:val="nil"/>
            </w:tcBorders>
          </w:tcPr>
          <w:p w:rsidR="00031A3F" w:rsidRPr="00EE1E0C" w:rsidRDefault="00031A3F">
            <w:pPr>
              <w:pStyle w:val="Citat"/>
              <w:jc w:val="right"/>
            </w:pPr>
          </w:p>
        </w:tc>
        <w:tc>
          <w:tcPr>
            <w:tcW w:w="696" w:type="dxa"/>
            <w:tcBorders>
              <w:top w:val="single" w:sz="12" w:space="0" w:color="auto"/>
              <w:left w:val="nil"/>
              <w:bottom w:val="single" w:sz="12" w:space="0" w:color="auto"/>
              <w:right w:val="nil"/>
            </w:tcBorders>
          </w:tcPr>
          <w:p w:rsidR="00031A3F" w:rsidRPr="00EE1E0C" w:rsidRDefault="00031A3F">
            <w:pPr>
              <w:pStyle w:val="Citat"/>
              <w:jc w:val="right"/>
            </w:pPr>
          </w:p>
        </w:tc>
        <w:tc>
          <w:tcPr>
            <w:tcW w:w="709" w:type="dxa"/>
            <w:tcBorders>
              <w:top w:val="single" w:sz="12" w:space="0" w:color="auto"/>
              <w:left w:val="nil"/>
              <w:bottom w:val="single" w:sz="12" w:space="0" w:color="auto"/>
              <w:right w:val="single" w:sz="12" w:space="0" w:color="auto"/>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nil"/>
              <w:right w:val="nil"/>
            </w:tcBorders>
          </w:tcPr>
          <w:p w:rsidR="00031A3F" w:rsidRPr="00EE1E0C" w:rsidRDefault="00031A3F">
            <w:pPr>
              <w:pStyle w:val="Citat"/>
              <w:jc w:val="left"/>
            </w:pPr>
            <w:r w:rsidRPr="00EE1E0C">
              <w:t>Nya arrestlokaler (pol</w:t>
            </w:r>
            <w:r w:rsidRPr="00EE1E0C">
              <w:t>i</w:t>
            </w:r>
            <w:r w:rsidRPr="00EE1E0C">
              <w:t xml:space="preserve">sen/Vasakronan) </w:t>
            </w:r>
            <w:r w:rsidRPr="00EE1E0C">
              <w:sym w:font="Symbol" w:char="F0B7"/>
            </w:r>
          </w:p>
          <w:p w:rsidR="00031A3F" w:rsidRPr="00EE1E0C" w:rsidRDefault="00031A3F">
            <w:pPr>
              <w:pStyle w:val="Citat"/>
            </w:pPr>
            <w:r w:rsidRPr="00EE1E0C">
              <w:rPr>
                <w:i/>
              </w:rPr>
              <w:t>Kommentar: Som framgår öve</w:t>
            </w:r>
            <w:r w:rsidRPr="00EE1E0C">
              <w:rPr>
                <w:i/>
              </w:rPr>
              <w:t>r</w:t>
            </w:r>
            <w:r w:rsidRPr="00EE1E0C">
              <w:rPr>
                <w:i/>
              </w:rPr>
              <w:t>skattades kostnaden beträffande ombyggnaden av arrestlokalerna i den tid</w:t>
            </w:r>
            <w:r w:rsidRPr="00EE1E0C">
              <w:rPr>
                <w:i/>
              </w:rPr>
              <w:t>i</w:t>
            </w:r>
            <w:r w:rsidRPr="00EE1E0C">
              <w:rPr>
                <w:i/>
              </w:rPr>
              <w:t>gare beräkningen.</w:t>
            </w:r>
          </w:p>
        </w:tc>
        <w:tc>
          <w:tcPr>
            <w:tcW w:w="822" w:type="dxa"/>
            <w:tcBorders>
              <w:top w:val="nil"/>
              <w:left w:val="single" w:sz="6" w:space="0" w:color="auto"/>
              <w:right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-0,6</w:t>
            </w:r>
          </w:p>
        </w:tc>
        <w:tc>
          <w:tcPr>
            <w:tcW w:w="850" w:type="dxa"/>
            <w:tcBorders>
              <w:top w:val="nil"/>
              <w:left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-5,0</w:t>
            </w:r>
          </w:p>
        </w:tc>
        <w:tc>
          <w:tcPr>
            <w:tcW w:w="696" w:type="dxa"/>
            <w:tcBorders>
              <w:top w:val="nil"/>
              <w:left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-0,1</w:t>
            </w:r>
          </w:p>
        </w:tc>
        <w:tc>
          <w:tcPr>
            <w:tcW w:w="709" w:type="dxa"/>
            <w:tcBorders>
              <w:top w:val="nil"/>
              <w:left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-0,6</w:t>
            </w:r>
          </w:p>
        </w:tc>
      </w:tr>
      <w:tr w:rsidR="00000000" w:rsidRPr="00EE1E0C">
        <w:tblPrEx>
          <w:tblCellMar>
            <w:top w:w="0" w:type="dxa"/>
            <w:bottom w:w="0" w:type="dxa"/>
          </w:tblCellMar>
        </w:tblPrEx>
        <w:tc>
          <w:tcPr>
            <w:tcW w:w="2948" w:type="dxa"/>
            <w:tcBorders>
              <w:bottom w:val="nil"/>
            </w:tcBorders>
          </w:tcPr>
          <w:p w:rsidR="00031A3F" w:rsidRPr="00EE1E0C" w:rsidRDefault="00031A3F">
            <w:pPr>
              <w:pStyle w:val="Citat"/>
              <w:jc w:val="left"/>
            </w:pPr>
            <w:r w:rsidRPr="00EE1E0C">
              <w:t xml:space="preserve">Rastgård (polisen/Vasakronan) </w:t>
            </w:r>
            <w:r w:rsidRPr="00EE1E0C">
              <w:sym w:font="Symbol" w:char="F0B7"/>
            </w:r>
          </w:p>
          <w:p w:rsidR="00031A3F" w:rsidRPr="00EE1E0C" w:rsidRDefault="00031A3F">
            <w:pPr>
              <w:pStyle w:val="Citat"/>
              <w:jc w:val="left"/>
            </w:pPr>
            <w:r w:rsidRPr="00EE1E0C">
              <w:rPr>
                <w:i/>
              </w:rPr>
              <w:t>Kommentar: Rastgården har ännu inte byggts om; ombyggnaden pl</w:t>
            </w:r>
            <w:r w:rsidRPr="00EE1E0C">
              <w:rPr>
                <w:i/>
              </w:rPr>
              <w:t>a</w:t>
            </w:r>
            <w:r w:rsidRPr="00EE1E0C">
              <w:rPr>
                <w:i/>
              </w:rPr>
              <w:t>neras till sommaren 1998; kos</w:t>
            </w:r>
            <w:r w:rsidRPr="00EE1E0C">
              <w:rPr>
                <w:i/>
              </w:rPr>
              <w:t>t</w:t>
            </w:r>
            <w:r w:rsidRPr="00EE1E0C">
              <w:rPr>
                <w:i/>
              </w:rPr>
              <w:t>nads-beräkningar saknas ännu. För jäm-förbarhetens skull redovisas här samma belopp som i den tidigare beräknin</w:t>
            </w:r>
            <w:r w:rsidRPr="00EE1E0C">
              <w:rPr>
                <w:i/>
              </w:rPr>
              <w:t>g</w:t>
            </w:r>
            <w:r w:rsidRPr="00EE1E0C">
              <w:rPr>
                <w:i/>
              </w:rPr>
              <w:t>en.</w:t>
            </w:r>
          </w:p>
        </w:tc>
        <w:tc>
          <w:tcPr>
            <w:tcW w:w="822"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-0,3</w:t>
            </w:r>
          </w:p>
        </w:tc>
        <w:tc>
          <w:tcPr>
            <w:tcW w:w="850"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-2,5</w:t>
            </w:r>
          </w:p>
        </w:tc>
        <w:tc>
          <w:tcPr>
            <w:tcW w:w="696"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jc w:val="right"/>
            </w:pPr>
          </w:p>
          <w:p w:rsidR="00031A3F" w:rsidRPr="00EE1E0C" w:rsidRDefault="00031A3F">
            <w:pPr>
              <w:pStyle w:val="CitatIndrag"/>
              <w:jc w:val="right"/>
            </w:pPr>
          </w:p>
          <w:p w:rsidR="00031A3F" w:rsidRPr="00EE1E0C" w:rsidRDefault="00031A3F">
            <w:pPr>
              <w:pStyle w:val="CitatIndrag"/>
              <w:jc w:val="right"/>
            </w:pPr>
            <w:r w:rsidRPr="00EE1E0C">
              <w:t>-0,3</w:t>
            </w:r>
          </w:p>
        </w:tc>
        <w:tc>
          <w:tcPr>
            <w:tcW w:w="709"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-2,5</w:t>
            </w:r>
          </w:p>
        </w:tc>
      </w:tr>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t xml:space="preserve">Arrestbevakning (polis) </w:t>
            </w:r>
            <w:r w:rsidRPr="00EE1E0C">
              <w:sym w:font="Symbol" w:char="F0B7"/>
            </w:r>
          </w:p>
        </w:tc>
        <w:tc>
          <w:tcPr>
            <w:tcW w:w="822" w:type="dxa"/>
            <w:tcBorders>
              <w:bottom w:val="single" w:sz="6" w:space="0" w:color="auto"/>
            </w:tcBorders>
          </w:tcPr>
          <w:p w:rsidR="00031A3F" w:rsidRPr="00EE1E0C" w:rsidRDefault="00031A3F">
            <w:pPr>
              <w:pStyle w:val="Citat"/>
              <w:jc w:val="right"/>
            </w:pPr>
            <w:r w:rsidRPr="00EE1E0C">
              <w:t>-2,5/-0,4</w:t>
            </w:r>
          </w:p>
        </w:tc>
        <w:tc>
          <w:tcPr>
            <w:tcW w:w="850" w:type="dxa"/>
            <w:tcBorders>
              <w:bottom w:val="single" w:sz="6" w:space="0" w:color="auto"/>
            </w:tcBorders>
          </w:tcPr>
          <w:p w:rsidR="00031A3F" w:rsidRPr="00EE1E0C" w:rsidRDefault="00031A3F">
            <w:pPr>
              <w:pStyle w:val="Citat"/>
              <w:jc w:val="right"/>
              <w:rPr>
                <w:spacing w:val="-10"/>
              </w:rPr>
            </w:pPr>
            <w:r w:rsidRPr="00EE1E0C">
              <w:rPr>
                <w:spacing w:val="-10"/>
              </w:rPr>
              <w:t>-16,2/ -2,6</w:t>
            </w:r>
          </w:p>
        </w:tc>
        <w:tc>
          <w:tcPr>
            <w:tcW w:w="696" w:type="dxa"/>
            <w:tcBorders>
              <w:bottom w:val="single" w:sz="6" w:space="0" w:color="auto"/>
            </w:tcBorders>
          </w:tcPr>
          <w:p w:rsidR="00031A3F" w:rsidRPr="00EE1E0C" w:rsidRDefault="00031A3F">
            <w:pPr>
              <w:pStyle w:val="Citat"/>
              <w:jc w:val="right"/>
            </w:pPr>
            <w:r w:rsidRPr="00EE1E0C">
              <w:t>-1,6</w:t>
            </w:r>
          </w:p>
        </w:tc>
        <w:tc>
          <w:tcPr>
            <w:tcW w:w="709" w:type="dxa"/>
            <w:tcBorders>
              <w:bottom w:val="single" w:sz="6" w:space="0" w:color="auto"/>
            </w:tcBorders>
          </w:tcPr>
          <w:p w:rsidR="00031A3F" w:rsidRPr="00EE1E0C" w:rsidRDefault="00031A3F">
            <w:pPr>
              <w:pStyle w:val="Citat"/>
              <w:jc w:val="right"/>
            </w:pPr>
            <w:r w:rsidRPr="00EE1E0C">
              <w:t>-10,7</w:t>
            </w:r>
          </w:p>
        </w:tc>
      </w:tr>
    </w:tbl>
    <w:p w:rsidR="00031A3F" w:rsidRPr="00EE1E0C" w:rsidRDefault="00031A3F">
      <w:r w:rsidRPr="00EE1E0C">
        <w:br w:type="page"/>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8"/>
        <w:gridCol w:w="822"/>
        <w:gridCol w:w="850"/>
        <w:gridCol w:w="822"/>
        <w:gridCol w:w="822"/>
      </w:tblGrid>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t>Tillkommande hyreskostnad (polis)</w:t>
            </w:r>
            <w:r w:rsidRPr="00EE1E0C">
              <w:sym w:font="Symbol" w:char="F0B7"/>
            </w:r>
          </w:p>
          <w:p w:rsidR="00031A3F" w:rsidRPr="00EE1E0C" w:rsidRDefault="00031A3F">
            <w:pPr>
              <w:pStyle w:val="Citat"/>
              <w:jc w:val="left"/>
            </w:pPr>
            <w:r w:rsidRPr="00EE1E0C">
              <w:rPr>
                <w:i/>
              </w:rPr>
              <w:t>Kommentar: Som framgått kan man argumentera både för att den ökade hyreskostnaden bör tas med som en kostnad, hänförlig till häktesne</w:t>
            </w:r>
            <w:r w:rsidRPr="00EE1E0C">
              <w:rPr>
                <w:i/>
              </w:rPr>
              <w:t>d</w:t>
            </w:r>
            <w:r w:rsidRPr="00EE1E0C">
              <w:rPr>
                <w:i/>
              </w:rPr>
              <w:t>läggningen och för att den inte bör tas med. Därför beräknas den här som ett intervall.</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jc w:val="right"/>
            </w:pPr>
            <w:r w:rsidRPr="00EE1E0C">
              <w:t>–</w:t>
            </w:r>
          </w:p>
        </w:tc>
        <w:tc>
          <w:tcPr>
            <w:tcW w:w="850"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-0,8 / 0</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-5,1/ 0</w:t>
            </w:r>
          </w:p>
        </w:tc>
      </w:tr>
      <w:tr w:rsidR="00000000" w:rsidRPr="00EE1E0C">
        <w:tblPrEx>
          <w:tblCellMar>
            <w:top w:w="0" w:type="dxa"/>
            <w:bottom w:w="0" w:type="dxa"/>
          </w:tblCellMar>
        </w:tblPrEx>
        <w:tc>
          <w:tcPr>
            <w:tcW w:w="2948" w:type="dxa"/>
            <w:tcBorders>
              <w:top w:val="single" w:sz="6" w:space="0" w:color="auto"/>
              <w:left w:val="single" w:sz="6" w:space="0" w:color="auto"/>
              <w:bottom w:val="nil"/>
              <w:right w:val="nil"/>
            </w:tcBorders>
          </w:tcPr>
          <w:p w:rsidR="00031A3F" w:rsidRPr="00EE1E0C" w:rsidRDefault="00031A3F">
            <w:pPr>
              <w:pStyle w:val="Citat"/>
              <w:jc w:val="left"/>
            </w:pPr>
            <w:r w:rsidRPr="00EE1E0C">
              <w:br w:type="page"/>
              <w:t xml:space="preserve">Resor m.m. </w:t>
            </w:r>
            <w:r w:rsidRPr="00EE1E0C">
              <w:sym w:font="Symbol" w:char="F0B7"/>
            </w:r>
          </w:p>
          <w:p w:rsidR="00031A3F" w:rsidRPr="00EE1E0C" w:rsidRDefault="00031A3F">
            <w:pPr>
              <w:pStyle w:val="Citat"/>
              <w:jc w:val="left"/>
            </w:pPr>
            <w:r w:rsidRPr="00EE1E0C">
              <w:rPr>
                <w:i/>
              </w:rPr>
              <w:t>Kommentar: I 1997 års beräkningar har resekostnaderna och kostnade</w:t>
            </w:r>
            <w:r w:rsidRPr="00EE1E0C">
              <w:rPr>
                <w:i/>
              </w:rPr>
              <w:t>r</w:t>
            </w:r>
            <w:r w:rsidRPr="00EE1E0C">
              <w:rPr>
                <w:i/>
              </w:rPr>
              <w:t>na för besök, övernattningar, tra</w:t>
            </w:r>
            <w:r w:rsidRPr="00EE1E0C">
              <w:rPr>
                <w:i/>
              </w:rPr>
              <w:t>k</w:t>
            </w:r>
            <w:r w:rsidRPr="00EE1E0C">
              <w:rPr>
                <w:i/>
              </w:rPr>
              <w:t>tamente etc. beräknats tillsammans, däremot har kostnaderna för polis och advokat skilts åt.</w:t>
            </w:r>
          </w:p>
        </w:tc>
        <w:tc>
          <w:tcPr>
            <w:tcW w:w="822" w:type="dxa"/>
            <w:tcBorders>
              <w:top w:val="single" w:sz="6" w:space="0" w:color="auto"/>
              <w:left w:val="single" w:sz="6" w:space="0" w:color="auto"/>
              <w:bottom w:val="nil"/>
              <w:right w:val="single" w:sz="6" w:space="0" w:color="auto"/>
            </w:tcBorders>
          </w:tcPr>
          <w:p w:rsidR="00031A3F" w:rsidRPr="00EE1E0C" w:rsidRDefault="00031A3F">
            <w:pPr>
              <w:pStyle w:val="Citat"/>
              <w:jc w:val="right"/>
            </w:pPr>
          </w:p>
        </w:tc>
        <w:tc>
          <w:tcPr>
            <w:tcW w:w="850" w:type="dxa"/>
            <w:tcBorders>
              <w:top w:val="single" w:sz="6" w:space="0" w:color="auto"/>
              <w:left w:val="nil"/>
              <w:bottom w:val="nil"/>
              <w:right w:val="nil"/>
            </w:tcBorders>
          </w:tcPr>
          <w:p w:rsidR="00031A3F" w:rsidRPr="00EE1E0C" w:rsidRDefault="00031A3F">
            <w:pPr>
              <w:pStyle w:val="Citat"/>
              <w:jc w:val="right"/>
            </w:pPr>
          </w:p>
        </w:tc>
        <w:tc>
          <w:tcPr>
            <w:tcW w:w="822" w:type="dxa"/>
            <w:tcBorders>
              <w:top w:val="single" w:sz="6" w:space="0" w:color="auto"/>
              <w:left w:val="single" w:sz="6" w:space="0" w:color="auto"/>
              <w:bottom w:val="nil"/>
              <w:right w:val="single" w:sz="6" w:space="0" w:color="auto"/>
            </w:tcBorders>
          </w:tcPr>
          <w:p w:rsidR="00031A3F" w:rsidRPr="00EE1E0C" w:rsidRDefault="00031A3F">
            <w:pPr>
              <w:pStyle w:val="Citat"/>
              <w:jc w:val="right"/>
            </w:pPr>
          </w:p>
        </w:tc>
        <w:tc>
          <w:tcPr>
            <w:tcW w:w="822" w:type="dxa"/>
            <w:tcBorders>
              <w:top w:val="single" w:sz="6" w:space="0" w:color="auto"/>
              <w:left w:val="nil"/>
              <w:bottom w:val="nil"/>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nil"/>
              <w:bottom w:val="nil"/>
              <w:right w:val="nil"/>
            </w:tcBorders>
          </w:tcPr>
          <w:p w:rsidR="00031A3F" w:rsidRPr="00EE1E0C" w:rsidRDefault="00031A3F">
            <w:pPr>
              <w:pStyle w:val="Citat"/>
              <w:jc w:val="left"/>
            </w:pPr>
            <w:r w:rsidRPr="00EE1E0C">
              <w:t>Resekostnader för utredande pers</w:t>
            </w:r>
            <w:r w:rsidRPr="00EE1E0C">
              <w:t>o</w:t>
            </w:r>
            <w:r w:rsidRPr="00EE1E0C">
              <w:t xml:space="preserve">nal (polis och advokat) </w:t>
            </w:r>
            <w:r w:rsidRPr="00EE1E0C">
              <w:sym w:font="Symbol" w:char="F0B7"/>
            </w:r>
          </w:p>
        </w:tc>
        <w:tc>
          <w:tcPr>
            <w:tcW w:w="822" w:type="dxa"/>
            <w:tcBorders>
              <w:top w:val="single" w:sz="6" w:space="0" w:color="auto"/>
              <w:left w:val="single" w:sz="6" w:space="0" w:color="auto"/>
              <w:bottom w:val="single" w:sz="6" w:space="0" w:color="auto"/>
              <w:right w:val="single" w:sz="6" w:space="0" w:color="auto"/>
            </w:tcBorders>
          </w:tcPr>
          <w:p w:rsidR="00031A3F" w:rsidRPr="00EE1E0C" w:rsidRDefault="00031A3F">
            <w:pPr>
              <w:pStyle w:val="Citat"/>
              <w:jc w:val="right"/>
            </w:pPr>
            <w:r w:rsidRPr="00EE1E0C">
              <w:t>-0,6/-0,4</w:t>
            </w:r>
          </w:p>
        </w:tc>
        <w:tc>
          <w:tcPr>
            <w:tcW w:w="850" w:type="dxa"/>
            <w:tcBorders>
              <w:top w:val="single" w:sz="6" w:space="0" w:color="auto"/>
              <w:left w:val="nil"/>
              <w:bottom w:val="single" w:sz="6" w:space="0" w:color="auto"/>
              <w:right w:val="single" w:sz="6" w:space="0" w:color="auto"/>
            </w:tcBorders>
          </w:tcPr>
          <w:p w:rsidR="00031A3F" w:rsidRPr="00EE1E0C" w:rsidRDefault="00031A3F">
            <w:pPr>
              <w:pStyle w:val="Citat"/>
              <w:jc w:val="right"/>
            </w:pPr>
            <w:r w:rsidRPr="00EE1E0C">
              <w:t>-3,9/-2,6</w:t>
            </w:r>
          </w:p>
        </w:tc>
        <w:tc>
          <w:tcPr>
            <w:tcW w:w="822" w:type="dxa"/>
            <w:tcBorders>
              <w:top w:val="single" w:sz="6" w:space="0" w:color="auto"/>
              <w:left w:val="nil"/>
              <w:bottom w:val="single" w:sz="6" w:space="0" w:color="auto"/>
              <w:right w:val="single" w:sz="6" w:space="0" w:color="auto"/>
            </w:tcBorders>
          </w:tcPr>
          <w:p w:rsidR="00031A3F" w:rsidRPr="00EE1E0C" w:rsidRDefault="00031A3F">
            <w:pPr>
              <w:pStyle w:val="Citat"/>
              <w:jc w:val="right"/>
            </w:pPr>
            <w:r w:rsidRPr="00EE1E0C">
              <w:t>–</w:t>
            </w:r>
          </w:p>
        </w:tc>
        <w:tc>
          <w:tcPr>
            <w:tcW w:w="822" w:type="dxa"/>
            <w:tcBorders>
              <w:top w:val="single" w:sz="6" w:space="0" w:color="auto"/>
              <w:left w:val="nil"/>
              <w:bottom w:val="single" w:sz="6" w:space="0" w:color="auto"/>
              <w:right w:val="single" w:sz="6" w:space="0" w:color="auto"/>
            </w:tcBorders>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nil"/>
              <w:bottom w:val="nil"/>
              <w:right w:val="nil"/>
            </w:tcBorders>
          </w:tcPr>
          <w:p w:rsidR="00031A3F" w:rsidRPr="00EE1E0C" w:rsidRDefault="00031A3F">
            <w:pPr>
              <w:pStyle w:val="Citat"/>
              <w:jc w:val="left"/>
            </w:pPr>
            <w:r w:rsidRPr="00EE1E0C">
              <w:t xml:space="preserve">Kostnad för besök av häktade (polis och advokat) </w:t>
            </w:r>
            <w:r w:rsidRPr="00EE1E0C">
              <w:sym w:font="Symbol" w:char="F0B7"/>
            </w:r>
          </w:p>
        </w:tc>
        <w:tc>
          <w:tcPr>
            <w:tcW w:w="822" w:type="dxa"/>
            <w:tcBorders>
              <w:top w:val="single" w:sz="6" w:space="0" w:color="auto"/>
              <w:left w:val="single" w:sz="6" w:space="0" w:color="auto"/>
              <w:bottom w:val="single" w:sz="6" w:space="0" w:color="auto"/>
              <w:right w:val="single" w:sz="6" w:space="0" w:color="auto"/>
            </w:tcBorders>
          </w:tcPr>
          <w:p w:rsidR="00031A3F" w:rsidRPr="00EE1E0C" w:rsidRDefault="00031A3F">
            <w:pPr>
              <w:pStyle w:val="Citat"/>
              <w:jc w:val="right"/>
            </w:pPr>
            <w:r w:rsidRPr="00EE1E0C">
              <w:t>-1,4</w:t>
            </w:r>
          </w:p>
        </w:tc>
        <w:tc>
          <w:tcPr>
            <w:tcW w:w="850" w:type="dxa"/>
            <w:tcBorders>
              <w:top w:val="single" w:sz="6" w:space="0" w:color="auto"/>
              <w:left w:val="nil"/>
              <w:bottom w:val="single" w:sz="6" w:space="0" w:color="auto"/>
              <w:right w:val="single" w:sz="6" w:space="0" w:color="auto"/>
            </w:tcBorders>
          </w:tcPr>
          <w:p w:rsidR="00031A3F" w:rsidRPr="00EE1E0C" w:rsidRDefault="00031A3F">
            <w:pPr>
              <w:pStyle w:val="Citat"/>
              <w:jc w:val="right"/>
            </w:pPr>
            <w:r w:rsidRPr="00EE1E0C">
              <w:t>-9,0</w:t>
            </w:r>
          </w:p>
        </w:tc>
        <w:tc>
          <w:tcPr>
            <w:tcW w:w="822" w:type="dxa"/>
            <w:tcBorders>
              <w:top w:val="single" w:sz="6" w:space="0" w:color="auto"/>
              <w:left w:val="nil"/>
              <w:bottom w:val="single" w:sz="6" w:space="0" w:color="auto"/>
              <w:right w:val="single" w:sz="6" w:space="0" w:color="auto"/>
            </w:tcBorders>
          </w:tcPr>
          <w:p w:rsidR="00031A3F" w:rsidRPr="00EE1E0C" w:rsidRDefault="00031A3F">
            <w:pPr>
              <w:pStyle w:val="Citat"/>
              <w:jc w:val="right"/>
            </w:pPr>
            <w:r w:rsidRPr="00EE1E0C">
              <w:t>–</w:t>
            </w:r>
          </w:p>
        </w:tc>
        <w:tc>
          <w:tcPr>
            <w:tcW w:w="822" w:type="dxa"/>
            <w:tcBorders>
              <w:top w:val="single" w:sz="6" w:space="0" w:color="auto"/>
              <w:left w:val="nil"/>
              <w:bottom w:val="single" w:sz="6" w:space="0" w:color="auto"/>
              <w:right w:val="single" w:sz="6" w:space="0" w:color="auto"/>
            </w:tcBorders>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nil"/>
              <w:bottom w:val="nil"/>
              <w:right w:val="nil"/>
            </w:tcBorders>
          </w:tcPr>
          <w:p w:rsidR="00031A3F" w:rsidRPr="00EE1E0C" w:rsidRDefault="00031A3F">
            <w:pPr>
              <w:pStyle w:val="Citat"/>
              <w:jc w:val="left"/>
            </w:pPr>
            <w:r w:rsidRPr="00EE1E0C">
              <w:t xml:space="preserve">Kostnad för besök och resor (polis) </w:t>
            </w:r>
            <w:r w:rsidRPr="00EE1E0C">
              <w:sym w:font="Symbol" w:char="F0B7"/>
            </w:r>
            <w:r w:rsidRPr="00EE1E0C">
              <w:t xml:space="preserve"> </w:t>
            </w:r>
          </w:p>
        </w:tc>
        <w:tc>
          <w:tcPr>
            <w:tcW w:w="822" w:type="dxa"/>
            <w:tcBorders>
              <w:top w:val="single" w:sz="6" w:space="0" w:color="auto"/>
              <w:left w:val="single" w:sz="6" w:space="0" w:color="auto"/>
              <w:bottom w:val="single" w:sz="6" w:space="0" w:color="auto"/>
              <w:right w:val="single" w:sz="6" w:space="0" w:color="auto"/>
            </w:tcBorders>
          </w:tcPr>
          <w:p w:rsidR="00031A3F" w:rsidRPr="00EE1E0C" w:rsidRDefault="00031A3F">
            <w:pPr>
              <w:pStyle w:val="Citat"/>
              <w:jc w:val="right"/>
            </w:pPr>
            <w:r w:rsidRPr="00EE1E0C">
              <w:t>–</w:t>
            </w:r>
          </w:p>
        </w:tc>
        <w:tc>
          <w:tcPr>
            <w:tcW w:w="850" w:type="dxa"/>
            <w:tcBorders>
              <w:top w:val="single" w:sz="6" w:space="0" w:color="auto"/>
              <w:left w:val="nil"/>
              <w:bottom w:val="single" w:sz="6" w:space="0" w:color="auto"/>
              <w:right w:val="nil"/>
            </w:tcBorders>
          </w:tcPr>
          <w:p w:rsidR="00031A3F" w:rsidRPr="00EE1E0C" w:rsidRDefault="00031A3F">
            <w:pPr>
              <w:pStyle w:val="Citat"/>
              <w:jc w:val="right"/>
            </w:pPr>
            <w:r w:rsidRPr="00EE1E0C">
              <w:t>–</w:t>
            </w:r>
          </w:p>
        </w:tc>
        <w:tc>
          <w:tcPr>
            <w:tcW w:w="822" w:type="dxa"/>
            <w:tcBorders>
              <w:top w:val="single" w:sz="6" w:space="0" w:color="auto"/>
              <w:left w:val="single" w:sz="6" w:space="0" w:color="auto"/>
              <w:bottom w:val="single" w:sz="6" w:space="0" w:color="auto"/>
              <w:right w:val="nil"/>
            </w:tcBorders>
          </w:tcPr>
          <w:p w:rsidR="00031A3F" w:rsidRPr="00EE1E0C" w:rsidRDefault="00031A3F">
            <w:pPr>
              <w:pStyle w:val="Citat"/>
              <w:jc w:val="right"/>
            </w:pPr>
            <w:r w:rsidRPr="00EE1E0C">
              <w:t>-0,1</w:t>
            </w:r>
          </w:p>
        </w:tc>
        <w:tc>
          <w:tcPr>
            <w:tcW w:w="822" w:type="dxa"/>
            <w:tcBorders>
              <w:top w:val="single" w:sz="6" w:space="0" w:color="auto"/>
              <w:left w:val="single" w:sz="6" w:space="0" w:color="auto"/>
              <w:bottom w:val="nil"/>
              <w:right w:val="single" w:sz="6" w:space="0" w:color="auto"/>
            </w:tcBorders>
          </w:tcPr>
          <w:p w:rsidR="00031A3F" w:rsidRPr="00EE1E0C" w:rsidRDefault="00031A3F">
            <w:pPr>
              <w:pStyle w:val="Citat"/>
              <w:jc w:val="right"/>
            </w:pPr>
            <w:r w:rsidRPr="00EE1E0C">
              <w:t>-0,8</w:t>
            </w:r>
          </w:p>
        </w:tc>
      </w:tr>
      <w:tr w:rsidR="00000000" w:rsidRPr="00EE1E0C">
        <w:tblPrEx>
          <w:tblCellMar>
            <w:top w:w="0" w:type="dxa"/>
            <w:bottom w:w="0" w:type="dxa"/>
          </w:tblCellMar>
        </w:tblPrEx>
        <w:tc>
          <w:tcPr>
            <w:tcW w:w="2948" w:type="dxa"/>
            <w:tcBorders>
              <w:top w:val="nil"/>
              <w:bottom w:val="single" w:sz="6" w:space="0" w:color="auto"/>
              <w:right w:val="nil"/>
            </w:tcBorders>
          </w:tcPr>
          <w:p w:rsidR="00031A3F" w:rsidRPr="00EE1E0C" w:rsidRDefault="00031A3F">
            <w:pPr>
              <w:pStyle w:val="Citat"/>
              <w:jc w:val="left"/>
            </w:pPr>
            <w:r w:rsidRPr="00EE1E0C">
              <w:t>Kostnad för besök och resor (adv</w:t>
            </w:r>
            <w:r w:rsidRPr="00EE1E0C">
              <w:t>o</w:t>
            </w:r>
            <w:r w:rsidRPr="00EE1E0C">
              <w:t>kat)</w:t>
            </w:r>
            <w:r w:rsidRPr="00EE1E0C">
              <w:sym w:font="Symbol" w:char="F0B7"/>
            </w:r>
          </w:p>
        </w:tc>
        <w:tc>
          <w:tcPr>
            <w:tcW w:w="822" w:type="dxa"/>
            <w:tcBorders>
              <w:top w:val="nil"/>
              <w:left w:val="single" w:sz="6" w:space="0" w:color="auto"/>
              <w:bottom w:val="single" w:sz="6" w:space="0" w:color="auto"/>
              <w:right w:val="single" w:sz="6" w:space="0" w:color="auto"/>
            </w:tcBorders>
          </w:tcPr>
          <w:p w:rsidR="00031A3F" w:rsidRPr="00EE1E0C" w:rsidRDefault="00031A3F">
            <w:pPr>
              <w:pStyle w:val="Citat"/>
              <w:jc w:val="right"/>
            </w:pPr>
            <w:r w:rsidRPr="00EE1E0C">
              <w:t>–</w:t>
            </w:r>
          </w:p>
        </w:tc>
        <w:tc>
          <w:tcPr>
            <w:tcW w:w="850" w:type="dxa"/>
            <w:tcBorders>
              <w:top w:val="nil"/>
              <w:left w:val="nil"/>
              <w:right w:val="nil"/>
            </w:tcBorders>
          </w:tcPr>
          <w:p w:rsidR="00031A3F" w:rsidRPr="00EE1E0C" w:rsidRDefault="00031A3F">
            <w:pPr>
              <w:pStyle w:val="Citat"/>
              <w:jc w:val="right"/>
            </w:pPr>
            <w:r w:rsidRPr="00EE1E0C">
              <w:t>–</w:t>
            </w:r>
          </w:p>
        </w:tc>
        <w:tc>
          <w:tcPr>
            <w:tcW w:w="822" w:type="dxa"/>
            <w:tcBorders>
              <w:top w:val="nil"/>
              <w:left w:val="single" w:sz="6" w:space="0" w:color="auto"/>
              <w:right w:val="nil"/>
            </w:tcBorders>
          </w:tcPr>
          <w:p w:rsidR="00031A3F" w:rsidRPr="00EE1E0C" w:rsidRDefault="00031A3F">
            <w:pPr>
              <w:pStyle w:val="Citat"/>
              <w:jc w:val="right"/>
            </w:pPr>
            <w:r w:rsidRPr="00EE1E0C">
              <w:t>-0,3</w:t>
            </w:r>
          </w:p>
        </w:tc>
        <w:tc>
          <w:tcPr>
            <w:tcW w:w="822" w:type="dxa"/>
            <w:tcBorders>
              <w:top w:val="single" w:sz="6" w:space="0" w:color="auto"/>
              <w:left w:val="single" w:sz="6" w:space="0" w:color="auto"/>
              <w:right w:val="single" w:sz="6" w:space="0" w:color="auto"/>
            </w:tcBorders>
          </w:tcPr>
          <w:p w:rsidR="00031A3F" w:rsidRPr="00EE1E0C" w:rsidRDefault="00031A3F">
            <w:pPr>
              <w:pStyle w:val="Citat"/>
              <w:jc w:val="right"/>
            </w:pPr>
            <w:r w:rsidRPr="00EE1E0C">
              <w:t>-2,1</w:t>
            </w:r>
          </w:p>
        </w:tc>
      </w:tr>
      <w:tr w:rsidR="00000000" w:rsidRPr="00EE1E0C">
        <w:tblPrEx>
          <w:tblCellMar>
            <w:top w:w="0" w:type="dxa"/>
            <w:bottom w:w="0" w:type="dxa"/>
          </w:tblCellMar>
        </w:tblPrEx>
        <w:tc>
          <w:tcPr>
            <w:tcW w:w="2948" w:type="dxa"/>
            <w:tcBorders>
              <w:top w:val="nil"/>
              <w:left w:val="single" w:sz="6" w:space="0" w:color="auto"/>
              <w:bottom w:val="single" w:sz="6" w:space="0" w:color="auto"/>
              <w:right w:val="single" w:sz="6" w:space="0" w:color="auto"/>
            </w:tcBorders>
          </w:tcPr>
          <w:p w:rsidR="00031A3F" w:rsidRPr="00EE1E0C" w:rsidRDefault="00031A3F">
            <w:pPr>
              <w:pStyle w:val="Citat"/>
              <w:jc w:val="left"/>
            </w:pPr>
            <w:r w:rsidRPr="00EE1E0C">
              <w:br w:type="page"/>
              <w:t>Kostnad för besök och resor (åkl</w:t>
            </w:r>
            <w:r w:rsidRPr="00EE1E0C">
              <w:t>a</w:t>
            </w:r>
            <w:r w:rsidRPr="00EE1E0C">
              <w:t xml:space="preserve">gare) </w:t>
            </w:r>
            <w:r w:rsidRPr="00EE1E0C">
              <w:sym w:font="Symbol" w:char="F0B7"/>
            </w:r>
          </w:p>
          <w:p w:rsidR="00031A3F" w:rsidRPr="00EE1E0C" w:rsidRDefault="00031A3F">
            <w:pPr>
              <w:pStyle w:val="Citat"/>
              <w:jc w:val="left"/>
            </w:pPr>
            <w:r w:rsidRPr="00EE1E0C">
              <w:rPr>
                <w:i/>
              </w:rPr>
              <w:t>Kommentar: Efter nedläggningen reser inte åklagare för att delta vid förhör varför ingen kostnad finns för år 1997.</w:t>
            </w:r>
            <w:r w:rsidRPr="00EE1E0C">
              <w:t xml:space="preserve"> </w:t>
            </w:r>
          </w:p>
        </w:tc>
        <w:tc>
          <w:tcPr>
            <w:tcW w:w="822" w:type="dxa"/>
            <w:tcBorders>
              <w:top w:val="nil"/>
              <w:left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-0,2</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-1,3</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jc w:val="right"/>
            </w:pPr>
            <w:r w:rsidRPr="00EE1E0C">
              <w:t>–</w:t>
            </w:r>
          </w:p>
        </w:tc>
      </w:tr>
      <w:tr w:rsidR="00000000" w:rsidRPr="00EE1E0C">
        <w:tblPrEx>
          <w:tblCellMar>
            <w:top w:w="0" w:type="dxa"/>
            <w:bottom w:w="0" w:type="dxa"/>
          </w:tblCellMar>
        </w:tblPrEx>
        <w:tc>
          <w:tcPr>
            <w:tcW w:w="2948" w:type="dxa"/>
            <w:tcBorders>
              <w:top w:val="single" w:sz="6" w:space="0" w:color="auto"/>
              <w:bottom w:val="nil"/>
            </w:tcBorders>
          </w:tcPr>
          <w:p w:rsidR="00031A3F" w:rsidRPr="00EE1E0C" w:rsidRDefault="00031A3F">
            <w:pPr>
              <w:pStyle w:val="Citat"/>
              <w:jc w:val="left"/>
            </w:pPr>
            <w:r w:rsidRPr="00EE1E0C">
              <w:t>Mathållning, läkare och sjuksköte</w:t>
            </w:r>
            <w:r w:rsidRPr="00EE1E0C">
              <w:t>r</w:t>
            </w:r>
            <w:r w:rsidRPr="00EE1E0C">
              <w:t xml:space="preserve">ska (polis) </w:t>
            </w:r>
            <w:r w:rsidRPr="00EE1E0C">
              <w:sym w:font="Symbol" w:char="F0B7"/>
            </w:r>
          </w:p>
          <w:p w:rsidR="00031A3F" w:rsidRPr="00EE1E0C" w:rsidRDefault="00031A3F">
            <w:pPr>
              <w:pStyle w:val="Citat"/>
              <w:jc w:val="left"/>
            </w:pPr>
            <w:r w:rsidRPr="00EE1E0C">
              <w:rPr>
                <w:i/>
              </w:rPr>
              <w:t>Kommentar: För år 1997 ingår dessa kostnader i kostnaderna för arrestb</w:t>
            </w:r>
            <w:r w:rsidRPr="00EE1E0C">
              <w:rPr>
                <w:i/>
              </w:rPr>
              <w:t>e</w:t>
            </w:r>
            <w:r w:rsidRPr="00EE1E0C">
              <w:rPr>
                <w:i/>
              </w:rPr>
              <w:t>vakningen (jfr ovan).</w:t>
            </w:r>
          </w:p>
        </w:tc>
        <w:tc>
          <w:tcPr>
            <w:tcW w:w="822"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-0,3</w:t>
            </w:r>
          </w:p>
        </w:tc>
        <w:tc>
          <w:tcPr>
            <w:tcW w:w="850"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-1,9</w:t>
            </w:r>
          </w:p>
        </w:tc>
        <w:tc>
          <w:tcPr>
            <w:tcW w:w="822"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22" w:type="dxa"/>
            <w:tcBorders>
              <w:bottom w:val="nil"/>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jc w:val="right"/>
            </w:pPr>
            <w:r w:rsidRPr="00EE1E0C">
              <w:t>–</w:t>
            </w:r>
          </w:p>
        </w:tc>
      </w:tr>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t xml:space="preserve">Studier (staten i övrigt) </w:t>
            </w:r>
          </w:p>
          <w:p w:rsidR="00031A3F" w:rsidRPr="00EE1E0C" w:rsidRDefault="00031A3F">
            <w:pPr>
              <w:pStyle w:val="Citat"/>
              <w:jc w:val="left"/>
            </w:pPr>
            <w:r w:rsidRPr="00EE1E0C">
              <w:rPr>
                <w:i/>
              </w:rPr>
              <w:t>Kommentar: Ingen av de tidigare anställda vid häktet i Östersund studerade under år 1997 eller b</w:t>
            </w:r>
            <w:r w:rsidRPr="00EE1E0C">
              <w:rPr>
                <w:i/>
              </w:rPr>
              <w:t>e</w:t>
            </w:r>
            <w:r w:rsidRPr="00EE1E0C">
              <w:rPr>
                <w:i/>
              </w:rPr>
              <w:t>räknas börja studera under den resterande kalkylperioden.</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50"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-1,9</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r>
    </w:tbl>
    <w:p w:rsidR="00031A3F" w:rsidRPr="00EE1E0C" w:rsidRDefault="00031A3F">
      <w:r w:rsidRPr="00EE1E0C">
        <w:br w:type="page"/>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8"/>
        <w:gridCol w:w="822"/>
        <w:gridCol w:w="850"/>
        <w:gridCol w:w="822"/>
        <w:gridCol w:w="822"/>
      </w:tblGrid>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t>Pensionsersättning (staten i övrigt)</w:t>
            </w:r>
          </w:p>
          <w:p w:rsidR="00031A3F" w:rsidRPr="00EE1E0C" w:rsidRDefault="00031A3F">
            <w:pPr>
              <w:pStyle w:val="Citat"/>
              <w:jc w:val="left"/>
            </w:pPr>
            <w:r w:rsidRPr="00EE1E0C">
              <w:rPr>
                <w:i/>
              </w:rPr>
              <w:t>Kommentar: Pensionsersättningen förväntas motsvara 70 % av den tidigare lönen inklusive lönekos</w:t>
            </w:r>
            <w:r w:rsidRPr="00EE1E0C">
              <w:rPr>
                <w:i/>
              </w:rPr>
              <w:t>t</w:t>
            </w:r>
            <w:r w:rsidRPr="00EE1E0C">
              <w:rPr>
                <w:i/>
              </w:rPr>
              <w:t>nadspålägg. Beräkningen bygger på den ovan beskrivna pr</w:t>
            </w:r>
            <w:r w:rsidRPr="00EE1E0C">
              <w:rPr>
                <w:i/>
              </w:rPr>
              <w:t>o</w:t>
            </w:r>
            <w:r w:rsidRPr="00EE1E0C">
              <w:rPr>
                <w:i/>
              </w:rPr>
              <w:t>gnosen.</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Indrag"/>
              <w:jc w:val="right"/>
            </w:pPr>
          </w:p>
          <w:p w:rsidR="00031A3F" w:rsidRPr="00EE1E0C" w:rsidRDefault="00031A3F">
            <w:pPr>
              <w:pStyle w:val="CitatIndrag"/>
              <w:jc w:val="right"/>
            </w:pPr>
            <w:r w:rsidRPr="00EE1E0C">
              <w:t>*</w:t>
            </w:r>
          </w:p>
        </w:tc>
        <w:tc>
          <w:tcPr>
            <w:tcW w:w="850"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-0,7</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-0,4</w:t>
            </w:r>
          </w:p>
        </w:tc>
        <w:tc>
          <w:tcPr>
            <w:tcW w:w="822" w:type="dxa"/>
            <w:tcBorders>
              <w:bottom w:val="single" w:sz="6" w:space="0" w:color="auto"/>
            </w:tcBorders>
          </w:tcPr>
          <w:p w:rsidR="00031A3F" w:rsidRPr="00EE1E0C" w:rsidRDefault="00031A3F">
            <w:pPr>
              <w:pStyle w:val="Citat"/>
              <w:jc w:val="right"/>
            </w:pPr>
          </w:p>
          <w:p w:rsidR="00031A3F" w:rsidRPr="00EE1E0C" w:rsidRDefault="00031A3F">
            <w:pPr>
              <w:pStyle w:val="CitatIndrag"/>
            </w:pPr>
          </w:p>
          <w:p w:rsidR="00031A3F" w:rsidRPr="00EE1E0C" w:rsidRDefault="00031A3F">
            <w:pPr>
              <w:pStyle w:val="Citat"/>
              <w:jc w:val="right"/>
            </w:pPr>
          </w:p>
          <w:p w:rsidR="00031A3F" w:rsidRPr="00EE1E0C" w:rsidRDefault="00031A3F">
            <w:pPr>
              <w:pStyle w:val="Citat"/>
              <w:jc w:val="right"/>
            </w:pPr>
            <w:r w:rsidRPr="00EE1E0C">
              <w:t>-3,0</w:t>
            </w:r>
          </w:p>
        </w:tc>
      </w:tr>
      <w:tr w:rsidR="00000000" w:rsidRPr="00EE1E0C">
        <w:tblPrEx>
          <w:tblCellMar>
            <w:top w:w="0" w:type="dxa"/>
            <w:bottom w:w="0" w:type="dxa"/>
          </w:tblCellMar>
        </w:tblPrEx>
        <w:tc>
          <w:tcPr>
            <w:tcW w:w="2948" w:type="dxa"/>
          </w:tcPr>
          <w:p w:rsidR="00031A3F" w:rsidRPr="00EE1E0C" w:rsidRDefault="00031A3F">
            <w:pPr>
              <w:pStyle w:val="Citat"/>
              <w:jc w:val="left"/>
            </w:pPr>
            <w:r w:rsidRPr="00EE1E0C">
              <w:t>A-kassa och arbetsmarknadspoliti</w:t>
            </w:r>
            <w:r w:rsidRPr="00EE1E0C">
              <w:t>s</w:t>
            </w:r>
            <w:r w:rsidRPr="00EE1E0C">
              <w:t>ka åtgärder (staten i övrigt)</w:t>
            </w:r>
          </w:p>
          <w:p w:rsidR="00031A3F" w:rsidRPr="00EE1E0C" w:rsidRDefault="00031A3F">
            <w:pPr>
              <w:pStyle w:val="Citat"/>
              <w:jc w:val="left"/>
            </w:pPr>
            <w:r w:rsidRPr="00EE1E0C">
              <w:rPr>
                <w:i/>
              </w:rPr>
              <w:t>Kommentar: Statens förväntade utgifter har beräknats utifrån den ovan beskrivna prognosen.</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-3,6</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-1,6</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-6,0</w:t>
            </w:r>
          </w:p>
        </w:tc>
      </w:tr>
      <w:tr w:rsidR="00000000" w:rsidRPr="00EE1E0C">
        <w:tblPrEx>
          <w:tblCellMar>
            <w:top w:w="0" w:type="dxa"/>
            <w:bottom w:w="0" w:type="dxa"/>
          </w:tblCellMar>
        </w:tblPrEx>
        <w:tc>
          <w:tcPr>
            <w:tcW w:w="2948" w:type="dxa"/>
            <w:tcBorders>
              <w:bottom w:val="single" w:sz="6" w:space="0" w:color="auto"/>
            </w:tcBorders>
          </w:tcPr>
          <w:p w:rsidR="00031A3F" w:rsidRPr="00EE1E0C" w:rsidRDefault="00031A3F">
            <w:pPr>
              <w:pStyle w:val="Citat"/>
              <w:jc w:val="left"/>
            </w:pPr>
            <w:r w:rsidRPr="00EE1E0C">
              <w:rPr>
                <w:b/>
              </w:rPr>
              <w:t>Totalt nuvärde, staten i övrigt</w:t>
            </w:r>
          </w:p>
        </w:tc>
        <w:tc>
          <w:tcPr>
            <w:tcW w:w="822" w:type="dxa"/>
            <w:tcBorders>
              <w:bottom w:val="single" w:sz="6" w:space="0" w:color="auto"/>
            </w:tcBorders>
          </w:tcPr>
          <w:p w:rsidR="00031A3F" w:rsidRPr="00EE1E0C" w:rsidRDefault="00031A3F">
            <w:pPr>
              <w:pStyle w:val="Citat"/>
              <w:jc w:val="right"/>
            </w:pPr>
            <w:r w:rsidRPr="00EE1E0C">
              <w:t>*</w:t>
            </w:r>
          </w:p>
        </w:tc>
        <w:tc>
          <w:tcPr>
            <w:tcW w:w="850" w:type="dxa"/>
            <w:tcBorders>
              <w:bottom w:val="single" w:sz="6" w:space="0" w:color="auto"/>
            </w:tcBorders>
          </w:tcPr>
          <w:p w:rsidR="00031A3F" w:rsidRPr="00EE1E0C" w:rsidRDefault="00031A3F">
            <w:pPr>
              <w:pStyle w:val="Citat"/>
              <w:jc w:val="right"/>
              <w:rPr>
                <w:b/>
              </w:rPr>
            </w:pPr>
            <w:r w:rsidRPr="00EE1E0C">
              <w:t>-</w:t>
            </w:r>
            <w:r w:rsidRPr="00EE1E0C">
              <w:rPr>
                <w:b/>
              </w:rPr>
              <w:t xml:space="preserve">46,1/ </w:t>
            </w:r>
          </w:p>
          <w:p w:rsidR="00031A3F" w:rsidRPr="00EE1E0C" w:rsidRDefault="00031A3F">
            <w:pPr>
              <w:pStyle w:val="Citat"/>
              <w:spacing w:before="0"/>
              <w:jc w:val="right"/>
              <w:rPr>
                <w:b/>
              </w:rPr>
            </w:pPr>
            <w:r w:rsidRPr="00EE1E0C">
              <w:rPr>
                <w:b/>
              </w:rPr>
              <w:t xml:space="preserve">-31,2 </w:t>
            </w:r>
          </w:p>
        </w:tc>
        <w:tc>
          <w:tcPr>
            <w:tcW w:w="822" w:type="dxa"/>
            <w:tcBorders>
              <w:bottom w:val="single" w:sz="6" w:space="0" w:color="auto"/>
            </w:tcBorders>
          </w:tcPr>
          <w:p w:rsidR="00031A3F" w:rsidRPr="00EE1E0C" w:rsidRDefault="00031A3F">
            <w:pPr>
              <w:pStyle w:val="Citat"/>
              <w:jc w:val="right"/>
              <w:rPr>
                <w:b/>
              </w:rPr>
            </w:pPr>
            <w:r w:rsidRPr="00EE1E0C">
              <w:rPr>
                <w:b/>
              </w:rPr>
              <w:t>*</w:t>
            </w:r>
          </w:p>
        </w:tc>
        <w:tc>
          <w:tcPr>
            <w:tcW w:w="822" w:type="dxa"/>
            <w:tcBorders>
              <w:bottom w:val="single" w:sz="6" w:space="0" w:color="auto"/>
            </w:tcBorders>
          </w:tcPr>
          <w:p w:rsidR="00031A3F" w:rsidRPr="00EE1E0C" w:rsidRDefault="00031A3F">
            <w:pPr>
              <w:pStyle w:val="Citat"/>
              <w:jc w:val="right"/>
              <w:rPr>
                <w:b/>
              </w:rPr>
            </w:pPr>
            <w:r w:rsidRPr="00EE1E0C">
              <w:t>-</w:t>
            </w:r>
            <w:r w:rsidRPr="00EE1E0C">
              <w:rPr>
                <w:b/>
              </w:rPr>
              <w:t>30,8/</w:t>
            </w:r>
          </w:p>
          <w:p w:rsidR="00031A3F" w:rsidRPr="00EE1E0C" w:rsidRDefault="00031A3F">
            <w:pPr>
              <w:pStyle w:val="Citat"/>
              <w:spacing w:before="0"/>
              <w:jc w:val="right"/>
            </w:pPr>
            <w:r w:rsidRPr="00EE1E0C">
              <w:rPr>
                <w:b/>
              </w:rPr>
              <w:t xml:space="preserve"> -25,7</w:t>
            </w:r>
          </w:p>
        </w:tc>
      </w:tr>
      <w:tr w:rsidR="00000000" w:rsidRPr="00EE1E0C">
        <w:tblPrEx>
          <w:tblCellMar>
            <w:top w:w="0" w:type="dxa"/>
            <w:bottom w:w="0" w:type="dxa"/>
          </w:tblCellMar>
        </w:tblPrEx>
        <w:tc>
          <w:tcPr>
            <w:tcW w:w="2948" w:type="dxa"/>
            <w:tcBorders>
              <w:top w:val="single" w:sz="12" w:space="0" w:color="auto"/>
              <w:left w:val="single" w:sz="12" w:space="0" w:color="auto"/>
              <w:bottom w:val="nil"/>
              <w:right w:val="nil"/>
            </w:tcBorders>
          </w:tcPr>
          <w:p w:rsidR="00031A3F" w:rsidRPr="00EE1E0C" w:rsidRDefault="00031A3F">
            <w:pPr>
              <w:pStyle w:val="Citat"/>
              <w:jc w:val="left"/>
            </w:pPr>
            <w:r w:rsidRPr="00EE1E0C">
              <w:rPr>
                <w:b/>
              </w:rPr>
              <w:t>SAMHÄLLSEKONOMIN</w:t>
            </w:r>
          </w:p>
        </w:tc>
        <w:tc>
          <w:tcPr>
            <w:tcW w:w="822" w:type="dxa"/>
            <w:tcBorders>
              <w:top w:val="single" w:sz="12" w:space="0" w:color="auto"/>
              <w:left w:val="nil"/>
              <w:bottom w:val="single" w:sz="12" w:space="0" w:color="auto"/>
              <w:right w:val="nil"/>
            </w:tcBorders>
          </w:tcPr>
          <w:p w:rsidR="00031A3F" w:rsidRPr="00EE1E0C" w:rsidRDefault="00031A3F">
            <w:pPr>
              <w:pStyle w:val="Citat"/>
              <w:jc w:val="right"/>
            </w:pPr>
          </w:p>
        </w:tc>
        <w:tc>
          <w:tcPr>
            <w:tcW w:w="850" w:type="dxa"/>
            <w:tcBorders>
              <w:top w:val="single" w:sz="12" w:space="0" w:color="auto"/>
              <w:left w:val="nil"/>
              <w:bottom w:val="single" w:sz="12" w:space="0" w:color="auto"/>
              <w:right w:val="nil"/>
            </w:tcBorders>
          </w:tcPr>
          <w:p w:rsidR="00031A3F" w:rsidRPr="00EE1E0C" w:rsidRDefault="00031A3F">
            <w:pPr>
              <w:pStyle w:val="Citat"/>
              <w:jc w:val="right"/>
            </w:pPr>
          </w:p>
        </w:tc>
        <w:tc>
          <w:tcPr>
            <w:tcW w:w="822" w:type="dxa"/>
            <w:tcBorders>
              <w:top w:val="single" w:sz="12" w:space="0" w:color="auto"/>
              <w:left w:val="nil"/>
              <w:bottom w:val="single" w:sz="12" w:space="0" w:color="auto"/>
              <w:right w:val="nil"/>
            </w:tcBorders>
          </w:tcPr>
          <w:p w:rsidR="00031A3F" w:rsidRPr="00EE1E0C" w:rsidRDefault="00031A3F">
            <w:pPr>
              <w:pStyle w:val="Citat"/>
              <w:jc w:val="right"/>
            </w:pPr>
          </w:p>
        </w:tc>
        <w:tc>
          <w:tcPr>
            <w:tcW w:w="822" w:type="dxa"/>
            <w:tcBorders>
              <w:top w:val="single" w:sz="12" w:space="0" w:color="auto"/>
              <w:left w:val="nil"/>
              <w:bottom w:val="single" w:sz="12" w:space="0" w:color="auto"/>
              <w:right w:val="single" w:sz="12" w:space="0" w:color="auto"/>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single" w:sz="12" w:space="0" w:color="auto"/>
              <w:bottom w:val="nil"/>
            </w:tcBorders>
          </w:tcPr>
          <w:p w:rsidR="00031A3F" w:rsidRPr="00EE1E0C" w:rsidRDefault="00031A3F">
            <w:pPr>
              <w:pStyle w:val="Citat"/>
              <w:jc w:val="left"/>
            </w:pPr>
            <w:r w:rsidRPr="00EE1E0C">
              <w:t>Den uppsagda personalens alternat</w:t>
            </w:r>
            <w:r w:rsidRPr="00EE1E0C">
              <w:t>i</w:t>
            </w:r>
            <w:r w:rsidRPr="00EE1E0C">
              <w:t>va sysselsättning, justering av u</w:t>
            </w:r>
            <w:r w:rsidRPr="00EE1E0C">
              <w:t>r</w:t>
            </w:r>
            <w:r w:rsidRPr="00EE1E0C">
              <w:t>sprunglig personali</w:t>
            </w:r>
            <w:r w:rsidRPr="00EE1E0C">
              <w:t>n</w:t>
            </w:r>
            <w:r w:rsidRPr="00EE1E0C">
              <w:t>besparing</w:t>
            </w:r>
          </w:p>
        </w:tc>
        <w:tc>
          <w:tcPr>
            <w:tcW w:w="822" w:type="dxa"/>
            <w:tcBorders>
              <w:top w:val="nil"/>
              <w:bottom w:val="nil"/>
            </w:tcBorders>
          </w:tcPr>
          <w:p w:rsidR="00031A3F" w:rsidRPr="00EE1E0C" w:rsidRDefault="00031A3F">
            <w:pPr>
              <w:pStyle w:val="Citat"/>
              <w:jc w:val="right"/>
            </w:pPr>
          </w:p>
        </w:tc>
        <w:tc>
          <w:tcPr>
            <w:tcW w:w="850" w:type="dxa"/>
            <w:tcBorders>
              <w:top w:val="nil"/>
              <w:bottom w:val="nil"/>
            </w:tcBorders>
          </w:tcPr>
          <w:p w:rsidR="00031A3F" w:rsidRPr="00EE1E0C" w:rsidRDefault="00031A3F">
            <w:pPr>
              <w:pStyle w:val="Citat"/>
              <w:jc w:val="right"/>
            </w:pPr>
          </w:p>
        </w:tc>
        <w:tc>
          <w:tcPr>
            <w:tcW w:w="822" w:type="dxa"/>
            <w:tcBorders>
              <w:top w:val="nil"/>
              <w:bottom w:val="nil"/>
            </w:tcBorders>
          </w:tcPr>
          <w:p w:rsidR="00031A3F" w:rsidRPr="00EE1E0C" w:rsidRDefault="00031A3F">
            <w:pPr>
              <w:pStyle w:val="Citat"/>
              <w:jc w:val="right"/>
            </w:pPr>
          </w:p>
        </w:tc>
        <w:tc>
          <w:tcPr>
            <w:tcW w:w="822" w:type="dxa"/>
            <w:tcBorders>
              <w:top w:val="nil"/>
              <w:bottom w:val="nil"/>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 Personal med arbete inom krim</w:t>
            </w:r>
            <w:r w:rsidRPr="00EE1E0C">
              <w:t>i</w:t>
            </w:r>
            <w:r w:rsidRPr="00EE1E0C">
              <w:t>nalvården</w:t>
            </w:r>
          </w:p>
        </w:tc>
        <w:tc>
          <w:tcPr>
            <w:tcW w:w="822" w:type="dxa"/>
            <w:tcBorders>
              <w:top w:val="nil"/>
            </w:tcBorders>
          </w:tcPr>
          <w:p w:rsidR="00031A3F" w:rsidRPr="00EE1E0C" w:rsidRDefault="00031A3F">
            <w:pPr>
              <w:pStyle w:val="Citat"/>
              <w:jc w:val="right"/>
            </w:pPr>
            <w:r w:rsidRPr="00EE1E0C">
              <w:t>*</w:t>
            </w:r>
          </w:p>
        </w:tc>
        <w:tc>
          <w:tcPr>
            <w:tcW w:w="850" w:type="dxa"/>
            <w:tcBorders>
              <w:top w:val="nil"/>
            </w:tcBorders>
          </w:tcPr>
          <w:p w:rsidR="00031A3F" w:rsidRPr="00EE1E0C" w:rsidRDefault="00031A3F">
            <w:pPr>
              <w:pStyle w:val="Citat"/>
              <w:jc w:val="right"/>
            </w:pPr>
            <w:r w:rsidRPr="00EE1E0C">
              <w:t>0</w:t>
            </w:r>
          </w:p>
        </w:tc>
        <w:tc>
          <w:tcPr>
            <w:tcW w:w="822" w:type="dxa"/>
            <w:tcBorders>
              <w:top w:val="nil"/>
            </w:tcBorders>
          </w:tcPr>
          <w:p w:rsidR="00031A3F" w:rsidRPr="00EE1E0C" w:rsidRDefault="00031A3F">
            <w:pPr>
              <w:pStyle w:val="Citat"/>
              <w:jc w:val="right"/>
            </w:pPr>
            <w:r w:rsidRPr="00EE1E0C">
              <w:t>*</w:t>
            </w:r>
          </w:p>
        </w:tc>
        <w:tc>
          <w:tcPr>
            <w:tcW w:w="822" w:type="dxa"/>
            <w:tcBorders>
              <w:top w:val="nil"/>
            </w:tcBorders>
          </w:tcPr>
          <w:p w:rsidR="00031A3F" w:rsidRPr="00EE1E0C" w:rsidRDefault="00031A3F">
            <w:pPr>
              <w:pStyle w:val="Citat"/>
              <w:jc w:val="right"/>
            </w:pPr>
            <w:r w:rsidRPr="00EE1E0C">
              <w:t>0</w:t>
            </w:r>
          </w:p>
        </w:tc>
      </w:tr>
      <w:tr w:rsidR="00000000" w:rsidRPr="00EE1E0C">
        <w:tblPrEx>
          <w:tblCellMar>
            <w:top w:w="0" w:type="dxa"/>
            <w:bottom w:w="0" w:type="dxa"/>
          </w:tblCellMar>
        </w:tblPrEx>
        <w:tc>
          <w:tcPr>
            <w:tcW w:w="2948" w:type="dxa"/>
            <w:tcBorders>
              <w:top w:val="single" w:sz="6" w:space="0" w:color="auto"/>
            </w:tcBorders>
          </w:tcPr>
          <w:p w:rsidR="00031A3F" w:rsidRPr="00EE1E0C" w:rsidRDefault="00031A3F">
            <w:pPr>
              <w:pStyle w:val="Citat"/>
              <w:jc w:val="left"/>
            </w:pPr>
            <w:r w:rsidRPr="00EE1E0C">
              <w:t>– Personal med tidsbegränsad a</w:t>
            </w:r>
            <w:r w:rsidRPr="00EE1E0C">
              <w:t>n</w:t>
            </w:r>
            <w:r w:rsidRPr="00EE1E0C">
              <w:t>ställning</w:t>
            </w:r>
          </w:p>
        </w:tc>
        <w:tc>
          <w:tcPr>
            <w:tcW w:w="822" w:type="dxa"/>
          </w:tcPr>
          <w:p w:rsidR="00031A3F" w:rsidRPr="00EE1E0C" w:rsidRDefault="00031A3F">
            <w:pPr>
              <w:pStyle w:val="Citat"/>
              <w:jc w:val="right"/>
            </w:pPr>
            <w:r w:rsidRPr="00EE1E0C">
              <w:t>*</w:t>
            </w:r>
          </w:p>
        </w:tc>
        <w:tc>
          <w:tcPr>
            <w:tcW w:w="850" w:type="dxa"/>
          </w:tcPr>
          <w:p w:rsidR="00031A3F" w:rsidRPr="00EE1E0C" w:rsidRDefault="00031A3F">
            <w:pPr>
              <w:pStyle w:val="Citat"/>
              <w:jc w:val="right"/>
            </w:pPr>
            <w:r w:rsidRPr="00EE1E0C">
              <w:t>0</w:t>
            </w:r>
          </w:p>
        </w:tc>
        <w:tc>
          <w:tcPr>
            <w:tcW w:w="822"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 Personal som studerar, kostnad</w:t>
            </w:r>
          </w:p>
        </w:tc>
        <w:tc>
          <w:tcPr>
            <w:tcW w:w="822" w:type="dxa"/>
          </w:tcPr>
          <w:p w:rsidR="00031A3F" w:rsidRPr="00EE1E0C" w:rsidRDefault="00031A3F">
            <w:pPr>
              <w:pStyle w:val="Citat"/>
              <w:jc w:val="right"/>
            </w:pPr>
            <w:r w:rsidRPr="00EE1E0C">
              <w:t>*</w:t>
            </w:r>
          </w:p>
        </w:tc>
        <w:tc>
          <w:tcPr>
            <w:tcW w:w="850" w:type="dxa"/>
          </w:tcPr>
          <w:p w:rsidR="00031A3F" w:rsidRPr="00EE1E0C" w:rsidRDefault="00031A3F">
            <w:pPr>
              <w:pStyle w:val="Citat"/>
              <w:jc w:val="right"/>
            </w:pPr>
            <w:r w:rsidRPr="00EE1E0C">
              <w:t>0</w:t>
            </w:r>
          </w:p>
        </w:tc>
        <w:tc>
          <w:tcPr>
            <w:tcW w:w="822"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single" w:sz="6" w:space="0" w:color="auto"/>
            </w:tcBorders>
          </w:tcPr>
          <w:p w:rsidR="00031A3F" w:rsidRPr="00EE1E0C" w:rsidRDefault="00031A3F">
            <w:pPr>
              <w:pStyle w:val="Citat"/>
              <w:jc w:val="left"/>
            </w:pPr>
            <w:r w:rsidRPr="00EE1E0C">
              <w:t>– Personal som studerar, tillko</w:t>
            </w:r>
            <w:r w:rsidRPr="00EE1E0C">
              <w:t>m</w:t>
            </w:r>
            <w:r w:rsidRPr="00EE1E0C">
              <w:t>mande i</w:t>
            </w:r>
            <w:r w:rsidRPr="00EE1E0C">
              <w:t>n</w:t>
            </w:r>
            <w:r w:rsidRPr="00EE1E0C">
              <w:t>besparing</w:t>
            </w:r>
          </w:p>
        </w:tc>
        <w:tc>
          <w:tcPr>
            <w:tcW w:w="822" w:type="dxa"/>
          </w:tcPr>
          <w:p w:rsidR="00031A3F" w:rsidRPr="00EE1E0C" w:rsidRDefault="00031A3F">
            <w:pPr>
              <w:pStyle w:val="Citat"/>
              <w:jc w:val="right"/>
            </w:pPr>
            <w:r w:rsidRPr="00EE1E0C">
              <w:t>*</w:t>
            </w:r>
          </w:p>
        </w:tc>
        <w:tc>
          <w:tcPr>
            <w:tcW w:w="850" w:type="dxa"/>
          </w:tcPr>
          <w:p w:rsidR="00031A3F" w:rsidRPr="00EE1E0C" w:rsidRDefault="00031A3F">
            <w:pPr>
              <w:pStyle w:val="Citat"/>
              <w:jc w:val="right"/>
            </w:pPr>
            <w:r w:rsidRPr="00EE1E0C">
              <w:t>+0,4</w:t>
            </w:r>
          </w:p>
        </w:tc>
        <w:tc>
          <w:tcPr>
            <w:tcW w:w="822"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single" w:sz="6" w:space="0" w:color="auto"/>
            </w:tcBorders>
          </w:tcPr>
          <w:p w:rsidR="00031A3F" w:rsidRPr="00EE1E0C" w:rsidRDefault="00031A3F">
            <w:pPr>
              <w:pStyle w:val="Citat"/>
              <w:jc w:val="left"/>
            </w:pPr>
            <w:r w:rsidRPr="00EE1E0C">
              <w:t>– Personal med sjukbidrag eller särskild pensionsersättning</w:t>
            </w:r>
          </w:p>
          <w:p w:rsidR="00031A3F" w:rsidRPr="00EE1E0C" w:rsidRDefault="00031A3F">
            <w:pPr>
              <w:pStyle w:val="Citat"/>
              <w:jc w:val="left"/>
            </w:pPr>
            <w:r w:rsidRPr="00EE1E0C">
              <w:rPr>
                <w:i/>
              </w:rPr>
              <w:t>Kommentar: Här beräknas produ</w:t>
            </w:r>
            <w:r w:rsidRPr="00EE1E0C">
              <w:rPr>
                <w:i/>
              </w:rPr>
              <w:t>k</w:t>
            </w:r>
            <w:r w:rsidRPr="00EE1E0C">
              <w:rPr>
                <w:i/>
              </w:rPr>
              <w:t>tionsbortfallet (inklusive lönekos</w:t>
            </w:r>
            <w:r w:rsidRPr="00EE1E0C">
              <w:rPr>
                <w:i/>
              </w:rPr>
              <w:t>t</w:t>
            </w:r>
            <w:r w:rsidRPr="00EE1E0C">
              <w:rPr>
                <w:i/>
              </w:rPr>
              <w:t>nadspålägg) för pensionärer som är yngre än 65 år och ej uppbär sju</w:t>
            </w:r>
            <w:r w:rsidRPr="00EE1E0C">
              <w:rPr>
                <w:i/>
              </w:rPr>
              <w:t>k</w:t>
            </w:r>
            <w:r w:rsidRPr="00EE1E0C">
              <w:rPr>
                <w:i/>
              </w:rPr>
              <w:t>pension. Beräkningen bygger på ovan beskri</w:t>
            </w:r>
            <w:r w:rsidRPr="00EE1E0C">
              <w:rPr>
                <w:i/>
              </w:rPr>
              <w:t>v</w:t>
            </w:r>
            <w:r w:rsidRPr="00EE1E0C">
              <w:rPr>
                <w:i/>
              </w:rPr>
              <w:t xml:space="preserve">na prognos. </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-1,1</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-0,6</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-4,4</w:t>
            </w:r>
          </w:p>
        </w:tc>
      </w:tr>
      <w:tr w:rsidR="00000000" w:rsidRPr="00EE1E0C">
        <w:tblPrEx>
          <w:tblCellMar>
            <w:top w:w="0" w:type="dxa"/>
            <w:bottom w:w="0" w:type="dxa"/>
          </w:tblCellMar>
        </w:tblPrEx>
        <w:tc>
          <w:tcPr>
            <w:tcW w:w="2948" w:type="dxa"/>
            <w:tcBorders>
              <w:top w:val="single" w:sz="6" w:space="0" w:color="auto"/>
            </w:tcBorders>
          </w:tcPr>
          <w:p w:rsidR="00031A3F" w:rsidRPr="00EE1E0C" w:rsidRDefault="00031A3F">
            <w:pPr>
              <w:pStyle w:val="Citat"/>
              <w:jc w:val="left"/>
            </w:pPr>
            <w:r w:rsidRPr="00EE1E0C">
              <w:t>– Personal med a-kassa och i a</w:t>
            </w:r>
            <w:r w:rsidRPr="00EE1E0C">
              <w:t>r</w:t>
            </w:r>
            <w:r w:rsidRPr="00EE1E0C">
              <w:t>betsmarknad</w:t>
            </w:r>
            <w:r w:rsidRPr="00EE1E0C">
              <w:t>s</w:t>
            </w:r>
            <w:r w:rsidRPr="00EE1E0C">
              <w:t>politiska åtgärder</w:t>
            </w:r>
          </w:p>
          <w:p w:rsidR="00031A3F" w:rsidRPr="00EE1E0C" w:rsidRDefault="00031A3F">
            <w:pPr>
              <w:pStyle w:val="Citat"/>
              <w:jc w:val="left"/>
              <w:rPr>
                <w:i/>
              </w:rPr>
            </w:pPr>
            <w:r w:rsidRPr="00EE1E0C">
              <w:rPr>
                <w:i/>
              </w:rPr>
              <w:t>Kommentar: Här beräknas produ</w:t>
            </w:r>
            <w:r w:rsidRPr="00EE1E0C">
              <w:rPr>
                <w:i/>
              </w:rPr>
              <w:t>k</w:t>
            </w:r>
            <w:r w:rsidRPr="00EE1E0C">
              <w:rPr>
                <w:i/>
              </w:rPr>
              <w:t>tionsbortfallet (inklusive lönekos</w:t>
            </w:r>
            <w:r w:rsidRPr="00EE1E0C">
              <w:rPr>
                <w:i/>
              </w:rPr>
              <w:t>t</w:t>
            </w:r>
            <w:r w:rsidRPr="00EE1E0C">
              <w:rPr>
                <w:i/>
              </w:rPr>
              <w:t>nadspålägg) för de tidigare anstäl</w:t>
            </w:r>
            <w:r w:rsidRPr="00EE1E0C">
              <w:rPr>
                <w:i/>
              </w:rPr>
              <w:t>l</w:t>
            </w:r>
            <w:r w:rsidRPr="00EE1E0C">
              <w:rPr>
                <w:i/>
              </w:rPr>
              <w:t>da vid häktet som under kalkylper</w:t>
            </w:r>
            <w:r w:rsidRPr="00EE1E0C">
              <w:rPr>
                <w:i/>
              </w:rPr>
              <w:t>i</w:t>
            </w:r>
            <w:r w:rsidRPr="00EE1E0C">
              <w:rPr>
                <w:i/>
              </w:rPr>
              <w:t>oden beräknas uppbära a-kassa eller delta i arbetsmarknadspoli-</w:t>
            </w:r>
          </w:p>
          <w:p w:rsidR="00031A3F" w:rsidRPr="00EE1E0C" w:rsidRDefault="00031A3F">
            <w:pPr>
              <w:pStyle w:val="Citat"/>
              <w:spacing w:before="0"/>
              <w:jc w:val="left"/>
            </w:pPr>
            <w:r w:rsidRPr="00EE1E0C">
              <w:rPr>
                <w:i/>
              </w:rPr>
              <w:t>ti</w:t>
            </w:r>
            <w:r w:rsidRPr="00EE1E0C">
              <w:rPr>
                <w:i/>
              </w:rPr>
              <w:t>s</w:t>
            </w:r>
            <w:r w:rsidRPr="00EE1E0C">
              <w:rPr>
                <w:i/>
              </w:rPr>
              <w:t>ka åtgärder (se prognosen ovan).</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-6,0/-5,5</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-2,8</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-11,4</w:t>
            </w:r>
          </w:p>
        </w:tc>
      </w:tr>
    </w:tbl>
    <w:p w:rsidR="00031A3F" w:rsidRPr="00EE1E0C" w:rsidRDefault="00031A3F">
      <w:r w:rsidRPr="00EE1E0C">
        <w:br w:type="page"/>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48"/>
        <w:gridCol w:w="822"/>
        <w:gridCol w:w="850"/>
        <w:gridCol w:w="822"/>
        <w:gridCol w:w="822"/>
      </w:tblGrid>
      <w:tr w:rsidR="00000000" w:rsidRPr="00EE1E0C">
        <w:tblPrEx>
          <w:tblCellMar>
            <w:top w:w="0" w:type="dxa"/>
            <w:bottom w:w="0" w:type="dxa"/>
          </w:tblCellMar>
        </w:tblPrEx>
        <w:tc>
          <w:tcPr>
            <w:tcW w:w="2948" w:type="dxa"/>
            <w:tcBorders>
              <w:top w:val="single" w:sz="6" w:space="0" w:color="auto"/>
              <w:bottom w:val="nil"/>
            </w:tcBorders>
          </w:tcPr>
          <w:p w:rsidR="00031A3F" w:rsidRPr="00EE1E0C" w:rsidRDefault="00031A3F">
            <w:pPr>
              <w:pStyle w:val="Citat"/>
              <w:jc w:val="left"/>
            </w:pPr>
            <w:r w:rsidRPr="00EE1E0C">
              <w:br w:type="page"/>
              <w:t>Intagna</w:t>
            </w:r>
          </w:p>
        </w:tc>
        <w:tc>
          <w:tcPr>
            <w:tcW w:w="822" w:type="dxa"/>
            <w:tcBorders>
              <w:bottom w:val="nil"/>
            </w:tcBorders>
          </w:tcPr>
          <w:p w:rsidR="00031A3F" w:rsidRPr="00EE1E0C" w:rsidRDefault="00031A3F">
            <w:pPr>
              <w:pStyle w:val="Citat"/>
              <w:jc w:val="right"/>
            </w:pPr>
          </w:p>
        </w:tc>
        <w:tc>
          <w:tcPr>
            <w:tcW w:w="850" w:type="dxa"/>
            <w:tcBorders>
              <w:bottom w:val="nil"/>
            </w:tcBorders>
          </w:tcPr>
          <w:p w:rsidR="00031A3F" w:rsidRPr="00EE1E0C" w:rsidRDefault="00031A3F">
            <w:pPr>
              <w:pStyle w:val="Citat"/>
              <w:jc w:val="right"/>
            </w:pPr>
          </w:p>
        </w:tc>
        <w:tc>
          <w:tcPr>
            <w:tcW w:w="822" w:type="dxa"/>
            <w:tcBorders>
              <w:bottom w:val="nil"/>
            </w:tcBorders>
          </w:tcPr>
          <w:p w:rsidR="00031A3F" w:rsidRPr="00EE1E0C" w:rsidRDefault="00031A3F">
            <w:pPr>
              <w:pStyle w:val="Citat"/>
              <w:jc w:val="right"/>
            </w:pPr>
          </w:p>
        </w:tc>
        <w:tc>
          <w:tcPr>
            <w:tcW w:w="822" w:type="dxa"/>
            <w:tcBorders>
              <w:bottom w:val="nil"/>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 Förändrade möjligheter att träffa polis, advokat och åklagare</w:t>
            </w:r>
          </w:p>
        </w:tc>
        <w:tc>
          <w:tcPr>
            <w:tcW w:w="822" w:type="dxa"/>
            <w:tcBorders>
              <w:top w:val="nil"/>
            </w:tcBorders>
          </w:tcPr>
          <w:p w:rsidR="00031A3F" w:rsidRPr="00EE1E0C" w:rsidRDefault="00031A3F">
            <w:pPr>
              <w:pStyle w:val="Citat"/>
              <w:jc w:val="right"/>
            </w:pPr>
            <w:r w:rsidRPr="00EE1E0C">
              <w:t>**</w:t>
            </w:r>
          </w:p>
        </w:tc>
        <w:tc>
          <w:tcPr>
            <w:tcW w:w="850" w:type="dxa"/>
            <w:tcBorders>
              <w:top w:val="nil"/>
            </w:tcBorders>
          </w:tcPr>
          <w:p w:rsidR="00031A3F" w:rsidRPr="00EE1E0C" w:rsidRDefault="00031A3F">
            <w:pPr>
              <w:pStyle w:val="Citat"/>
              <w:jc w:val="right"/>
            </w:pPr>
            <w:r w:rsidRPr="00EE1E0C">
              <w:t>**</w:t>
            </w:r>
          </w:p>
        </w:tc>
        <w:tc>
          <w:tcPr>
            <w:tcW w:w="822" w:type="dxa"/>
            <w:tcBorders>
              <w:top w:val="nil"/>
            </w:tcBorders>
          </w:tcPr>
          <w:p w:rsidR="00031A3F" w:rsidRPr="00EE1E0C" w:rsidRDefault="00031A3F">
            <w:pPr>
              <w:pStyle w:val="Citat"/>
              <w:jc w:val="right"/>
            </w:pPr>
            <w:r w:rsidRPr="00EE1E0C">
              <w:t>**</w:t>
            </w:r>
          </w:p>
        </w:tc>
        <w:tc>
          <w:tcPr>
            <w:tcW w:w="822" w:type="dxa"/>
            <w:tcBorders>
              <w:top w:val="nil"/>
            </w:tcBorders>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 xml:space="preserve">– Förändrade möjligheter till </w:t>
            </w:r>
          </w:p>
          <w:p w:rsidR="00031A3F" w:rsidRPr="00EE1E0C" w:rsidRDefault="00031A3F">
            <w:pPr>
              <w:pStyle w:val="Citat"/>
              <w:spacing w:before="0"/>
              <w:jc w:val="left"/>
            </w:pPr>
            <w:r w:rsidRPr="00EE1E0C">
              <w:t>kontakt med anhöriga</w:t>
            </w:r>
          </w:p>
        </w:tc>
        <w:tc>
          <w:tcPr>
            <w:tcW w:w="822" w:type="dxa"/>
          </w:tcPr>
          <w:p w:rsidR="00031A3F" w:rsidRPr="00EE1E0C" w:rsidRDefault="00031A3F">
            <w:pPr>
              <w:pStyle w:val="Citat"/>
              <w:jc w:val="right"/>
            </w:pPr>
            <w:r w:rsidRPr="00EE1E0C">
              <w:t>**</w:t>
            </w:r>
          </w:p>
        </w:tc>
        <w:tc>
          <w:tcPr>
            <w:tcW w:w="850"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single" w:sz="6" w:space="0" w:color="auto"/>
              <w:bottom w:val="nil"/>
            </w:tcBorders>
          </w:tcPr>
          <w:p w:rsidR="00031A3F" w:rsidRPr="00EE1E0C" w:rsidRDefault="00031A3F">
            <w:pPr>
              <w:pStyle w:val="Citat"/>
              <w:jc w:val="left"/>
            </w:pPr>
            <w:r w:rsidRPr="00EE1E0C">
              <w:br w:type="page"/>
              <w:t>Anhöriga</w:t>
            </w:r>
          </w:p>
        </w:tc>
        <w:tc>
          <w:tcPr>
            <w:tcW w:w="822" w:type="dxa"/>
            <w:tcBorders>
              <w:bottom w:val="nil"/>
            </w:tcBorders>
          </w:tcPr>
          <w:p w:rsidR="00031A3F" w:rsidRPr="00EE1E0C" w:rsidRDefault="00031A3F">
            <w:pPr>
              <w:pStyle w:val="Citat"/>
              <w:jc w:val="right"/>
            </w:pPr>
          </w:p>
        </w:tc>
        <w:tc>
          <w:tcPr>
            <w:tcW w:w="850" w:type="dxa"/>
            <w:tcBorders>
              <w:bottom w:val="nil"/>
            </w:tcBorders>
          </w:tcPr>
          <w:p w:rsidR="00031A3F" w:rsidRPr="00EE1E0C" w:rsidRDefault="00031A3F">
            <w:pPr>
              <w:pStyle w:val="Citat"/>
              <w:jc w:val="right"/>
            </w:pPr>
          </w:p>
        </w:tc>
        <w:tc>
          <w:tcPr>
            <w:tcW w:w="822" w:type="dxa"/>
            <w:tcBorders>
              <w:bottom w:val="nil"/>
            </w:tcBorders>
          </w:tcPr>
          <w:p w:rsidR="00031A3F" w:rsidRPr="00EE1E0C" w:rsidRDefault="00031A3F">
            <w:pPr>
              <w:pStyle w:val="Citat"/>
              <w:jc w:val="right"/>
            </w:pPr>
          </w:p>
        </w:tc>
        <w:tc>
          <w:tcPr>
            <w:tcW w:w="822" w:type="dxa"/>
            <w:tcBorders>
              <w:bottom w:val="nil"/>
            </w:tcBorders>
          </w:tcPr>
          <w:p w:rsidR="00031A3F" w:rsidRPr="00EE1E0C" w:rsidRDefault="00031A3F">
            <w:pPr>
              <w:pStyle w:val="Citat"/>
              <w:jc w:val="right"/>
            </w:pP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 xml:space="preserve">– Förändrade möjligheter till </w:t>
            </w:r>
          </w:p>
          <w:p w:rsidR="00031A3F" w:rsidRPr="00EE1E0C" w:rsidRDefault="00031A3F">
            <w:pPr>
              <w:pStyle w:val="Citat"/>
              <w:spacing w:before="0"/>
              <w:jc w:val="left"/>
            </w:pPr>
            <w:r w:rsidRPr="00EE1E0C">
              <w:t>kontakt med intagna</w:t>
            </w:r>
          </w:p>
        </w:tc>
        <w:tc>
          <w:tcPr>
            <w:tcW w:w="822" w:type="dxa"/>
            <w:tcBorders>
              <w:top w:val="nil"/>
            </w:tcBorders>
          </w:tcPr>
          <w:p w:rsidR="00031A3F" w:rsidRPr="00EE1E0C" w:rsidRDefault="00031A3F">
            <w:pPr>
              <w:pStyle w:val="Citat"/>
              <w:jc w:val="right"/>
            </w:pPr>
            <w:r w:rsidRPr="00EE1E0C">
              <w:t>**</w:t>
            </w:r>
          </w:p>
        </w:tc>
        <w:tc>
          <w:tcPr>
            <w:tcW w:w="850" w:type="dxa"/>
            <w:tcBorders>
              <w:top w:val="nil"/>
            </w:tcBorders>
          </w:tcPr>
          <w:p w:rsidR="00031A3F" w:rsidRPr="00EE1E0C" w:rsidRDefault="00031A3F">
            <w:pPr>
              <w:pStyle w:val="Citat"/>
              <w:jc w:val="right"/>
            </w:pPr>
            <w:r w:rsidRPr="00EE1E0C">
              <w:t>**</w:t>
            </w:r>
          </w:p>
        </w:tc>
        <w:tc>
          <w:tcPr>
            <w:tcW w:w="822" w:type="dxa"/>
            <w:tcBorders>
              <w:top w:val="nil"/>
            </w:tcBorders>
          </w:tcPr>
          <w:p w:rsidR="00031A3F" w:rsidRPr="00EE1E0C" w:rsidRDefault="00031A3F">
            <w:pPr>
              <w:pStyle w:val="Citat"/>
              <w:jc w:val="right"/>
            </w:pPr>
            <w:r w:rsidRPr="00EE1E0C">
              <w:t>**</w:t>
            </w:r>
          </w:p>
        </w:tc>
        <w:tc>
          <w:tcPr>
            <w:tcW w:w="822" w:type="dxa"/>
            <w:tcBorders>
              <w:top w:val="nil"/>
            </w:tcBorders>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 Förändrade kostnader för anhöriga vid besök (resor och tid)</w:t>
            </w:r>
          </w:p>
        </w:tc>
        <w:tc>
          <w:tcPr>
            <w:tcW w:w="822" w:type="dxa"/>
          </w:tcPr>
          <w:p w:rsidR="00031A3F" w:rsidRPr="00EE1E0C" w:rsidRDefault="00031A3F">
            <w:pPr>
              <w:pStyle w:val="Citat"/>
              <w:jc w:val="right"/>
            </w:pPr>
            <w:r w:rsidRPr="00EE1E0C">
              <w:t>**</w:t>
            </w:r>
          </w:p>
        </w:tc>
        <w:tc>
          <w:tcPr>
            <w:tcW w:w="850"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c>
          <w:tcPr>
            <w:tcW w:w="822" w:type="dxa"/>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nil"/>
            </w:tcBorders>
          </w:tcPr>
          <w:p w:rsidR="00031A3F" w:rsidRPr="00EE1E0C" w:rsidRDefault="00031A3F">
            <w:pPr>
              <w:pStyle w:val="Citat"/>
              <w:jc w:val="left"/>
            </w:pPr>
            <w:r w:rsidRPr="00EE1E0C">
              <w:t>Trafikeffekter</w:t>
            </w:r>
          </w:p>
          <w:p w:rsidR="00031A3F" w:rsidRPr="00EE1E0C" w:rsidRDefault="00031A3F">
            <w:pPr>
              <w:pStyle w:val="Citat"/>
              <w:jc w:val="left"/>
            </w:pPr>
            <w:r w:rsidRPr="00EE1E0C">
              <w:rPr>
                <w:i/>
              </w:rPr>
              <w:t>Kommentar: I revisorernas tidigare rapport beräknades enbart de ökade kostnaderna för olyckor. Berä</w:t>
            </w:r>
            <w:r w:rsidRPr="00EE1E0C">
              <w:rPr>
                <w:i/>
              </w:rPr>
              <w:t>k</w:t>
            </w:r>
            <w:r w:rsidRPr="00EE1E0C">
              <w:rPr>
                <w:i/>
              </w:rPr>
              <w:t>ningarna som redovisas för år 1997 bygger på Vägverkets  uppgifter för olyckskostnad och miljökostnad per färdkilometer.</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-0,2</w:t>
            </w:r>
          </w:p>
        </w:tc>
        <w:tc>
          <w:tcPr>
            <w:tcW w:w="850"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-1,3</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-0,1</w:t>
            </w:r>
          </w:p>
        </w:tc>
        <w:tc>
          <w:tcPr>
            <w:tcW w:w="822" w:type="dxa"/>
          </w:tcPr>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p>
          <w:p w:rsidR="00031A3F" w:rsidRPr="00EE1E0C" w:rsidRDefault="00031A3F">
            <w:pPr>
              <w:pStyle w:val="Citat"/>
              <w:jc w:val="right"/>
            </w:pPr>
            <w:r w:rsidRPr="00EE1E0C">
              <w:t>-0,8</w:t>
            </w:r>
          </w:p>
        </w:tc>
      </w:tr>
      <w:tr w:rsidR="00000000" w:rsidRPr="00EE1E0C">
        <w:tblPrEx>
          <w:tblCellMar>
            <w:top w:w="0" w:type="dxa"/>
            <w:bottom w:w="0" w:type="dxa"/>
          </w:tblCellMar>
        </w:tblPrEx>
        <w:tc>
          <w:tcPr>
            <w:tcW w:w="2948" w:type="dxa"/>
            <w:tcBorders>
              <w:top w:val="nil"/>
              <w:bottom w:val="nil"/>
            </w:tcBorders>
          </w:tcPr>
          <w:p w:rsidR="00031A3F" w:rsidRPr="00EE1E0C" w:rsidRDefault="00031A3F">
            <w:pPr>
              <w:pStyle w:val="Citat"/>
              <w:jc w:val="left"/>
            </w:pPr>
            <w:r w:rsidRPr="00EE1E0C">
              <w:t>Regionalpolitiska effekter</w:t>
            </w:r>
          </w:p>
        </w:tc>
        <w:tc>
          <w:tcPr>
            <w:tcW w:w="822" w:type="dxa"/>
            <w:tcBorders>
              <w:bottom w:val="nil"/>
            </w:tcBorders>
          </w:tcPr>
          <w:p w:rsidR="00031A3F" w:rsidRPr="00EE1E0C" w:rsidRDefault="00031A3F">
            <w:pPr>
              <w:pStyle w:val="Citat"/>
              <w:jc w:val="right"/>
            </w:pPr>
            <w:r w:rsidRPr="00EE1E0C">
              <w:t>**</w:t>
            </w:r>
          </w:p>
        </w:tc>
        <w:tc>
          <w:tcPr>
            <w:tcW w:w="850" w:type="dxa"/>
            <w:tcBorders>
              <w:bottom w:val="nil"/>
            </w:tcBorders>
          </w:tcPr>
          <w:p w:rsidR="00031A3F" w:rsidRPr="00EE1E0C" w:rsidRDefault="00031A3F">
            <w:pPr>
              <w:pStyle w:val="Citat"/>
              <w:jc w:val="right"/>
            </w:pPr>
            <w:r w:rsidRPr="00EE1E0C">
              <w:t>**</w:t>
            </w:r>
          </w:p>
        </w:tc>
        <w:tc>
          <w:tcPr>
            <w:tcW w:w="822" w:type="dxa"/>
            <w:tcBorders>
              <w:bottom w:val="nil"/>
            </w:tcBorders>
          </w:tcPr>
          <w:p w:rsidR="00031A3F" w:rsidRPr="00EE1E0C" w:rsidRDefault="00031A3F">
            <w:pPr>
              <w:pStyle w:val="Citat"/>
              <w:jc w:val="right"/>
            </w:pPr>
            <w:r w:rsidRPr="00EE1E0C">
              <w:t>**</w:t>
            </w:r>
          </w:p>
        </w:tc>
        <w:tc>
          <w:tcPr>
            <w:tcW w:w="822" w:type="dxa"/>
            <w:tcBorders>
              <w:bottom w:val="nil"/>
            </w:tcBorders>
          </w:tcPr>
          <w:p w:rsidR="00031A3F" w:rsidRPr="00EE1E0C" w:rsidRDefault="00031A3F">
            <w:pPr>
              <w:pStyle w:val="Citat"/>
              <w:jc w:val="right"/>
            </w:pPr>
            <w:r w:rsidRPr="00EE1E0C">
              <w:t>**</w:t>
            </w:r>
          </w:p>
        </w:tc>
      </w:tr>
      <w:tr w:rsidR="00000000" w:rsidRPr="00EE1E0C">
        <w:tblPrEx>
          <w:tblCellMar>
            <w:top w:w="0" w:type="dxa"/>
            <w:bottom w:w="0" w:type="dxa"/>
          </w:tblCellMar>
        </w:tblPrEx>
        <w:tc>
          <w:tcPr>
            <w:tcW w:w="2948" w:type="dxa"/>
            <w:tcBorders>
              <w:top w:val="single" w:sz="6" w:space="0" w:color="auto"/>
              <w:bottom w:val="single" w:sz="12" w:space="0" w:color="auto"/>
            </w:tcBorders>
          </w:tcPr>
          <w:p w:rsidR="00031A3F" w:rsidRPr="00EE1E0C" w:rsidRDefault="00031A3F">
            <w:pPr>
              <w:pStyle w:val="Citat"/>
              <w:jc w:val="left"/>
              <w:rPr>
                <w:b/>
              </w:rPr>
            </w:pPr>
            <w:r w:rsidRPr="00EE1E0C">
              <w:rPr>
                <w:b/>
              </w:rPr>
              <w:t>Totalt nuvärde, samhälls-</w:t>
            </w:r>
          </w:p>
          <w:p w:rsidR="00031A3F" w:rsidRPr="00EE1E0C" w:rsidRDefault="00031A3F">
            <w:pPr>
              <w:pStyle w:val="Citat"/>
              <w:spacing w:before="0"/>
              <w:jc w:val="left"/>
            </w:pPr>
            <w:r w:rsidRPr="00EE1E0C">
              <w:rPr>
                <w:b/>
              </w:rPr>
              <w:t>ekon</w:t>
            </w:r>
            <w:r w:rsidRPr="00EE1E0C">
              <w:rPr>
                <w:b/>
              </w:rPr>
              <w:t>o</w:t>
            </w:r>
            <w:r w:rsidRPr="00EE1E0C">
              <w:rPr>
                <w:b/>
              </w:rPr>
              <w:t>min</w:t>
            </w:r>
          </w:p>
        </w:tc>
        <w:tc>
          <w:tcPr>
            <w:tcW w:w="822" w:type="dxa"/>
            <w:tcBorders>
              <w:bottom w:val="single" w:sz="12" w:space="0" w:color="auto"/>
            </w:tcBorders>
          </w:tcPr>
          <w:p w:rsidR="00031A3F" w:rsidRPr="00EE1E0C" w:rsidRDefault="00031A3F">
            <w:pPr>
              <w:pStyle w:val="Citat"/>
              <w:jc w:val="right"/>
            </w:pPr>
            <w:r w:rsidRPr="00EE1E0C">
              <w:t>*</w:t>
            </w:r>
          </w:p>
        </w:tc>
        <w:tc>
          <w:tcPr>
            <w:tcW w:w="850" w:type="dxa"/>
            <w:tcBorders>
              <w:bottom w:val="single" w:sz="12" w:space="0" w:color="auto"/>
            </w:tcBorders>
          </w:tcPr>
          <w:p w:rsidR="00031A3F" w:rsidRPr="00EE1E0C" w:rsidRDefault="00031A3F">
            <w:pPr>
              <w:pStyle w:val="Citat"/>
              <w:jc w:val="right"/>
              <w:rPr>
                <w:b/>
              </w:rPr>
            </w:pPr>
            <w:r w:rsidRPr="00EE1E0C">
              <w:rPr>
                <w:b/>
              </w:rPr>
              <w:t>+0,5/ +20,4</w:t>
            </w:r>
          </w:p>
        </w:tc>
        <w:tc>
          <w:tcPr>
            <w:tcW w:w="822" w:type="dxa"/>
            <w:tcBorders>
              <w:bottom w:val="single" w:sz="12" w:space="0" w:color="auto"/>
            </w:tcBorders>
          </w:tcPr>
          <w:p w:rsidR="00031A3F" w:rsidRPr="00EE1E0C" w:rsidRDefault="00031A3F">
            <w:pPr>
              <w:pStyle w:val="Citat"/>
              <w:jc w:val="right"/>
            </w:pPr>
            <w:r w:rsidRPr="00EE1E0C">
              <w:t>*</w:t>
            </w:r>
          </w:p>
        </w:tc>
        <w:tc>
          <w:tcPr>
            <w:tcW w:w="822" w:type="dxa"/>
            <w:tcBorders>
              <w:bottom w:val="single" w:sz="12" w:space="0" w:color="auto"/>
            </w:tcBorders>
          </w:tcPr>
          <w:p w:rsidR="00031A3F" w:rsidRPr="00EE1E0C" w:rsidRDefault="00031A3F">
            <w:pPr>
              <w:pStyle w:val="Citat"/>
              <w:jc w:val="right"/>
            </w:pPr>
            <w:r w:rsidRPr="00EE1E0C">
              <w:rPr>
                <w:b/>
              </w:rPr>
              <w:t>+16,4/ +21,5</w:t>
            </w:r>
          </w:p>
        </w:tc>
      </w:tr>
    </w:tbl>
    <w:p w:rsidR="00031A3F" w:rsidRPr="00EE1E0C" w:rsidRDefault="00031A3F">
      <w:pPr>
        <w:pStyle w:val="Fotnotstext"/>
        <w:spacing w:before="40"/>
      </w:pPr>
      <w:r w:rsidRPr="00EE1E0C">
        <w:rPr>
          <w:sz w:val="18"/>
        </w:rPr>
        <w:t xml:space="preserve"> * endast nuvärdesberäkning   ** ej kvantifierat</w:t>
      </w:r>
      <w:r w:rsidRPr="00EE1E0C">
        <w:t xml:space="preserve"> </w:t>
      </w:r>
    </w:p>
    <w:p w:rsidR="00031A3F" w:rsidRPr="00EE1E0C" w:rsidRDefault="00031A3F">
      <w:r w:rsidRPr="00EE1E0C">
        <w:t>Som framgår av tabellen finns det stora skillnader beträffande vissa beräkn</w:t>
      </w:r>
      <w:r w:rsidRPr="00EE1E0C">
        <w:t>a</w:t>
      </w:r>
      <w:r w:rsidRPr="00EE1E0C">
        <w:t xml:space="preserve">de belopp. Övervältringen av kostnader på andra delar av rättsväsendet blev inte så stor som revisorerna befarade i den tidigare beräkningen. Vid de olika delarna av rättsväsendet har man sannolikt anpassat verksamheten efter de rådande förhållandena. Höga kostnader för resor i kombination med minskad verksamhetsvolym har medfört att man valt att begränsa besöken till häktet. </w:t>
      </w:r>
    </w:p>
    <w:p w:rsidR="00031A3F" w:rsidRPr="00EE1E0C" w:rsidRDefault="00031A3F">
      <w:pPr>
        <w:pStyle w:val="Normaltindrag"/>
      </w:pPr>
      <w:r w:rsidRPr="00EE1E0C">
        <w:t>Revisorerna gjorde i sin tidigare rapport en mer optimistisk prognos för den personal som tidigare var anställd vid häktet i Östers</w:t>
      </w:r>
      <w:r w:rsidRPr="00EE1E0C">
        <w:t>und än vad utfallet t.o.m. år 1997 visar. Detta har som framgått föranlett en justering av progn</w:t>
      </w:r>
      <w:r w:rsidRPr="00EE1E0C">
        <w:t>o</w:t>
      </w:r>
      <w:r w:rsidRPr="00EE1E0C">
        <w:t>sen.</w:t>
      </w:r>
    </w:p>
    <w:p w:rsidR="00031A3F" w:rsidRPr="00EE1E0C" w:rsidRDefault="00031A3F">
      <w:pPr>
        <w:pStyle w:val="Normaltindrag"/>
      </w:pPr>
      <w:r w:rsidRPr="00EE1E0C">
        <w:t>Den uppföljande kalkylen visar att vinsten för kriminalvården efter hä</w:t>
      </w:r>
      <w:r w:rsidRPr="00EE1E0C">
        <w:t>k</w:t>
      </w:r>
      <w:r w:rsidRPr="00EE1E0C">
        <w:t>tesnedläggningen fortfarande är betydande. Beräkningarna av tillkommande kostnader och avvecklingskostnader stämmer sammantaget förhållandevis väl med den ursprungliga kalkylen. Vinsten för kriminalvården är större än nettokostnaden för staten i övrigt. För staten som helhet uppkommer därmed ett positivt resultat, som emellertid är betydligt lägre än för kriminalvården. Även för samhällsekonomin visar den reviderade kalkylen ett positivt resu</w:t>
      </w:r>
      <w:r w:rsidRPr="00EE1E0C">
        <w:t>l</w:t>
      </w:r>
      <w:r w:rsidRPr="00EE1E0C">
        <w:t>tat, som dock uppgår till mindre än hälften av vinsten för krimi</w:t>
      </w:r>
      <w:r w:rsidRPr="00EE1E0C">
        <w:t>nalvården. Hur nedläggningen skall bedömas i ett samhällsekonomiskt perspektiv beror också på vilka värden som ges de poster som här inte har kvantifierats (se nedan).</w:t>
      </w:r>
    </w:p>
    <w:p w:rsidR="00031A3F" w:rsidRPr="00EE1E0C" w:rsidRDefault="00031A3F">
      <w:pPr>
        <w:pStyle w:val="Rubrik2"/>
      </w:pPr>
      <w:bookmarkStart w:id="418" w:name="_Toc422038711"/>
      <w:r w:rsidRPr="00EE1E0C">
        <w:t>Ej kvantifierade kostnader</w:t>
      </w:r>
      <w:bookmarkEnd w:id="418"/>
    </w:p>
    <w:p w:rsidR="00031A3F" w:rsidRPr="00EE1E0C" w:rsidRDefault="00031A3F">
      <w:r w:rsidRPr="00EE1E0C">
        <w:t xml:space="preserve">När det gäller häktesnedläggningen har kostnaderna för färre besök av polis och åklagare och en därmed förknippad risk för dåliga utredningar inte kvantifierats. Inte heller har förhållandet att de häktade får färre besök av anhöriga samt regionalpolitiska effekter innefattats i beräkningarna ovan. </w:t>
      </w:r>
    </w:p>
    <w:p w:rsidR="00031A3F" w:rsidRPr="00EE1E0C" w:rsidRDefault="00031A3F">
      <w:pPr>
        <w:pStyle w:val="Rubrik3"/>
      </w:pPr>
      <w:bookmarkStart w:id="419" w:name="_Toc422038712"/>
      <w:r w:rsidRPr="00EE1E0C">
        <w:t>Polisen</w:t>
      </w:r>
      <w:bookmarkEnd w:id="419"/>
    </w:p>
    <w:p w:rsidR="00031A3F" w:rsidRPr="00EE1E0C" w:rsidRDefault="00031A3F">
      <w:r w:rsidRPr="00EE1E0C">
        <w:t>Polismyndigheten i Östersund har inte fått utökade resurser sedan hä</w:t>
      </w:r>
      <w:r w:rsidRPr="00EE1E0C">
        <w:t>k</w:t>
      </w:r>
      <w:r w:rsidRPr="00EE1E0C">
        <w:t>tesnedläggningen, tvärtom har man ålagts besparingar. Det har främst inn</w:t>
      </w:r>
      <w:r w:rsidRPr="00EE1E0C">
        <w:t>e</w:t>
      </w:r>
      <w:r w:rsidRPr="00EE1E0C">
        <w:t>burit färre poliser vid myndigheten. Vidare motsvarar den ökade årliga h</w:t>
      </w:r>
      <w:r w:rsidRPr="00EE1E0C">
        <w:t>y</w:t>
      </w:r>
      <w:r w:rsidRPr="00EE1E0C">
        <w:t>reskostnaden för polisen sedan man övertog häktets gamla lokaler ungefär ett års lön för två poliser eller ett flertal förhörsresor. I och med häktesnedläg</w:t>
      </w:r>
      <w:r w:rsidRPr="00EE1E0C">
        <w:t>g</w:t>
      </w:r>
      <w:r w:rsidRPr="00EE1E0C">
        <w:t>ningen övertog polisen bevakningen av polisarresten. Två poliser och en civilanställd sköter nu denna bevakning. Hyreskostnaden och kostnaden för arrestbevakningen motsvarar således tillsammans fyra polistjäns</w:t>
      </w:r>
      <w:r w:rsidRPr="00EE1E0C">
        <w:t>ter. Vidare tar polisens resor till häktet för att hålla förhör tid från annan polisverksa</w:t>
      </w:r>
      <w:r w:rsidRPr="00EE1E0C">
        <w:t>m</w:t>
      </w:r>
      <w:r w:rsidRPr="00EE1E0C">
        <w:t>het. Färre polistjänster innebär att volymen polisarbete blir mindre, vilket kan leda till att polisen löser färre brott. Om färre häktas och döms sjunker kostnaderna för kriminalvården. Den besparing kriminalvården gjorde g</w:t>
      </w:r>
      <w:r w:rsidRPr="00EE1E0C">
        <w:t>e</w:t>
      </w:r>
      <w:r w:rsidRPr="00EE1E0C">
        <w:t>nom att lägga ned häktet i Östersund är alltså delvis betingad av att polisens insatser har minskat.</w:t>
      </w:r>
    </w:p>
    <w:p w:rsidR="00031A3F" w:rsidRPr="00EE1E0C" w:rsidRDefault="00031A3F">
      <w:pPr>
        <w:pStyle w:val="Normaltindrag"/>
      </w:pPr>
      <w:r w:rsidRPr="00EE1E0C">
        <w:t>När polisen ägnar mindre tid åt utredningsarbete finns det risk för att u</w:t>
      </w:r>
      <w:r w:rsidRPr="00EE1E0C">
        <w:t>t</w:t>
      </w:r>
      <w:r w:rsidRPr="00EE1E0C">
        <w:t>redningarna blir sämre. Sämre utredningar leder inte enbart till inställda rättegångar utan även till att det finns risk för att brott inte klaras upp. I de fall skyldiga frias på grund av bristfälliga polisutredningar innebär även det en besparing för kriminalvården, men negativa effekter för samhället i övrigt. Samhällets kostnader för förlorat polisarbete och för risken att brott inte klaras upp är inte medräknade i sa</w:t>
      </w:r>
      <w:r w:rsidRPr="00EE1E0C">
        <w:t>m</w:t>
      </w:r>
      <w:r w:rsidRPr="00EE1E0C">
        <w:t>manställningen ovan.</w:t>
      </w:r>
    </w:p>
    <w:p w:rsidR="00031A3F" w:rsidRPr="00EE1E0C" w:rsidRDefault="00031A3F">
      <w:pPr>
        <w:pStyle w:val="Rubrik3"/>
      </w:pPr>
      <w:bookmarkStart w:id="420" w:name="_Toc422038713"/>
      <w:r w:rsidRPr="00EE1E0C">
        <w:t>Besök</w:t>
      </w:r>
      <w:bookmarkEnd w:id="420"/>
    </w:p>
    <w:p w:rsidR="00031A3F" w:rsidRPr="00EE1E0C" w:rsidRDefault="00031A3F">
      <w:r w:rsidRPr="00EE1E0C">
        <w:t>Polisen anger att man besöker häktade i mindre utsträckning nu än vad man gjorde när häktet fanns i Östersund. Polis, åklagare, domare och represe</w:t>
      </w:r>
      <w:r w:rsidRPr="00EE1E0C">
        <w:t>n</w:t>
      </w:r>
      <w:r w:rsidRPr="00EE1E0C">
        <w:t>tanter för frivård menar att det leder till att utredningarna blir sämre. Om det är så att det längre avståndet innebär att utredningarna har blivit sämre och att färre brott klaras upp innebär det negativa effekter av olika slag för sa</w:t>
      </w:r>
      <w:r w:rsidRPr="00EE1E0C">
        <w:t>m</w:t>
      </w:r>
      <w:r w:rsidRPr="00EE1E0C">
        <w:t>hället. Enligt frivårdsmyndigheten kan lyckad kontraktsvård innebära att den dömde slutar med missbruk och brottslighet. Om utredningarna från frivå</w:t>
      </w:r>
      <w:r w:rsidRPr="00EE1E0C">
        <w:t>r</w:t>
      </w:r>
      <w:r w:rsidRPr="00EE1E0C">
        <w:t>den blivit sämre på grund av att frivården inte längre besöker de häktade och det leder till att färre dömda genomgår kontrak</w:t>
      </w:r>
      <w:r w:rsidRPr="00EE1E0C">
        <w:t>tsvård får även det negativa effekter för samhället. Advokaterna menar att de inte besöker de häktade lika ofta nu som när häktet fanns i Östersund. Man menar att det resulterar i att både advokater och tilltalade är sämre förberedda för huvudförhandling.</w:t>
      </w:r>
    </w:p>
    <w:p w:rsidR="00031A3F" w:rsidRPr="00EE1E0C" w:rsidRDefault="00031A3F">
      <w:pPr>
        <w:pStyle w:val="Normaltindrag"/>
      </w:pPr>
      <w:r w:rsidRPr="00EE1E0C">
        <w:t>Intervjuade myndighetsrepresentanter från Östersund och Härnösand är överens om att de häktade från Östersundsområdet får färre besök av sina anhöriga än andra. Effekterna av färre besök från polis, åklagare, advokat, frivårdsmyndighet och anhöriga är inte</w:t>
      </w:r>
      <w:r w:rsidRPr="00EE1E0C">
        <w:t xml:space="preserve"> medräknade i sammanställningen ovan.</w:t>
      </w:r>
    </w:p>
    <w:p w:rsidR="00031A3F" w:rsidRPr="00EE1E0C" w:rsidRDefault="00031A3F">
      <w:pPr>
        <w:pStyle w:val="Rubrik3"/>
      </w:pPr>
      <w:bookmarkStart w:id="421" w:name="_Toc422038714"/>
      <w:r w:rsidRPr="00EE1E0C">
        <w:t>Regionalpolitiska effekter</w:t>
      </w:r>
      <w:bookmarkEnd w:id="421"/>
    </w:p>
    <w:p w:rsidR="00031A3F" w:rsidRPr="00EE1E0C" w:rsidRDefault="00031A3F">
      <w:r w:rsidRPr="00EE1E0C">
        <w:t>Regionalpolitiska kostnader har ej räknats med i ovanstående kalkyl. Dock är det inte uteslutet att det minskade antalet arbetstillfällen som nedläggningen medförde har b</w:t>
      </w:r>
      <w:r w:rsidRPr="00EE1E0C">
        <w:t>i</w:t>
      </w:r>
      <w:r w:rsidRPr="00EE1E0C">
        <w:t>dragit till avflyttning från regionen.</w:t>
      </w:r>
    </w:p>
    <w:p w:rsidR="00031A3F" w:rsidRPr="00EE1E0C" w:rsidRDefault="00031A3F">
      <w:pPr>
        <w:pStyle w:val="Rubrik1"/>
      </w:pPr>
      <w:bookmarkStart w:id="422" w:name="_Toc422038715"/>
      <w:r w:rsidRPr="00EE1E0C">
        <w:t>6 Revisorernas överväganden och slutsatser</w:t>
      </w:r>
      <w:bookmarkEnd w:id="422"/>
    </w:p>
    <w:p w:rsidR="00031A3F" w:rsidRPr="00EE1E0C" w:rsidRDefault="00031A3F">
      <w:r w:rsidRPr="00EE1E0C">
        <w:t>I detta avsnitt diskuterar revisorerna effekterna av häktesnedläggningen i Östersund. Revisorerna konstaterar att det inte bara är i Östersund som man har långt till närmaste häkte. Även i andra delar av landet transporteras hä</w:t>
      </w:r>
      <w:r w:rsidRPr="00EE1E0C">
        <w:t>k</w:t>
      </w:r>
      <w:r w:rsidRPr="00EE1E0C">
        <w:t>tade till häkten som ligger relativt långt från den ort där polisutredningen görs. I Norrbotten finns endast ett häkte och det ligger i Luleå. Bl.a. i Hap</w:t>
      </w:r>
      <w:r w:rsidRPr="00EE1E0C">
        <w:t>a</w:t>
      </w:r>
      <w:r w:rsidRPr="00EE1E0C">
        <w:t>randa (13 mil från Luleå), Pajala (23 mil från Luleå), Kiruna (35 mil från Luleå) och Gällivare (25 mil från Luleå) saknar man häkte och polisen får därför sköta utredningsarbetet på i princip samma villkor som polisen i Ö</w:t>
      </w:r>
      <w:r w:rsidRPr="00EE1E0C">
        <w:t>s</w:t>
      </w:r>
      <w:r w:rsidRPr="00EE1E0C">
        <w:t xml:space="preserve">tersund. </w:t>
      </w:r>
    </w:p>
    <w:p w:rsidR="00031A3F" w:rsidRPr="00EE1E0C" w:rsidRDefault="00031A3F">
      <w:pPr>
        <w:pStyle w:val="Normaltindrag"/>
      </w:pPr>
      <w:r w:rsidRPr="00EE1E0C">
        <w:t xml:space="preserve">På de olika orterna har man inte haft häkte sedan en lång tid tillbaka, och man kan därför inte referera till något annat. </w:t>
      </w:r>
      <w:r w:rsidRPr="00EE1E0C">
        <w:t>Samtliga poliser på de olika orterna anser att det är opraktiskt och tidsödande att inte ha något häkte på orten. Poliserna på de mindre orterna lämnar ofta över utredningen till pol</w:t>
      </w:r>
      <w:r w:rsidRPr="00EE1E0C">
        <w:t>i</w:t>
      </w:r>
      <w:r w:rsidRPr="00EE1E0C">
        <w:t>sen i Luleå, speciellt vid grövre brott. Polisen i Gällivare anger att man övat upp förmågan att hålla telefonförhör. Man menar dock att användningen av telefonförhör försämrar utredningskvaliteten. Poliserna på respektive ort menar att de har dålig uppfattning om hur de häktade uppfattar situationen. De anser dock att det är b</w:t>
      </w:r>
      <w:r w:rsidRPr="00EE1E0C">
        <w:t xml:space="preserve">ra för de häktade att vistas på ett häkte där det finns möjligheter till gemensamma aktiviteter, även om det innebär att antalet besök blir mindre.  </w:t>
      </w:r>
    </w:p>
    <w:p w:rsidR="00031A3F" w:rsidRPr="00EE1E0C" w:rsidRDefault="00031A3F">
      <w:pPr>
        <w:pStyle w:val="Rubrik3"/>
      </w:pPr>
      <w:bookmarkStart w:id="423" w:name="_Toc422038716"/>
      <w:r w:rsidRPr="00EE1E0C">
        <w:t>Uppfattningarna om verkligheten går isär</w:t>
      </w:r>
      <w:bookmarkEnd w:id="423"/>
    </w:p>
    <w:p w:rsidR="00031A3F" w:rsidRPr="00EE1E0C" w:rsidRDefault="00031A3F">
      <w:r w:rsidRPr="00EE1E0C">
        <w:t>Efter häktesnedläggningen i Östersund går uppfattningarna isär beträffande hur praktiska problem löses. Den mest märkbara skillnaden finns mellan representanter för berörda instanser i Östersund (polis, åklagare, domstol, advokat samt kommun) och berörda instanser i Härnösand (Kriminalvårdens regionkansli, Transporttjänsten samt häktet). Skillnaderna i uppfattningarna kan bero på att man upplever situationen på olika sätt. De kan även bero på att myndigheterna i Östersund tidigare arbetat på ett annat sätt</w:t>
      </w:r>
      <w:r w:rsidRPr="00EE1E0C">
        <w:t xml:space="preserve"> med utre</w:t>
      </w:r>
      <w:r w:rsidRPr="00EE1E0C">
        <w:t>d</w:t>
      </w:r>
      <w:r w:rsidRPr="00EE1E0C">
        <w:t>ningar än myndigheter i övriga landet. Det kan ha fått som konsekvens att häktade från Östersundsområdet tidigare behandlades annorlunda jämfört med häkt</w:t>
      </w:r>
      <w:r w:rsidRPr="00EE1E0C">
        <w:t>a</w:t>
      </w:r>
      <w:r w:rsidRPr="00EE1E0C">
        <w:t>de från övriga landet.</w:t>
      </w:r>
    </w:p>
    <w:p w:rsidR="00031A3F" w:rsidRPr="00EE1E0C" w:rsidRDefault="00031A3F">
      <w:pPr>
        <w:pStyle w:val="Normaltindrag"/>
      </w:pPr>
      <w:r w:rsidRPr="00EE1E0C">
        <w:t xml:space="preserve">Representanter för polis, åklagare och advokater i Östersund anger att man när häktet fanns i Östersund besökte de häktade oftare än vad man gör i dag. Vid häktet i Härnösand anger man att poliser och advokater från Östersund inte besöker häktet i mindre utsträckning än vad poliser och advokater från mer närliggande städer </w:t>
      </w:r>
      <w:r w:rsidRPr="00EE1E0C">
        <w:t>gör. Enligt polis och åklagare i Östersund måste besök av häktade med restriktioner övervakas av någon med god kunskap om förundersökningen. Enligt representanter för häktet i Härnösand får häktade med restriktioner besök efter tillåtelse från åklagaren. Besök tillåts endast i undantagsfall, men när det sker överv</w:t>
      </w:r>
      <w:r w:rsidRPr="00EE1E0C">
        <w:t>a</w:t>
      </w:r>
      <w:r w:rsidRPr="00EE1E0C">
        <w:t>kas besöken av en vårdare från häktet.</w:t>
      </w:r>
    </w:p>
    <w:p w:rsidR="00031A3F" w:rsidRPr="00EE1E0C" w:rsidRDefault="00031A3F">
      <w:pPr>
        <w:pStyle w:val="Normaltindrag"/>
      </w:pPr>
      <w:r w:rsidRPr="00EE1E0C">
        <w:t>Häktet och Transporttjänsten i Härnösand anger att man i vissa fall tran</w:t>
      </w:r>
      <w:r w:rsidRPr="00EE1E0C">
        <w:t>s</w:t>
      </w:r>
      <w:r w:rsidRPr="00EE1E0C">
        <w:t>porterar häktade till Östersund för förhör utan att begära ersättning för detta av polisen i Östersund. Enligt polisen i Östersund kan de beställa transporter från häktet och Transporttjänsten mot ersättning men att man av ekonomiska orsaker undviker det.</w:t>
      </w:r>
    </w:p>
    <w:p w:rsidR="00031A3F" w:rsidRPr="00EE1E0C" w:rsidRDefault="00031A3F">
      <w:pPr>
        <w:pStyle w:val="Rubrik3"/>
      </w:pPr>
      <w:bookmarkStart w:id="424" w:name="_Toc422038717"/>
      <w:r w:rsidRPr="00EE1E0C">
        <w:t>Uppföljning av tidigare beräkningar</w:t>
      </w:r>
      <w:bookmarkEnd w:id="424"/>
    </w:p>
    <w:p w:rsidR="00031A3F" w:rsidRPr="00EE1E0C" w:rsidRDefault="00031A3F">
      <w:r w:rsidRPr="00EE1E0C">
        <w:t>Den uppföljande kalkylen visar att vinsten för kriminalvården efter hä</w:t>
      </w:r>
      <w:r w:rsidRPr="00EE1E0C">
        <w:t>k</w:t>
      </w:r>
      <w:r w:rsidRPr="00EE1E0C">
        <w:t>tesnedläggningen är betydande. Jämfört med de tidigare beräkningarna har dock kostnaderna för resor blivit betydligt lägre. Myndigheterna har anpassat sig till situationen; enligt dem själva har man gjort det av ekonomiska skäl. Däremot blev flera personer arbetslösa och pensionerade än vad revisorerna tidigare räknat med. Sammantaget överensstämmer de samhällsekonomiska beräkningarna förhållandevis väl med revisorernas tidigare beräknin</w:t>
      </w:r>
      <w:r w:rsidRPr="00EE1E0C">
        <w:t>g</w:t>
      </w:r>
      <w:r w:rsidRPr="00EE1E0C">
        <w:t>ar.</w:t>
      </w:r>
    </w:p>
    <w:p w:rsidR="00031A3F" w:rsidRPr="00EE1E0C" w:rsidRDefault="00031A3F">
      <w:pPr>
        <w:pStyle w:val="Normaltindrag"/>
      </w:pPr>
      <w:r w:rsidRPr="00EE1E0C">
        <w:t>När hänsyn tagits till de samhällsekonomiska kostnader som kvanti</w:t>
      </w:r>
      <w:r w:rsidRPr="00EE1E0C">
        <w:t>fierats i ovanstående beräkning kvarstår en besparing till följd av häktesnedläggnin</w:t>
      </w:r>
      <w:r w:rsidRPr="00EE1E0C">
        <w:t>g</w:t>
      </w:r>
      <w:r w:rsidRPr="00EE1E0C">
        <w:t>en. Denna besparing var dock mindre än hälften av den besparing krimina</w:t>
      </w:r>
      <w:r w:rsidRPr="00EE1E0C">
        <w:t>l</w:t>
      </w:r>
      <w:r w:rsidRPr="00EE1E0C">
        <w:t xml:space="preserve">vården gjorde. </w:t>
      </w:r>
    </w:p>
    <w:p w:rsidR="00031A3F" w:rsidRPr="00EE1E0C" w:rsidRDefault="00031A3F">
      <w:pPr>
        <w:pStyle w:val="Normaltindrag"/>
      </w:pPr>
      <w:r w:rsidRPr="00EE1E0C">
        <w:t>Hur nedläggningen skall bedömas i ett samhällsekonomiskt perspektiv b</w:t>
      </w:r>
      <w:r w:rsidRPr="00EE1E0C">
        <w:t>e</w:t>
      </w:r>
      <w:r w:rsidRPr="00EE1E0C">
        <w:t xml:space="preserve">ror dock även på vilka värden som ges de poster som inte har kvantifierats i beräkningarna. Dessa diskuteras nedan. </w:t>
      </w:r>
    </w:p>
    <w:p w:rsidR="00031A3F" w:rsidRPr="00EE1E0C" w:rsidRDefault="00031A3F">
      <w:pPr>
        <w:pStyle w:val="Rubrik3"/>
      </w:pPr>
      <w:bookmarkStart w:id="425" w:name="_Toc422038718"/>
      <w:r w:rsidRPr="00EE1E0C">
        <w:t>Utredningarnas kvalitet ifrågasätts</w:t>
      </w:r>
      <w:bookmarkEnd w:id="425"/>
    </w:p>
    <w:p w:rsidR="00031A3F" w:rsidRPr="00EE1E0C" w:rsidRDefault="00031A3F">
      <w:r w:rsidRPr="00EE1E0C">
        <w:t>Som ovan nämnts anser representanter för olika delar av rättsväsendet i Östersund att utredningarna har blivit sämre och att det är en effekt av hä</w:t>
      </w:r>
      <w:r w:rsidRPr="00EE1E0C">
        <w:t>k</w:t>
      </w:r>
      <w:r w:rsidRPr="00EE1E0C">
        <w:t>tesnedläggningen. Ett stort antal häktade från Östersundsområdet försätts på fri fot under häktningstiden eller fram till och med huvudförhandling. Som redovisats ovan är andelen försatta på fri fot från Östersundsområdet större än vad som gäller för samtliga häktade vid häktet i Härnösand. Detta kan vara en effekt av häktesnedläggningen, men även andra faktorer kan ha bet</w:t>
      </w:r>
      <w:r w:rsidRPr="00EE1E0C">
        <w:t>y</w:t>
      </w:r>
      <w:r w:rsidRPr="00EE1E0C">
        <w:t>delse, exe</w:t>
      </w:r>
      <w:r w:rsidRPr="00EE1E0C">
        <w:t>m</w:t>
      </w:r>
      <w:r w:rsidRPr="00EE1E0C">
        <w:t>pelvis det lokala arbetssättet i Östersund.</w:t>
      </w:r>
    </w:p>
    <w:p w:rsidR="00031A3F" w:rsidRPr="00EE1E0C" w:rsidRDefault="00031A3F">
      <w:pPr>
        <w:pStyle w:val="Rubrik3"/>
      </w:pPr>
      <w:bookmarkStart w:id="426" w:name="_Toc422038719"/>
      <w:r w:rsidRPr="00EE1E0C">
        <w:t>Mindre verksamhetsvolym ger bättre lönsamhet</w:t>
      </w:r>
      <w:bookmarkEnd w:id="426"/>
    </w:p>
    <w:p w:rsidR="00031A3F" w:rsidRPr="00EE1E0C" w:rsidRDefault="00031A3F">
      <w:r w:rsidRPr="00EE1E0C">
        <w:t>Polisens utgifter för förhörsresor är låga. Resekostnaderna är mindre än beräknat. Åklagaren värnar om arbetsklimatet mellan polis och åklagare och utnyttjar därför inte möjligheten att på polisens bekostnad få de häktade transporterade till häktet i Östersund för förhör. Polisen har möjlighet att genom egna beslut påverka utredningarnas kvalitet. Att utgifterna för pol</w:t>
      </w:r>
      <w:r w:rsidRPr="00EE1E0C">
        <w:t>i</w:t>
      </w:r>
      <w:r w:rsidRPr="00EE1E0C">
        <w:t>sens resor är låga behöver i detta sammanhang inte betraktas som något uteslutande positivt. Om polisen hade utnyttjat de möjligheter som finns hade dock utgifterna blivit större och nedläggningen av häktet mindre lönsam. Utrymmet för annat pol</w:t>
      </w:r>
      <w:r w:rsidRPr="00EE1E0C">
        <w:t>i</w:t>
      </w:r>
      <w:r w:rsidRPr="00EE1E0C">
        <w:t>sarbete hade samtidigt blivit mindre.</w:t>
      </w:r>
    </w:p>
    <w:p w:rsidR="00031A3F" w:rsidRPr="00EE1E0C" w:rsidRDefault="00031A3F">
      <w:pPr>
        <w:pStyle w:val="Normaltindrag"/>
      </w:pPr>
      <w:r w:rsidRPr="00EE1E0C">
        <w:t>Östersundspolisen har vidtagit åtgärder för att bemöta de besparingskrav som polisen ålades av regeringen år 1992. Enligt uppgift från Polismyndi</w:t>
      </w:r>
      <w:r w:rsidRPr="00EE1E0C">
        <w:t>g</w:t>
      </w:r>
      <w:r w:rsidRPr="00EE1E0C">
        <w:t>heten i Östersund har man minskat utgifterna för personal, internutbildning, investeringar samt hyror för polisstationerna i länet. Polisens utökade lokal-yta i Östersund efter det att man övertog häktets gamla lokaler består som ovan nämnts bl.a. av utbildningslokaler. Polisen i Östersund har således utökat lokalytorna där undervisning kan hållas samtidigt som man minskat internutbildnin</w:t>
      </w:r>
      <w:r w:rsidRPr="00EE1E0C">
        <w:t>g</w:t>
      </w:r>
      <w:r w:rsidRPr="00EE1E0C">
        <w:t>en.</w:t>
      </w:r>
    </w:p>
    <w:p w:rsidR="00031A3F" w:rsidRPr="00EE1E0C" w:rsidRDefault="00031A3F">
      <w:pPr>
        <w:pStyle w:val="Normaltindrag"/>
      </w:pPr>
      <w:r w:rsidRPr="00EE1E0C">
        <w:t>Den mindre volymen polisarbete som man vid polisen i Östersund fått kan främst hänföras till de besparingar man åla</w:t>
      </w:r>
      <w:r w:rsidRPr="00EE1E0C">
        <w:t>gts men även till de ökade kostn</w:t>
      </w:r>
      <w:r w:rsidRPr="00EE1E0C">
        <w:t>a</w:t>
      </w:r>
      <w:r w:rsidRPr="00EE1E0C">
        <w:t>der man åtagit sig eller ålagts till följd av häktesnedläggningen.</w:t>
      </w:r>
    </w:p>
    <w:p w:rsidR="00031A3F" w:rsidRPr="00EE1E0C" w:rsidRDefault="00031A3F">
      <w:pPr>
        <w:pStyle w:val="Rubrik2"/>
      </w:pPr>
      <w:bookmarkStart w:id="427" w:name="_Toc422038720"/>
      <w:r w:rsidRPr="00EE1E0C">
        <w:t>Revisorernas slutsatser</w:t>
      </w:r>
      <w:bookmarkEnd w:id="427"/>
    </w:p>
    <w:p w:rsidR="00031A3F" w:rsidRPr="00EE1E0C" w:rsidRDefault="00031A3F">
      <w:r w:rsidRPr="00EE1E0C">
        <w:t>Revisorernas slutsatser kan sammanfattas på följande sätt.</w:t>
      </w:r>
    </w:p>
    <w:p w:rsidR="00031A3F" w:rsidRPr="00EE1E0C" w:rsidRDefault="00031A3F">
      <w:pPr>
        <w:numPr>
          <w:ilvl w:val="0"/>
          <w:numId w:val="14"/>
        </w:numPr>
      </w:pPr>
      <w:r w:rsidRPr="00EE1E0C">
        <w:t>Kriminalvården har gjort en vinst genom att lägga ned häktet i Östersund. Det beror främst på att det fanns överkapacitet vid häktena i både Öste</w:t>
      </w:r>
      <w:r w:rsidRPr="00EE1E0C">
        <w:t>r</w:t>
      </w:r>
      <w:r w:rsidRPr="00EE1E0C">
        <w:t>sund och Härn</w:t>
      </w:r>
      <w:r w:rsidRPr="00EE1E0C">
        <w:t>ö</w:t>
      </w:r>
      <w:r w:rsidRPr="00EE1E0C">
        <w:t xml:space="preserve">sand. </w:t>
      </w:r>
    </w:p>
    <w:p w:rsidR="00031A3F" w:rsidRPr="00EE1E0C" w:rsidRDefault="00031A3F">
      <w:pPr>
        <w:numPr>
          <w:ilvl w:val="0"/>
          <w:numId w:val="14"/>
        </w:numPr>
      </w:pPr>
      <w:r w:rsidRPr="00EE1E0C">
        <w:t>Nedläggningen har medfört ökade kostnader för främst polisen. Ökade kostnader för hyror, arrestbevakning och resor har givit mindre utrymme för operativt polisarbete. Färre häktade har inneburit en större besparing för kriminalvården till följd av häktesnedläggningen. Det finns således ett samband mellan omfattningen av det operativa polisarbetet och besp</w:t>
      </w:r>
      <w:r w:rsidRPr="00EE1E0C">
        <w:t>a</w:t>
      </w:r>
      <w:r w:rsidRPr="00EE1E0C">
        <w:t>ringens storlek. Nedläggningen av häktet har delvis fått oförutsedda ko</w:t>
      </w:r>
      <w:r w:rsidRPr="00EE1E0C">
        <w:t>n</w:t>
      </w:r>
      <w:r w:rsidRPr="00EE1E0C">
        <w:t>sekvenser, framför allt beroende på att nedskärningar i polisverksamh</w:t>
      </w:r>
      <w:r w:rsidRPr="00EE1E0C">
        <w:t>e</w:t>
      </w:r>
      <w:r w:rsidRPr="00EE1E0C">
        <w:t>ten leder till bättre ekonomi för kriminalvården.</w:t>
      </w:r>
    </w:p>
    <w:p w:rsidR="00031A3F" w:rsidRPr="00EE1E0C" w:rsidRDefault="00031A3F">
      <w:pPr>
        <w:numPr>
          <w:ilvl w:val="0"/>
          <w:numId w:val="14"/>
        </w:numPr>
      </w:pPr>
      <w:r w:rsidRPr="00EE1E0C">
        <w:t>En jämförelse med revisorernas tidigare beräkningar visar att kostnade</w:t>
      </w:r>
      <w:r w:rsidRPr="00EE1E0C">
        <w:t>r</w:t>
      </w:r>
      <w:r w:rsidRPr="00EE1E0C">
        <w:t>na för resor överskattades, medan samhällets kostnader för uppsagd pe</w:t>
      </w:r>
      <w:r w:rsidRPr="00EE1E0C">
        <w:t>r</w:t>
      </w:r>
      <w:r w:rsidRPr="00EE1E0C">
        <w:t>sonal och pensioner däremot underskattades. Efterkalkylen visar på i vi</w:t>
      </w:r>
      <w:r w:rsidRPr="00EE1E0C">
        <w:t>s</w:t>
      </w:r>
      <w:r w:rsidRPr="00EE1E0C">
        <w:t>sa fall väsentliga skillnader jämfört med tidigare beräkningar. Samma</w:t>
      </w:r>
      <w:r w:rsidRPr="00EE1E0C">
        <w:t>n</w:t>
      </w:r>
      <w:r w:rsidRPr="00EE1E0C">
        <w:t>taget överensstämmer revisorernas tidigare beräkningar relativt väl med de beräkningar som revisorerna redov</w:t>
      </w:r>
      <w:r w:rsidRPr="00EE1E0C">
        <w:t>i</w:t>
      </w:r>
      <w:r w:rsidRPr="00EE1E0C">
        <w:t>sat ovan.</w:t>
      </w:r>
    </w:p>
    <w:p w:rsidR="00031A3F" w:rsidRPr="00EE1E0C" w:rsidRDefault="00031A3F">
      <w:pPr>
        <w:numPr>
          <w:ilvl w:val="0"/>
          <w:numId w:val="14"/>
        </w:numPr>
      </w:pPr>
      <w:r w:rsidRPr="00EE1E0C">
        <w:t>Häktade från Östersundsområdet får inte lika ofta besök av sina anhöriga som övriga häktade. De har även sämre möjligheter att träffa sin advokat. Det långa avståndet till närmaste</w:t>
      </w:r>
      <w:r w:rsidRPr="00EE1E0C">
        <w:t xml:space="preserve"> häkte har medfört att villkoren för pol</w:t>
      </w:r>
      <w:r w:rsidRPr="00EE1E0C">
        <w:t>i</w:t>
      </w:r>
      <w:r w:rsidRPr="00EE1E0C">
        <w:t>sens utredningsverksamhet har försämrats.</w:t>
      </w:r>
    </w:p>
    <w:p w:rsidR="00031A3F" w:rsidRPr="00EE1E0C" w:rsidRDefault="00031A3F">
      <w:r w:rsidRPr="00EE1E0C">
        <w:t>Nedläggningen av häktet i Östersund har således inneburit mindre polisa</w:t>
      </w:r>
      <w:r w:rsidRPr="00EE1E0C">
        <w:t>r</w:t>
      </w:r>
      <w:r w:rsidRPr="00EE1E0C">
        <w:t>bete, färre besök samt risk för sämre utredningar. Revisorerna menar att effekterna för utredningskvaliteten förtjänar fortsatt uppmärksamhet. Revis</w:t>
      </w:r>
      <w:r w:rsidRPr="00EE1E0C">
        <w:t>o</w:t>
      </w:r>
      <w:r w:rsidRPr="00EE1E0C">
        <w:t>rerna har därför för avsikt att i en kommande granskning bl.a. belysa föru</w:t>
      </w:r>
      <w:r w:rsidRPr="00EE1E0C">
        <w:t>n</w:t>
      </w:r>
      <w:r w:rsidRPr="00EE1E0C">
        <w:t>dersö</w:t>
      </w:r>
      <w:r w:rsidRPr="00EE1E0C">
        <w:t>k</w:t>
      </w:r>
      <w:r w:rsidRPr="00EE1E0C">
        <w:t>ningarnas kvalitet i tre län (förstudie 1997/98:13).</w:t>
      </w:r>
    </w:p>
    <w:p w:rsidR="00031A3F" w:rsidRPr="00EE1E0C" w:rsidRDefault="00031A3F">
      <w:pPr>
        <w:pStyle w:val="Rubrik1"/>
        <w:sectPr w:rsidR="00000000" w:rsidRPr="00EE1E0C">
          <w:headerReference w:type="default" r:id="rId40"/>
          <w:pgSz w:w="11906" w:h="16838" w:code="9"/>
          <w:pgMar w:top="567" w:right="4876" w:bottom="4508" w:left="1134" w:header="227" w:footer="227" w:gutter="0"/>
          <w:cols w:space="720"/>
        </w:sectPr>
      </w:pPr>
    </w:p>
    <w:p w:rsidR="00031A3F" w:rsidRPr="00EE1E0C" w:rsidRDefault="00031A3F">
      <w:pPr>
        <w:pStyle w:val="Rubrik1"/>
        <w:spacing w:before="0"/>
      </w:pPr>
      <w:r w:rsidRPr="00EE1E0C">
        <w:t>Sammanfattning av remissyttranden avseende nedläggningen av häktet i Östersund</w:t>
      </w:r>
      <w:bookmarkEnd w:id="392"/>
    </w:p>
    <w:p w:rsidR="00031A3F" w:rsidRPr="00EE1E0C" w:rsidRDefault="00031A3F">
      <w:pPr>
        <w:pStyle w:val="Rubrik2"/>
      </w:pPr>
      <w:bookmarkStart w:id="428" w:name="_Toc430330552"/>
      <w:bookmarkStart w:id="429" w:name="_Toc466264275"/>
      <w:r w:rsidRPr="00EE1E0C">
        <w:t>Allmänna synpunkter</w:t>
      </w:r>
      <w:bookmarkEnd w:id="429"/>
    </w:p>
    <w:p w:rsidR="00031A3F" w:rsidRPr="00EE1E0C" w:rsidRDefault="00031A3F"/>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jc w:val="left"/>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Riksåklagaren</w:t>
            </w:r>
          </w:p>
        </w:tc>
        <w:tc>
          <w:tcPr>
            <w:tcW w:w="4406" w:type="dxa"/>
          </w:tcPr>
          <w:p w:rsidR="00031A3F" w:rsidRPr="00EE1E0C" w:rsidRDefault="00031A3F">
            <w:pPr>
              <w:jc w:val="left"/>
            </w:pPr>
            <w:r w:rsidRPr="00EE1E0C">
              <w:t>Rapporten innehåller en rad påståenden angående polis- och åklagarverksamheten i Östersund som är av intre</w:t>
            </w:r>
            <w:r w:rsidRPr="00EE1E0C">
              <w:t>s</w:t>
            </w:r>
            <w:r w:rsidRPr="00EE1E0C">
              <w:t>se från tillsynssy</w:t>
            </w:r>
            <w:r w:rsidRPr="00EE1E0C">
              <w:t>n</w:t>
            </w:r>
            <w:r w:rsidRPr="00EE1E0C">
              <w:t>punkt.</w:t>
            </w:r>
          </w:p>
        </w:tc>
      </w:tr>
      <w:tr w:rsidR="00000000" w:rsidRPr="00EE1E0C">
        <w:tblPrEx>
          <w:tblCellMar>
            <w:top w:w="0" w:type="dxa"/>
            <w:bottom w:w="0" w:type="dxa"/>
          </w:tblCellMar>
        </w:tblPrEx>
        <w:tc>
          <w:tcPr>
            <w:tcW w:w="1630" w:type="dxa"/>
          </w:tcPr>
          <w:p w:rsidR="00031A3F" w:rsidRPr="00EE1E0C" w:rsidRDefault="00031A3F">
            <w:pPr>
              <w:jc w:val="left"/>
            </w:pPr>
            <w:r w:rsidRPr="00EE1E0C">
              <w:t>Åklagarmyndi</w:t>
            </w:r>
            <w:r w:rsidRPr="00EE1E0C">
              <w:t>g</w:t>
            </w:r>
            <w:r w:rsidRPr="00EE1E0C">
              <w:t>heten i Sund</w:t>
            </w:r>
            <w:r w:rsidRPr="00EE1E0C">
              <w:t>s</w:t>
            </w:r>
            <w:r w:rsidRPr="00EE1E0C">
              <w:t>vall</w:t>
            </w:r>
          </w:p>
        </w:tc>
        <w:tc>
          <w:tcPr>
            <w:tcW w:w="4406" w:type="dxa"/>
          </w:tcPr>
          <w:p w:rsidR="00031A3F" w:rsidRPr="00EE1E0C" w:rsidRDefault="00031A3F">
            <w:pPr>
              <w:jc w:val="left"/>
            </w:pPr>
            <w:r w:rsidRPr="00EE1E0C">
              <w:t>Om revisorerna arbetat på ett mer konventionellt sätt och informerat myndighetsledningen om arbetet hade rapporten kunnat ges mer substans. Det är svårt att bedöma det som framförs i rapporten vad beträffar utredningsarbetet och åklag</w:t>
            </w:r>
            <w:r w:rsidRPr="00EE1E0C">
              <w:t>a</w:t>
            </w:r>
            <w:r w:rsidRPr="00EE1E0C">
              <w:t>rarbetet.</w:t>
            </w:r>
          </w:p>
        </w:tc>
      </w:tr>
      <w:tr w:rsidR="00000000" w:rsidRPr="00EE1E0C">
        <w:tblPrEx>
          <w:tblCellMar>
            <w:top w:w="0" w:type="dxa"/>
            <w:bottom w:w="0" w:type="dxa"/>
          </w:tblCellMar>
        </w:tblPrEx>
        <w:tc>
          <w:tcPr>
            <w:tcW w:w="1630" w:type="dxa"/>
          </w:tcPr>
          <w:p w:rsidR="00031A3F" w:rsidRPr="00EE1E0C" w:rsidRDefault="00031A3F">
            <w:pPr>
              <w:jc w:val="left"/>
            </w:pPr>
            <w:r w:rsidRPr="00EE1E0C">
              <w:t>Åklagarkammaren i Östersund</w:t>
            </w:r>
          </w:p>
        </w:tc>
        <w:tc>
          <w:tcPr>
            <w:tcW w:w="4406" w:type="dxa"/>
          </w:tcPr>
          <w:p w:rsidR="00031A3F" w:rsidRPr="00EE1E0C" w:rsidRDefault="00031A3F">
            <w:pPr>
              <w:jc w:val="left"/>
            </w:pPr>
            <w:r w:rsidRPr="00EE1E0C">
              <w:t>Rapporten ger en riktig bild av nedläggningens effekter.</w:t>
            </w:r>
          </w:p>
        </w:tc>
      </w:tr>
      <w:tr w:rsidR="00000000" w:rsidRPr="00EE1E0C">
        <w:tblPrEx>
          <w:tblCellMar>
            <w:top w:w="0" w:type="dxa"/>
            <w:bottom w:w="0" w:type="dxa"/>
          </w:tblCellMar>
        </w:tblPrEx>
        <w:tc>
          <w:tcPr>
            <w:tcW w:w="1630" w:type="dxa"/>
          </w:tcPr>
          <w:p w:rsidR="00031A3F" w:rsidRPr="00EE1E0C" w:rsidRDefault="00031A3F">
            <w:pPr>
              <w:jc w:val="left"/>
            </w:pPr>
            <w:r w:rsidRPr="00EE1E0C">
              <w:t>Rikspolisstyrelsen</w:t>
            </w:r>
          </w:p>
        </w:tc>
        <w:tc>
          <w:tcPr>
            <w:tcW w:w="4406" w:type="dxa"/>
          </w:tcPr>
          <w:p w:rsidR="00031A3F" w:rsidRPr="00EE1E0C" w:rsidRDefault="00031A3F">
            <w:pPr>
              <w:jc w:val="left"/>
            </w:pPr>
            <w:r w:rsidRPr="00EE1E0C">
              <w:t>Rikspolisstyrelsen instämmer i allt väsentligt i revis</w:t>
            </w:r>
            <w:r w:rsidRPr="00EE1E0C">
              <w:t>o</w:t>
            </w:r>
            <w:r w:rsidRPr="00EE1E0C">
              <w:t>rernas slutsatser. Överläggningar pågår med Krimina</w:t>
            </w:r>
            <w:r w:rsidRPr="00EE1E0C">
              <w:t>l</w:t>
            </w:r>
            <w:r w:rsidRPr="00EE1E0C">
              <w:t>vårdsstyrelsen om ett bättre samarbete när det gäller utnyttjandet av häkten.</w:t>
            </w:r>
          </w:p>
        </w:tc>
      </w:tr>
      <w:tr w:rsidR="00000000" w:rsidRPr="00EE1E0C">
        <w:tblPrEx>
          <w:tblCellMar>
            <w:top w:w="0" w:type="dxa"/>
            <w:bottom w:w="0" w:type="dxa"/>
          </w:tblCellMar>
        </w:tblPrEx>
        <w:tc>
          <w:tcPr>
            <w:tcW w:w="1630" w:type="dxa"/>
          </w:tcPr>
          <w:p w:rsidR="00031A3F" w:rsidRPr="00EE1E0C" w:rsidRDefault="00031A3F">
            <w:pPr>
              <w:jc w:val="left"/>
            </w:pPr>
            <w:r w:rsidRPr="00EE1E0C">
              <w:t>Polismyndigheten i Jämtlands län</w:t>
            </w:r>
          </w:p>
        </w:tc>
        <w:tc>
          <w:tcPr>
            <w:tcW w:w="4406" w:type="dxa"/>
          </w:tcPr>
          <w:p w:rsidR="00031A3F" w:rsidRPr="00EE1E0C" w:rsidRDefault="00031A3F">
            <w:pPr>
              <w:jc w:val="left"/>
            </w:pPr>
            <w:r w:rsidRPr="00EE1E0C">
              <w:t>Sedan en tid tillbaka pågår ett utredningsarbete för att utarbeta ett förslag till ett rättsvårdscentrum där häkte skulle ingå som en del.</w:t>
            </w:r>
          </w:p>
          <w:p w:rsidR="00031A3F" w:rsidRPr="00EE1E0C" w:rsidRDefault="00031A3F">
            <w:pPr>
              <w:pStyle w:val="Normaltindrag"/>
            </w:pPr>
            <w:r w:rsidRPr="00EE1E0C">
              <w:t>En brist i utredningen är avsaknaden av analys av ett besparingsförslag beträffande det dåvarande häktet i Östersund. De jämförelser som i rapporten gjorts med mindre orter i norra Norrland och deras avstånd till närmaste häkte lämnas utan komme</w:t>
            </w:r>
            <w:r w:rsidRPr="00EE1E0C">
              <w:t>n</w:t>
            </w:r>
            <w:r w:rsidRPr="00EE1E0C">
              <w:t>tar.</w:t>
            </w:r>
          </w:p>
          <w:p w:rsidR="00031A3F" w:rsidRPr="00EE1E0C" w:rsidRDefault="00031A3F">
            <w:pPr>
              <w:pStyle w:val="Normaltindrag"/>
            </w:pPr>
            <w:r w:rsidRPr="00EE1E0C">
              <w:t>Revisorerna har på ett tillfredsställande sätt noterat att handläggningen av häktesnedläggningen skett på ett snedvridet sätt.</w:t>
            </w:r>
          </w:p>
        </w:tc>
      </w:tr>
      <w:tr w:rsidR="00000000" w:rsidRPr="00EE1E0C">
        <w:tblPrEx>
          <w:tblCellMar>
            <w:top w:w="0" w:type="dxa"/>
            <w:bottom w:w="0" w:type="dxa"/>
          </w:tblCellMar>
        </w:tblPrEx>
        <w:tc>
          <w:tcPr>
            <w:tcW w:w="1630" w:type="dxa"/>
          </w:tcPr>
          <w:p w:rsidR="00031A3F" w:rsidRPr="00EE1E0C" w:rsidRDefault="00031A3F">
            <w:pPr>
              <w:jc w:val="left"/>
            </w:pPr>
            <w:r w:rsidRPr="00EE1E0C">
              <w:t>Kriminalvårdsst</w:t>
            </w:r>
            <w:r w:rsidRPr="00EE1E0C">
              <w:t>y</w:t>
            </w:r>
            <w:r w:rsidRPr="00EE1E0C">
              <w:t>relsen</w:t>
            </w:r>
          </w:p>
        </w:tc>
        <w:tc>
          <w:tcPr>
            <w:tcW w:w="4406" w:type="dxa"/>
          </w:tcPr>
          <w:p w:rsidR="00031A3F" w:rsidRPr="00EE1E0C" w:rsidRDefault="00031A3F">
            <w:pPr>
              <w:jc w:val="left"/>
            </w:pPr>
            <w:r w:rsidRPr="00EE1E0C">
              <w:t>Rationella och praktiska lösningar kan kompensera långa avstånd  utan att kravet på rättsskipning, lagf</w:t>
            </w:r>
            <w:r w:rsidRPr="00EE1E0C">
              <w:t>ö</w:t>
            </w:r>
            <w:r w:rsidRPr="00EE1E0C">
              <w:t>ring eller rättssäkerhet åsid</w:t>
            </w:r>
            <w:r w:rsidRPr="00EE1E0C">
              <w:t>o</w:t>
            </w:r>
            <w:r w:rsidRPr="00EE1E0C">
              <w:t>sätts.</w:t>
            </w:r>
          </w:p>
          <w:p w:rsidR="00031A3F" w:rsidRPr="00EE1E0C" w:rsidRDefault="00031A3F">
            <w:pPr>
              <w:pStyle w:val="Normaltindrag"/>
              <w:jc w:val="left"/>
            </w:pPr>
            <w:r w:rsidRPr="00EE1E0C">
              <w:t>Turerna kring nedläggningen visar att samråd med rättsväsendets olika företrädare i Östersund borde ha ägt rum före nedläggningen. Regeringen har i den s</w:t>
            </w:r>
            <w:r w:rsidRPr="00EE1E0C">
              <w:t>e</w:t>
            </w:r>
            <w:r w:rsidRPr="00EE1E0C">
              <w:t>naste ändringen i instruktionen för Kriminalvårdsverket (SFS 1998:18) föreskrivit att sådant samråd skall ske. Denna form av uppföljning utgör onekligen intressant läsning.</w:t>
            </w:r>
          </w:p>
        </w:tc>
      </w:tr>
    </w:tbl>
    <w:p w:rsidR="00031A3F" w:rsidRPr="00EE1E0C" w:rsidRDefault="00031A3F">
      <w:r w:rsidRPr="00EE1E0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pPr>
            <w:r w:rsidRPr="00EE1E0C">
              <w:t>Kriminalvårdens regionkansli i Härnösand</w:t>
            </w:r>
          </w:p>
        </w:tc>
        <w:tc>
          <w:tcPr>
            <w:tcW w:w="4406" w:type="dxa"/>
          </w:tcPr>
          <w:p w:rsidR="00031A3F" w:rsidRPr="00EE1E0C" w:rsidRDefault="00031A3F">
            <w:pPr>
              <w:jc w:val="left"/>
            </w:pPr>
            <w:r w:rsidRPr="00EE1E0C">
              <w:t xml:space="preserve">Regionkansliet ansluter sig i allt väsentligt till vad Kriminalvårdsstyrelsen anfört i sitt yttrande. Ett par år har gått sedan häktesnedläggningen och förhållandena har stabiliserats. Man har en väl fungerande verksamhet i Härnösand som också gäller personer från Östersund.   </w:t>
            </w:r>
          </w:p>
        </w:tc>
      </w:tr>
      <w:tr w:rsidR="00000000" w:rsidRPr="00EE1E0C">
        <w:tblPrEx>
          <w:tblCellMar>
            <w:top w:w="0" w:type="dxa"/>
            <w:bottom w:w="0" w:type="dxa"/>
          </w:tblCellMar>
        </w:tblPrEx>
        <w:trPr>
          <w:trHeight w:val="416"/>
        </w:trPr>
        <w:tc>
          <w:tcPr>
            <w:tcW w:w="1630" w:type="dxa"/>
          </w:tcPr>
          <w:p w:rsidR="00031A3F" w:rsidRPr="00EE1E0C" w:rsidRDefault="00031A3F">
            <w:pPr>
              <w:jc w:val="left"/>
            </w:pPr>
            <w:r w:rsidRPr="00EE1E0C">
              <w:t>Östersunds ko</w:t>
            </w:r>
            <w:r w:rsidRPr="00EE1E0C">
              <w:t>m</w:t>
            </w:r>
            <w:r w:rsidRPr="00EE1E0C">
              <w:t>mun</w:t>
            </w:r>
          </w:p>
        </w:tc>
        <w:tc>
          <w:tcPr>
            <w:tcW w:w="4406" w:type="dxa"/>
          </w:tcPr>
          <w:p w:rsidR="00031A3F" w:rsidRPr="00EE1E0C" w:rsidRDefault="00031A3F">
            <w:pPr>
              <w:jc w:val="left"/>
            </w:pPr>
            <w:r w:rsidRPr="00EE1E0C">
              <w:t>Nedläggningen av häktet i Östersund bör omprövas. Kriminalvårdsstyrelsen bör tillsammans med andra myndigheter i länet pröva möjligheten att finna en alternativ lösning som möjliggör häktesverksamhet i Östersund. Kriminalvårdsstyrelsen har, trots att ko</w:t>
            </w:r>
            <w:r w:rsidRPr="00EE1E0C">
              <w:t>m</w:t>
            </w:r>
            <w:r w:rsidRPr="00EE1E0C">
              <w:t>munen uppvaktat regeringen, givits möjlighet att g</w:t>
            </w:r>
            <w:r w:rsidRPr="00EE1E0C">
              <w:t>e</w:t>
            </w:r>
            <w:r w:rsidRPr="00EE1E0C">
              <w:t>nomföra besparingar som fått negativa konsekvenser för länet.</w:t>
            </w:r>
          </w:p>
          <w:p w:rsidR="00031A3F" w:rsidRPr="00EE1E0C" w:rsidRDefault="00031A3F">
            <w:pPr>
              <w:pStyle w:val="Normaltindrag"/>
            </w:pPr>
            <w:r w:rsidRPr="00EE1E0C">
              <w:t>Jämförelsen med mindre orter i Norrland utan häkte saknar relevans då Östersund har ett helt annat befol</w:t>
            </w:r>
            <w:r w:rsidRPr="00EE1E0C">
              <w:t>k</w:t>
            </w:r>
            <w:r w:rsidRPr="00EE1E0C">
              <w:t>ningsunderlag.</w:t>
            </w:r>
          </w:p>
        </w:tc>
      </w:tr>
      <w:tr w:rsidR="00000000" w:rsidRPr="00EE1E0C">
        <w:tblPrEx>
          <w:tblCellMar>
            <w:top w:w="0" w:type="dxa"/>
            <w:bottom w:w="0" w:type="dxa"/>
          </w:tblCellMar>
        </w:tblPrEx>
        <w:tc>
          <w:tcPr>
            <w:tcW w:w="1630" w:type="dxa"/>
          </w:tcPr>
          <w:p w:rsidR="00031A3F" w:rsidRPr="00EE1E0C" w:rsidRDefault="00031A3F">
            <w:pPr>
              <w:jc w:val="left"/>
            </w:pPr>
            <w:r w:rsidRPr="00EE1E0C">
              <w:t>Norra avdelningen av Sveriges Adv</w:t>
            </w:r>
            <w:r w:rsidRPr="00EE1E0C">
              <w:t>o</w:t>
            </w:r>
            <w:r w:rsidRPr="00EE1E0C">
              <w:t>katsamfund</w:t>
            </w:r>
          </w:p>
        </w:tc>
        <w:tc>
          <w:tcPr>
            <w:tcW w:w="4406" w:type="dxa"/>
          </w:tcPr>
          <w:p w:rsidR="00031A3F" w:rsidRPr="00EE1E0C" w:rsidRDefault="00031A3F">
            <w:pPr>
              <w:jc w:val="left"/>
            </w:pPr>
            <w:r w:rsidRPr="00EE1E0C">
              <w:t>Häktesnedläggningen är ett exempel på en inte acce</w:t>
            </w:r>
            <w:r w:rsidRPr="00EE1E0C">
              <w:t>p</w:t>
            </w:r>
            <w:r w:rsidRPr="00EE1E0C">
              <w:t>tabel utarmning av offentlig verksamhet som äventyrar grundläggande värden i rättsmaskineriet. Samhället måste acceptera att geografiska avstånd föranleder vissa merkostnader. Häktet i Östersund bör återuppstå.</w:t>
            </w:r>
          </w:p>
        </w:tc>
      </w:tr>
    </w:tbl>
    <w:p w:rsidR="00031A3F" w:rsidRPr="00EE1E0C" w:rsidRDefault="00031A3F">
      <w:pPr>
        <w:pStyle w:val="Rubrik2"/>
      </w:pPr>
      <w:bookmarkStart w:id="430" w:name="_Toc466264276"/>
      <w:r w:rsidRPr="00EE1E0C">
        <w:t>Utfallet av den samhällsekonomiska kalkylen</w:t>
      </w:r>
      <w:bookmarkEnd w:id="428"/>
      <w:bookmarkEnd w:id="430"/>
    </w:p>
    <w:p w:rsidR="00031A3F" w:rsidRPr="00EE1E0C" w:rsidRDefault="00031A3F">
      <w:pPr>
        <w:rPr>
          <w:i/>
        </w:rPr>
      </w:pPr>
      <w:r w:rsidRPr="00EE1E0C">
        <w:rPr>
          <w:i/>
        </w:rPr>
        <w:t>Revisorerna: En jämförelse med revisorernas tidigare beräkningar visar att kostnaderna för resor överskattades, medan samhällets kostnader för up</w:t>
      </w:r>
      <w:r w:rsidRPr="00EE1E0C">
        <w:rPr>
          <w:i/>
        </w:rPr>
        <w:t>p</w:t>
      </w:r>
      <w:r w:rsidRPr="00EE1E0C">
        <w:rPr>
          <w:i/>
        </w:rPr>
        <w:t>sagd personal och pensioner däremot underskattades. Efterkalkylen visar på i vissa fall väsentliga skillnader jämfört med tidigare beräkningar. Sa</w:t>
      </w:r>
      <w:r w:rsidRPr="00EE1E0C">
        <w:rPr>
          <w:i/>
        </w:rPr>
        <w:t>m</w:t>
      </w:r>
      <w:r w:rsidRPr="00EE1E0C">
        <w:rPr>
          <w:i/>
        </w:rPr>
        <w:t>mantaget överensstämmer revisorernas tidigare beräkningar relativt väl med de beräkningar revisorerna redovisar i den nya rapporten.</w:t>
      </w:r>
    </w:p>
    <w:p w:rsidR="00031A3F" w:rsidRPr="00EE1E0C" w:rsidRDefault="00031A3F">
      <w:pPr>
        <w:pStyle w:val="Normaltindrag"/>
        <w:rPr>
          <w:i/>
        </w:rPr>
      </w:pPr>
      <w:r w:rsidRPr="00EE1E0C">
        <w:rPr>
          <w:i/>
        </w:rPr>
        <w:t>Det finns ett samband mellan omfattningen av det operativa polisarbetet och besparingens storlek. Nedläggningen har delvis fått oförutsedda konse</w:t>
      </w:r>
      <w:r w:rsidRPr="00EE1E0C">
        <w:rPr>
          <w:i/>
        </w:rPr>
        <w:softHyphen/>
        <w:t>kvenser, framför allt beroende på att nedskärningar i polisverksamheten leder till bättre ekonomi för kriminalvården. Färre häktade har inneburit en större besparing för kriminalvården till följd av häktesnedläggningen.</w:t>
      </w:r>
    </w:p>
    <w:p w:rsidR="00031A3F" w:rsidRPr="00EE1E0C" w:rsidRDefault="00031A3F">
      <w:pPr>
        <w:pStyle w:val="Normaltindrag"/>
        <w:rPr>
          <w:i/>
        </w:rPr>
      </w:pPr>
    </w:p>
    <w:p w:rsidR="00031A3F" w:rsidRPr="00EE1E0C" w:rsidRDefault="00031A3F">
      <w:r w:rsidRPr="00EE1E0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Rikspolisstyrelsen</w:t>
            </w:r>
          </w:p>
        </w:tc>
        <w:tc>
          <w:tcPr>
            <w:tcW w:w="4406" w:type="dxa"/>
          </w:tcPr>
          <w:p w:rsidR="00031A3F" w:rsidRPr="00EE1E0C" w:rsidRDefault="00031A3F">
            <w:pPr>
              <w:jc w:val="left"/>
            </w:pPr>
            <w:r w:rsidRPr="00EE1E0C">
              <w:t>Revisorernas slutsats att nedskärningarna i polisväse</w:t>
            </w:r>
            <w:r w:rsidRPr="00EE1E0C">
              <w:t>n</w:t>
            </w:r>
            <w:r w:rsidRPr="00EE1E0C">
              <w:t>det leder till bättre ekonomi för kriminalvården lämnar utrymme för viss självkritik hos polisen. Man borde inom polisen ha kunnat påvisa de totala ekonomiska konsekvenserna för polisen på ett tydligare sätt och på så sätt givit statsmakterna ett tillfredsställande b</w:t>
            </w:r>
            <w:r w:rsidRPr="00EE1E0C">
              <w:t>e</w:t>
            </w:r>
            <w:r w:rsidRPr="00EE1E0C">
              <w:t>slutsunde</w:t>
            </w:r>
            <w:r w:rsidRPr="00EE1E0C">
              <w:t>r</w:t>
            </w:r>
            <w:r w:rsidRPr="00EE1E0C">
              <w:t>lag.</w:t>
            </w:r>
          </w:p>
        </w:tc>
      </w:tr>
      <w:tr w:rsidR="00000000" w:rsidRPr="00EE1E0C">
        <w:tblPrEx>
          <w:tblCellMar>
            <w:top w:w="0" w:type="dxa"/>
            <w:bottom w:w="0" w:type="dxa"/>
          </w:tblCellMar>
        </w:tblPrEx>
        <w:tc>
          <w:tcPr>
            <w:tcW w:w="1630" w:type="dxa"/>
          </w:tcPr>
          <w:p w:rsidR="00031A3F" w:rsidRPr="00EE1E0C" w:rsidRDefault="00031A3F">
            <w:pPr>
              <w:jc w:val="left"/>
            </w:pPr>
            <w:r w:rsidRPr="00EE1E0C">
              <w:t>Polismyndigheten i Jämtlands län</w:t>
            </w:r>
          </w:p>
        </w:tc>
        <w:tc>
          <w:tcPr>
            <w:tcW w:w="4406" w:type="dxa"/>
          </w:tcPr>
          <w:p w:rsidR="00031A3F" w:rsidRPr="00EE1E0C" w:rsidRDefault="00031A3F">
            <w:pPr>
              <w:jc w:val="left"/>
            </w:pPr>
            <w:r w:rsidRPr="00EE1E0C">
              <w:t>Det är naturligt att Kriminalvårdsstyrelsen kan redovisa en vinst. Det kan dock inte vara departementets mening att kostnader skall övervältras på andra statliga my</w:t>
            </w:r>
            <w:r w:rsidRPr="00EE1E0C">
              <w:t>n</w:t>
            </w:r>
            <w:r w:rsidRPr="00EE1E0C">
              <w:t>digh</w:t>
            </w:r>
            <w:r w:rsidRPr="00EE1E0C">
              <w:t>e</w:t>
            </w:r>
            <w:r w:rsidRPr="00EE1E0C">
              <w:t>ter.</w:t>
            </w:r>
          </w:p>
        </w:tc>
      </w:tr>
      <w:tr w:rsidR="00000000" w:rsidRPr="00EE1E0C">
        <w:tblPrEx>
          <w:tblCellMar>
            <w:top w:w="0" w:type="dxa"/>
            <w:bottom w:w="0" w:type="dxa"/>
          </w:tblCellMar>
        </w:tblPrEx>
        <w:tc>
          <w:tcPr>
            <w:tcW w:w="1630" w:type="dxa"/>
          </w:tcPr>
          <w:p w:rsidR="00031A3F" w:rsidRPr="00EE1E0C" w:rsidRDefault="00031A3F">
            <w:pPr>
              <w:jc w:val="left"/>
            </w:pPr>
            <w:r w:rsidRPr="00EE1E0C">
              <w:t>Kriminalvårdsst</w:t>
            </w:r>
            <w:r w:rsidRPr="00EE1E0C">
              <w:t>y</w:t>
            </w:r>
            <w:r w:rsidRPr="00EE1E0C">
              <w:t>relsen</w:t>
            </w:r>
          </w:p>
        </w:tc>
        <w:tc>
          <w:tcPr>
            <w:tcW w:w="4406" w:type="dxa"/>
          </w:tcPr>
          <w:p w:rsidR="00031A3F" w:rsidRPr="00EE1E0C" w:rsidRDefault="00031A3F">
            <w:pPr>
              <w:jc w:val="left"/>
            </w:pPr>
            <w:r w:rsidRPr="00EE1E0C">
              <w:t xml:space="preserve">Genom att rapporten redovisar ett positivt ekonomiskt utfall för staten som helhet undanröjs den tveksamhet i detta avseende som revisorerna givit uttryck för i sin tidigare rapport.  </w:t>
            </w:r>
          </w:p>
        </w:tc>
      </w:tr>
      <w:tr w:rsidR="00000000" w:rsidRPr="00EE1E0C">
        <w:tblPrEx>
          <w:tblCellMar>
            <w:top w:w="0" w:type="dxa"/>
            <w:bottom w:w="0" w:type="dxa"/>
          </w:tblCellMar>
        </w:tblPrEx>
        <w:tc>
          <w:tcPr>
            <w:tcW w:w="1630" w:type="dxa"/>
          </w:tcPr>
          <w:p w:rsidR="00031A3F" w:rsidRPr="00EE1E0C" w:rsidRDefault="00031A3F">
            <w:pPr>
              <w:jc w:val="left"/>
            </w:pPr>
            <w:r w:rsidRPr="00EE1E0C">
              <w:t>Länsstyrelsen i Jämtlands län</w:t>
            </w:r>
          </w:p>
        </w:tc>
        <w:tc>
          <w:tcPr>
            <w:tcW w:w="4406" w:type="dxa"/>
          </w:tcPr>
          <w:p w:rsidR="00031A3F" w:rsidRPr="00EE1E0C" w:rsidRDefault="00031A3F">
            <w:pPr>
              <w:jc w:val="left"/>
            </w:pPr>
            <w:r w:rsidRPr="00EE1E0C">
              <w:t>Revisorerna belyser i sin rapport en oacceptabel situ</w:t>
            </w:r>
            <w:r w:rsidRPr="00EE1E0C">
              <w:t>a</w:t>
            </w:r>
            <w:r w:rsidRPr="00EE1E0C">
              <w:t>tion då man konstaterar att nedskärningar inom polisen leder till bättre ekonomi för kriminalvården.</w:t>
            </w:r>
          </w:p>
        </w:tc>
      </w:tr>
    </w:tbl>
    <w:p w:rsidR="00031A3F" w:rsidRPr="00EE1E0C" w:rsidRDefault="00031A3F">
      <w:pPr>
        <w:pStyle w:val="Rubrik2"/>
      </w:pPr>
      <w:bookmarkStart w:id="431" w:name="_Toc430330553"/>
      <w:bookmarkStart w:id="432" w:name="_Toc466264277"/>
      <w:r w:rsidRPr="00EE1E0C">
        <w:t>Effekterna för kriminalvården</w:t>
      </w:r>
      <w:bookmarkEnd w:id="431"/>
      <w:bookmarkEnd w:id="432"/>
    </w:p>
    <w:p w:rsidR="00031A3F" w:rsidRPr="00EE1E0C" w:rsidRDefault="00031A3F">
      <w:pPr>
        <w:rPr>
          <w:i/>
        </w:rPr>
      </w:pPr>
      <w:r w:rsidRPr="00EE1E0C">
        <w:rPr>
          <w:i/>
        </w:rPr>
        <w:t xml:space="preserve">Revisorerna: Kriminalvården har gjort en vinst genom att lägga ned häktet i Östersund. Det beror främst på att det fanns överkapacitet vid häktena i både Östersund och Härnösand. </w:t>
      </w:r>
    </w:p>
    <w:p w:rsidR="00031A3F" w:rsidRPr="00EE1E0C" w:rsidRDefault="00031A3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jc w:val="left"/>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Kriminalvårdsst</w:t>
            </w:r>
            <w:r w:rsidRPr="00EE1E0C">
              <w:t>y</w:t>
            </w:r>
            <w:r w:rsidRPr="00EE1E0C">
              <w:t>relsen</w:t>
            </w:r>
          </w:p>
        </w:tc>
        <w:tc>
          <w:tcPr>
            <w:tcW w:w="4406" w:type="dxa"/>
          </w:tcPr>
          <w:p w:rsidR="00031A3F" w:rsidRPr="00EE1E0C" w:rsidRDefault="00031A3F">
            <w:pPr>
              <w:jc w:val="left"/>
            </w:pPr>
            <w:r w:rsidRPr="00EE1E0C">
              <w:t>Att det var ekonomiskt motiverat för kriminalvården att lägga ned häktet i Östersund var Kriminalvårdsstyre</w:t>
            </w:r>
            <w:r w:rsidRPr="00EE1E0C">
              <w:t>l</w:t>
            </w:r>
            <w:r w:rsidRPr="00EE1E0C">
              <w:t>sens ansvar. Däremot anser sig styrelsen inte ha i up</w:t>
            </w:r>
            <w:r w:rsidRPr="00EE1E0C">
              <w:t>p</w:t>
            </w:r>
            <w:r w:rsidRPr="00EE1E0C">
              <w:t>drag att väga in statsfinansiella och samhällsekonomi</w:t>
            </w:r>
            <w:r w:rsidRPr="00EE1E0C">
              <w:t>s</w:t>
            </w:r>
            <w:r w:rsidRPr="00EE1E0C">
              <w:t>ka konsekvenser i ett beslutsunderlag avseende en besparingsåtgärd inom den egna myndigheten. Just</w:t>
            </w:r>
            <w:r w:rsidRPr="00EE1E0C">
              <w:t>i</w:t>
            </w:r>
            <w:r w:rsidRPr="00EE1E0C">
              <w:t>tieministern angav i sitt interpellationssvar den 3 maj 1996, avseende nedläggningen av häktet i Östersund, att det är regeringens uppgift att väga samman alla aspekter och göra en helhetsbedömning av vad som bäst gagnar samhället i stort.</w:t>
            </w:r>
          </w:p>
        </w:tc>
      </w:tr>
    </w:tbl>
    <w:p w:rsidR="00031A3F" w:rsidRPr="00EE1E0C" w:rsidRDefault="00031A3F">
      <w:pPr>
        <w:rPr>
          <w:sz w:val="22"/>
        </w:rPr>
      </w:pPr>
      <w:bookmarkStart w:id="433" w:name="_Toc430330554"/>
    </w:p>
    <w:p w:rsidR="00031A3F" w:rsidRPr="00EE1E0C" w:rsidRDefault="00031A3F">
      <w:pPr>
        <w:pStyle w:val="Rubrik2"/>
      </w:pPr>
      <w:r w:rsidRPr="00EE1E0C">
        <w:br w:type="page"/>
      </w:r>
      <w:bookmarkStart w:id="434" w:name="_Toc466264278"/>
      <w:r w:rsidRPr="00EE1E0C">
        <w:t>Effekterna för polis, åklagare och advokat</w:t>
      </w:r>
      <w:bookmarkEnd w:id="433"/>
      <w:bookmarkEnd w:id="434"/>
    </w:p>
    <w:p w:rsidR="00031A3F" w:rsidRPr="00EE1E0C" w:rsidRDefault="00031A3F">
      <w:pPr>
        <w:rPr>
          <w:i/>
        </w:rPr>
      </w:pPr>
      <w:r w:rsidRPr="00EE1E0C">
        <w:rPr>
          <w:i/>
        </w:rPr>
        <w:t>Revisorerna: Nedläggningen har medfört ökade kostnader för främst polisen. Ökade kostnader för hyror, arrestbevakning och resor har givit mindre u</w:t>
      </w:r>
      <w:r w:rsidRPr="00EE1E0C">
        <w:rPr>
          <w:i/>
        </w:rPr>
        <w:t>t</w:t>
      </w:r>
      <w:r w:rsidRPr="00EE1E0C">
        <w:rPr>
          <w:i/>
        </w:rPr>
        <w:t xml:space="preserve">rymme för operativt polisarbete. </w:t>
      </w:r>
    </w:p>
    <w:p w:rsidR="00031A3F" w:rsidRPr="00EE1E0C" w:rsidRDefault="00031A3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jc w:val="left"/>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Riksåklagaren</w:t>
            </w:r>
          </w:p>
        </w:tc>
        <w:tc>
          <w:tcPr>
            <w:tcW w:w="4406" w:type="dxa"/>
          </w:tcPr>
          <w:p w:rsidR="00031A3F" w:rsidRPr="00EE1E0C" w:rsidRDefault="00031A3F">
            <w:pPr>
              <w:jc w:val="left"/>
            </w:pPr>
            <w:r w:rsidRPr="00EE1E0C">
              <w:t>Från åklagarsynpunkt är det en fördel om häkten finns på de orter där åklagarverksa</w:t>
            </w:r>
            <w:r w:rsidRPr="00EE1E0C">
              <w:t>m</w:t>
            </w:r>
            <w:r w:rsidRPr="00EE1E0C">
              <w:t>het bedrivs.</w:t>
            </w:r>
          </w:p>
        </w:tc>
      </w:tr>
      <w:tr w:rsidR="00000000" w:rsidRPr="00EE1E0C">
        <w:tblPrEx>
          <w:tblCellMar>
            <w:top w:w="0" w:type="dxa"/>
            <w:bottom w:w="0" w:type="dxa"/>
          </w:tblCellMar>
        </w:tblPrEx>
        <w:tc>
          <w:tcPr>
            <w:tcW w:w="1630" w:type="dxa"/>
          </w:tcPr>
          <w:p w:rsidR="00031A3F" w:rsidRPr="00EE1E0C" w:rsidRDefault="00031A3F">
            <w:pPr>
              <w:jc w:val="left"/>
            </w:pPr>
            <w:r w:rsidRPr="00EE1E0C">
              <w:t>Rikspolisstyrelsen</w:t>
            </w:r>
          </w:p>
        </w:tc>
        <w:tc>
          <w:tcPr>
            <w:tcW w:w="4406" w:type="dxa"/>
          </w:tcPr>
          <w:p w:rsidR="00031A3F" w:rsidRPr="00EE1E0C" w:rsidRDefault="00031A3F">
            <w:pPr>
              <w:jc w:val="left"/>
            </w:pPr>
            <w:r w:rsidRPr="00EE1E0C">
              <w:t>Kompetensen inom polisen att utföra komplicerade ekonomiska kalkyler har tidigare varit begränsad. U</w:t>
            </w:r>
            <w:r w:rsidRPr="00EE1E0C">
              <w:t>n</w:t>
            </w:r>
            <w:r w:rsidRPr="00EE1E0C">
              <w:t>der senare år har man uppmärksammat att det finns anledning att höja denna kompetens. Revisorernas rapport är av stort intresse som metodologisk för</w:t>
            </w:r>
            <w:r w:rsidRPr="00EE1E0C">
              <w:t>e</w:t>
            </w:r>
            <w:r w:rsidRPr="00EE1E0C">
              <w:t>bild,och därför kommer rapporten att spridas till sam</w:t>
            </w:r>
            <w:r w:rsidRPr="00EE1E0C">
              <w:t>t</w:t>
            </w:r>
            <w:r w:rsidRPr="00EE1E0C">
              <w:t>liga myndigheter i polisv</w:t>
            </w:r>
            <w:r w:rsidRPr="00EE1E0C">
              <w:t>ä</w:t>
            </w:r>
            <w:r w:rsidRPr="00EE1E0C">
              <w:t>sendet.</w:t>
            </w:r>
          </w:p>
        </w:tc>
      </w:tr>
      <w:tr w:rsidR="00000000" w:rsidRPr="00EE1E0C">
        <w:tblPrEx>
          <w:tblCellMar>
            <w:top w:w="0" w:type="dxa"/>
            <w:bottom w:w="0" w:type="dxa"/>
          </w:tblCellMar>
        </w:tblPrEx>
        <w:tc>
          <w:tcPr>
            <w:tcW w:w="1630" w:type="dxa"/>
          </w:tcPr>
          <w:p w:rsidR="00031A3F" w:rsidRPr="00EE1E0C" w:rsidRDefault="00031A3F">
            <w:pPr>
              <w:jc w:val="left"/>
            </w:pPr>
            <w:r w:rsidRPr="00EE1E0C">
              <w:t>Östersunds ko</w:t>
            </w:r>
            <w:r w:rsidRPr="00EE1E0C">
              <w:t>m</w:t>
            </w:r>
            <w:r w:rsidRPr="00EE1E0C">
              <w:t>mun</w:t>
            </w:r>
          </w:p>
        </w:tc>
        <w:tc>
          <w:tcPr>
            <w:tcW w:w="4406" w:type="dxa"/>
          </w:tcPr>
          <w:p w:rsidR="00031A3F" w:rsidRPr="00EE1E0C" w:rsidRDefault="00031A3F">
            <w:pPr>
              <w:jc w:val="left"/>
            </w:pPr>
            <w:r w:rsidRPr="00EE1E0C">
              <w:t>Ur ett medborgerligt perspektiv är det orimligt att op</w:t>
            </w:r>
            <w:r w:rsidRPr="00EE1E0C">
              <w:t>e</w:t>
            </w:r>
            <w:r w:rsidRPr="00EE1E0C">
              <w:t>rativt polisarbete och utredande insatser prioriteras bort på grund av att en annan statlig myndighet gör en b</w:t>
            </w:r>
            <w:r w:rsidRPr="00EE1E0C">
              <w:t>e</w:t>
            </w:r>
            <w:r w:rsidRPr="00EE1E0C">
              <w:t>sparing. Det är stötande för den allmänna rättskänslan att antalet häktade blivit färre även om det beror på att man från polisen tvingats till felakt</w:t>
            </w:r>
            <w:r w:rsidRPr="00EE1E0C">
              <w:t>i</w:t>
            </w:r>
            <w:r w:rsidRPr="00EE1E0C">
              <w:t xml:space="preserve">ga prioriteringar. </w:t>
            </w:r>
          </w:p>
        </w:tc>
      </w:tr>
      <w:tr w:rsidR="00000000" w:rsidRPr="00EE1E0C">
        <w:tblPrEx>
          <w:tblCellMar>
            <w:top w:w="0" w:type="dxa"/>
            <w:bottom w:w="0" w:type="dxa"/>
          </w:tblCellMar>
        </w:tblPrEx>
        <w:tc>
          <w:tcPr>
            <w:tcW w:w="1630" w:type="dxa"/>
          </w:tcPr>
          <w:p w:rsidR="00031A3F" w:rsidRPr="00EE1E0C" w:rsidRDefault="00031A3F">
            <w:pPr>
              <w:jc w:val="left"/>
            </w:pPr>
            <w:r w:rsidRPr="00EE1E0C">
              <w:t>Norra avdelningen av Sveriges Adv</w:t>
            </w:r>
            <w:r w:rsidRPr="00EE1E0C">
              <w:t>o</w:t>
            </w:r>
            <w:r w:rsidRPr="00EE1E0C">
              <w:t>katsamfund</w:t>
            </w:r>
          </w:p>
        </w:tc>
        <w:tc>
          <w:tcPr>
            <w:tcW w:w="4406" w:type="dxa"/>
          </w:tcPr>
          <w:p w:rsidR="00031A3F" w:rsidRPr="00EE1E0C" w:rsidRDefault="00031A3F">
            <w:pPr>
              <w:jc w:val="left"/>
            </w:pPr>
            <w:r w:rsidRPr="00EE1E0C">
              <w:t>Poliser, advokater och åklagare tvingas till betydligt mer improduktivt arbete i varje enskilt fall, vilket utgör slöseri med tillgängliga resurser både i det enskilda ärendet och totalt sett eftersom färre ärenden kan hant</w:t>
            </w:r>
            <w:r w:rsidRPr="00EE1E0C">
              <w:t>e</w:t>
            </w:r>
            <w:r w:rsidRPr="00EE1E0C">
              <w:t>ras.</w:t>
            </w:r>
          </w:p>
        </w:tc>
      </w:tr>
    </w:tbl>
    <w:p w:rsidR="00031A3F" w:rsidRPr="00EE1E0C" w:rsidRDefault="00031A3F">
      <w:pPr>
        <w:pStyle w:val="Rubrik2"/>
      </w:pPr>
      <w:bookmarkStart w:id="435" w:name="_Toc430330555"/>
      <w:bookmarkStart w:id="436" w:name="_Toc466264279"/>
      <w:r w:rsidRPr="00EE1E0C">
        <w:t>Transporter</w:t>
      </w:r>
      <w:bookmarkEnd w:id="435"/>
      <w:bookmarkEnd w:id="436"/>
    </w:p>
    <w:p w:rsidR="00031A3F" w:rsidRPr="00EE1E0C" w:rsidRDefault="00031A3F">
      <w:pPr>
        <w:rPr>
          <w:i/>
        </w:rPr>
      </w:pPr>
      <w:r w:rsidRPr="00EE1E0C">
        <w:rPr>
          <w:i/>
        </w:rPr>
        <w:t>Det långa avståndet till närmaste häkte har medfört att villkoren för polisens utredningsverksamhet har försämrats.</w:t>
      </w:r>
    </w:p>
    <w:p w:rsidR="00031A3F" w:rsidRPr="00EE1E0C" w:rsidRDefault="00031A3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jc w:val="left"/>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Åklagarkammaren i Östersund</w:t>
            </w:r>
          </w:p>
        </w:tc>
        <w:tc>
          <w:tcPr>
            <w:tcW w:w="4406" w:type="dxa"/>
          </w:tcPr>
          <w:p w:rsidR="00031A3F" w:rsidRPr="00EE1E0C" w:rsidRDefault="00031A3F">
            <w:pPr>
              <w:jc w:val="left"/>
            </w:pPr>
            <w:r w:rsidRPr="00EE1E0C">
              <w:t>Det ökade antalet transporter är negativt för utredning</w:t>
            </w:r>
            <w:r w:rsidRPr="00EE1E0C">
              <w:t>s</w:t>
            </w:r>
            <w:r w:rsidRPr="00EE1E0C">
              <w:t>säkerheten.</w:t>
            </w:r>
          </w:p>
        </w:tc>
      </w:tr>
      <w:tr w:rsidR="00000000" w:rsidRPr="00EE1E0C">
        <w:tblPrEx>
          <w:tblCellMar>
            <w:top w:w="0" w:type="dxa"/>
            <w:bottom w:w="0" w:type="dxa"/>
          </w:tblCellMar>
        </w:tblPrEx>
        <w:tc>
          <w:tcPr>
            <w:tcW w:w="1630" w:type="dxa"/>
          </w:tcPr>
          <w:p w:rsidR="00031A3F" w:rsidRPr="00EE1E0C" w:rsidRDefault="00031A3F">
            <w:pPr>
              <w:jc w:val="left"/>
            </w:pPr>
            <w:r w:rsidRPr="00EE1E0C">
              <w:t>Polismyndigheten i Jämtlands län</w:t>
            </w:r>
          </w:p>
        </w:tc>
        <w:tc>
          <w:tcPr>
            <w:tcW w:w="4406" w:type="dxa"/>
          </w:tcPr>
          <w:p w:rsidR="00031A3F" w:rsidRPr="00EE1E0C" w:rsidRDefault="00031A3F">
            <w:pPr>
              <w:jc w:val="left"/>
            </w:pPr>
            <w:r w:rsidRPr="00EE1E0C">
              <w:t>Transporter av häktade till Härnösand och i vissa fall till Umeå, Gävle och Falun är inte försvarbart från mäns</w:t>
            </w:r>
            <w:r w:rsidRPr="00EE1E0C">
              <w:t>k</w:t>
            </w:r>
            <w:r w:rsidRPr="00EE1E0C">
              <w:t>lig och social synpunkt eller från miljösynpunkt.</w:t>
            </w:r>
          </w:p>
        </w:tc>
      </w:tr>
    </w:tbl>
    <w:p w:rsidR="00031A3F" w:rsidRPr="00EE1E0C" w:rsidRDefault="00031A3F">
      <w:r w:rsidRPr="00EE1E0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pPr>
            <w:r w:rsidRPr="00EE1E0C">
              <w:t>Länsstyrelsen i Jämtlands län</w:t>
            </w:r>
          </w:p>
        </w:tc>
        <w:tc>
          <w:tcPr>
            <w:tcW w:w="4406" w:type="dxa"/>
          </w:tcPr>
          <w:p w:rsidR="00031A3F" w:rsidRPr="00EE1E0C" w:rsidRDefault="00031A3F">
            <w:pPr>
              <w:jc w:val="left"/>
            </w:pPr>
            <w:r w:rsidRPr="00EE1E0C">
              <w:t>Resurser som går till transport av häktade borde anvä</w:t>
            </w:r>
            <w:r w:rsidRPr="00EE1E0C">
              <w:t>n</w:t>
            </w:r>
            <w:r w:rsidRPr="00EE1E0C">
              <w:t>das för bättre utre</w:t>
            </w:r>
            <w:r w:rsidRPr="00EE1E0C">
              <w:t>d</w:t>
            </w:r>
            <w:r w:rsidRPr="00EE1E0C">
              <w:t>ningar.</w:t>
            </w:r>
          </w:p>
        </w:tc>
      </w:tr>
      <w:tr w:rsidR="00000000" w:rsidRPr="00EE1E0C">
        <w:tblPrEx>
          <w:tblCellMar>
            <w:top w:w="0" w:type="dxa"/>
            <w:bottom w:w="0" w:type="dxa"/>
          </w:tblCellMar>
        </w:tblPrEx>
        <w:tc>
          <w:tcPr>
            <w:tcW w:w="1630" w:type="dxa"/>
          </w:tcPr>
          <w:p w:rsidR="00031A3F" w:rsidRPr="00EE1E0C" w:rsidRDefault="00031A3F">
            <w:pPr>
              <w:jc w:val="left"/>
            </w:pPr>
            <w:r w:rsidRPr="00EE1E0C">
              <w:t>Östersunds ko</w:t>
            </w:r>
            <w:r w:rsidRPr="00EE1E0C">
              <w:t>m</w:t>
            </w:r>
            <w:r w:rsidRPr="00EE1E0C">
              <w:t>mun</w:t>
            </w:r>
          </w:p>
        </w:tc>
        <w:tc>
          <w:tcPr>
            <w:tcW w:w="4406" w:type="dxa"/>
          </w:tcPr>
          <w:p w:rsidR="00031A3F" w:rsidRPr="00EE1E0C" w:rsidRDefault="00031A3F">
            <w:pPr>
              <w:jc w:val="left"/>
            </w:pPr>
            <w:r w:rsidRPr="00EE1E0C">
              <w:t>Ur ett långsiktigt miljöperspektiv är det orimligt med transporter till Härnösand, Gävle, Falun och Umeå.</w:t>
            </w:r>
          </w:p>
        </w:tc>
      </w:tr>
    </w:tbl>
    <w:p w:rsidR="00031A3F" w:rsidRPr="00EE1E0C" w:rsidRDefault="00031A3F">
      <w:pPr>
        <w:pStyle w:val="Rubrik2"/>
      </w:pPr>
      <w:bookmarkStart w:id="437" w:name="_Toc430330556"/>
      <w:bookmarkStart w:id="438" w:name="_Toc466264280"/>
      <w:r w:rsidRPr="00EE1E0C">
        <w:t>De häktades situation</w:t>
      </w:r>
      <w:bookmarkEnd w:id="437"/>
      <w:bookmarkEnd w:id="438"/>
    </w:p>
    <w:p w:rsidR="00031A3F" w:rsidRPr="00EE1E0C" w:rsidRDefault="00031A3F">
      <w:pPr>
        <w:rPr>
          <w:i/>
        </w:rPr>
      </w:pPr>
      <w:r w:rsidRPr="00EE1E0C">
        <w:rPr>
          <w:i/>
        </w:rPr>
        <w:t>Revisorerna: Häktade från Östersundsområdet får inte lika ofta besök av sina anhöriga som övriga häktade. De har även sämre möjligheter att träffa sin advokat. Det långa avståndet till närmaste häkte har medfört att villkoren för polisens utredningsverksamhet har försämrats.</w:t>
      </w:r>
    </w:p>
    <w:p w:rsidR="00031A3F" w:rsidRPr="00EE1E0C" w:rsidRDefault="00031A3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jc w:val="left"/>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Kriminalvårdsst</w:t>
            </w:r>
            <w:r w:rsidRPr="00EE1E0C">
              <w:t>y</w:t>
            </w:r>
            <w:r w:rsidRPr="00EE1E0C">
              <w:t>relsen</w:t>
            </w:r>
          </w:p>
        </w:tc>
        <w:tc>
          <w:tcPr>
            <w:tcW w:w="4406" w:type="dxa"/>
          </w:tcPr>
          <w:p w:rsidR="00031A3F" w:rsidRPr="00EE1E0C" w:rsidRDefault="00031A3F">
            <w:pPr>
              <w:jc w:val="left"/>
            </w:pPr>
            <w:r w:rsidRPr="00EE1E0C">
              <w:t>De minskade möjligheter häktade från Östersundso</w:t>
            </w:r>
            <w:r w:rsidRPr="00EE1E0C">
              <w:t>m</w:t>
            </w:r>
            <w:r w:rsidRPr="00EE1E0C">
              <w:t xml:space="preserve">rådet har att träffa anhöriga kompenseras av de vidgade möjligheter till gemensamhet som Härnösandshäktet kan erbjuda. </w:t>
            </w:r>
          </w:p>
        </w:tc>
      </w:tr>
      <w:tr w:rsidR="00000000" w:rsidRPr="00EE1E0C">
        <w:tblPrEx>
          <w:tblCellMar>
            <w:top w:w="0" w:type="dxa"/>
            <w:bottom w:w="0" w:type="dxa"/>
          </w:tblCellMar>
        </w:tblPrEx>
        <w:tc>
          <w:tcPr>
            <w:tcW w:w="1630" w:type="dxa"/>
          </w:tcPr>
          <w:p w:rsidR="00031A3F" w:rsidRPr="00EE1E0C" w:rsidRDefault="00031A3F">
            <w:pPr>
              <w:jc w:val="left"/>
            </w:pPr>
            <w:r w:rsidRPr="00EE1E0C">
              <w:t>Östersunds ko</w:t>
            </w:r>
            <w:r w:rsidRPr="00EE1E0C">
              <w:t>m</w:t>
            </w:r>
            <w:r w:rsidRPr="00EE1E0C">
              <w:t>mun</w:t>
            </w:r>
          </w:p>
        </w:tc>
        <w:tc>
          <w:tcPr>
            <w:tcW w:w="4406" w:type="dxa"/>
          </w:tcPr>
          <w:p w:rsidR="00031A3F" w:rsidRPr="00EE1E0C" w:rsidRDefault="00031A3F">
            <w:pPr>
              <w:jc w:val="left"/>
            </w:pPr>
            <w:r w:rsidRPr="00EE1E0C">
              <w:t>Nedläggningen har inneburit en större isolering från närsamhället för de häktade.</w:t>
            </w:r>
          </w:p>
        </w:tc>
      </w:tr>
      <w:tr w:rsidR="00000000" w:rsidRPr="00EE1E0C">
        <w:tblPrEx>
          <w:tblCellMar>
            <w:top w:w="0" w:type="dxa"/>
            <w:bottom w:w="0" w:type="dxa"/>
          </w:tblCellMar>
        </w:tblPrEx>
        <w:tc>
          <w:tcPr>
            <w:tcW w:w="1630" w:type="dxa"/>
          </w:tcPr>
          <w:p w:rsidR="00031A3F" w:rsidRPr="00EE1E0C" w:rsidRDefault="00031A3F">
            <w:pPr>
              <w:jc w:val="left"/>
            </w:pPr>
            <w:r w:rsidRPr="00EE1E0C">
              <w:t>Norra avdelningen av Sveriges Adv</w:t>
            </w:r>
            <w:r w:rsidRPr="00EE1E0C">
              <w:t>o</w:t>
            </w:r>
            <w:r w:rsidRPr="00EE1E0C">
              <w:t>katsamfund</w:t>
            </w:r>
          </w:p>
        </w:tc>
        <w:tc>
          <w:tcPr>
            <w:tcW w:w="4406" w:type="dxa"/>
          </w:tcPr>
          <w:p w:rsidR="00031A3F" w:rsidRPr="00EE1E0C" w:rsidRDefault="00031A3F">
            <w:pPr>
              <w:jc w:val="left"/>
            </w:pPr>
            <w:r w:rsidRPr="00EE1E0C">
              <w:t>För såväl samhället som den häktade är det viktigt att utredningen i samband med häktning kan ske genom direktkontakt med den häktade.</w:t>
            </w:r>
          </w:p>
        </w:tc>
      </w:tr>
    </w:tbl>
    <w:p w:rsidR="00031A3F" w:rsidRPr="00EE1E0C" w:rsidRDefault="00031A3F">
      <w:pPr>
        <w:pStyle w:val="Rubrik2"/>
      </w:pPr>
      <w:bookmarkStart w:id="439" w:name="_Toc430330557"/>
      <w:bookmarkStart w:id="440" w:name="_Toc466264281"/>
      <w:r w:rsidRPr="00EE1E0C">
        <w:t>Utredningarnas kvalitet och rättssäkerhet</w:t>
      </w:r>
      <w:bookmarkEnd w:id="439"/>
      <w:r w:rsidRPr="00EE1E0C">
        <w:t>en</w:t>
      </w:r>
      <w:bookmarkEnd w:id="440"/>
    </w:p>
    <w:p w:rsidR="00031A3F" w:rsidRPr="00EE1E0C" w:rsidRDefault="00031A3F">
      <w:pPr>
        <w:rPr>
          <w:i/>
        </w:rPr>
      </w:pPr>
      <w:r w:rsidRPr="00EE1E0C">
        <w:rPr>
          <w:i/>
        </w:rPr>
        <w:t xml:space="preserve">Nedläggningen av häktet i Östersund har inneburit mindre polisarbete, färre besök samt risk för sämre utredningar. Revisorerna menar att effekterna för utredningskvaliteten förtjänar fortsatt uppmärksamhet. </w:t>
      </w:r>
    </w:p>
    <w:p w:rsidR="00031A3F" w:rsidRPr="00EE1E0C" w:rsidRDefault="00031A3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rPr>
                <w:b/>
              </w:rPr>
            </w:pPr>
            <w:r w:rsidRPr="00EE1E0C">
              <w:rPr>
                <w:b/>
              </w:rPr>
              <w:t>Remissinstans</w:t>
            </w:r>
          </w:p>
        </w:tc>
        <w:tc>
          <w:tcPr>
            <w:tcW w:w="4406" w:type="dxa"/>
          </w:tcPr>
          <w:p w:rsidR="00031A3F" w:rsidRPr="00EE1E0C" w:rsidRDefault="00031A3F">
            <w:pPr>
              <w:jc w:val="left"/>
              <w:rPr>
                <w:b/>
              </w:rPr>
            </w:pPr>
            <w:r w:rsidRPr="00EE1E0C">
              <w:rPr>
                <w:b/>
              </w:rPr>
              <w:t>Särskilda kommentarer</w:t>
            </w:r>
          </w:p>
        </w:tc>
      </w:tr>
      <w:tr w:rsidR="00000000" w:rsidRPr="00EE1E0C">
        <w:tblPrEx>
          <w:tblCellMar>
            <w:top w:w="0" w:type="dxa"/>
            <w:bottom w:w="0" w:type="dxa"/>
          </w:tblCellMar>
        </w:tblPrEx>
        <w:tc>
          <w:tcPr>
            <w:tcW w:w="1630" w:type="dxa"/>
          </w:tcPr>
          <w:p w:rsidR="00031A3F" w:rsidRPr="00EE1E0C" w:rsidRDefault="00031A3F">
            <w:pPr>
              <w:jc w:val="left"/>
            </w:pPr>
            <w:r w:rsidRPr="00EE1E0C">
              <w:t>Åklagarmyndi</w:t>
            </w:r>
            <w:r w:rsidRPr="00EE1E0C">
              <w:t>g</w:t>
            </w:r>
            <w:r w:rsidRPr="00EE1E0C">
              <w:t>heten i Sundsvall</w:t>
            </w:r>
          </w:p>
        </w:tc>
        <w:tc>
          <w:tcPr>
            <w:tcW w:w="4406" w:type="dxa"/>
          </w:tcPr>
          <w:p w:rsidR="00031A3F" w:rsidRPr="00EE1E0C" w:rsidRDefault="00031A3F">
            <w:pPr>
              <w:jc w:val="left"/>
            </w:pPr>
            <w:r w:rsidRPr="00EE1E0C">
              <w:t>Utredningskvaliteten  förtjänar fortsatt uppmärksamhet. Det kan finnas problem i utredningsarbetet och i åkl</w:t>
            </w:r>
            <w:r w:rsidRPr="00EE1E0C">
              <w:t>a</w:t>
            </w:r>
            <w:r w:rsidRPr="00EE1E0C">
              <w:t>gara</w:t>
            </w:r>
            <w:r w:rsidRPr="00EE1E0C">
              <w:t>r</w:t>
            </w:r>
            <w:r w:rsidRPr="00EE1E0C">
              <w:t>betet som kräver en närmare analys.</w:t>
            </w:r>
          </w:p>
        </w:tc>
      </w:tr>
    </w:tbl>
    <w:p w:rsidR="00031A3F" w:rsidRPr="00EE1E0C" w:rsidRDefault="00031A3F">
      <w:r w:rsidRPr="00EE1E0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06"/>
      </w:tblGrid>
      <w:tr w:rsidR="00000000" w:rsidRPr="00EE1E0C">
        <w:tblPrEx>
          <w:tblCellMar>
            <w:top w:w="0" w:type="dxa"/>
            <w:bottom w:w="0" w:type="dxa"/>
          </w:tblCellMar>
        </w:tblPrEx>
        <w:tc>
          <w:tcPr>
            <w:tcW w:w="1630" w:type="dxa"/>
          </w:tcPr>
          <w:p w:rsidR="00031A3F" w:rsidRPr="00EE1E0C" w:rsidRDefault="00031A3F">
            <w:pPr>
              <w:jc w:val="left"/>
            </w:pPr>
            <w:r w:rsidRPr="00EE1E0C">
              <w:t>Åklagarkammaren i Östersund</w:t>
            </w:r>
          </w:p>
        </w:tc>
        <w:tc>
          <w:tcPr>
            <w:tcW w:w="4406" w:type="dxa"/>
          </w:tcPr>
          <w:p w:rsidR="00031A3F" w:rsidRPr="00EE1E0C" w:rsidRDefault="00031A3F">
            <w:pPr>
              <w:jc w:val="left"/>
            </w:pPr>
            <w:r w:rsidRPr="00EE1E0C">
              <w:t>Frågan om förundersökningarnas kvalitet bör förtydl</w:t>
            </w:r>
            <w:r w:rsidRPr="00EE1E0C">
              <w:t>i</w:t>
            </w:r>
            <w:r w:rsidRPr="00EE1E0C">
              <w:t>gas. I formell mening uppfyller utredningarna de krav som kan ställas. Det minskade antalet förhör med den häktade medför dock risk för att man inte kommer lika långt i utredningen. Vid återkommande förhör är det inte ovanligt att man lyckas utreda brott där man från början inte hade några riktade misstankar. Detta för</w:t>
            </w:r>
            <w:r w:rsidRPr="00EE1E0C">
              <w:t>e</w:t>
            </w:r>
            <w:r w:rsidRPr="00EE1E0C">
              <w:t>kommer inte alls i samma utsträckning när huvuddelen av förhören med den misstänkte sker före häktningsfö</w:t>
            </w:r>
            <w:r w:rsidRPr="00EE1E0C">
              <w:t>r</w:t>
            </w:r>
            <w:r w:rsidRPr="00EE1E0C">
              <w:t>han</w:t>
            </w:r>
            <w:r w:rsidRPr="00EE1E0C">
              <w:t>d</w:t>
            </w:r>
            <w:r w:rsidRPr="00EE1E0C">
              <w:t>lingen.</w:t>
            </w:r>
          </w:p>
        </w:tc>
      </w:tr>
      <w:tr w:rsidR="00000000" w:rsidRPr="00EE1E0C">
        <w:tblPrEx>
          <w:tblCellMar>
            <w:top w:w="0" w:type="dxa"/>
            <w:bottom w:w="0" w:type="dxa"/>
          </w:tblCellMar>
        </w:tblPrEx>
        <w:tc>
          <w:tcPr>
            <w:tcW w:w="1630" w:type="dxa"/>
          </w:tcPr>
          <w:p w:rsidR="00031A3F" w:rsidRPr="00EE1E0C" w:rsidRDefault="00031A3F">
            <w:pPr>
              <w:jc w:val="left"/>
            </w:pPr>
            <w:r w:rsidRPr="00EE1E0C">
              <w:t>Kriminalvårdsst</w:t>
            </w:r>
            <w:r w:rsidRPr="00EE1E0C">
              <w:t>y</w:t>
            </w:r>
            <w:r w:rsidRPr="00EE1E0C">
              <w:t>relsen</w:t>
            </w:r>
          </w:p>
        </w:tc>
        <w:tc>
          <w:tcPr>
            <w:tcW w:w="4406" w:type="dxa"/>
          </w:tcPr>
          <w:p w:rsidR="00031A3F" w:rsidRPr="00EE1E0C" w:rsidRDefault="00031A3F">
            <w:pPr>
              <w:jc w:val="left"/>
            </w:pPr>
            <w:r w:rsidRPr="00EE1E0C">
              <w:t>Att häktade från Östersundsområdet skulle försättas på fri fot i större utsträckning än övriga intagna vid häktet i Härnösand och att det skulle tyda på att utredningarna blivit sämre sedan häktesnedläggningen ifrågasätts. Andelen häktade från Östersundsområdet vid häktet i Härnösand up</w:t>
            </w:r>
            <w:r w:rsidRPr="00EE1E0C">
              <w:t>p</w:t>
            </w:r>
            <w:r w:rsidRPr="00EE1E0C">
              <w:t>går endast till 24 %.</w:t>
            </w:r>
          </w:p>
        </w:tc>
      </w:tr>
      <w:tr w:rsidR="00000000" w:rsidRPr="00EE1E0C">
        <w:tblPrEx>
          <w:tblCellMar>
            <w:top w:w="0" w:type="dxa"/>
            <w:bottom w:w="0" w:type="dxa"/>
          </w:tblCellMar>
        </w:tblPrEx>
        <w:tc>
          <w:tcPr>
            <w:tcW w:w="1630" w:type="dxa"/>
          </w:tcPr>
          <w:p w:rsidR="00031A3F" w:rsidRPr="00EE1E0C" w:rsidRDefault="00031A3F">
            <w:pPr>
              <w:jc w:val="left"/>
            </w:pPr>
            <w:r w:rsidRPr="00EE1E0C">
              <w:t>Länsstyrelsen i Jämtlands län</w:t>
            </w:r>
          </w:p>
        </w:tc>
        <w:tc>
          <w:tcPr>
            <w:tcW w:w="4406" w:type="dxa"/>
          </w:tcPr>
          <w:p w:rsidR="00031A3F" w:rsidRPr="00EE1E0C" w:rsidRDefault="00031A3F">
            <w:pPr>
              <w:jc w:val="left"/>
            </w:pPr>
            <w:r w:rsidRPr="00EE1E0C">
              <w:t>Nedläggningen av häktet kan vara ekonomiskt försva</w:t>
            </w:r>
            <w:r w:rsidRPr="00EE1E0C">
              <w:t>r</w:t>
            </w:r>
            <w:r w:rsidRPr="00EE1E0C">
              <w:t>bar för Kriminalvårdsstyrelsen. Den medför dock en så väsentlig försämring av rättssäkerheten att beslutet måste omprövas.</w:t>
            </w:r>
          </w:p>
        </w:tc>
      </w:tr>
      <w:tr w:rsidR="00000000" w:rsidRPr="00EE1E0C">
        <w:tblPrEx>
          <w:tblCellMar>
            <w:top w:w="0" w:type="dxa"/>
            <w:bottom w:w="0" w:type="dxa"/>
          </w:tblCellMar>
        </w:tblPrEx>
        <w:tc>
          <w:tcPr>
            <w:tcW w:w="1630" w:type="dxa"/>
          </w:tcPr>
          <w:p w:rsidR="00031A3F" w:rsidRPr="00EE1E0C" w:rsidRDefault="00031A3F">
            <w:pPr>
              <w:jc w:val="left"/>
            </w:pPr>
            <w:r w:rsidRPr="00EE1E0C">
              <w:t>Östersunds ko</w:t>
            </w:r>
            <w:r w:rsidRPr="00EE1E0C">
              <w:t>m</w:t>
            </w:r>
            <w:r w:rsidRPr="00EE1E0C">
              <w:t>mun</w:t>
            </w:r>
          </w:p>
        </w:tc>
        <w:tc>
          <w:tcPr>
            <w:tcW w:w="4406" w:type="dxa"/>
          </w:tcPr>
          <w:p w:rsidR="00031A3F" w:rsidRPr="00EE1E0C" w:rsidRDefault="00031A3F">
            <w:pPr>
              <w:jc w:val="left"/>
            </w:pPr>
            <w:r w:rsidRPr="00EE1E0C">
              <w:t>Från rättssäkerhetssynpunkt är det lika allvarligt när bristen i utredningskvaliteten leder till ett frikännande som när omständigheter som talar till den tilltalades favör inte kommer fram. Det minskade antalet resor leder till brister i utredningarna och sämre rättssäkerhet för samhället och den e</w:t>
            </w:r>
            <w:r w:rsidRPr="00EE1E0C">
              <w:t>n</w:t>
            </w:r>
            <w:r w:rsidRPr="00EE1E0C">
              <w:t>skilde.</w:t>
            </w:r>
          </w:p>
        </w:tc>
      </w:tr>
      <w:tr w:rsidR="00000000" w:rsidRPr="00EE1E0C">
        <w:tblPrEx>
          <w:tblCellMar>
            <w:top w:w="0" w:type="dxa"/>
            <w:bottom w:w="0" w:type="dxa"/>
          </w:tblCellMar>
        </w:tblPrEx>
        <w:tc>
          <w:tcPr>
            <w:tcW w:w="1630" w:type="dxa"/>
          </w:tcPr>
          <w:p w:rsidR="00031A3F" w:rsidRPr="00EE1E0C" w:rsidRDefault="00031A3F">
            <w:pPr>
              <w:jc w:val="left"/>
            </w:pPr>
            <w:r w:rsidRPr="00EE1E0C">
              <w:t>Norra avdelningen av Sveriges Adv</w:t>
            </w:r>
            <w:r w:rsidRPr="00EE1E0C">
              <w:t>o</w:t>
            </w:r>
            <w:r w:rsidRPr="00EE1E0C">
              <w:t>katsamfund</w:t>
            </w:r>
          </w:p>
        </w:tc>
        <w:tc>
          <w:tcPr>
            <w:tcW w:w="4406" w:type="dxa"/>
          </w:tcPr>
          <w:p w:rsidR="00031A3F" w:rsidRPr="00EE1E0C" w:rsidRDefault="00031A3F">
            <w:pPr>
              <w:jc w:val="left"/>
            </w:pPr>
            <w:r w:rsidRPr="00EE1E0C">
              <w:t>Vid en samlad bedömning medför nedläggningen av häktet en oacceptabel försämring av rättsverksamheten i Jämtlands län. Särskilt allvarliga är de påtalade fö</w:t>
            </w:r>
            <w:r w:rsidRPr="00EE1E0C">
              <w:t>r</w:t>
            </w:r>
            <w:r w:rsidRPr="00EE1E0C">
              <w:t>sämringarna av utredningskvaliteten och försvararnas minskade möjligheter att träffa sina klie</w:t>
            </w:r>
            <w:r w:rsidRPr="00EE1E0C">
              <w:t>n</w:t>
            </w:r>
            <w:r w:rsidRPr="00EE1E0C">
              <w:t xml:space="preserve">ter. </w:t>
            </w:r>
          </w:p>
        </w:tc>
      </w:tr>
    </w:tbl>
    <w:p w:rsidR="00031A3F" w:rsidRPr="00EE1E0C" w:rsidRDefault="00031A3F">
      <w:pPr>
        <w:pStyle w:val="Rubrik1"/>
      </w:pPr>
    </w:p>
    <w:p w:rsidR="00031A3F" w:rsidRPr="00EE1E0C" w:rsidRDefault="00031A3F">
      <w:pPr>
        <w:pStyle w:val="Innehll"/>
        <w:sectPr w:rsidR="00000000" w:rsidRPr="00EE1E0C">
          <w:headerReference w:type="default" r:id="rId41"/>
          <w:pgSz w:w="11906" w:h="16838" w:code="9"/>
          <w:pgMar w:top="567" w:right="4876" w:bottom="4508" w:left="1134" w:header="227" w:footer="227" w:gutter="0"/>
          <w:cols w:space="720"/>
        </w:sectPr>
      </w:pPr>
    </w:p>
    <w:p w:rsidR="00031A3F" w:rsidRPr="00EE1E0C" w:rsidRDefault="00031A3F">
      <w:pPr>
        <w:pStyle w:val="Innehll"/>
      </w:pPr>
      <w:r w:rsidRPr="00EE1E0C">
        <w:t>Innehållsförteckning</w:t>
      </w:r>
    </w:p>
    <w:p w:rsidR="00031A3F" w:rsidRPr="00EE1E0C" w:rsidRDefault="00031A3F">
      <w:pPr>
        <w:pStyle w:val="Innehll1"/>
        <w:rPr>
          <w:noProof w:val="0"/>
        </w:rPr>
      </w:pPr>
      <w:r w:rsidRPr="00EE1E0C">
        <w:rPr>
          <w:noProof w:val="0"/>
        </w:rPr>
        <w:t>1. Revisorernas granskning</w:t>
      </w:r>
      <w:r w:rsidRPr="00EE1E0C">
        <w:rPr>
          <w:noProof w:val="0"/>
        </w:rPr>
        <w:tab/>
        <w:t>1</w:t>
      </w:r>
    </w:p>
    <w:p w:rsidR="00031A3F" w:rsidRPr="00EE1E0C" w:rsidRDefault="00031A3F">
      <w:pPr>
        <w:pStyle w:val="Innehll1"/>
        <w:rPr>
          <w:noProof w:val="0"/>
        </w:rPr>
      </w:pPr>
      <w:r w:rsidRPr="00EE1E0C">
        <w:rPr>
          <w:noProof w:val="0"/>
        </w:rPr>
        <w:t>2. Revisorernas överväganden och förslag</w:t>
      </w:r>
      <w:r w:rsidRPr="00EE1E0C">
        <w:rPr>
          <w:noProof w:val="0"/>
        </w:rPr>
        <w:tab/>
        <w:t>2</w:t>
      </w:r>
    </w:p>
    <w:p w:rsidR="00031A3F" w:rsidRPr="00EE1E0C" w:rsidRDefault="00031A3F">
      <w:pPr>
        <w:pStyle w:val="Innehll2"/>
        <w:rPr>
          <w:noProof w:val="0"/>
        </w:rPr>
      </w:pPr>
      <w:r w:rsidRPr="00EE1E0C">
        <w:rPr>
          <w:noProof w:val="0"/>
        </w:rPr>
        <w:t>2.1  Kvalitet och tillsyn</w:t>
      </w:r>
      <w:r w:rsidRPr="00EE1E0C">
        <w:rPr>
          <w:noProof w:val="0"/>
        </w:rPr>
        <w:tab/>
        <w:t>2</w:t>
      </w:r>
    </w:p>
    <w:p w:rsidR="00031A3F" w:rsidRPr="00EE1E0C" w:rsidRDefault="00031A3F">
      <w:pPr>
        <w:pStyle w:val="Innehll3"/>
        <w:rPr>
          <w:noProof w:val="0"/>
        </w:rPr>
      </w:pPr>
      <w:r w:rsidRPr="00EE1E0C">
        <w:rPr>
          <w:noProof w:val="0"/>
        </w:rPr>
        <w:t>2.1.1  Förundersökningarnas kvalitet</w:t>
      </w:r>
      <w:r w:rsidRPr="00EE1E0C">
        <w:rPr>
          <w:noProof w:val="0"/>
        </w:rPr>
        <w:tab/>
        <w:t>2</w:t>
      </w:r>
    </w:p>
    <w:p w:rsidR="00031A3F" w:rsidRPr="00EE1E0C" w:rsidRDefault="00031A3F">
      <w:pPr>
        <w:pStyle w:val="Innehll3"/>
        <w:rPr>
          <w:noProof w:val="0"/>
        </w:rPr>
      </w:pPr>
      <w:r w:rsidRPr="00EE1E0C">
        <w:rPr>
          <w:noProof w:val="0"/>
        </w:rPr>
        <w:t>2.1.2  Kvalitetsmått</w:t>
      </w:r>
      <w:r w:rsidRPr="00EE1E0C">
        <w:rPr>
          <w:noProof w:val="0"/>
        </w:rPr>
        <w:tab/>
        <w:t>3</w:t>
      </w:r>
    </w:p>
    <w:p w:rsidR="00031A3F" w:rsidRPr="00EE1E0C" w:rsidRDefault="00031A3F">
      <w:pPr>
        <w:pStyle w:val="Innehll3"/>
        <w:rPr>
          <w:noProof w:val="0"/>
        </w:rPr>
      </w:pPr>
      <w:r w:rsidRPr="00EE1E0C">
        <w:rPr>
          <w:noProof w:val="0"/>
        </w:rPr>
        <w:t>2.1.3 Tillsyn</w:t>
      </w:r>
      <w:r w:rsidRPr="00EE1E0C">
        <w:rPr>
          <w:noProof w:val="0"/>
        </w:rPr>
        <w:tab/>
        <w:t>4</w:t>
      </w:r>
    </w:p>
    <w:p w:rsidR="00031A3F" w:rsidRPr="00EE1E0C" w:rsidRDefault="00031A3F">
      <w:pPr>
        <w:pStyle w:val="Innehll3"/>
        <w:rPr>
          <w:noProof w:val="0"/>
        </w:rPr>
      </w:pPr>
      <w:r w:rsidRPr="00EE1E0C">
        <w:rPr>
          <w:noProof w:val="0"/>
        </w:rPr>
        <w:t>2.1.4  Revisorerna</w:t>
      </w:r>
      <w:r w:rsidRPr="00EE1E0C">
        <w:rPr>
          <w:noProof w:val="0"/>
        </w:rPr>
        <w:tab/>
        <w:t>5</w:t>
      </w:r>
    </w:p>
    <w:p w:rsidR="00031A3F" w:rsidRPr="00EE1E0C" w:rsidRDefault="00031A3F">
      <w:pPr>
        <w:pStyle w:val="Innehll2"/>
        <w:rPr>
          <w:noProof w:val="0"/>
        </w:rPr>
      </w:pPr>
      <w:r w:rsidRPr="00EE1E0C">
        <w:rPr>
          <w:noProof w:val="0"/>
        </w:rPr>
        <w:t>2.2 Kvalitetshöjande åtgärder för polisens verksamhet</w:t>
      </w:r>
      <w:r w:rsidRPr="00EE1E0C">
        <w:rPr>
          <w:noProof w:val="0"/>
        </w:rPr>
        <w:tab/>
        <w:t>6</w:t>
      </w:r>
    </w:p>
    <w:p w:rsidR="00031A3F" w:rsidRPr="00EE1E0C" w:rsidRDefault="00031A3F">
      <w:pPr>
        <w:pStyle w:val="Innehll3"/>
        <w:rPr>
          <w:noProof w:val="0"/>
        </w:rPr>
      </w:pPr>
      <w:r w:rsidRPr="00EE1E0C">
        <w:rPr>
          <w:noProof w:val="0"/>
        </w:rPr>
        <w:t>2.2.1 Förstärkt utbildning</w:t>
      </w:r>
      <w:r w:rsidRPr="00EE1E0C">
        <w:rPr>
          <w:noProof w:val="0"/>
        </w:rPr>
        <w:tab/>
        <w:t>6</w:t>
      </w:r>
    </w:p>
    <w:p w:rsidR="00031A3F" w:rsidRPr="00EE1E0C" w:rsidRDefault="00031A3F">
      <w:pPr>
        <w:pStyle w:val="Innehll3"/>
        <w:rPr>
          <w:noProof w:val="0"/>
        </w:rPr>
      </w:pPr>
      <w:r w:rsidRPr="00EE1E0C">
        <w:rPr>
          <w:noProof w:val="0"/>
        </w:rPr>
        <w:t>2.2.2  Närpolisens arbetsformer</w:t>
      </w:r>
      <w:r w:rsidRPr="00EE1E0C">
        <w:rPr>
          <w:noProof w:val="0"/>
        </w:rPr>
        <w:tab/>
        <w:t>6</w:t>
      </w:r>
    </w:p>
    <w:p w:rsidR="00031A3F" w:rsidRPr="00EE1E0C" w:rsidRDefault="00031A3F">
      <w:pPr>
        <w:pStyle w:val="Innehll3"/>
        <w:rPr>
          <w:noProof w:val="0"/>
        </w:rPr>
      </w:pPr>
      <w:r w:rsidRPr="00EE1E0C">
        <w:rPr>
          <w:noProof w:val="0"/>
        </w:rPr>
        <w:t>2.2.3  Problemorienterat arbetssätt</w:t>
      </w:r>
      <w:r w:rsidRPr="00EE1E0C">
        <w:rPr>
          <w:noProof w:val="0"/>
        </w:rPr>
        <w:tab/>
        <w:t>7</w:t>
      </w:r>
    </w:p>
    <w:p w:rsidR="00031A3F" w:rsidRPr="00EE1E0C" w:rsidRDefault="00031A3F">
      <w:pPr>
        <w:pStyle w:val="Innehll3"/>
        <w:rPr>
          <w:noProof w:val="0"/>
        </w:rPr>
      </w:pPr>
      <w:r w:rsidRPr="00EE1E0C">
        <w:rPr>
          <w:noProof w:val="0"/>
        </w:rPr>
        <w:t>2.2.4  Revisorerna</w:t>
      </w:r>
      <w:r w:rsidRPr="00EE1E0C">
        <w:rPr>
          <w:noProof w:val="0"/>
        </w:rPr>
        <w:tab/>
        <w:t>8</w:t>
      </w:r>
    </w:p>
    <w:p w:rsidR="00031A3F" w:rsidRPr="00EE1E0C" w:rsidRDefault="00031A3F">
      <w:pPr>
        <w:pStyle w:val="Innehll2"/>
        <w:rPr>
          <w:noProof w:val="0"/>
        </w:rPr>
      </w:pPr>
      <w:r w:rsidRPr="00EE1E0C">
        <w:rPr>
          <w:noProof w:val="0"/>
        </w:rPr>
        <w:t>2.3  Kvalitetshöjande åtgärder för åklagarnas verksamhet</w:t>
      </w:r>
      <w:r w:rsidRPr="00EE1E0C">
        <w:rPr>
          <w:noProof w:val="0"/>
        </w:rPr>
        <w:tab/>
        <w:t>9</w:t>
      </w:r>
    </w:p>
    <w:p w:rsidR="00031A3F" w:rsidRPr="00EE1E0C" w:rsidRDefault="00031A3F">
      <w:pPr>
        <w:pStyle w:val="Innehll3"/>
        <w:rPr>
          <w:noProof w:val="0"/>
        </w:rPr>
      </w:pPr>
      <w:r w:rsidRPr="00EE1E0C">
        <w:rPr>
          <w:noProof w:val="0"/>
        </w:rPr>
        <w:t>2.3.1  Samverkan mellan åklagarkamrar och tingsrätter</w:t>
      </w:r>
      <w:r w:rsidRPr="00EE1E0C">
        <w:rPr>
          <w:noProof w:val="0"/>
        </w:rPr>
        <w:tab/>
        <w:t>9</w:t>
      </w:r>
    </w:p>
    <w:p w:rsidR="00031A3F" w:rsidRPr="00EE1E0C" w:rsidRDefault="00031A3F">
      <w:pPr>
        <w:pStyle w:val="Innehll3"/>
        <w:rPr>
          <w:noProof w:val="0"/>
        </w:rPr>
      </w:pPr>
      <w:r w:rsidRPr="00EE1E0C">
        <w:rPr>
          <w:noProof w:val="0"/>
        </w:rPr>
        <w:t>2.3.2  Åklagarnas arbetsformer</w:t>
      </w:r>
      <w:r w:rsidRPr="00EE1E0C">
        <w:rPr>
          <w:noProof w:val="0"/>
        </w:rPr>
        <w:tab/>
        <w:t>10</w:t>
      </w:r>
    </w:p>
    <w:p w:rsidR="00031A3F" w:rsidRPr="00EE1E0C" w:rsidRDefault="00031A3F">
      <w:pPr>
        <w:pStyle w:val="Innehll3"/>
        <w:rPr>
          <w:noProof w:val="0"/>
        </w:rPr>
      </w:pPr>
      <w:r w:rsidRPr="00EE1E0C">
        <w:rPr>
          <w:noProof w:val="0"/>
        </w:rPr>
        <w:t>2.3.3  Revisorerna</w:t>
      </w:r>
      <w:r w:rsidRPr="00EE1E0C">
        <w:rPr>
          <w:noProof w:val="0"/>
        </w:rPr>
        <w:tab/>
        <w:t>11</w:t>
      </w:r>
    </w:p>
    <w:p w:rsidR="00031A3F" w:rsidRPr="00EE1E0C" w:rsidRDefault="00031A3F">
      <w:pPr>
        <w:pStyle w:val="Innehll2"/>
        <w:rPr>
          <w:noProof w:val="0"/>
        </w:rPr>
      </w:pPr>
      <w:r w:rsidRPr="00EE1E0C">
        <w:rPr>
          <w:noProof w:val="0"/>
        </w:rPr>
        <w:t>2.4  Rättsväsendets ekonomi</w:t>
      </w:r>
      <w:r w:rsidRPr="00EE1E0C">
        <w:rPr>
          <w:noProof w:val="0"/>
        </w:rPr>
        <w:tab/>
        <w:t>12</w:t>
      </w:r>
    </w:p>
    <w:p w:rsidR="00031A3F" w:rsidRPr="00EE1E0C" w:rsidRDefault="00031A3F">
      <w:pPr>
        <w:pStyle w:val="Innehll2"/>
        <w:rPr>
          <w:noProof w:val="0"/>
        </w:rPr>
      </w:pPr>
      <w:r w:rsidRPr="00EE1E0C">
        <w:rPr>
          <w:noProof w:val="0"/>
        </w:rPr>
        <w:t>2.5 Bedömningar av effekter av organisationsförändringar</w:t>
      </w:r>
      <w:r w:rsidRPr="00EE1E0C">
        <w:rPr>
          <w:noProof w:val="0"/>
        </w:rPr>
        <w:tab/>
        <w:t>13</w:t>
      </w:r>
    </w:p>
    <w:p w:rsidR="00031A3F" w:rsidRPr="00EE1E0C" w:rsidRDefault="00031A3F">
      <w:pPr>
        <w:pStyle w:val="Innehll1"/>
        <w:rPr>
          <w:noProof w:val="0"/>
        </w:rPr>
      </w:pPr>
      <w:r w:rsidRPr="00EE1E0C">
        <w:rPr>
          <w:noProof w:val="0"/>
        </w:rPr>
        <w:t>3. Revisorernas förslag</w:t>
      </w:r>
      <w:r w:rsidRPr="00EE1E0C">
        <w:rPr>
          <w:noProof w:val="0"/>
        </w:rPr>
        <w:tab/>
        <w:t>16</w:t>
      </w:r>
    </w:p>
    <w:p w:rsidR="00031A3F" w:rsidRPr="00EE1E0C" w:rsidRDefault="00031A3F">
      <w:pPr>
        <w:pStyle w:val="Innehll1"/>
        <w:rPr>
          <w:noProof w:val="0"/>
        </w:rPr>
      </w:pPr>
    </w:p>
    <w:p w:rsidR="00031A3F" w:rsidRPr="00EE1E0C" w:rsidRDefault="00031A3F">
      <w:pPr>
        <w:pStyle w:val="Innehll1"/>
        <w:rPr>
          <w:noProof w:val="0"/>
        </w:rPr>
      </w:pPr>
      <w:r w:rsidRPr="00EE1E0C">
        <w:rPr>
          <w:noProof w:val="0"/>
        </w:rPr>
        <w:t>Bilaga 1</w:t>
      </w:r>
    </w:p>
    <w:p w:rsidR="00031A3F" w:rsidRPr="00EE1E0C" w:rsidRDefault="00031A3F">
      <w:pPr>
        <w:pStyle w:val="Innehll1"/>
        <w:rPr>
          <w:noProof w:val="0"/>
        </w:rPr>
      </w:pPr>
      <w:r w:rsidRPr="00EE1E0C">
        <w:rPr>
          <w:noProof w:val="0"/>
        </w:rPr>
        <w:t>Förord</w:t>
      </w:r>
      <w:r w:rsidRPr="00EE1E0C">
        <w:rPr>
          <w:noProof w:val="0"/>
        </w:rPr>
        <w:tab/>
        <w:t>19</w:t>
      </w:r>
    </w:p>
    <w:p w:rsidR="00031A3F" w:rsidRPr="00EE1E0C" w:rsidRDefault="00031A3F">
      <w:pPr>
        <w:pStyle w:val="Innehll1"/>
        <w:rPr>
          <w:noProof w:val="0"/>
        </w:rPr>
      </w:pPr>
      <w:r w:rsidRPr="00EE1E0C">
        <w:rPr>
          <w:noProof w:val="0"/>
        </w:rPr>
        <w:t>Sammanfattning</w:t>
      </w:r>
      <w:r w:rsidRPr="00EE1E0C">
        <w:rPr>
          <w:noProof w:val="0"/>
        </w:rPr>
        <w:tab/>
        <w:t>20</w:t>
      </w:r>
    </w:p>
    <w:p w:rsidR="00031A3F" w:rsidRPr="00EE1E0C" w:rsidRDefault="00031A3F">
      <w:pPr>
        <w:pStyle w:val="Innehll2"/>
        <w:rPr>
          <w:noProof w:val="0"/>
        </w:rPr>
      </w:pPr>
      <w:r w:rsidRPr="00EE1E0C">
        <w:rPr>
          <w:noProof w:val="0"/>
        </w:rPr>
        <w:t>Granskningen</w:t>
      </w:r>
      <w:r w:rsidRPr="00EE1E0C">
        <w:rPr>
          <w:noProof w:val="0"/>
        </w:rPr>
        <w:tab/>
        <w:t>20</w:t>
      </w:r>
    </w:p>
    <w:p w:rsidR="00031A3F" w:rsidRPr="00EE1E0C" w:rsidRDefault="00031A3F">
      <w:pPr>
        <w:pStyle w:val="Innehll2"/>
        <w:rPr>
          <w:noProof w:val="0"/>
        </w:rPr>
      </w:pPr>
      <w:r w:rsidRPr="00EE1E0C">
        <w:rPr>
          <w:noProof w:val="0"/>
        </w:rPr>
        <w:t>Förslag</w:t>
      </w:r>
      <w:r w:rsidRPr="00EE1E0C">
        <w:rPr>
          <w:noProof w:val="0"/>
        </w:rPr>
        <w:tab/>
        <w:t>21</w:t>
      </w:r>
    </w:p>
    <w:p w:rsidR="00031A3F" w:rsidRPr="00EE1E0C" w:rsidRDefault="00031A3F">
      <w:pPr>
        <w:pStyle w:val="Innehll1"/>
        <w:rPr>
          <w:noProof w:val="0"/>
        </w:rPr>
      </w:pPr>
      <w:r w:rsidRPr="00EE1E0C">
        <w:rPr>
          <w:noProof w:val="0"/>
        </w:rPr>
        <w:t>Granskningens bakgrund och inriktning</w:t>
      </w:r>
      <w:r w:rsidRPr="00EE1E0C">
        <w:rPr>
          <w:noProof w:val="0"/>
        </w:rPr>
        <w:tab/>
        <w:t>23</w:t>
      </w:r>
    </w:p>
    <w:p w:rsidR="00031A3F" w:rsidRPr="00EE1E0C" w:rsidRDefault="00031A3F">
      <w:pPr>
        <w:pStyle w:val="Innehll2"/>
        <w:rPr>
          <w:noProof w:val="0"/>
        </w:rPr>
      </w:pPr>
      <w:r w:rsidRPr="00EE1E0C">
        <w:rPr>
          <w:noProof w:val="0"/>
        </w:rPr>
        <w:t>Syfte och metoder</w:t>
      </w:r>
      <w:r w:rsidRPr="00EE1E0C">
        <w:rPr>
          <w:noProof w:val="0"/>
        </w:rPr>
        <w:tab/>
        <w:t>23</w:t>
      </w:r>
    </w:p>
    <w:p w:rsidR="00031A3F" w:rsidRPr="00EE1E0C" w:rsidRDefault="00031A3F">
      <w:pPr>
        <w:pStyle w:val="Innehll2"/>
        <w:rPr>
          <w:noProof w:val="0"/>
        </w:rPr>
      </w:pPr>
      <w:r w:rsidRPr="00EE1E0C">
        <w:rPr>
          <w:noProof w:val="0"/>
        </w:rPr>
        <w:t>Avgränsningar</w:t>
      </w:r>
      <w:r w:rsidRPr="00EE1E0C">
        <w:rPr>
          <w:noProof w:val="0"/>
        </w:rPr>
        <w:tab/>
        <w:t>23</w:t>
      </w:r>
    </w:p>
    <w:p w:rsidR="00031A3F" w:rsidRPr="00EE1E0C" w:rsidRDefault="00031A3F">
      <w:pPr>
        <w:pStyle w:val="Innehll2"/>
        <w:rPr>
          <w:noProof w:val="0"/>
        </w:rPr>
      </w:pPr>
      <w:r w:rsidRPr="00EE1E0C">
        <w:rPr>
          <w:noProof w:val="0"/>
        </w:rPr>
        <w:t>Rapportens uppläggning</w:t>
      </w:r>
      <w:r w:rsidRPr="00EE1E0C">
        <w:rPr>
          <w:noProof w:val="0"/>
        </w:rPr>
        <w:tab/>
        <w:t>24</w:t>
      </w:r>
    </w:p>
    <w:p w:rsidR="00031A3F" w:rsidRPr="00EE1E0C" w:rsidRDefault="00031A3F">
      <w:pPr>
        <w:pStyle w:val="Innehll1"/>
        <w:rPr>
          <w:noProof w:val="0"/>
        </w:rPr>
      </w:pPr>
      <w:r w:rsidRPr="00EE1E0C">
        <w:rPr>
          <w:noProof w:val="0"/>
        </w:rPr>
        <w:t>Del 1  Rättsväsendet i reformer och siffror</w:t>
      </w:r>
      <w:r w:rsidRPr="00EE1E0C">
        <w:rPr>
          <w:noProof w:val="0"/>
        </w:rPr>
        <w:tab/>
        <w:t>25</w:t>
      </w:r>
    </w:p>
    <w:p w:rsidR="00031A3F" w:rsidRPr="00EE1E0C" w:rsidRDefault="00031A3F">
      <w:pPr>
        <w:pStyle w:val="Innehll2"/>
        <w:rPr>
          <w:noProof w:val="0"/>
        </w:rPr>
      </w:pPr>
      <w:r w:rsidRPr="00EE1E0C">
        <w:rPr>
          <w:noProof w:val="0"/>
        </w:rPr>
        <w:t>Är rättsväsendet en enhet?</w:t>
      </w:r>
      <w:r w:rsidRPr="00EE1E0C">
        <w:rPr>
          <w:noProof w:val="0"/>
        </w:rPr>
        <w:tab/>
        <w:t>25</w:t>
      </w:r>
    </w:p>
    <w:p w:rsidR="00031A3F" w:rsidRPr="00EE1E0C" w:rsidRDefault="00031A3F">
      <w:pPr>
        <w:pStyle w:val="Innehll2"/>
        <w:rPr>
          <w:noProof w:val="0"/>
        </w:rPr>
      </w:pPr>
      <w:r w:rsidRPr="00EE1E0C">
        <w:rPr>
          <w:noProof w:val="0"/>
        </w:rPr>
        <w:t>Omorganisationer inom rättsväsendet</w:t>
      </w:r>
      <w:r w:rsidRPr="00EE1E0C">
        <w:rPr>
          <w:noProof w:val="0"/>
        </w:rPr>
        <w:tab/>
        <w:t>25</w:t>
      </w:r>
    </w:p>
    <w:p w:rsidR="00031A3F" w:rsidRPr="00EE1E0C" w:rsidRDefault="00031A3F">
      <w:pPr>
        <w:pStyle w:val="Innehll2"/>
        <w:rPr>
          <w:noProof w:val="0"/>
        </w:rPr>
      </w:pPr>
      <w:r w:rsidRPr="00EE1E0C">
        <w:rPr>
          <w:noProof w:val="0"/>
        </w:rPr>
        <w:t>Rättsväsendets ekonomi</w:t>
      </w:r>
      <w:r w:rsidRPr="00EE1E0C">
        <w:rPr>
          <w:noProof w:val="0"/>
        </w:rPr>
        <w:tab/>
        <w:t>26</w:t>
      </w:r>
    </w:p>
    <w:p w:rsidR="00031A3F" w:rsidRPr="00EE1E0C" w:rsidRDefault="00031A3F">
      <w:pPr>
        <w:pStyle w:val="Innehll2"/>
        <w:rPr>
          <w:noProof w:val="0"/>
        </w:rPr>
      </w:pPr>
      <w:r w:rsidRPr="00EE1E0C">
        <w:rPr>
          <w:noProof w:val="0"/>
        </w:rPr>
        <w:t>Något om rättsväsendets produktivitet</w:t>
      </w:r>
      <w:r w:rsidRPr="00EE1E0C">
        <w:rPr>
          <w:noProof w:val="0"/>
        </w:rPr>
        <w:tab/>
        <w:t>28</w:t>
      </w:r>
    </w:p>
    <w:p w:rsidR="00031A3F" w:rsidRPr="00EE1E0C" w:rsidRDefault="00031A3F">
      <w:pPr>
        <w:pStyle w:val="Innehll1"/>
        <w:rPr>
          <w:noProof w:val="0"/>
        </w:rPr>
      </w:pPr>
      <w:r w:rsidRPr="00EE1E0C">
        <w:rPr>
          <w:noProof w:val="0"/>
        </w:rPr>
        <w:t>Polisväsendet</w:t>
      </w:r>
      <w:r w:rsidRPr="00EE1E0C">
        <w:rPr>
          <w:noProof w:val="0"/>
        </w:rPr>
        <w:tab/>
        <w:t>28</w:t>
      </w:r>
    </w:p>
    <w:p w:rsidR="00031A3F" w:rsidRPr="00EE1E0C" w:rsidRDefault="00031A3F">
      <w:pPr>
        <w:pStyle w:val="Innehll2"/>
        <w:rPr>
          <w:noProof w:val="0"/>
        </w:rPr>
      </w:pPr>
      <w:r w:rsidRPr="00EE1E0C">
        <w:rPr>
          <w:noProof w:val="0"/>
        </w:rPr>
        <w:t>Polisens mål</w:t>
      </w:r>
      <w:r w:rsidRPr="00EE1E0C">
        <w:rPr>
          <w:noProof w:val="0"/>
        </w:rPr>
        <w:tab/>
        <w:t>29</w:t>
      </w:r>
    </w:p>
    <w:p w:rsidR="00031A3F" w:rsidRPr="00EE1E0C" w:rsidRDefault="00031A3F">
      <w:pPr>
        <w:pStyle w:val="Innehll2"/>
        <w:rPr>
          <w:noProof w:val="0"/>
        </w:rPr>
      </w:pPr>
      <w:r w:rsidRPr="00EE1E0C">
        <w:rPr>
          <w:noProof w:val="0"/>
        </w:rPr>
        <w:t>Poliserna och de civilanställda</w:t>
      </w:r>
      <w:r w:rsidRPr="00EE1E0C">
        <w:rPr>
          <w:noProof w:val="0"/>
        </w:rPr>
        <w:tab/>
        <w:t>29</w:t>
      </w:r>
    </w:p>
    <w:p w:rsidR="00031A3F" w:rsidRPr="00EE1E0C" w:rsidRDefault="00031A3F">
      <w:pPr>
        <w:pStyle w:val="Innehll2"/>
        <w:rPr>
          <w:noProof w:val="0"/>
        </w:rPr>
      </w:pPr>
      <w:r w:rsidRPr="00EE1E0C">
        <w:rPr>
          <w:noProof w:val="0"/>
        </w:rPr>
        <w:t>Organisation</w:t>
      </w:r>
      <w:r w:rsidRPr="00EE1E0C">
        <w:rPr>
          <w:noProof w:val="0"/>
        </w:rPr>
        <w:tab/>
        <w:t>34</w:t>
      </w:r>
    </w:p>
    <w:p w:rsidR="00031A3F" w:rsidRPr="00EE1E0C" w:rsidRDefault="00031A3F">
      <w:pPr>
        <w:pStyle w:val="Innehll2"/>
        <w:rPr>
          <w:noProof w:val="0"/>
        </w:rPr>
      </w:pPr>
      <w:r w:rsidRPr="00EE1E0C">
        <w:rPr>
          <w:noProof w:val="0"/>
        </w:rPr>
        <w:t>Polisens ekonomi</w:t>
      </w:r>
      <w:r w:rsidRPr="00EE1E0C">
        <w:rPr>
          <w:noProof w:val="0"/>
        </w:rPr>
        <w:tab/>
        <w:t>40</w:t>
      </w:r>
    </w:p>
    <w:p w:rsidR="00031A3F" w:rsidRPr="00EE1E0C" w:rsidRDefault="00031A3F">
      <w:pPr>
        <w:pStyle w:val="Innehll2"/>
        <w:rPr>
          <w:noProof w:val="0"/>
        </w:rPr>
      </w:pPr>
      <w:r w:rsidRPr="00EE1E0C">
        <w:rPr>
          <w:noProof w:val="0"/>
        </w:rPr>
        <w:t>Resultatmodellen</w:t>
      </w:r>
      <w:r w:rsidRPr="00EE1E0C">
        <w:rPr>
          <w:noProof w:val="0"/>
        </w:rPr>
        <w:tab/>
        <w:t>43</w:t>
      </w:r>
    </w:p>
    <w:p w:rsidR="00031A3F" w:rsidRPr="00EE1E0C" w:rsidRDefault="00031A3F">
      <w:pPr>
        <w:pStyle w:val="Innehll1"/>
        <w:rPr>
          <w:noProof w:val="0"/>
        </w:rPr>
      </w:pPr>
      <w:r w:rsidRPr="00EE1E0C">
        <w:rPr>
          <w:noProof w:val="0"/>
        </w:rPr>
        <w:t>Åklagarväsendet</w:t>
      </w:r>
      <w:r w:rsidRPr="00EE1E0C">
        <w:rPr>
          <w:noProof w:val="0"/>
        </w:rPr>
        <w:tab/>
        <w:t>45</w:t>
      </w:r>
    </w:p>
    <w:p w:rsidR="00031A3F" w:rsidRPr="00EE1E0C" w:rsidRDefault="00031A3F">
      <w:pPr>
        <w:pStyle w:val="Innehll2"/>
        <w:rPr>
          <w:noProof w:val="0"/>
        </w:rPr>
      </w:pPr>
      <w:r w:rsidRPr="00EE1E0C">
        <w:rPr>
          <w:noProof w:val="0"/>
        </w:rPr>
        <w:t>Åklagarväsendets mål</w:t>
      </w:r>
      <w:r w:rsidRPr="00EE1E0C">
        <w:rPr>
          <w:noProof w:val="0"/>
        </w:rPr>
        <w:tab/>
        <w:t>46</w:t>
      </w:r>
    </w:p>
    <w:p w:rsidR="00031A3F" w:rsidRPr="00EE1E0C" w:rsidRDefault="00031A3F">
      <w:pPr>
        <w:pStyle w:val="Innehll2"/>
        <w:rPr>
          <w:noProof w:val="0"/>
        </w:rPr>
      </w:pPr>
      <w:r w:rsidRPr="00EE1E0C">
        <w:rPr>
          <w:noProof w:val="0"/>
        </w:rPr>
        <w:t>Åklagarna och administratörerna</w:t>
      </w:r>
      <w:r w:rsidRPr="00EE1E0C">
        <w:rPr>
          <w:noProof w:val="0"/>
        </w:rPr>
        <w:tab/>
        <w:t>46</w:t>
      </w:r>
    </w:p>
    <w:p w:rsidR="00031A3F" w:rsidRPr="00EE1E0C" w:rsidRDefault="00031A3F">
      <w:pPr>
        <w:pStyle w:val="Innehll2"/>
        <w:rPr>
          <w:noProof w:val="0"/>
        </w:rPr>
      </w:pPr>
      <w:r w:rsidRPr="00EE1E0C">
        <w:rPr>
          <w:noProof w:val="0"/>
        </w:rPr>
        <w:t>Åklagarväsendets organisation</w:t>
      </w:r>
      <w:r w:rsidRPr="00EE1E0C">
        <w:rPr>
          <w:noProof w:val="0"/>
        </w:rPr>
        <w:tab/>
        <w:t>47</w:t>
      </w:r>
    </w:p>
    <w:p w:rsidR="00031A3F" w:rsidRPr="00EE1E0C" w:rsidRDefault="00031A3F">
      <w:pPr>
        <w:pStyle w:val="Innehll2"/>
        <w:rPr>
          <w:noProof w:val="0"/>
        </w:rPr>
      </w:pPr>
      <w:r w:rsidRPr="00EE1E0C">
        <w:rPr>
          <w:noProof w:val="0"/>
        </w:rPr>
        <w:t>Ekobrottsmyndigheten</w:t>
      </w:r>
      <w:r w:rsidRPr="00EE1E0C">
        <w:rPr>
          <w:noProof w:val="0"/>
        </w:rPr>
        <w:tab/>
        <w:t>49</w:t>
      </w:r>
    </w:p>
    <w:p w:rsidR="00031A3F" w:rsidRPr="00EE1E0C" w:rsidRDefault="00031A3F">
      <w:pPr>
        <w:pStyle w:val="Innehll2"/>
        <w:rPr>
          <w:noProof w:val="0"/>
        </w:rPr>
      </w:pPr>
      <w:r w:rsidRPr="00EE1E0C">
        <w:rPr>
          <w:noProof w:val="0"/>
        </w:rPr>
        <w:t>Åklagarväsendets ekonomi</w:t>
      </w:r>
      <w:r w:rsidRPr="00EE1E0C">
        <w:rPr>
          <w:noProof w:val="0"/>
        </w:rPr>
        <w:tab/>
        <w:t>50</w:t>
      </w:r>
    </w:p>
    <w:p w:rsidR="00031A3F" w:rsidRPr="00EE1E0C" w:rsidRDefault="00031A3F">
      <w:pPr>
        <w:pStyle w:val="Innehll2"/>
        <w:rPr>
          <w:noProof w:val="0"/>
        </w:rPr>
      </w:pPr>
      <w:r w:rsidRPr="00EE1E0C">
        <w:rPr>
          <w:noProof w:val="0"/>
        </w:rPr>
        <w:t>Åklagarväsendets prestationer</w:t>
      </w:r>
      <w:r w:rsidRPr="00EE1E0C">
        <w:rPr>
          <w:noProof w:val="0"/>
        </w:rPr>
        <w:tab/>
        <w:t>53</w:t>
      </w:r>
    </w:p>
    <w:p w:rsidR="00031A3F" w:rsidRPr="00EE1E0C" w:rsidRDefault="00031A3F">
      <w:pPr>
        <w:pStyle w:val="Innehll2"/>
        <w:rPr>
          <w:noProof w:val="0"/>
        </w:rPr>
      </w:pPr>
      <w:r w:rsidRPr="00EE1E0C">
        <w:rPr>
          <w:noProof w:val="0"/>
        </w:rPr>
        <w:t>Metodutveckling</w:t>
      </w:r>
      <w:r w:rsidRPr="00EE1E0C">
        <w:rPr>
          <w:noProof w:val="0"/>
        </w:rPr>
        <w:tab/>
        <w:t>56</w:t>
      </w:r>
    </w:p>
    <w:p w:rsidR="00031A3F" w:rsidRPr="00EE1E0C" w:rsidRDefault="00031A3F">
      <w:pPr>
        <w:pStyle w:val="Innehll2"/>
        <w:rPr>
          <w:noProof w:val="0"/>
        </w:rPr>
      </w:pPr>
      <w:r w:rsidRPr="00EE1E0C">
        <w:rPr>
          <w:noProof w:val="0"/>
        </w:rPr>
        <w:t>Gemensam informationsförsörjning</w:t>
      </w:r>
      <w:r w:rsidRPr="00EE1E0C">
        <w:rPr>
          <w:noProof w:val="0"/>
        </w:rPr>
        <w:tab/>
        <w:t>58</w:t>
      </w:r>
    </w:p>
    <w:p w:rsidR="00031A3F" w:rsidRPr="00EE1E0C" w:rsidRDefault="00031A3F">
      <w:pPr>
        <w:pStyle w:val="Innehll1"/>
        <w:rPr>
          <w:noProof w:val="0"/>
        </w:rPr>
      </w:pPr>
      <w:r w:rsidRPr="00EE1E0C">
        <w:rPr>
          <w:noProof w:val="0"/>
        </w:rPr>
        <w:t>Tingsrätterna</w:t>
      </w:r>
      <w:r w:rsidRPr="00EE1E0C">
        <w:rPr>
          <w:noProof w:val="0"/>
        </w:rPr>
        <w:tab/>
        <w:t>59</w:t>
      </w:r>
    </w:p>
    <w:p w:rsidR="00031A3F" w:rsidRPr="00EE1E0C" w:rsidRDefault="00031A3F">
      <w:pPr>
        <w:pStyle w:val="Innehll2"/>
        <w:rPr>
          <w:noProof w:val="0"/>
        </w:rPr>
      </w:pPr>
      <w:r w:rsidRPr="00EE1E0C">
        <w:rPr>
          <w:noProof w:val="0"/>
        </w:rPr>
        <w:t>Tingsrätternas placering</w:t>
      </w:r>
      <w:r w:rsidRPr="00EE1E0C">
        <w:rPr>
          <w:noProof w:val="0"/>
        </w:rPr>
        <w:tab/>
        <w:t>59</w:t>
      </w:r>
    </w:p>
    <w:p w:rsidR="00031A3F" w:rsidRPr="00EE1E0C" w:rsidRDefault="00031A3F">
      <w:pPr>
        <w:pStyle w:val="Innehll2"/>
        <w:rPr>
          <w:noProof w:val="0"/>
        </w:rPr>
      </w:pPr>
      <w:r w:rsidRPr="00EE1E0C">
        <w:rPr>
          <w:noProof w:val="0"/>
        </w:rPr>
        <w:t>Omorganisation av domstolsväsendet</w:t>
      </w:r>
      <w:r w:rsidRPr="00EE1E0C">
        <w:rPr>
          <w:noProof w:val="0"/>
        </w:rPr>
        <w:tab/>
        <w:t>59</w:t>
      </w:r>
    </w:p>
    <w:p w:rsidR="00031A3F" w:rsidRPr="00EE1E0C" w:rsidRDefault="00031A3F">
      <w:pPr>
        <w:pStyle w:val="Innehll2"/>
        <w:rPr>
          <w:noProof w:val="0"/>
        </w:rPr>
      </w:pPr>
      <w:r w:rsidRPr="00EE1E0C">
        <w:rPr>
          <w:noProof w:val="0"/>
        </w:rPr>
        <w:t>Tingsrätternas arbete</w:t>
      </w:r>
      <w:r w:rsidRPr="00EE1E0C">
        <w:rPr>
          <w:noProof w:val="0"/>
        </w:rPr>
        <w:tab/>
        <w:t>60</w:t>
      </w:r>
    </w:p>
    <w:p w:rsidR="00031A3F" w:rsidRPr="00EE1E0C" w:rsidRDefault="00031A3F">
      <w:pPr>
        <w:pStyle w:val="Innehll1"/>
        <w:rPr>
          <w:noProof w:val="0"/>
        </w:rPr>
      </w:pPr>
      <w:r w:rsidRPr="00EE1E0C">
        <w:rPr>
          <w:noProof w:val="0"/>
        </w:rPr>
        <w:t>Häkten</w:t>
      </w:r>
      <w:r w:rsidRPr="00EE1E0C">
        <w:rPr>
          <w:noProof w:val="0"/>
        </w:rPr>
        <w:tab/>
        <w:t>62</w:t>
      </w:r>
    </w:p>
    <w:p w:rsidR="00031A3F" w:rsidRPr="00EE1E0C" w:rsidRDefault="00031A3F">
      <w:pPr>
        <w:pStyle w:val="Innehll1"/>
        <w:rPr>
          <w:noProof w:val="0"/>
        </w:rPr>
      </w:pPr>
      <w:r w:rsidRPr="00EE1E0C">
        <w:rPr>
          <w:noProof w:val="0"/>
        </w:rPr>
        <w:t>Del 2  Rättsväsendet i tre län</w:t>
      </w:r>
      <w:r w:rsidRPr="00EE1E0C">
        <w:rPr>
          <w:noProof w:val="0"/>
        </w:rPr>
        <w:tab/>
        <w:t>64</w:t>
      </w:r>
    </w:p>
    <w:p w:rsidR="00031A3F" w:rsidRPr="00EE1E0C" w:rsidRDefault="00031A3F">
      <w:pPr>
        <w:pStyle w:val="Innehll2"/>
        <w:rPr>
          <w:noProof w:val="0"/>
        </w:rPr>
      </w:pPr>
      <w:r w:rsidRPr="00EE1E0C">
        <w:rPr>
          <w:noProof w:val="0"/>
        </w:rPr>
        <w:t>Polisväsendet</w:t>
      </w:r>
      <w:r w:rsidRPr="00EE1E0C">
        <w:rPr>
          <w:noProof w:val="0"/>
        </w:rPr>
        <w:tab/>
        <w:t>64</w:t>
      </w:r>
    </w:p>
    <w:p w:rsidR="00031A3F" w:rsidRPr="00EE1E0C" w:rsidRDefault="00031A3F">
      <w:pPr>
        <w:pStyle w:val="Innehll2"/>
        <w:rPr>
          <w:noProof w:val="0"/>
        </w:rPr>
      </w:pPr>
      <w:r w:rsidRPr="00EE1E0C">
        <w:rPr>
          <w:noProof w:val="0"/>
        </w:rPr>
        <w:t>Åklagarväsendet</w:t>
      </w:r>
      <w:r w:rsidRPr="00EE1E0C">
        <w:rPr>
          <w:noProof w:val="0"/>
        </w:rPr>
        <w:tab/>
        <w:t>74</w:t>
      </w:r>
    </w:p>
    <w:p w:rsidR="00031A3F" w:rsidRPr="00EE1E0C" w:rsidRDefault="00031A3F">
      <w:pPr>
        <w:pStyle w:val="Innehll2"/>
        <w:rPr>
          <w:noProof w:val="0"/>
        </w:rPr>
      </w:pPr>
      <w:r w:rsidRPr="00EE1E0C">
        <w:rPr>
          <w:noProof w:val="0"/>
        </w:rPr>
        <w:t>Tingsrätterna</w:t>
      </w:r>
      <w:r w:rsidRPr="00EE1E0C">
        <w:rPr>
          <w:noProof w:val="0"/>
        </w:rPr>
        <w:tab/>
        <w:t>85</w:t>
      </w:r>
    </w:p>
    <w:p w:rsidR="00031A3F" w:rsidRPr="00EE1E0C" w:rsidRDefault="00031A3F">
      <w:pPr>
        <w:pStyle w:val="Innehll1"/>
        <w:rPr>
          <w:noProof w:val="0"/>
        </w:rPr>
      </w:pPr>
      <w:r w:rsidRPr="00EE1E0C">
        <w:rPr>
          <w:noProof w:val="0"/>
        </w:rPr>
        <w:t>Del 3  Förundersökningarnas kvalitet</w:t>
      </w:r>
      <w:r w:rsidRPr="00EE1E0C">
        <w:rPr>
          <w:noProof w:val="0"/>
        </w:rPr>
        <w:tab/>
        <w:t>87</w:t>
      </w:r>
    </w:p>
    <w:p w:rsidR="00031A3F" w:rsidRPr="00EE1E0C" w:rsidRDefault="00031A3F">
      <w:pPr>
        <w:pStyle w:val="Innehll2"/>
        <w:rPr>
          <w:noProof w:val="0"/>
        </w:rPr>
      </w:pPr>
      <w:r w:rsidRPr="00EE1E0C">
        <w:rPr>
          <w:noProof w:val="0"/>
        </w:rPr>
        <w:t>Går det att mäta rättsväsendets prestationer?</w:t>
      </w:r>
      <w:r w:rsidRPr="00EE1E0C">
        <w:rPr>
          <w:noProof w:val="0"/>
        </w:rPr>
        <w:tab/>
        <w:t>88</w:t>
      </w:r>
    </w:p>
    <w:p w:rsidR="00031A3F" w:rsidRPr="00EE1E0C" w:rsidRDefault="00031A3F">
      <w:pPr>
        <w:pStyle w:val="Innehll2"/>
        <w:rPr>
          <w:noProof w:val="0"/>
        </w:rPr>
      </w:pPr>
      <w:r w:rsidRPr="00EE1E0C">
        <w:rPr>
          <w:noProof w:val="0"/>
        </w:rPr>
        <w:t>Från anmälan till dom</w:t>
      </w:r>
      <w:r w:rsidRPr="00EE1E0C">
        <w:rPr>
          <w:noProof w:val="0"/>
        </w:rPr>
        <w:tab/>
        <w:t>89</w:t>
      </w:r>
    </w:p>
    <w:p w:rsidR="00031A3F" w:rsidRPr="00EE1E0C" w:rsidRDefault="00031A3F">
      <w:pPr>
        <w:pStyle w:val="Innehll2"/>
        <w:rPr>
          <w:noProof w:val="0"/>
        </w:rPr>
      </w:pPr>
      <w:r w:rsidRPr="00EE1E0C">
        <w:rPr>
          <w:noProof w:val="0"/>
        </w:rPr>
        <w:t>Revisorernas undersökning</w:t>
      </w:r>
      <w:r w:rsidRPr="00EE1E0C">
        <w:rPr>
          <w:noProof w:val="0"/>
        </w:rPr>
        <w:tab/>
        <w:t>93</w:t>
      </w:r>
    </w:p>
    <w:p w:rsidR="00031A3F" w:rsidRPr="00EE1E0C" w:rsidRDefault="00031A3F">
      <w:pPr>
        <w:pStyle w:val="Innehll2"/>
        <w:rPr>
          <w:noProof w:val="0"/>
        </w:rPr>
      </w:pPr>
      <w:r w:rsidRPr="00EE1E0C">
        <w:rPr>
          <w:noProof w:val="0"/>
        </w:rPr>
        <w:t>Vad anser de som berörs av förundersökningarna?</w:t>
      </w:r>
      <w:r w:rsidRPr="00EE1E0C">
        <w:rPr>
          <w:noProof w:val="0"/>
        </w:rPr>
        <w:tab/>
        <w:t>98</w:t>
      </w:r>
    </w:p>
    <w:p w:rsidR="00031A3F" w:rsidRPr="00EE1E0C" w:rsidRDefault="00031A3F">
      <w:pPr>
        <w:pStyle w:val="Innehll1"/>
        <w:rPr>
          <w:noProof w:val="0"/>
        </w:rPr>
      </w:pPr>
      <w:r w:rsidRPr="00EE1E0C">
        <w:rPr>
          <w:noProof w:val="0"/>
        </w:rPr>
        <w:t>Del 4  Revisorernas överväganden och förslag</w:t>
      </w:r>
      <w:r w:rsidRPr="00EE1E0C">
        <w:rPr>
          <w:noProof w:val="0"/>
        </w:rPr>
        <w:tab/>
        <w:t>105</w:t>
      </w:r>
    </w:p>
    <w:p w:rsidR="00031A3F" w:rsidRPr="00EE1E0C" w:rsidRDefault="00031A3F">
      <w:pPr>
        <w:pStyle w:val="Innehll2"/>
        <w:rPr>
          <w:noProof w:val="0"/>
        </w:rPr>
      </w:pPr>
      <w:r w:rsidRPr="00EE1E0C">
        <w:rPr>
          <w:noProof w:val="0"/>
        </w:rPr>
        <w:t>Medelsförbrukningen</w:t>
      </w:r>
      <w:r w:rsidRPr="00EE1E0C">
        <w:rPr>
          <w:noProof w:val="0"/>
        </w:rPr>
        <w:tab/>
        <w:t>105</w:t>
      </w:r>
    </w:p>
    <w:p w:rsidR="00031A3F" w:rsidRPr="00EE1E0C" w:rsidRDefault="00031A3F">
      <w:pPr>
        <w:pStyle w:val="Innehll2"/>
        <w:rPr>
          <w:noProof w:val="0"/>
        </w:rPr>
      </w:pPr>
      <w:r w:rsidRPr="00EE1E0C">
        <w:rPr>
          <w:noProof w:val="0"/>
        </w:rPr>
        <w:t>Omorganisationer</w:t>
      </w:r>
      <w:r w:rsidRPr="00EE1E0C">
        <w:rPr>
          <w:noProof w:val="0"/>
        </w:rPr>
        <w:tab/>
        <w:t>106</w:t>
      </w:r>
    </w:p>
    <w:p w:rsidR="00031A3F" w:rsidRPr="00EE1E0C" w:rsidRDefault="00031A3F">
      <w:pPr>
        <w:pStyle w:val="Innehll2"/>
        <w:rPr>
          <w:noProof w:val="0"/>
        </w:rPr>
      </w:pPr>
      <w:r w:rsidRPr="00EE1E0C">
        <w:rPr>
          <w:noProof w:val="0"/>
        </w:rPr>
        <w:t>Polisens synlighet</w:t>
      </w:r>
      <w:r w:rsidRPr="00EE1E0C">
        <w:rPr>
          <w:noProof w:val="0"/>
        </w:rPr>
        <w:tab/>
        <w:t>107</w:t>
      </w:r>
    </w:p>
    <w:p w:rsidR="00031A3F" w:rsidRPr="00EE1E0C" w:rsidRDefault="00031A3F">
      <w:pPr>
        <w:pStyle w:val="Innehll2"/>
        <w:rPr>
          <w:noProof w:val="0"/>
        </w:rPr>
      </w:pPr>
      <w:r w:rsidRPr="00EE1E0C">
        <w:rPr>
          <w:noProof w:val="0"/>
        </w:rPr>
        <w:t>Förundersökningarnas kvalitet</w:t>
      </w:r>
      <w:r w:rsidRPr="00EE1E0C">
        <w:rPr>
          <w:noProof w:val="0"/>
        </w:rPr>
        <w:tab/>
        <w:t>108</w:t>
      </w:r>
    </w:p>
    <w:p w:rsidR="00031A3F" w:rsidRPr="00EE1E0C" w:rsidRDefault="00031A3F">
      <w:pPr>
        <w:pStyle w:val="Innehll2"/>
        <w:rPr>
          <w:noProof w:val="0"/>
        </w:rPr>
      </w:pPr>
      <w:r w:rsidRPr="00EE1E0C">
        <w:rPr>
          <w:noProof w:val="0"/>
        </w:rPr>
        <w:t>Rättsväsendets prestationer</w:t>
      </w:r>
      <w:r w:rsidRPr="00EE1E0C">
        <w:rPr>
          <w:noProof w:val="0"/>
        </w:rPr>
        <w:tab/>
        <w:t>109</w:t>
      </w:r>
    </w:p>
    <w:p w:rsidR="00031A3F" w:rsidRPr="00EE1E0C" w:rsidRDefault="00031A3F">
      <w:pPr>
        <w:pStyle w:val="Innehll2"/>
        <w:rPr>
          <w:noProof w:val="0"/>
        </w:rPr>
      </w:pPr>
      <w:r w:rsidRPr="00EE1E0C">
        <w:rPr>
          <w:noProof w:val="0"/>
        </w:rPr>
        <w:t>Organisationens betydelse för prestationerna</w:t>
      </w:r>
      <w:r w:rsidRPr="00EE1E0C">
        <w:rPr>
          <w:noProof w:val="0"/>
        </w:rPr>
        <w:tab/>
        <w:t>110</w:t>
      </w:r>
    </w:p>
    <w:p w:rsidR="00031A3F" w:rsidRPr="00EE1E0C" w:rsidRDefault="00031A3F">
      <w:pPr>
        <w:pStyle w:val="Innehll2"/>
        <w:rPr>
          <w:noProof w:val="0"/>
        </w:rPr>
      </w:pPr>
      <w:r w:rsidRPr="00EE1E0C">
        <w:rPr>
          <w:noProof w:val="0"/>
        </w:rPr>
        <w:t>Rättsväsendets samverkansformer</w:t>
      </w:r>
      <w:r w:rsidRPr="00EE1E0C">
        <w:rPr>
          <w:noProof w:val="0"/>
        </w:rPr>
        <w:tab/>
        <w:t>110</w:t>
      </w:r>
    </w:p>
    <w:p w:rsidR="00031A3F" w:rsidRPr="00EE1E0C" w:rsidRDefault="00031A3F">
      <w:pPr>
        <w:pStyle w:val="Innehll2"/>
        <w:rPr>
          <w:noProof w:val="0"/>
        </w:rPr>
      </w:pPr>
      <w:r w:rsidRPr="00EE1E0C">
        <w:rPr>
          <w:noProof w:val="0"/>
        </w:rPr>
        <w:t>Revisorernas förslag</w:t>
      </w:r>
      <w:r w:rsidRPr="00EE1E0C">
        <w:rPr>
          <w:noProof w:val="0"/>
        </w:rPr>
        <w:tab/>
        <w:t>112</w:t>
      </w:r>
    </w:p>
    <w:p w:rsidR="00031A3F" w:rsidRPr="00EE1E0C" w:rsidRDefault="00031A3F">
      <w:pPr>
        <w:pStyle w:val="Innehll1"/>
        <w:rPr>
          <w:noProof w:val="0"/>
        </w:rPr>
      </w:pPr>
      <w:r w:rsidRPr="00EE1E0C">
        <w:rPr>
          <w:noProof w:val="0"/>
        </w:rPr>
        <w:t>Referenser</w:t>
      </w:r>
      <w:r w:rsidRPr="00EE1E0C">
        <w:rPr>
          <w:noProof w:val="0"/>
        </w:rPr>
        <w:tab/>
        <w:t>114</w:t>
      </w:r>
    </w:p>
    <w:p w:rsidR="00031A3F" w:rsidRPr="00EE1E0C" w:rsidRDefault="00031A3F">
      <w:pPr>
        <w:pStyle w:val="Innehll2"/>
        <w:rPr>
          <w:noProof w:val="0"/>
        </w:rPr>
      </w:pPr>
      <w:r w:rsidRPr="00EE1E0C">
        <w:rPr>
          <w:noProof w:val="0"/>
        </w:rPr>
        <w:t>Intervjuer</w:t>
      </w:r>
      <w:r w:rsidRPr="00EE1E0C">
        <w:rPr>
          <w:noProof w:val="0"/>
        </w:rPr>
        <w:tab/>
        <w:t>114</w:t>
      </w:r>
    </w:p>
    <w:p w:rsidR="00031A3F" w:rsidRPr="00EE1E0C" w:rsidRDefault="00031A3F">
      <w:pPr>
        <w:pStyle w:val="Innehll2"/>
        <w:rPr>
          <w:noProof w:val="0"/>
        </w:rPr>
      </w:pPr>
      <w:r w:rsidRPr="00EE1E0C">
        <w:rPr>
          <w:noProof w:val="0"/>
        </w:rPr>
        <w:t>Litteratur och annat skriftligt material</w:t>
      </w:r>
      <w:r w:rsidRPr="00EE1E0C">
        <w:rPr>
          <w:noProof w:val="0"/>
        </w:rPr>
        <w:tab/>
        <w:t>115</w:t>
      </w:r>
    </w:p>
    <w:p w:rsidR="00031A3F" w:rsidRPr="00EE1E0C" w:rsidRDefault="00031A3F">
      <w:pPr>
        <w:pStyle w:val="Innehll1"/>
        <w:rPr>
          <w:noProof w:val="0"/>
        </w:rPr>
      </w:pPr>
    </w:p>
    <w:p w:rsidR="00031A3F" w:rsidRPr="00EE1E0C" w:rsidRDefault="00031A3F">
      <w:pPr>
        <w:pStyle w:val="Innehll1"/>
        <w:rPr>
          <w:noProof w:val="0"/>
        </w:rPr>
      </w:pPr>
      <w:r w:rsidRPr="00EE1E0C">
        <w:rPr>
          <w:noProof w:val="0"/>
        </w:rPr>
        <w:t>Bilaga 2</w:t>
      </w:r>
    </w:p>
    <w:p w:rsidR="00031A3F" w:rsidRPr="00EE1E0C" w:rsidRDefault="00031A3F">
      <w:pPr>
        <w:pStyle w:val="Innehll1"/>
        <w:rPr>
          <w:noProof w:val="0"/>
        </w:rPr>
      </w:pPr>
      <w:r w:rsidRPr="00EE1E0C">
        <w:rPr>
          <w:noProof w:val="0"/>
        </w:rPr>
        <w:t>Sammanfattning av remissyttranden avseende organisationsförändringar inom rättsväsendet</w:t>
      </w:r>
      <w:r w:rsidRPr="00EE1E0C">
        <w:rPr>
          <w:noProof w:val="0"/>
        </w:rPr>
        <w:tab/>
        <w:t>122</w:t>
      </w:r>
    </w:p>
    <w:p w:rsidR="00031A3F" w:rsidRPr="00EE1E0C" w:rsidRDefault="00031A3F">
      <w:pPr>
        <w:pStyle w:val="Innehll2"/>
        <w:rPr>
          <w:noProof w:val="0"/>
        </w:rPr>
      </w:pPr>
      <w:r w:rsidRPr="00EE1E0C">
        <w:rPr>
          <w:noProof w:val="0"/>
        </w:rPr>
        <w:t>Allmänna synpunkter</w:t>
      </w:r>
      <w:r w:rsidRPr="00EE1E0C">
        <w:rPr>
          <w:noProof w:val="0"/>
        </w:rPr>
        <w:tab/>
        <w:t>122</w:t>
      </w:r>
    </w:p>
    <w:p w:rsidR="00031A3F" w:rsidRPr="00EE1E0C" w:rsidRDefault="00031A3F">
      <w:pPr>
        <w:pStyle w:val="Innehll2"/>
        <w:rPr>
          <w:noProof w:val="0"/>
        </w:rPr>
      </w:pPr>
      <w:r w:rsidRPr="00EE1E0C">
        <w:rPr>
          <w:noProof w:val="0"/>
        </w:rPr>
        <w:t>Revisorernas överväganden</w:t>
      </w:r>
      <w:r w:rsidRPr="00EE1E0C">
        <w:rPr>
          <w:noProof w:val="0"/>
        </w:rPr>
        <w:tab/>
        <w:t>123</w:t>
      </w:r>
    </w:p>
    <w:p w:rsidR="00031A3F" w:rsidRPr="00EE1E0C" w:rsidRDefault="00031A3F">
      <w:pPr>
        <w:pStyle w:val="Innehll2"/>
        <w:rPr>
          <w:noProof w:val="0"/>
        </w:rPr>
      </w:pPr>
      <w:r w:rsidRPr="00EE1E0C">
        <w:rPr>
          <w:noProof w:val="0"/>
        </w:rPr>
        <w:t>Revisorernas förslag</w:t>
      </w:r>
      <w:r w:rsidRPr="00EE1E0C">
        <w:rPr>
          <w:noProof w:val="0"/>
        </w:rPr>
        <w:tab/>
        <w:t>131</w:t>
      </w:r>
    </w:p>
    <w:p w:rsidR="00031A3F" w:rsidRPr="00EE1E0C" w:rsidRDefault="00031A3F">
      <w:pPr>
        <w:pStyle w:val="Innehll1"/>
        <w:spacing w:before="120"/>
        <w:rPr>
          <w:noProof w:val="0"/>
        </w:rPr>
      </w:pPr>
      <w:r w:rsidRPr="00EE1E0C">
        <w:rPr>
          <w:noProof w:val="0"/>
        </w:rPr>
        <w:t>Bilaga 3</w:t>
      </w:r>
    </w:p>
    <w:p w:rsidR="00031A3F" w:rsidRPr="00EE1E0C" w:rsidRDefault="00031A3F">
      <w:pPr>
        <w:pStyle w:val="Innehll1"/>
        <w:rPr>
          <w:noProof w:val="0"/>
        </w:rPr>
      </w:pPr>
      <w:r w:rsidRPr="00EE1E0C">
        <w:rPr>
          <w:noProof w:val="0"/>
        </w:rPr>
        <w:t>Förord</w:t>
      </w:r>
      <w:r w:rsidRPr="00EE1E0C">
        <w:rPr>
          <w:noProof w:val="0"/>
        </w:rPr>
        <w:tab/>
        <w:t>139</w:t>
      </w:r>
    </w:p>
    <w:p w:rsidR="00031A3F" w:rsidRPr="00EE1E0C" w:rsidRDefault="00031A3F">
      <w:pPr>
        <w:pStyle w:val="Innehll1"/>
        <w:rPr>
          <w:noProof w:val="0"/>
        </w:rPr>
      </w:pPr>
      <w:r w:rsidRPr="00EE1E0C">
        <w:rPr>
          <w:noProof w:val="0"/>
        </w:rPr>
        <w:t>Sammanfattning</w:t>
      </w:r>
      <w:r w:rsidRPr="00EE1E0C">
        <w:rPr>
          <w:noProof w:val="0"/>
        </w:rPr>
        <w:tab/>
        <w:t>140</w:t>
      </w:r>
    </w:p>
    <w:p w:rsidR="00031A3F" w:rsidRPr="00EE1E0C" w:rsidRDefault="00031A3F">
      <w:pPr>
        <w:pStyle w:val="Innehll1"/>
        <w:rPr>
          <w:noProof w:val="0"/>
        </w:rPr>
      </w:pPr>
      <w:r w:rsidRPr="00EE1E0C">
        <w:rPr>
          <w:noProof w:val="0"/>
        </w:rPr>
        <w:t>1 Häktet i Östersund</w:t>
      </w:r>
      <w:r w:rsidRPr="00EE1E0C">
        <w:rPr>
          <w:noProof w:val="0"/>
        </w:rPr>
        <w:tab/>
        <w:t>141</w:t>
      </w:r>
    </w:p>
    <w:p w:rsidR="00031A3F" w:rsidRPr="00EE1E0C" w:rsidRDefault="00031A3F">
      <w:pPr>
        <w:pStyle w:val="Innehll2"/>
        <w:rPr>
          <w:noProof w:val="0"/>
        </w:rPr>
      </w:pPr>
      <w:r w:rsidRPr="00EE1E0C">
        <w:rPr>
          <w:noProof w:val="0"/>
        </w:rPr>
        <w:t>Uppgifter om häktet i Östersund</w:t>
      </w:r>
      <w:r w:rsidRPr="00EE1E0C">
        <w:rPr>
          <w:noProof w:val="0"/>
        </w:rPr>
        <w:tab/>
        <w:t>141</w:t>
      </w:r>
    </w:p>
    <w:p w:rsidR="00031A3F" w:rsidRPr="00EE1E0C" w:rsidRDefault="00031A3F">
      <w:pPr>
        <w:pStyle w:val="Innehll1"/>
        <w:rPr>
          <w:noProof w:val="0"/>
        </w:rPr>
      </w:pPr>
      <w:r w:rsidRPr="00EE1E0C">
        <w:rPr>
          <w:noProof w:val="0"/>
        </w:rPr>
        <w:t>2 Riksdagens revisorers rapport</w:t>
      </w:r>
      <w:r w:rsidRPr="00EE1E0C">
        <w:rPr>
          <w:noProof w:val="0"/>
        </w:rPr>
        <w:tab/>
        <w:t>142</w:t>
      </w:r>
    </w:p>
    <w:p w:rsidR="00031A3F" w:rsidRPr="00EE1E0C" w:rsidRDefault="00031A3F">
      <w:pPr>
        <w:pStyle w:val="Innehll1"/>
        <w:rPr>
          <w:noProof w:val="0"/>
        </w:rPr>
      </w:pPr>
      <w:r w:rsidRPr="00EE1E0C">
        <w:rPr>
          <w:noProof w:val="0"/>
        </w:rPr>
        <w:t>3 Östersundsperspektivet</w:t>
      </w:r>
      <w:r w:rsidRPr="00EE1E0C">
        <w:rPr>
          <w:noProof w:val="0"/>
        </w:rPr>
        <w:tab/>
        <w:t>142</w:t>
      </w:r>
    </w:p>
    <w:p w:rsidR="00031A3F" w:rsidRPr="00EE1E0C" w:rsidRDefault="00031A3F">
      <w:pPr>
        <w:pStyle w:val="Innehll2"/>
        <w:rPr>
          <w:noProof w:val="0"/>
        </w:rPr>
      </w:pPr>
      <w:r w:rsidRPr="00EE1E0C">
        <w:rPr>
          <w:noProof w:val="0"/>
        </w:rPr>
        <w:t>De gamla häkteslokalerna</w:t>
      </w:r>
      <w:r w:rsidRPr="00EE1E0C">
        <w:rPr>
          <w:noProof w:val="0"/>
        </w:rPr>
        <w:tab/>
        <w:t>143</w:t>
      </w:r>
    </w:p>
    <w:p w:rsidR="00031A3F" w:rsidRPr="00EE1E0C" w:rsidRDefault="00031A3F">
      <w:pPr>
        <w:pStyle w:val="Innehll2"/>
        <w:rPr>
          <w:noProof w:val="0"/>
        </w:rPr>
      </w:pPr>
      <w:r w:rsidRPr="00EE1E0C">
        <w:rPr>
          <w:noProof w:val="0"/>
        </w:rPr>
        <w:t>Resor</w:t>
      </w:r>
      <w:r w:rsidRPr="00EE1E0C">
        <w:rPr>
          <w:noProof w:val="0"/>
        </w:rPr>
        <w:tab/>
        <w:t>143</w:t>
      </w:r>
    </w:p>
    <w:p w:rsidR="00031A3F" w:rsidRPr="00EE1E0C" w:rsidRDefault="00031A3F">
      <w:pPr>
        <w:pStyle w:val="Innehll2"/>
        <w:rPr>
          <w:noProof w:val="0"/>
        </w:rPr>
      </w:pPr>
      <w:r w:rsidRPr="00EE1E0C">
        <w:rPr>
          <w:noProof w:val="0"/>
        </w:rPr>
        <w:t>Transporterna</w:t>
      </w:r>
      <w:r w:rsidRPr="00EE1E0C">
        <w:rPr>
          <w:noProof w:val="0"/>
        </w:rPr>
        <w:tab/>
        <w:t>144</w:t>
      </w:r>
    </w:p>
    <w:p w:rsidR="00031A3F" w:rsidRPr="00EE1E0C" w:rsidRDefault="00031A3F">
      <w:pPr>
        <w:pStyle w:val="Innehll2"/>
        <w:rPr>
          <w:noProof w:val="0"/>
        </w:rPr>
      </w:pPr>
      <w:r w:rsidRPr="00EE1E0C">
        <w:rPr>
          <w:noProof w:val="0"/>
        </w:rPr>
        <w:t>Utredningarna</w:t>
      </w:r>
      <w:r w:rsidRPr="00EE1E0C">
        <w:rPr>
          <w:noProof w:val="0"/>
        </w:rPr>
        <w:tab/>
        <w:t>144</w:t>
      </w:r>
    </w:p>
    <w:p w:rsidR="00031A3F" w:rsidRPr="00EE1E0C" w:rsidRDefault="00031A3F">
      <w:pPr>
        <w:pStyle w:val="Innehll2"/>
        <w:rPr>
          <w:noProof w:val="0"/>
        </w:rPr>
      </w:pPr>
      <w:r w:rsidRPr="00EE1E0C">
        <w:rPr>
          <w:noProof w:val="0"/>
        </w:rPr>
        <w:t>Det rättsliga förfarandet</w:t>
      </w:r>
      <w:r w:rsidRPr="00EE1E0C">
        <w:rPr>
          <w:noProof w:val="0"/>
        </w:rPr>
        <w:tab/>
        <w:t>145</w:t>
      </w:r>
    </w:p>
    <w:p w:rsidR="00031A3F" w:rsidRPr="00EE1E0C" w:rsidRDefault="00031A3F">
      <w:pPr>
        <w:pStyle w:val="Innehll2"/>
        <w:rPr>
          <w:noProof w:val="0"/>
        </w:rPr>
      </w:pPr>
      <w:r w:rsidRPr="00EE1E0C">
        <w:rPr>
          <w:noProof w:val="0"/>
        </w:rPr>
        <w:t>De häktades situation</w:t>
      </w:r>
      <w:r w:rsidRPr="00EE1E0C">
        <w:rPr>
          <w:noProof w:val="0"/>
        </w:rPr>
        <w:tab/>
        <w:t>145</w:t>
      </w:r>
    </w:p>
    <w:p w:rsidR="00031A3F" w:rsidRPr="00EE1E0C" w:rsidRDefault="00031A3F">
      <w:pPr>
        <w:pStyle w:val="Innehll2"/>
        <w:rPr>
          <w:noProof w:val="0"/>
        </w:rPr>
      </w:pPr>
      <w:r w:rsidRPr="00EE1E0C">
        <w:rPr>
          <w:noProof w:val="0"/>
        </w:rPr>
        <w:t>Övrigt</w:t>
      </w:r>
      <w:r w:rsidRPr="00EE1E0C">
        <w:rPr>
          <w:noProof w:val="0"/>
        </w:rPr>
        <w:tab/>
        <w:t>146</w:t>
      </w:r>
    </w:p>
    <w:p w:rsidR="00031A3F" w:rsidRPr="00EE1E0C" w:rsidRDefault="00031A3F">
      <w:pPr>
        <w:pStyle w:val="Innehll1"/>
        <w:rPr>
          <w:noProof w:val="0"/>
        </w:rPr>
      </w:pPr>
      <w:r w:rsidRPr="00EE1E0C">
        <w:rPr>
          <w:noProof w:val="0"/>
        </w:rPr>
        <w:t>4 Härnösandsperspektivet</w:t>
      </w:r>
      <w:r w:rsidRPr="00EE1E0C">
        <w:rPr>
          <w:noProof w:val="0"/>
        </w:rPr>
        <w:tab/>
        <w:t>146</w:t>
      </w:r>
    </w:p>
    <w:p w:rsidR="00031A3F" w:rsidRPr="00EE1E0C" w:rsidRDefault="00031A3F">
      <w:pPr>
        <w:pStyle w:val="Innehll2"/>
        <w:rPr>
          <w:noProof w:val="0"/>
        </w:rPr>
      </w:pPr>
      <w:r w:rsidRPr="00EE1E0C">
        <w:rPr>
          <w:noProof w:val="0"/>
        </w:rPr>
        <w:t>Häktet i Härnösand</w:t>
      </w:r>
      <w:r w:rsidRPr="00EE1E0C">
        <w:rPr>
          <w:noProof w:val="0"/>
        </w:rPr>
        <w:tab/>
        <w:t>146</w:t>
      </w:r>
    </w:p>
    <w:p w:rsidR="00031A3F" w:rsidRPr="00EE1E0C" w:rsidRDefault="00031A3F">
      <w:pPr>
        <w:pStyle w:val="Innehll2"/>
        <w:rPr>
          <w:noProof w:val="0"/>
        </w:rPr>
      </w:pPr>
      <w:r w:rsidRPr="00EE1E0C">
        <w:rPr>
          <w:noProof w:val="0"/>
        </w:rPr>
        <w:t>Transporttjänsten</w:t>
      </w:r>
      <w:r w:rsidRPr="00EE1E0C">
        <w:rPr>
          <w:noProof w:val="0"/>
        </w:rPr>
        <w:tab/>
        <w:t>147</w:t>
      </w:r>
    </w:p>
    <w:p w:rsidR="00031A3F" w:rsidRPr="00EE1E0C" w:rsidRDefault="00031A3F">
      <w:pPr>
        <w:pStyle w:val="Innehll2"/>
        <w:rPr>
          <w:noProof w:val="0"/>
        </w:rPr>
      </w:pPr>
      <w:r w:rsidRPr="00EE1E0C">
        <w:rPr>
          <w:noProof w:val="0"/>
        </w:rPr>
        <w:t>Kriminalvårdens regionmyndighet</w:t>
      </w:r>
      <w:r w:rsidRPr="00EE1E0C">
        <w:rPr>
          <w:noProof w:val="0"/>
        </w:rPr>
        <w:tab/>
        <w:t>148</w:t>
      </w:r>
    </w:p>
    <w:p w:rsidR="00031A3F" w:rsidRPr="00EE1E0C" w:rsidRDefault="00031A3F">
      <w:pPr>
        <w:pStyle w:val="Innehll1"/>
        <w:rPr>
          <w:noProof w:val="0"/>
        </w:rPr>
      </w:pPr>
      <w:r w:rsidRPr="00EE1E0C">
        <w:rPr>
          <w:noProof w:val="0"/>
        </w:rPr>
        <w:t>5 Sammanställning av ekonomiska effekter</w:t>
      </w:r>
      <w:r w:rsidRPr="00EE1E0C">
        <w:rPr>
          <w:noProof w:val="0"/>
        </w:rPr>
        <w:tab/>
        <w:t>148</w:t>
      </w:r>
    </w:p>
    <w:p w:rsidR="00031A3F" w:rsidRPr="00EE1E0C" w:rsidRDefault="00031A3F">
      <w:pPr>
        <w:pStyle w:val="Innehll2"/>
        <w:rPr>
          <w:noProof w:val="0"/>
        </w:rPr>
      </w:pPr>
      <w:r w:rsidRPr="00EE1E0C">
        <w:rPr>
          <w:noProof w:val="0"/>
        </w:rPr>
        <w:t>Engångskostnader och engångsbesparingar</w:t>
      </w:r>
      <w:r w:rsidRPr="00EE1E0C">
        <w:rPr>
          <w:noProof w:val="0"/>
        </w:rPr>
        <w:tab/>
        <w:t>148</w:t>
      </w:r>
    </w:p>
    <w:p w:rsidR="00031A3F" w:rsidRPr="00EE1E0C" w:rsidRDefault="00031A3F">
      <w:pPr>
        <w:pStyle w:val="Innehll2"/>
        <w:rPr>
          <w:noProof w:val="0"/>
        </w:rPr>
      </w:pPr>
      <w:r w:rsidRPr="00EE1E0C">
        <w:rPr>
          <w:noProof w:val="0"/>
        </w:rPr>
        <w:t>Ekonomiska effekter år 1997</w:t>
      </w:r>
      <w:r w:rsidRPr="00EE1E0C">
        <w:rPr>
          <w:noProof w:val="0"/>
        </w:rPr>
        <w:tab/>
        <w:t>149</w:t>
      </w:r>
    </w:p>
    <w:p w:rsidR="00031A3F" w:rsidRPr="00EE1E0C" w:rsidRDefault="00031A3F">
      <w:pPr>
        <w:pStyle w:val="Innehll2"/>
        <w:rPr>
          <w:noProof w:val="0"/>
        </w:rPr>
      </w:pPr>
      <w:r w:rsidRPr="00EE1E0C">
        <w:rPr>
          <w:noProof w:val="0"/>
        </w:rPr>
        <w:t>Riksdagens revisorers tidigare rapport – en jämförelse av resultat</w:t>
      </w:r>
      <w:r w:rsidRPr="00EE1E0C">
        <w:rPr>
          <w:noProof w:val="0"/>
        </w:rPr>
        <w:tab/>
        <w:t>151</w:t>
      </w:r>
    </w:p>
    <w:p w:rsidR="00031A3F" w:rsidRPr="00EE1E0C" w:rsidRDefault="00031A3F">
      <w:pPr>
        <w:pStyle w:val="Innehll2"/>
        <w:rPr>
          <w:noProof w:val="0"/>
        </w:rPr>
      </w:pPr>
      <w:r w:rsidRPr="00EE1E0C">
        <w:rPr>
          <w:noProof w:val="0"/>
        </w:rPr>
        <w:t>Ej kvantifierade kostnader</w:t>
      </w:r>
      <w:r w:rsidRPr="00EE1E0C">
        <w:rPr>
          <w:noProof w:val="0"/>
        </w:rPr>
        <w:tab/>
        <w:t>157</w:t>
      </w:r>
    </w:p>
    <w:p w:rsidR="00031A3F" w:rsidRPr="00EE1E0C" w:rsidRDefault="00031A3F">
      <w:pPr>
        <w:pStyle w:val="Innehll1"/>
        <w:rPr>
          <w:noProof w:val="0"/>
        </w:rPr>
      </w:pPr>
      <w:r w:rsidRPr="00EE1E0C">
        <w:rPr>
          <w:noProof w:val="0"/>
        </w:rPr>
        <w:t>6 Revisorernas överväganden och slutsatser</w:t>
      </w:r>
      <w:r w:rsidRPr="00EE1E0C">
        <w:rPr>
          <w:noProof w:val="0"/>
        </w:rPr>
        <w:tab/>
        <w:t>158</w:t>
      </w:r>
    </w:p>
    <w:p w:rsidR="00031A3F" w:rsidRPr="00EE1E0C" w:rsidRDefault="00031A3F">
      <w:pPr>
        <w:pStyle w:val="Innehll2"/>
        <w:rPr>
          <w:noProof w:val="0"/>
        </w:rPr>
      </w:pPr>
      <w:r w:rsidRPr="00EE1E0C">
        <w:rPr>
          <w:noProof w:val="0"/>
        </w:rPr>
        <w:t>Revisorernas slutsatser</w:t>
      </w:r>
      <w:r w:rsidRPr="00EE1E0C">
        <w:rPr>
          <w:noProof w:val="0"/>
        </w:rPr>
        <w:tab/>
        <w:t>160</w:t>
      </w:r>
    </w:p>
    <w:p w:rsidR="00031A3F" w:rsidRPr="00EE1E0C" w:rsidRDefault="00031A3F">
      <w:pPr>
        <w:pStyle w:val="Innehll1"/>
        <w:rPr>
          <w:noProof w:val="0"/>
        </w:rPr>
      </w:pPr>
    </w:p>
    <w:p w:rsidR="00031A3F" w:rsidRPr="00EE1E0C" w:rsidRDefault="00031A3F">
      <w:pPr>
        <w:pStyle w:val="Innehll1"/>
        <w:rPr>
          <w:noProof w:val="0"/>
        </w:rPr>
      </w:pPr>
      <w:r w:rsidRPr="00EE1E0C">
        <w:rPr>
          <w:noProof w:val="0"/>
        </w:rPr>
        <w:t>Bilaga 4</w:t>
      </w:r>
    </w:p>
    <w:p w:rsidR="00031A3F" w:rsidRPr="00EE1E0C" w:rsidRDefault="00031A3F">
      <w:pPr>
        <w:pStyle w:val="Innehll1"/>
        <w:rPr>
          <w:noProof w:val="0"/>
        </w:rPr>
      </w:pPr>
      <w:r w:rsidRPr="00EE1E0C">
        <w:rPr>
          <w:noProof w:val="0"/>
        </w:rPr>
        <w:t>Sammanfattning av remissyttranden avseende nedläggningen av häktet i Östersund</w:t>
      </w:r>
      <w:r w:rsidRPr="00EE1E0C">
        <w:rPr>
          <w:noProof w:val="0"/>
        </w:rPr>
        <w:tab/>
        <w:t>137</w:t>
      </w:r>
    </w:p>
    <w:p w:rsidR="00031A3F" w:rsidRPr="00EE1E0C" w:rsidRDefault="00031A3F">
      <w:pPr>
        <w:pStyle w:val="Innehll2"/>
        <w:rPr>
          <w:noProof w:val="0"/>
        </w:rPr>
      </w:pPr>
      <w:r w:rsidRPr="00EE1E0C">
        <w:rPr>
          <w:noProof w:val="0"/>
        </w:rPr>
        <w:t>Allmänna synpunkter</w:t>
      </w:r>
      <w:r w:rsidRPr="00EE1E0C">
        <w:rPr>
          <w:noProof w:val="0"/>
        </w:rPr>
        <w:tab/>
        <w:t>161</w:t>
      </w:r>
    </w:p>
    <w:p w:rsidR="00031A3F" w:rsidRPr="00EE1E0C" w:rsidRDefault="00031A3F">
      <w:pPr>
        <w:pStyle w:val="Innehll2"/>
        <w:rPr>
          <w:noProof w:val="0"/>
        </w:rPr>
      </w:pPr>
      <w:r w:rsidRPr="00EE1E0C">
        <w:rPr>
          <w:noProof w:val="0"/>
        </w:rPr>
        <w:t>Utfallet av den samhällsekonomiska kalkylen</w:t>
      </w:r>
      <w:r w:rsidRPr="00EE1E0C">
        <w:rPr>
          <w:noProof w:val="0"/>
        </w:rPr>
        <w:tab/>
        <w:t>162</w:t>
      </w:r>
    </w:p>
    <w:p w:rsidR="00031A3F" w:rsidRPr="00EE1E0C" w:rsidRDefault="00031A3F">
      <w:pPr>
        <w:pStyle w:val="Innehll2"/>
        <w:rPr>
          <w:noProof w:val="0"/>
        </w:rPr>
      </w:pPr>
      <w:r w:rsidRPr="00EE1E0C">
        <w:rPr>
          <w:noProof w:val="0"/>
        </w:rPr>
        <w:t>Effekterna för kriminalvården</w:t>
      </w:r>
      <w:r w:rsidRPr="00EE1E0C">
        <w:rPr>
          <w:noProof w:val="0"/>
        </w:rPr>
        <w:tab/>
        <w:t>163</w:t>
      </w:r>
    </w:p>
    <w:p w:rsidR="00031A3F" w:rsidRPr="00EE1E0C" w:rsidRDefault="00031A3F">
      <w:pPr>
        <w:pStyle w:val="Innehll2"/>
        <w:rPr>
          <w:noProof w:val="0"/>
        </w:rPr>
      </w:pPr>
      <w:r w:rsidRPr="00EE1E0C">
        <w:rPr>
          <w:noProof w:val="0"/>
        </w:rPr>
        <w:t>Effekterna för polis, åklagare och advokat</w:t>
      </w:r>
      <w:r w:rsidRPr="00EE1E0C">
        <w:rPr>
          <w:noProof w:val="0"/>
        </w:rPr>
        <w:tab/>
        <w:t>164</w:t>
      </w:r>
    </w:p>
    <w:p w:rsidR="00031A3F" w:rsidRPr="00EE1E0C" w:rsidRDefault="00031A3F">
      <w:pPr>
        <w:pStyle w:val="Innehll2"/>
        <w:rPr>
          <w:noProof w:val="0"/>
        </w:rPr>
      </w:pPr>
      <w:r w:rsidRPr="00EE1E0C">
        <w:rPr>
          <w:noProof w:val="0"/>
        </w:rPr>
        <w:t>Transporter</w:t>
      </w:r>
      <w:r w:rsidRPr="00EE1E0C">
        <w:rPr>
          <w:noProof w:val="0"/>
        </w:rPr>
        <w:tab/>
        <w:t>164</w:t>
      </w:r>
    </w:p>
    <w:p w:rsidR="00031A3F" w:rsidRPr="00EE1E0C" w:rsidRDefault="00031A3F">
      <w:pPr>
        <w:pStyle w:val="Innehll2"/>
        <w:rPr>
          <w:noProof w:val="0"/>
        </w:rPr>
      </w:pPr>
      <w:r w:rsidRPr="00EE1E0C">
        <w:rPr>
          <w:noProof w:val="0"/>
        </w:rPr>
        <w:t>De häktades situation</w:t>
      </w:r>
      <w:r w:rsidRPr="00EE1E0C">
        <w:rPr>
          <w:noProof w:val="0"/>
        </w:rPr>
        <w:tab/>
        <w:t>165</w:t>
      </w:r>
    </w:p>
    <w:p w:rsidR="00031A3F" w:rsidRPr="00EE1E0C" w:rsidRDefault="00031A3F">
      <w:pPr>
        <w:pStyle w:val="Innehll2"/>
        <w:rPr>
          <w:noProof w:val="0"/>
        </w:rPr>
      </w:pPr>
      <w:r w:rsidRPr="00EE1E0C">
        <w:rPr>
          <w:noProof w:val="0"/>
        </w:rPr>
        <w:t>Utredningarnas kvalitet och rättssäkerheten</w:t>
      </w:r>
      <w:r w:rsidRPr="00EE1E0C">
        <w:rPr>
          <w:noProof w:val="0"/>
        </w:rPr>
        <w:tab/>
        <w:t>165</w:t>
      </w:r>
    </w:p>
    <w:p w:rsidR="00031A3F" w:rsidRPr="00EE1E0C" w:rsidRDefault="00031A3F"/>
    <w:p w:rsidR="00031A3F" w:rsidRPr="00EE1E0C" w:rsidRDefault="00031A3F"/>
    <w:p w:rsidR="00031A3F" w:rsidRPr="00EE1E0C" w:rsidRDefault="00031A3F">
      <w:pPr>
        <w:pStyle w:val="Tryckort"/>
        <w:framePr w:wrap="around"/>
      </w:pPr>
      <w:r w:rsidRPr="00EE1E0C">
        <w:t>Elanders Gotab, Stockholm  1999</w:t>
      </w:r>
    </w:p>
    <w:p w:rsidR="00031A3F" w:rsidRPr="00EE1E0C" w:rsidRDefault="00031A3F">
      <w:pPr>
        <w:pStyle w:val="Normaltindrag"/>
      </w:pPr>
    </w:p>
    <w:sectPr w:rsidR="00031A3F" w:rsidRPr="00EE1E0C">
      <w:headerReference w:type="default" r:id="rId4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A3F" w:rsidRPr="00EE1E0C" w:rsidRDefault="00031A3F">
      <w:pPr>
        <w:spacing w:before="0" w:line="240" w:lineRule="auto"/>
      </w:pPr>
      <w:r w:rsidRPr="00EE1E0C">
        <w:separator/>
      </w:r>
    </w:p>
  </w:endnote>
  <w:endnote w:type="continuationSeparator" w:id="0">
    <w:p w:rsidR="00031A3F" w:rsidRPr="00EE1E0C" w:rsidRDefault="00031A3F">
      <w:pPr>
        <w:spacing w:before="0" w:line="240" w:lineRule="auto"/>
      </w:pPr>
      <w:r w:rsidRPr="00EE1E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fotH"/>
      <w:framePr w:wrap="around"/>
    </w:pPr>
    <w:r w:rsidRPr="00EE1E0C">
      <w:fldChar w:fldCharType="begin" w:fldLock="1"/>
    </w:r>
    <w:r w:rsidRPr="00EE1E0C">
      <w:instrText xml:space="preserve"> P</w:instrText>
    </w:r>
    <w:r w:rsidRPr="00EE1E0C">
      <w:instrText>A</w:instrText>
    </w:r>
    <w:r w:rsidRPr="00EE1E0C">
      <w:instrText xml:space="preserve">GE </w:instrText>
    </w:r>
    <w:r w:rsidRPr="00EE1E0C">
      <w:fldChar w:fldCharType="separate"/>
    </w:r>
    <w:r w:rsidRPr="00EE1E0C">
      <w:t>16</w:t>
    </w:r>
    <w:r w:rsidRPr="00EE1E0C">
      <w:fldChar w:fldCharType="end"/>
    </w:r>
  </w:p>
  <w:p w:rsidR="00031A3F" w:rsidRPr="00EE1E0C" w:rsidRDefault="00031A3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fotH"/>
      <w:framePr w:w="1061" w:wrap="around" w:x="7925"/>
      <w:rPr>
        <w:rStyle w:val="Sidnummer"/>
      </w:rPr>
    </w:pPr>
    <w:r w:rsidRPr="00EE1E0C">
      <w:rPr>
        <w:rStyle w:val="Sidnummer"/>
      </w:rPr>
      <w:fldChar w:fldCharType="begin" w:fldLock="1"/>
    </w:r>
    <w:r w:rsidRPr="00EE1E0C">
      <w:rPr>
        <w:rStyle w:val="Sidnummer"/>
      </w:rPr>
      <w:instrText xml:space="preserve">PAGE  </w:instrText>
    </w:r>
    <w:r w:rsidRPr="00EE1E0C">
      <w:rPr>
        <w:rStyle w:val="Sidnummer"/>
      </w:rPr>
      <w:fldChar w:fldCharType="separate"/>
    </w:r>
    <w:r w:rsidRPr="00EE1E0C">
      <w:rPr>
        <w:rStyle w:val="Sidnummer"/>
      </w:rPr>
      <w:t>169</w:t>
    </w:r>
    <w:r w:rsidRPr="00EE1E0C">
      <w:rPr>
        <w:rStyle w:val="Sidnumm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fotH"/>
      <w:framePr w:w="1217" w:wrap="around" w:x="7781"/>
    </w:pPr>
    <w:r>
      <w:rPr>
        <w:rStyle w:val="Sidnummer"/>
      </w:rPr>
      <w:fldChar w:fldCharType="begin"/>
    </w:r>
    <w:r>
      <w:rPr>
        <w:rStyle w:val="Sidnummer"/>
      </w:rPr>
      <w:instrText xml:space="preserve"> PAGE </w:instrText>
    </w:r>
    <w:r>
      <w:rPr>
        <w:rStyle w:val="Sidnummer"/>
      </w:rPr>
      <w:fldChar w:fldCharType="separate"/>
    </w:r>
    <w:r>
      <w:rPr>
        <w:rStyle w:val="Sidnummer"/>
        <w:noProof/>
      </w:rPr>
      <w:t>139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170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fotH"/>
      <w:framePr w:w="428" w:wrap="around" w:x="8498"/>
    </w:pPr>
    <w:r w:rsidRPr="00EE1E0C">
      <w:fldChar w:fldCharType="begin" w:fldLock="1"/>
    </w:r>
    <w:r w:rsidRPr="00EE1E0C">
      <w:instrText xml:space="preserve"> PAGE </w:instrText>
    </w:r>
    <w:r w:rsidRPr="00EE1E0C">
      <w:fldChar w:fldCharType="separate"/>
    </w:r>
    <w:r w:rsidRPr="00EE1E0C">
      <w:t>17</w:t>
    </w:r>
    <w:r w:rsidRPr="00EE1E0C">
      <w:fldChar w:fldCharType="end"/>
    </w:r>
  </w:p>
  <w:p w:rsidR="00031A3F" w:rsidRPr="00EE1E0C" w:rsidRDefault="00031A3F">
    <w:pPr>
      <w:pStyle w:val="Sidfot"/>
      <w:framePr w:wrap="around" w:vAnchor="text" w:hAnchor="margin" w:xAlign="right" w:y="1"/>
      <w:rPr>
        <w:rStyle w:val="Sidnumm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fotH"/>
      <w:framePr w:w="488" w:wrap="around" w:x="8498"/>
    </w:pPr>
    <w:r>
      <w:fldChar w:fldCharType="begin"/>
    </w:r>
    <w:r>
      <w:instrText xml:space="preserve"> PAGE </w:instrText>
    </w:r>
    <w:r>
      <w:fldChar w:fldCharType="separate"/>
    </w:r>
    <w:r>
      <w:rPr>
        <w:noProof/>
      </w:rPr>
      <w:t>170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170</w:t>
    </w:r>
    <w:r>
      <w:rPr>
        <w:rStyle w:val="Sidnumm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fotH"/>
      <w:framePr w:w="428" w:wrap="around" w:x="8498"/>
    </w:pPr>
    <w:r w:rsidRPr="00EE1E0C">
      <w:fldChar w:fldCharType="begin" w:fldLock="1"/>
    </w:r>
    <w:r w:rsidRPr="00EE1E0C">
      <w:instrText xml:space="preserve"> PAGE </w:instrText>
    </w:r>
    <w:r w:rsidRPr="00EE1E0C">
      <w:fldChar w:fldCharType="separate"/>
    </w:r>
    <w:r w:rsidRPr="00EE1E0C">
      <w:t>121</w:t>
    </w:r>
    <w:r w:rsidRPr="00EE1E0C">
      <w:fldChar w:fldCharType="end"/>
    </w:r>
  </w:p>
  <w:p w:rsidR="00031A3F" w:rsidRPr="00EE1E0C" w:rsidRDefault="00031A3F">
    <w:pPr>
      <w:pStyle w:val="Sidfot"/>
      <w:framePr w:wrap="around" w:vAnchor="text" w:hAnchor="margin" w:xAlign="right" w:y="1"/>
      <w:rPr>
        <w:rStyle w:val="Sidnumm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fotH"/>
      <w:framePr w:w="488" w:wrap="around" w:x="8498"/>
    </w:pPr>
    <w:r>
      <w:fldChar w:fldCharType="begin"/>
    </w:r>
    <w:r>
      <w:instrText xml:space="preserve"> P</w:instrText>
    </w:r>
    <w:r>
      <w:instrText>A</w:instrText>
    </w:r>
    <w:r>
      <w:instrText xml:space="preserve">GE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fotH"/>
      <w:framePr w:wrap="around"/>
    </w:pPr>
    <w:r w:rsidRPr="00EE1E0C">
      <w:fldChar w:fldCharType="begin" w:fldLock="1"/>
    </w:r>
    <w:r w:rsidRPr="00EE1E0C">
      <w:instrText xml:space="preserve"> P</w:instrText>
    </w:r>
    <w:r w:rsidRPr="00EE1E0C">
      <w:instrText>A</w:instrText>
    </w:r>
    <w:r w:rsidRPr="00EE1E0C">
      <w:instrText xml:space="preserve">GE </w:instrText>
    </w:r>
    <w:r w:rsidRPr="00EE1E0C">
      <w:fldChar w:fldCharType="separate"/>
    </w:r>
    <w:r w:rsidRPr="00EE1E0C">
      <w:t>138</w:t>
    </w:r>
    <w:r w:rsidRPr="00EE1E0C">
      <w:fldChar w:fldCharType="end"/>
    </w:r>
  </w:p>
  <w:p w:rsidR="00031A3F" w:rsidRPr="00EE1E0C" w:rsidRDefault="00031A3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170</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A3F" w:rsidRPr="00EE1E0C" w:rsidRDefault="00031A3F">
      <w:pPr>
        <w:pStyle w:val="Sidfot"/>
      </w:pPr>
    </w:p>
  </w:footnote>
  <w:footnote w:type="continuationSeparator" w:id="0">
    <w:p w:rsidR="00031A3F" w:rsidRPr="00EE1E0C" w:rsidRDefault="00031A3F">
      <w:pPr>
        <w:spacing w:before="0" w:line="240" w:lineRule="auto"/>
      </w:pPr>
      <w:r w:rsidRPr="00EE1E0C">
        <w:continuationSeparator/>
      </w:r>
    </w:p>
  </w:footnote>
  <w:footnote w:id="1">
    <w:p w:rsidR="00031A3F" w:rsidRPr="00EE1E0C" w:rsidRDefault="00031A3F">
      <w:pPr>
        <w:pStyle w:val="Fotnotstext"/>
      </w:pPr>
      <w:r w:rsidRPr="00EE1E0C">
        <w:rPr>
          <w:rStyle w:val="Fotnotsreferens"/>
        </w:rPr>
        <w:footnoteRef/>
      </w:r>
      <w:r w:rsidRPr="00EE1E0C">
        <w:t xml:space="preserve"> Revisorerna har hösten 1999 beslutat att inte genomföra något informationsbesök avseende delgivning.</w:t>
      </w:r>
    </w:p>
  </w:footnote>
  <w:footnote w:id="2">
    <w:p w:rsidR="00031A3F" w:rsidRPr="00EE1E0C" w:rsidRDefault="00031A3F">
      <w:pPr>
        <w:pStyle w:val="Fotnotstext"/>
      </w:pPr>
      <w:r w:rsidRPr="00EE1E0C">
        <w:rPr>
          <w:rStyle w:val="Fotnotsreferens"/>
        </w:rPr>
        <w:footnoteRef/>
      </w:r>
      <w:r w:rsidRPr="00EE1E0C">
        <w:t xml:space="preserve"> Avsnittet bygger på budgetpropositioner och utskottsbetänkanden under 1990-talet.</w:t>
      </w:r>
    </w:p>
  </w:footnote>
  <w:footnote w:id="3">
    <w:p w:rsidR="00031A3F" w:rsidRPr="00EE1E0C" w:rsidRDefault="00031A3F">
      <w:pPr>
        <w:pStyle w:val="Fotnotstext"/>
      </w:pPr>
      <w:r w:rsidRPr="00EE1E0C">
        <w:rPr>
          <w:rStyle w:val="Fotnotsreferens"/>
        </w:rPr>
        <w:footnoteRef/>
      </w:r>
      <w:r w:rsidRPr="00EE1E0C">
        <w:t xml:space="preserve"> I Statskontorets rapport (1998:23) anges att de reala kostnaderna för polisväsendet sjunkit. Enligt uppgift avser dessa kostnader polisväsendets anslag i fasta priser.</w:t>
      </w:r>
    </w:p>
  </w:footnote>
  <w:footnote w:id="4">
    <w:p w:rsidR="00031A3F" w:rsidRPr="00EE1E0C" w:rsidRDefault="00031A3F">
      <w:pPr>
        <w:pStyle w:val="Fotnotstext"/>
      </w:pPr>
      <w:r w:rsidRPr="00EE1E0C">
        <w:rPr>
          <w:rStyle w:val="Fotnotsreferens"/>
        </w:rPr>
        <w:footnoteRef/>
      </w:r>
      <w:r w:rsidRPr="00EE1E0C">
        <w:t xml:space="preserve"> Avsnittet bygger på budgetpropositioner och utskottsbetänkanden under 1990-talet.</w:t>
      </w:r>
    </w:p>
  </w:footnote>
  <w:footnote w:id="5">
    <w:p w:rsidR="00031A3F" w:rsidRPr="00EE1E0C" w:rsidRDefault="00031A3F">
      <w:pPr>
        <w:pStyle w:val="Fotnotstext"/>
      </w:pPr>
      <w:r w:rsidRPr="00EE1E0C">
        <w:rPr>
          <w:rStyle w:val="Fotnotsreferens"/>
        </w:rPr>
        <w:footnoteRef/>
      </w:r>
      <w:r w:rsidRPr="00EE1E0C">
        <w:t>I remissomgången har framkommit att under 1997 och 1998 hanterades årligen ett 30-tal brottmål på myndighetsnivå vid åklagarmyndigheten i Sundsvall.</w:t>
      </w:r>
    </w:p>
  </w:footnote>
  <w:footnote w:id="6">
    <w:p w:rsidR="00031A3F" w:rsidRPr="00EE1E0C" w:rsidRDefault="00031A3F">
      <w:pPr>
        <w:pStyle w:val="Fotnotstext"/>
        <w:rPr>
          <w:i/>
        </w:rPr>
      </w:pPr>
      <w:r w:rsidRPr="00EE1E0C">
        <w:rPr>
          <w:rStyle w:val="Fotnotsreferens"/>
        </w:rPr>
        <w:footnoteRef/>
      </w:r>
      <w:r w:rsidRPr="00EE1E0C">
        <w:t xml:space="preserve"> Statens institut för kommunikationsanalys (rapport 1995:13)   </w:t>
      </w:r>
      <w:r w:rsidRPr="00EE1E0C">
        <w:rPr>
          <w:i/>
        </w:rPr>
        <w:t>Översyn över sa</w:t>
      </w:r>
      <w:r w:rsidRPr="00EE1E0C">
        <w:rPr>
          <w:i/>
        </w:rPr>
        <w:t>m</w:t>
      </w:r>
      <w:r w:rsidRPr="00EE1E0C">
        <w:rPr>
          <w:i/>
        </w:rPr>
        <w:t>hällsekonomiska kalkylvärden för den nationella trafikplanen 1994–1998.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H"/>
      <w:framePr w:wrap="notBeside"/>
    </w:pPr>
    <w:r w:rsidRPr="00EE1E0C">
      <w:t>1999/2000:RR7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rPr>
        <w:b/>
      </w:rPr>
      <w:t>Fel! Autotextposten är inte definierad.</w:t>
    </w:r>
    <w:r>
      <w:fldChar w:fldCharType="end"/>
    </w:r>
  </w:p>
  <w:p w:rsidR="00031A3F" w:rsidRDefault="00031A3F">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031A3F" w:rsidRDefault="00031A3F">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139</w:instrText>
    </w:r>
    <w:r>
      <w:fldChar w:fldCharType="end"/>
    </w:r>
    <w:r>
      <w:instrText xml:space="preserve"> &gt; 1 "</w:instrText>
    </w:r>
    <w:r>
      <w:fldChar w:fldCharType="begin"/>
    </w:r>
    <w:r>
      <w:instrText xml:space="preserve"> DOCPROPERTY BetänkandeÅr</w:instrText>
    </w:r>
    <w:r>
      <w:fldChar w:fldCharType="separate"/>
    </w:r>
    <w:r>
      <w:instrText>1999/2000</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7</w:instrText>
    </w:r>
    <w:r>
      <w:fldChar w:fldCharType="end"/>
    </w:r>
  </w:p>
  <w:p w:rsidR="00031A3F" w:rsidRDefault="00031A3F">
    <w:pPr>
      <w:pStyle w:val="SidhuvudKantBilaga"/>
      <w:framePr w:w="1758" w:h="2744" w:hRule="exact" w:wrap="around" w:vAnchor="page" w:hAnchor="page" w:x="7372" w:y="568" w:anchorLock="0"/>
    </w:pPr>
    <w:r>
      <w:instrText>Bilaga 3</w:instrText>
    </w:r>
  </w:p>
  <w:p w:rsidR="00031A3F" w:rsidRDefault="00031A3F">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7</w:t>
    </w:r>
    <w:r>
      <w:rPr>
        <w:noProof/>
      </w:rPr>
      <w:fldChar w:fldCharType="end"/>
    </w:r>
  </w:p>
  <w:p w:rsidR="00031A3F" w:rsidRDefault="00031A3F">
    <w:pPr>
      <w:pStyle w:val="SidhuvudKantBilaga"/>
      <w:framePr w:w="1758" w:h="2744" w:hRule="exact" w:wrap="around" w:vAnchor="page" w:hAnchor="page" w:x="7372" w:y="568" w:anchorLock="0"/>
      <w:rPr>
        <w:noProof/>
      </w:rPr>
    </w:pPr>
    <w:r>
      <w:rPr>
        <w:noProof/>
      </w:rPr>
      <w:t>Bilaga 3</w:t>
    </w:r>
  </w:p>
  <w:p w:rsidR="00031A3F" w:rsidRDefault="00031A3F">
    <w:pPr>
      <w:pStyle w:val="SidhuvudKant"/>
      <w:framePr w:w="1758" w:h="2744" w:hRule="exact" w:wrap="around" w:vAnchor="page" w:hAnchor="page" w:x="7372" w:y="568" w:anchorLock="0"/>
    </w:pPr>
    <w:r>
      <w:fldChar w:fldCharType="end"/>
    </w:r>
  </w:p>
  <w:p w:rsidR="00031A3F" w:rsidRDefault="00031A3F">
    <w:pPr>
      <w:pStyle w:val="Sidhuvud"/>
    </w:pPr>
  </w:p>
  <w:p w:rsidR="00031A3F" w:rsidRDefault="00031A3F">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if </w:instrText>
    </w:r>
    <w:r w:rsidRPr="00EE1E0C">
      <w:fldChar w:fldCharType="begin" w:fldLock="1"/>
    </w:r>
    <w:r w:rsidRPr="00EE1E0C">
      <w:instrText xml:space="preserve"> page</w:instrText>
    </w:r>
    <w:r w:rsidRPr="00EE1E0C">
      <w:fldChar w:fldCharType="separate"/>
    </w:r>
    <w:r w:rsidRPr="00EE1E0C">
      <w:instrText>160</w:instrText>
    </w:r>
    <w:r w:rsidRPr="00EE1E0C">
      <w:fldChar w:fldCharType="end"/>
    </w:r>
    <w:r w:rsidRPr="00EE1E0C">
      <w:instrText xml:space="preserve"> &gt; 1 "</w:instrText>
    </w:r>
    <w:r w:rsidRPr="00EE1E0C">
      <w:fldChar w:fldCharType="begin" w:fldLock="1"/>
    </w:r>
    <w:r w:rsidRPr="00EE1E0C">
      <w:instrText xml:space="preserve"> DOCPROPERTY BetänkandeÅr</w:instrText>
    </w:r>
    <w:r w:rsidRPr="00EE1E0C">
      <w:fldChar w:fldCharType="separate"/>
    </w:r>
    <w:r w:rsidRPr="00EE1E0C">
      <w:instrText>1999/2000</w:instrText>
    </w:r>
    <w:r w:rsidRPr="00EE1E0C">
      <w:fldChar w:fldCharType="end"/>
    </w:r>
    <w:r w:rsidRPr="00EE1E0C">
      <w:instrText>:</w:instrText>
    </w:r>
    <w:r w:rsidRPr="00EE1E0C">
      <w:fldChar w:fldCharType="begin" w:fldLock="1"/>
    </w:r>
    <w:r w:rsidRPr="00EE1E0C">
      <w:instrText xml:space="preserve"> DOCPROPERTY Utskott</w:instrText>
    </w:r>
    <w:r w:rsidRPr="00EE1E0C">
      <w:fldChar w:fldCharType="separate"/>
    </w:r>
    <w:r w:rsidRPr="00EE1E0C">
      <w:instrText>RR</w:instrText>
    </w:r>
    <w:r w:rsidRPr="00EE1E0C">
      <w:fldChar w:fldCharType="end"/>
    </w:r>
    <w:r w:rsidRPr="00EE1E0C">
      <w:fldChar w:fldCharType="begin" w:fldLock="1"/>
    </w:r>
    <w:r w:rsidRPr="00EE1E0C">
      <w:instrText xml:space="preserve"> DOCPROPERTY BetänkandeNr</w:instrText>
    </w:r>
    <w:r w:rsidRPr="00EE1E0C">
      <w:fldChar w:fldCharType="separate"/>
    </w:r>
    <w:r w:rsidRPr="00EE1E0C">
      <w:instrText>7</w:instrText>
    </w:r>
    <w:r w:rsidRPr="00EE1E0C">
      <w:fldChar w:fldCharType="end"/>
    </w:r>
  </w:p>
  <w:p w:rsidR="00031A3F" w:rsidRPr="00EE1E0C" w:rsidRDefault="00031A3F">
    <w:pPr>
      <w:pStyle w:val="SidhuvudKantBilaga"/>
      <w:framePr w:w="1758" w:h="2744" w:hRule="exact" w:wrap="around" w:vAnchor="page" w:hAnchor="page" w:x="7372" w:y="568" w:anchorLock="0"/>
    </w:pPr>
    <w:r w:rsidRPr="00EE1E0C">
      <w:instrText>Bilaga 3</w:instrText>
    </w:r>
  </w:p>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DOCPROPERTY Status </w:instrText>
    </w:r>
    <w:r w:rsidRPr="00EE1E0C">
      <w:fldChar w:fldCharType="end"/>
    </w:r>
    <w:r w:rsidRPr="00EE1E0C">
      <w:instrText>"</w:instrText>
    </w:r>
    <w:r w:rsidRPr="00EE1E0C">
      <w:fldChar w:fldCharType="separate"/>
    </w:r>
    <w:r w:rsidRPr="00EE1E0C">
      <w:fldChar w:fldCharType="begin" w:fldLock="1"/>
    </w:r>
    <w:r w:rsidRPr="00EE1E0C">
      <w:instrText xml:space="preserve"> DOCPROPERTY BetänkandeÅr</w:instrText>
    </w:r>
    <w:r w:rsidRPr="00EE1E0C">
      <w:fldChar w:fldCharType="separate"/>
    </w:r>
    <w:r w:rsidRPr="00EE1E0C">
      <w:t>1999/2000</w:t>
    </w:r>
    <w:r w:rsidRPr="00EE1E0C">
      <w:fldChar w:fldCharType="end"/>
    </w:r>
    <w:r w:rsidRPr="00EE1E0C">
      <w:t>:</w:t>
    </w:r>
    <w:r w:rsidRPr="00EE1E0C">
      <w:fldChar w:fldCharType="begin" w:fldLock="1"/>
    </w:r>
    <w:r w:rsidRPr="00EE1E0C">
      <w:instrText xml:space="preserve"> DOCPROPERTY Utskott</w:instrText>
    </w:r>
    <w:r w:rsidRPr="00EE1E0C">
      <w:fldChar w:fldCharType="separate"/>
    </w:r>
    <w:r w:rsidRPr="00EE1E0C">
      <w:t>RR</w:t>
    </w:r>
    <w:r w:rsidRPr="00EE1E0C">
      <w:fldChar w:fldCharType="end"/>
    </w:r>
    <w:r w:rsidRPr="00EE1E0C">
      <w:fldChar w:fldCharType="begin" w:fldLock="1"/>
    </w:r>
    <w:r w:rsidRPr="00EE1E0C">
      <w:instrText xml:space="preserve"> DOCPROPERTY BetänkandeNr</w:instrText>
    </w:r>
    <w:r w:rsidRPr="00EE1E0C">
      <w:fldChar w:fldCharType="separate"/>
    </w:r>
    <w:r w:rsidRPr="00EE1E0C">
      <w:t>7</w:t>
    </w:r>
    <w:r w:rsidRPr="00EE1E0C">
      <w:fldChar w:fldCharType="end"/>
    </w:r>
  </w:p>
  <w:p w:rsidR="00031A3F" w:rsidRPr="00EE1E0C" w:rsidRDefault="00031A3F">
    <w:pPr>
      <w:pStyle w:val="SidhuvudKantBilaga"/>
      <w:framePr w:w="1758" w:h="2744" w:hRule="exact" w:wrap="around" w:vAnchor="page" w:hAnchor="page" w:x="7372" w:y="568" w:anchorLock="0"/>
    </w:pPr>
    <w:r w:rsidRPr="00EE1E0C">
      <w:t>Bilaga 3</w:t>
    </w:r>
  </w:p>
  <w:p w:rsidR="00031A3F" w:rsidRPr="00EE1E0C" w:rsidRDefault="00031A3F">
    <w:pPr>
      <w:pStyle w:val="SidhuvudKant"/>
      <w:framePr w:w="1758" w:h="2744" w:hRule="exact" w:wrap="around" w:vAnchor="page" w:hAnchor="page" w:x="7372" w:y="568" w:anchorLock="0"/>
    </w:pPr>
    <w:r w:rsidRPr="00EE1E0C">
      <w:fldChar w:fldCharType="end"/>
    </w:r>
  </w:p>
  <w:p w:rsidR="00031A3F" w:rsidRPr="00EE1E0C" w:rsidRDefault="00031A3F">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if </w:instrText>
    </w:r>
    <w:r w:rsidRPr="00EE1E0C">
      <w:fldChar w:fldCharType="begin" w:fldLock="1"/>
    </w:r>
    <w:r w:rsidRPr="00EE1E0C">
      <w:instrText xml:space="preserve"> page</w:instrText>
    </w:r>
    <w:r w:rsidRPr="00EE1E0C">
      <w:fldChar w:fldCharType="separate"/>
    </w:r>
    <w:r w:rsidRPr="00EE1E0C">
      <w:instrText>166</w:instrText>
    </w:r>
    <w:r w:rsidRPr="00EE1E0C">
      <w:fldChar w:fldCharType="end"/>
    </w:r>
    <w:r w:rsidRPr="00EE1E0C">
      <w:instrText xml:space="preserve"> &gt; 1 "</w:instrText>
    </w:r>
    <w:r w:rsidRPr="00EE1E0C">
      <w:fldChar w:fldCharType="begin" w:fldLock="1"/>
    </w:r>
    <w:r w:rsidRPr="00EE1E0C">
      <w:instrText xml:space="preserve"> DOCPROPERTY BetänkandeÅr</w:instrText>
    </w:r>
    <w:r w:rsidRPr="00EE1E0C">
      <w:fldChar w:fldCharType="separate"/>
    </w:r>
    <w:r w:rsidRPr="00EE1E0C">
      <w:instrText>1999/2000</w:instrText>
    </w:r>
    <w:r w:rsidRPr="00EE1E0C">
      <w:fldChar w:fldCharType="end"/>
    </w:r>
    <w:r w:rsidRPr="00EE1E0C">
      <w:instrText>:</w:instrText>
    </w:r>
    <w:r w:rsidRPr="00EE1E0C">
      <w:fldChar w:fldCharType="begin" w:fldLock="1"/>
    </w:r>
    <w:r w:rsidRPr="00EE1E0C">
      <w:instrText xml:space="preserve"> DOCPROPERTY Utskott</w:instrText>
    </w:r>
    <w:r w:rsidRPr="00EE1E0C">
      <w:fldChar w:fldCharType="separate"/>
    </w:r>
    <w:r w:rsidRPr="00EE1E0C">
      <w:instrText>RR</w:instrText>
    </w:r>
    <w:r w:rsidRPr="00EE1E0C">
      <w:fldChar w:fldCharType="end"/>
    </w:r>
    <w:r w:rsidRPr="00EE1E0C">
      <w:fldChar w:fldCharType="begin" w:fldLock="1"/>
    </w:r>
    <w:r w:rsidRPr="00EE1E0C">
      <w:instrText xml:space="preserve"> DOCPROPERTY BetänkandeNr</w:instrText>
    </w:r>
    <w:r w:rsidRPr="00EE1E0C">
      <w:fldChar w:fldCharType="separate"/>
    </w:r>
    <w:r w:rsidRPr="00EE1E0C">
      <w:instrText>7</w:instrText>
    </w:r>
    <w:r w:rsidRPr="00EE1E0C">
      <w:fldChar w:fldCharType="end"/>
    </w:r>
  </w:p>
  <w:p w:rsidR="00031A3F" w:rsidRPr="00EE1E0C" w:rsidRDefault="00031A3F">
    <w:pPr>
      <w:pStyle w:val="SidhuvudKantBilaga"/>
      <w:framePr w:w="1758" w:h="2744" w:hRule="exact" w:wrap="around" w:vAnchor="page" w:hAnchor="page" w:x="7372" w:y="568" w:anchorLock="0"/>
    </w:pPr>
    <w:r w:rsidRPr="00EE1E0C">
      <w:instrText>Bilaga 4</w:instrText>
    </w:r>
  </w:p>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DOCPROPERTY Status </w:instrText>
    </w:r>
    <w:r w:rsidRPr="00EE1E0C">
      <w:fldChar w:fldCharType="end"/>
    </w:r>
    <w:r w:rsidRPr="00EE1E0C">
      <w:instrText>"</w:instrText>
    </w:r>
    <w:r w:rsidRPr="00EE1E0C">
      <w:fldChar w:fldCharType="separate"/>
    </w:r>
    <w:r w:rsidRPr="00EE1E0C">
      <w:fldChar w:fldCharType="begin" w:fldLock="1"/>
    </w:r>
    <w:r w:rsidRPr="00EE1E0C">
      <w:instrText xml:space="preserve"> DOCPROPERTY BetänkandeÅr</w:instrText>
    </w:r>
    <w:r w:rsidRPr="00EE1E0C">
      <w:fldChar w:fldCharType="separate"/>
    </w:r>
    <w:r w:rsidRPr="00EE1E0C">
      <w:t>1999/2000</w:t>
    </w:r>
    <w:r w:rsidRPr="00EE1E0C">
      <w:fldChar w:fldCharType="end"/>
    </w:r>
    <w:r w:rsidRPr="00EE1E0C">
      <w:t>:</w:t>
    </w:r>
    <w:r w:rsidRPr="00EE1E0C">
      <w:fldChar w:fldCharType="begin" w:fldLock="1"/>
    </w:r>
    <w:r w:rsidRPr="00EE1E0C">
      <w:instrText xml:space="preserve"> DOCPROPERTY Utskott</w:instrText>
    </w:r>
    <w:r w:rsidRPr="00EE1E0C">
      <w:fldChar w:fldCharType="separate"/>
    </w:r>
    <w:r w:rsidRPr="00EE1E0C">
      <w:t>RR</w:t>
    </w:r>
    <w:r w:rsidRPr="00EE1E0C">
      <w:fldChar w:fldCharType="end"/>
    </w:r>
    <w:r w:rsidRPr="00EE1E0C">
      <w:fldChar w:fldCharType="begin" w:fldLock="1"/>
    </w:r>
    <w:r w:rsidRPr="00EE1E0C">
      <w:instrText xml:space="preserve"> DOCPROPERTY BetänkandeNr</w:instrText>
    </w:r>
    <w:r w:rsidRPr="00EE1E0C">
      <w:fldChar w:fldCharType="separate"/>
    </w:r>
    <w:r w:rsidRPr="00EE1E0C">
      <w:t>7</w:t>
    </w:r>
    <w:r w:rsidRPr="00EE1E0C">
      <w:fldChar w:fldCharType="end"/>
    </w:r>
  </w:p>
  <w:p w:rsidR="00031A3F" w:rsidRPr="00EE1E0C" w:rsidRDefault="00031A3F">
    <w:pPr>
      <w:pStyle w:val="SidhuvudKantBilaga"/>
      <w:framePr w:w="1758" w:h="2744" w:hRule="exact" w:wrap="around" w:vAnchor="page" w:hAnchor="page" w:x="7372" w:y="568" w:anchorLock="0"/>
    </w:pPr>
    <w:r w:rsidRPr="00EE1E0C">
      <w:t>Bilaga 4</w:t>
    </w:r>
  </w:p>
  <w:p w:rsidR="00031A3F" w:rsidRPr="00EE1E0C" w:rsidRDefault="00031A3F">
    <w:pPr>
      <w:pStyle w:val="SidhuvudKant"/>
      <w:framePr w:w="1758" w:h="2744" w:hRule="exact" w:wrap="around" w:vAnchor="page" w:hAnchor="page" w:x="7372" w:y="568" w:anchorLock="0"/>
    </w:pPr>
    <w:r w:rsidRPr="00EE1E0C">
      <w:fldChar w:fldCharType="end"/>
    </w:r>
  </w:p>
  <w:p w:rsidR="00031A3F" w:rsidRPr="00EE1E0C" w:rsidRDefault="00031A3F">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if </w:instrText>
    </w:r>
    <w:r w:rsidRPr="00EE1E0C">
      <w:fldChar w:fldCharType="begin" w:fldLock="1"/>
    </w:r>
    <w:r w:rsidRPr="00EE1E0C">
      <w:instrText xml:space="preserve"> page</w:instrText>
    </w:r>
    <w:r w:rsidRPr="00EE1E0C">
      <w:fldChar w:fldCharType="separate"/>
    </w:r>
    <w:r w:rsidRPr="00EE1E0C">
      <w:instrText>169</w:instrText>
    </w:r>
    <w:r w:rsidRPr="00EE1E0C">
      <w:fldChar w:fldCharType="end"/>
    </w:r>
    <w:r w:rsidRPr="00EE1E0C">
      <w:instrText xml:space="preserve"> &gt; 1 "</w:instrText>
    </w:r>
    <w:r w:rsidRPr="00EE1E0C">
      <w:fldChar w:fldCharType="begin" w:fldLock="1"/>
    </w:r>
    <w:r w:rsidRPr="00EE1E0C">
      <w:instrText xml:space="preserve"> DOCPROPERTY BetänkandeÅr</w:instrText>
    </w:r>
    <w:r w:rsidRPr="00EE1E0C">
      <w:fldChar w:fldCharType="separate"/>
    </w:r>
    <w:r w:rsidRPr="00EE1E0C">
      <w:instrText>1999/2000</w:instrText>
    </w:r>
    <w:r w:rsidRPr="00EE1E0C">
      <w:fldChar w:fldCharType="end"/>
    </w:r>
    <w:r w:rsidRPr="00EE1E0C">
      <w:instrText>:</w:instrText>
    </w:r>
    <w:r w:rsidRPr="00EE1E0C">
      <w:fldChar w:fldCharType="begin" w:fldLock="1"/>
    </w:r>
    <w:r w:rsidRPr="00EE1E0C">
      <w:instrText xml:space="preserve"> DOCPROPERTY Utskott</w:instrText>
    </w:r>
    <w:r w:rsidRPr="00EE1E0C">
      <w:fldChar w:fldCharType="separate"/>
    </w:r>
    <w:r w:rsidRPr="00EE1E0C">
      <w:instrText>RR</w:instrText>
    </w:r>
    <w:r w:rsidRPr="00EE1E0C">
      <w:fldChar w:fldCharType="end"/>
    </w:r>
    <w:r w:rsidRPr="00EE1E0C">
      <w:fldChar w:fldCharType="begin" w:fldLock="1"/>
    </w:r>
    <w:r w:rsidRPr="00EE1E0C">
      <w:instrText xml:space="preserve"> DOCPROPERTY BetänkandeNr</w:instrText>
    </w:r>
    <w:r w:rsidRPr="00EE1E0C">
      <w:fldChar w:fldCharType="separate"/>
    </w:r>
    <w:r w:rsidRPr="00EE1E0C">
      <w:instrText>7</w:instrText>
    </w:r>
    <w:r w:rsidRPr="00EE1E0C">
      <w:fldChar w:fldCharType="end"/>
    </w:r>
  </w:p>
  <w:p w:rsidR="00031A3F" w:rsidRPr="00EE1E0C" w:rsidRDefault="00031A3F">
    <w:pPr>
      <w:pStyle w:val="SidhuvudKantBilaga"/>
      <w:framePr w:w="1758" w:h="2744" w:hRule="exact" w:wrap="around" w:vAnchor="page" w:hAnchor="page" w:x="7372" w:y="568" w:anchorLock="0"/>
    </w:pPr>
  </w:p>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DOCPROPERTY Status </w:instrText>
    </w:r>
    <w:r w:rsidRPr="00EE1E0C">
      <w:fldChar w:fldCharType="end"/>
    </w:r>
    <w:r w:rsidRPr="00EE1E0C">
      <w:instrText>"</w:instrText>
    </w:r>
    <w:r w:rsidRPr="00EE1E0C">
      <w:fldChar w:fldCharType="separate"/>
    </w:r>
    <w:r w:rsidRPr="00EE1E0C">
      <w:fldChar w:fldCharType="begin" w:fldLock="1"/>
    </w:r>
    <w:r w:rsidRPr="00EE1E0C">
      <w:instrText xml:space="preserve"> DOCPROPERTY BetänkandeÅr</w:instrText>
    </w:r>
    <w:r w:rsidRPr="00EE1E0C">
      <w:fldChar w:fldCharType="separate"/>
    </w:r>
    <w:r w:rsidRPr="00EE1E0C">
      <w:t>1999/2000</w:t>
    </w:r>
    <w:r w:rsidRPr="00EE1E0C">
      <w:fldChar w:fldCharType="end"/>
    </w:r>
    <w:r w:rsidRPr="00EE1E0C">
      <w:t>:</w:t>
    </w:r>
    <w:r w:rsidRPr="00EE1E0C">
      <w:fldChar w:fldCharType="begin" w:fldLock="1"/>
    </w:r>
    <w:r w:rsidRPr="00EE1E0C">
      <w:instrText xml:space="preserve"> DOCPROPERTY Utskott</w:instrText>
    </w:r>
    <w:r w:rsidRPr="00EE1E0C">
      <w:fldChar w:fldCharType="separate"/>
    </w:r>
    <w:r w:rsidRPr="00EE1E0C">
      <w:t>RR</w:t>
    </w:r>
    <w:r w:rsidRPr="00EE1E0C">
      <w:fldChar w:fldCharType="end"/>
    </w:r>
    <w:r w:rsidRPr="00EE1E0C">
      <w:fldChar w:fldCharType="begin" w:fldLock="1"/>
    </w:r>
    <w:r w:rsidRPr="00EE1E0C">
      <w:instrText xml:space="preserve"> DOCPROPERTY BetänkandeNr</w:instrText>
    </w:r>
    <w:r w:rsidRPr="00EE1E0C">
      <w:fldChar w:fldCharType="separate"/>
    </w:r>
    <w:r w:rsidRPr="00EE1E0C">
      <w:t>7</w:t>
    </w:r>
    <w:r w:rsidRPr="00EE1E0C">
      <w:fldChar w:fldCharType="end"/>
    </w:r>
  </w:p>
  <w:p w:rsidR="00031A3F" w:rsidRPr="00EE1E0C" w:rsidRDefault="00031A3F">
    <w:pPr>
      <w:pStyle w:val="SidhuvudKantBilaga"/>
      <w:framePr w:w="1758" w:h="2744" w:hRule="exact" w:wrap="around" w:vAnchor="page" w:hAnchor="page" w:x="7372" w:y="568" w:anchorLock="0"/>
    </w:pPr>
  </w:p>
  <w:p w:rsidR="00031A3F" w:rsidRPr="00EE1E0C" w:rsidRDefault="00031A3F">
    <w:pPr>
      <w:pStyle w:val="SidhuvudKant"/>
      <w:framePr w:w="1758" w:h="2744" w:hRule="exact" w:wrap="around" w:vAnchor="page" w:hAnchor="page" w:x="7372" w:y="568" w:anchorLock="0"/>
    </w:pPr>
    <w:r w:rsidRPr="00EE1E0C">
      <w:fldChar w:fldCharType="end"/>
    </w:r>
  </w:p>
  <w:p w:rsidR="00031A3F" w:rsidRPr="00EE1E0C" w:rsidRDefault="00031A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rPr>
        <w:b/>
      </w:rPr>
      <w:t>Fel! Autotextposten är inte definierad.</w:t>
    </w:r>
    <w:r>
      <w:fldChar w:fldCharType="end"/>
    </w:r>
  </w:p>
  <w:p w:rsidR="00031A3F" w:rsidRDefault="00031A3F">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031A3F" w:rsidRDefault="00031A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huvudKant"/>
      <w:framePr w:hSpace="284" w:wrap="around" w:hAnchor="text" w:y="568"/>
      <w:rPr>
        <w:vanish/>
      </w:rPr>
    </w:pPr>
    <w:r>
      <w:rPr>
        <w:vanish/>
      </w:rPr>
      <w:t>&gt;B</w:t>
    </w:r>
  </w:p>
  <w:p w:rsidR="00031A3F" w:rsidRDefault="00031A3F">
    <w:pPr>
      <w:pStyle w:val="SidhuvudKant"/>
      <w:framePr w:hSpace="284" w:wrap="around" w:hAnchor="text" w:y="568"/>
      <w:rPr>
        <w:b/>
        <w:sz w:val="28"/>
      </w:rPr>
    </w:pPr>
    <w:r>
      <w:rPr>
        <w:vanish/>
      </w:rPr>
      <w:t>&gt;U</w:t>
    </w:r>
  </w:p>
  <w:p w:rsidR="00031A3F" w:rsidRDefault="00031A3F">
    <w:pPr>
      <w:pStyle w:val="SidhuvudKant"/>
      <w:framePr w:hSpace="284" w:wrap="around" w:hAnchor="text" w:y="568"/>
    </w:pPr>
  </w:p>
  <w:p w:rsidR="00031A3F" w:rsidRDefault="00031A3F">
    <w:pPr>
      <w:pStyle w:val="Sidhuvud"/>
    </w:pPr>
  </w:p>
  <w:p w:rsidR="00031A3F" w:rsidRDefault="00031A3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rPr>
        <w:b/>
      </w:rPr>
      <w:t>Fel! Autotextposten är inte definierad.</w:t>
    </w:r>
    <w:r>
      <w:fldChar w:fldCharType="end"/>
    </w:r>
  </w:p>
  <w:p w:rsidR="00031A3F" w:rsidRDefault="00031A3F">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031A3F" w:rsidRDefault="00031A3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if </w:instrText>
    </w:r>
    <w:r w:rsidRPr="00EE1E0C">
      <w:fldChar w:fldCharType="begin" w:fldLock="1"/>
    </w:r>
    <w:r w:rsidRPr="00EE1E0C">
      <w:instrText xml:space="preserve"> page</w:instrText>
    </w:r>
    <w:r w:rsidRPr="00EE1E0C">
      <w:fldChar w:fldCharType="separate"/>
    </w:r>
    <w:r w:rsidRPr="00EE1E0C">
      <w:instrText>121</w:instrText>
    </w:r>
    <w:r w:rsidRPr="00EE1E0C">
      <w:fldChar w:fldCharType="end"/>
    </w:r>
    <w:r w:rsidRPr="00EE1E0C">
      <w:instrText xml:space="preserve"> &gt; 1 "</w:instrText>
    </w:r>
    <w:r w:rsidRPr="00EE1E0C">
      <w:fldChar w:fldCharType="begin" w:fldLock="1"/>
    </w:r>
    <w:r w:rsidRPr="00EE1E0C">
      <w:instrText xml:space="preserve"> DOCPROPERTY BetänkandeÅr</w:instrText>
    </w:r>
    <w:r w:rsidRPr="00EE1E0C">
      <w:fldChar w:fldCharType="separate"/>
    </w:r>
    <w:r w:rsidRPr="00EE1E0C">
      <w:instrText>1999/2000</w:instrText>
    </w:r>
    <w:r w:rsidRPr="00EE1E0C">
      <w:fldChar w:fldCharType="end"/>
    </w:r>
    <w:r w:rsidRPr="00EE1E0C">
      <w:instrText>:</w:instrText>
    </w:r>
    <w:r w:rsidRPr="00EE1E0C">
      <w:fldChar w:fldCharType="begin" w:fldLock="1"/>
    </w:r>
    <w:r w:rsidRPr="00EE1E0C">
      <w:instrText xml:space="preserve"> DOCPROPERTY Utskott</w:instrText>
    </w:r>
    <w:r w:rsidRPr="00EE1E0C">
      <w:fldChar w:fldCharType="separate"/>
    </w:r>
    <w:r w:rsidRPr="00EE1E0C">
      <w:instrText>RR</w:instrText>
    </w:r>
    <w:r w:rsidRPr="00EE1E0C">
      <w:fldChar w:fldCharType="end"/>
    </w:r>
    <w:r w:rsidRPr="00EE1E0C">
      <w:fldChar w:fldCharType="begin" w:fldLock="1"/>
    </w:r>
    <w:r w:rsidRPr="00EE1E0C">
      <w:instrText xml:space="preserve"> DOCPROPERTY BetänkandeNr</w:instrText>
    </w:r>
    <w:r w:rsidRPr="00EE1E0C">
      <w:fldChar w:fldCharType="separate"/>
    </w:r>
    <w:r w:rsidRPr="00EE1E0C">
      <w:instrText>7</w:instrText>
    </w:r>
    <w:r w:rsidRPr="00EE1E0C">
      <w:fldChar w:fldCharType="end"/>
    </w:r>
  </w:p>
  <w:p w:rsidR="00031A3F" w:rsidRPr="00EE1E0C" w:rsidRDefault="00031A3F">
    <w:pPr>
      <w:pStyle w:val="SidhuvudKantBilaga"/>
      <w:framePr w:w="1758" w:h="2744" w:hRule="exact" w:wrap="around" w:vAnchor="page" w:hAnchor="page" w:x="7372" w:y="568" w:anchorLock="0"/>
    </w:pPr>
    <w:r w:rsidRPr="00EE1E0C">
      <w:instrText>Bilaga 1</w:instrText>
    </w:r>
  </w:p>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DOCPROPERTY Status </w:instrText>
    </w:r>
    <w:r w:rsidRPr="00EE1E0C">
      <w:fldChar w:fldCharType="end"/>
    </w:r>
    <w:r w:rsidRPr="00EE1E0C">
      <w:instrText>"</w:instrText>
    </w:r>
    <w:r w:rsidRPr="00EE1E0C">
      <w:fldChar w:fldCharType="separate"/>
    </w:r>
    <w:r w:rsidRPr="00EE1E0C">
      <w:fldChar w:fldCharType="begin" w:fldLock="1"/>
    </w:r>
    <w:r w:rsidRPr="00EE1E0C">
      <w:instrText xml:space="preserve"> DOCPROPERTY BetänkandeÅr</w:instrText>
    </w:r>
    <w:r w:rsidRPr="00EE1E0C">
      <w:fldChar w:fldCharType="separate"/>
    </w:r>
    <w:r w:rsidRPr="00EE1E0C">
      <w:t>1999/2000</w:t>
    </w:r>
    <w:r w:rsidRPr="00EE1E0C">
      <w:fldChar w:fldCharType="end"/>
    </w:r>
    <w:r w:rsidRPr="00EE1E0C">
      <w:t>:</w:t>
    </w:r>
    <w:r w:rsidRPr="00EE1E0C">
      <w:fldChar w:fldCharType="begin" w:fldLock="1"/>
    </w:r>
    <w:r w:rsidRPr="00EE1E0C">
      <w:instrText xml:space="preserve"> DOCPROPERTY Utskott</w:instrText>
    </w:r>
    <w:r w:rsidRPr="00EE1E0C">
      <w:fldChar w:fldCharType="separate"/>
    </w:r>
    <w:r w:rsidRPr="00EE1E0C">
      <w:t>RR</w:t>
    </w:r>
    <w:r w:rsidRPr="00EE1E0C">
      <w:fldChar w:fldCharType="end"/>
    </w:r>
    <w:r w:rsidRPr="00EE1E0C">
      <w:fldChar w:fldCharType="begin" w:fldLock="1"/>
    </w:r>
    <w:r w:rsidRPr="00EE1E0C">
      <w:instrText xml:space="preserve"> DOCPROPERTY BetänkandeNr</w:instrText>
    </w:r>
    <w:r w:rsidRPr="00EE1E0C">
      <w:fldChar w:fldCharType="separate"/>
    </w:r>
    <w:r w:rsidRPr="00EE1E0C">
      <w:t>7</w:t>
    </w:r>
    <w:r w:rsidRPr="00EE1E0C">
      <w:fldChar w:fldCharType="end"/>
    </w:r>
  </w:p>
  <w:p w:rsidR="00031A3F" w:rsidRPr="00EE1E0C" w:rsidRDefault="00031A3F">
    <w:pPr>
      <w:pStyle w:val="SidhuvudKantBilaga"/>
      <w:framePr w:w="1758" w:h="2744" w:hRule="exact" w:wrap="around" w:vAnchor="page" w:hAnchor="page" w:x="7372" w:y="568" w:anchorLock="0"/>
    </w:pPr>
    <w:r w:rsidRPr="00EE1E0C">
      <w:t>Bilaga 1</w:t>
    </w:r>
  </w:p>
  <w:p w:rsidR="00031A3F" w:rsidRPr="00EE1E0C" w:rsidRDefault="00031A3F">
    <w:pPr>
      <w:pStyle w:val="Sidhuvud"/>
    </w:pPr>
    <w:r w:rsidRPr="00EE1E0C">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Default="00031A3F">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19</w:instrText>
    </w:r>
    <w:r>
      <w:fldChar w:fldCharType="end"/>
    </w:r>
    <w:r>
      <w:instrText xml:space="preserve"> &gt; 1 "</w:instrText>
    </w:r>
    <w:r>
      <w:fldChar w:fldCharType="begin"/>
    </w:r>
    <w:r>
      <w:instrText xml:space="preserve"> DOCPROPERTY BetänkandeÅr</w:instrText>
    </w:r>
    <w:r>
      <w:fldChar w:fldCharType="separate"/>
    </w:r>
    <w:r>
      <w:instrText>1999/2000</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7</w:instrText>
    </w:r>
    <w:r>
      <w:fldChar w:fldCharType="end"/>
    </w:r>
  </w:p>
  <w:p w:rsidR="00031A3F" w:rsidRDefault="00031A3F">
    <w:pPr>
      <w:pStyle w:val="SidhuvudKantBilaga"/>
      <w:framePr w:w="1758" w:h="2744" w:hRule="exact" w:wrap="around" w:vAnchor="page" w:hAnchor="page" w:x="7372" w:y="568" w:anchorLock="0"/>
    </w:pPr>
    <w:r>
      <w:instrText>Bilaga 1</w:instrText>
    </w:r>
  </w:p>
  <w:p w:rsidR="00031A3F" w:rsidRDefault="00031A3F">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7</w:t>
    </w:r>
    <w:r>
      <w:rPr>
        <w:noProof/>
      </w:rPr>
      <w:fldChar w:fldCharType="end"/>
    </w:r>
  </w:p>
  <w:p w:rsidR="00031A3F" w:rsidRDefault="00031A3F">
    <w:pPr>
      <w:pStyle w:val="SidhuvudKantBilaga"/>
      <w:framePr w:w="1758" w:h="2744" w:hRule="exact" w:wrap="around" w:vAnchor="page" w:hAnchor="page" w:x="7372" w:y="568" w:anchorLock="0"/>
      <w:rPr>
        <w:noProof/>
      </w:rPr>
    </w:pPr>
    <w:r>
      <w:rPr>
        <w:noProof/>
      </w:rPr>
      <w:t>Bilaga 1</w:t>
    </w:r>
  </w:p>
  <w:p w:rsidR="00031A3F" w:rsidRDefault="00031A3F">
    <w:pPr>
      <w:pStyle w:val="Sidhuvud"/>
    </w:pP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if </w:instrText>
    </w:r>
    <w:r w:rsidRPr="00EE1E0C">
      <w:fldChar w:fldCharType="begin" w:fldLock="1"/>
    </w:r>
    <w:r w:rsidRPr="00EE1E0C">
      <w:instrText xml:space="preserve"> page</w:instrText>
    </w:r>
    <w:r w:rsidRPr="00EE1E0C">
      <w:fldChar w:fldCharType="separate"/>
    </w:r>
    <w:r w:rsidRPr="00EE1E0C">
      <w:instrText>136</w:instrText>
    </w:r>
    <w:r w:rsidRPr="00EE1E0C">
      <w:fldChar w:fldCharType="end"/>
    </w:r>
    <w:r w:rsidRPr="00EE1E0C">
      <w:instrText xml:space="preserve"> &gt; 1 "</w:instrText>
    </w:r>
    <w:r w:rsidRPr="00EE1E0C">
      <w:fldChar w:fldCharType="begin" w:fldLock="1"/>
    </w:r>
    <w:r w:rsidRPr="00EE1E0C">
      <w:instrText xml:space="preserve"> DOCPROPERTY BetänkandeÅr</w:instrText>
    </w:r>
    <w:r w:rsidRPr="00EE1E0C">
      <w:fldChar w:fldCharType="separate"/>
    </w:r>
    <w:r w:rsidRPr="00EE1E0C">
      <w:instrText>1999/2000</w:instrText>
    </w:r>
    <w:r w:rsidRPr="00EE1E0C">
      <w:fldChar w:fldCharType="end"/>
    </w:r>
    <w:r w:rsidRPr="00EE1E0C">
      <w:instrText>:</w:instrText>
    </w:r>
    <w:r w:rsidRPr="00EE1E0C">
      <w:fldChar w:fldCharType="begin" w:fldLock="1"/>
    </w:r>
    <w:r w:rsidRPr="00EE1E0C">
      <w:instrText xml:space="preserve"> DOCPROPERTY Utskott</w:instrText>
    </w:r>
    <w:r w:rsidRPr="00EE1E0C">
      <w:fldChar w:fldCharType="separate"/>
    </w:r>
    <w:r w:rsidRPr="00EE1E0C">
      <w:instrText>RR</w:instrText>
    </w:r>
    <w:r w:rsidRPr="00EE1E0C">
      <w:fldChar w:fldCharType="end"/>
    </w:r>
    <w:r w:rsidRPr="00EE1E0C">
      <w:fldChar w:fldCharType="begin" w:fldLock="1"/>
    </w:r>
    <w:r w:rsidRPr="00EE1E0C">
      <w:instrText xml:space="preserve"> DOCPROPERTY BetänkandeNr</w:instrText>
    </w:r>
    <w:r w:rsidRPr="00EE1E0C">
      <w:fldChar w:fldCharType="separate"/>
    </w:r>
    <w:r w:rsidRPr="00EE1E0C">
      <w:instrText>7</w:instrText>
    </w:r>
    <w:r w:rsidRPr="00EE1E0C">
      <w:fldChar w:fldCharType="end"/>
    </w:r>
  </w:p>
  <w:p w:rsidR="00031A3F" w:rsidRPr="00EE1E0C" w:rsidRDefault="00031A3F">
    <w:pPr>
      <w:pStyle w:val="SidhuvudKantBilaga"/>
      <w:framePr w:w="1758" w:h="2744" w:hRule="exact" w:wrap="around" w:vAnchor="page" w:hAnchor="page" w:x="7372" w:y="568" w:anchorLock="0"/>
    </w:pPr>
    <w:r w:rsidRPr="00EE1E0C">
      <w:instrText>Bilaga 2</w:instrText>
    </w:r>
  </w:p>
  <w:p w:rsidR="00031A3F" w:rsidRPr="00EE1E0C" w:rsidRDefault="00031A3F">
    <w:pPr>
      <w:pStyle w:val="SidhuvudKant"/>
      <w:framePr w:w="1758" w:h="2744" w:hRule="exact" w:wrap="around" w:vAnchor="page" w:hAnchor="page" w:x="7372" w:y="568" w:anchorLock="0"/>
    </w:pPr>
    <w:r w:rsidRPr="00EE1E0C">
      <w:fldChar w:fldCharType="begin" w:fldLock="1"/>
    </w:r>
    <w:r w:rsidRPr="00EE1E0C">
      <w:instrText xml:space="preserve"> DOCPROPERTY Status </w:instrText>
    </w:r>
    <w:r w:rsidRPr="00EE1E0C">
      <w:fldChar w:fldCharType="end"/>
    </w:r>
    <w:r w:rsidRPr="00EE1E0C">
      <w:instrText>"</w:instrText>
    </w:r>
    <w:r w:rsidRPr="00EE1E0C">
      <w:fldChar w:fldCharType="separate"/>
    </w:r>
    <w:r w:rsidRPr="00EE1E0C">
      <w:fldChar w:fldCharType="begin" w:fldLock="1"/>
    </w:r>
    <w:r w:rsidRPr="00EE1E0C">
      <w:instrText xml:space="preserve"> DOCPROPERTY BetänkandeÅr</w:instrText>
    </w:r>
    <w:r w:rsidRPr="00EE1E0C">
      <w:fldChar w:fldCharType="separate"/>
    </w:r>
    <w:r w:rsidRPr="00EE1E0C">
      <w:t>1999/2000</w:t>
    </w:r>
    <w:r w:rsidRPr="00EE1E0C">
      <w:fldChar w:fldCharType="end"/>
    </w:r>
    <w:r w:rsidRPr="00EE1E0C">
      <w:t>:</w:t>
    </w:r>
    <w:r w:rsidRPr="00EE1E0C">
      <w:fldChar w:fldCharType="begin" w:fldLock="1"/>
    </w:r>
    <w:r w:rsidRPr="00EE1E0C">
      <w:instrText xml:space="preserve"> DOCPROPERTY Utskott</w:instrText>
    </w:r>
    <w:r w:rsidRPr="00EE1E0C">
      <w:fldChar w:fldCharType="separate"/>
    </w:r>
    <w:r w:rsidRPr="00EE1E0C">
      <w:t>RR</w:t>
    </w:r>
    <w:r w:rsidRPr="00EE1E0C">
      <w:fldChar w:fldCharType="end"/>
    </w:r>
    <w:r w:rsidRPr="00EE1E0C">
      <w:fldChar w:fldCharType="begin" w:fldLock="1"/>
    </w:r>
    <w:r w:rsidRPr="00EE1E0C">
      <w:instrText xml:space="preserve"> DOCPROPERTY BetänkandeNr</w:instrText>
    </w:r>
    <w:r w:rsidRPr="00EE1E0C">
      <w:fldChar w:fldCharType="separate"/>
    </w:r>
    <w:r w:rsidRPr="00EE1E0C">
      <w:t>7</w:t>
    </w:r>
    <w:r w:rsidRPr="00EE1E0C">
      <w:fldChar w:fldCharType="end"/>
    </w:r>
  </w:p>
  <w:p w:rsidR="00031A3F" w:rsidRPr="00EE1E0C" w:rsidRDefault="00031A3F">
    <w:pPr>
      <w:pStyle w:val="SidhuvudKantBilaga"/>
      <w:framePr w:w="1758" w:h="2744" w:hRule="exact" w:wrap="around" w:vAnchor="page" w:hAnchor="page" w:x="7372" w:y="568" w:anchorLock="0"/>
    </w:pPr>
    <w:r w:rsidRPr="00EE1E0C">
      <w:t>Bilaga 2</w:t>
    </w:r>
  </w:p>
  <w:p w:rsidR="00031A3F" w:rsidRPr="00EE1E0C" w:rsidRDefault="00031A3F">
    <w:pPr>
      <w:pStyle w:val="SidhuvudKant"/>
      <w:framePr w:w="1758" w:h="2744" w:hRule="exact" w:wrap="around" w:vAnchor="page" w:hAnchor="page" w:x="7372" w:y="568" w:anchorLock="0"/>
    </w:pPr>
    <w:r w:rsidRPr="00EE1E0C">
      <w:fldChar w:fldCharType="end"/>
    </w:r>
  </w:p>
  <w:p w:rsidR="00031A3F" w:rsidRPr="00EE1E0C" w:rsidRDefault="00031A3F">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3F" w:rsidRPr="00EE1E0C" w:rsidRDefault="00031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939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435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000A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320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E302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0057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7B3D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5326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51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B07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4257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B17E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64E12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71F58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08456A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86954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9BD49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9EB22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9F64B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A0627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A157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A3F55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AA455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0AAC2B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AAE54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AF911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0B420B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B9463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0BBE25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BFD0A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C234B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C442FAB"/>
    <w:multiLevelType w:val="multilevel"/>
    <w:tmpl w:val="00760AE0"/>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0C9C5C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CE27D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CEA30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CF548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D3022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D6C2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D7919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E353E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E7F60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F0A2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F1B3A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FF431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05A7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0775E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0DE50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23C2C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3D210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3E861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40652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141518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4275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4D6062E"/>
    <w:multiLevelType w:val="singleLevel"/>
    <w:tmpl w:val="221002FA"/>
    <w:lvl w:ilvl="0">
      <w:numFmt w:val="bullet"/>
      <w:lvlText w:val="-"/>
      <w:lvlJc w:val="left"/>
      <w:pPr>
        <w:tabs>
          <w:tab w:val="num" w:pos="530"/>
        </w:tabs>
        <w:ind w:left="530" w:hanging="360"/>
      </w:pPr>
      <w:rPr>
        <w:rFonts w:hint="default"/>
      </w:rPr>
    </w:lvl>
  </w:abstractNum>
  <w:abstractNum w:abstractNumId="56" w15:restartNumberingAfterBreak="0">
    <w:nsid w:val="14F82A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6225D82"/>
    <w:multiLevelType w:val="singleLevel"/>
    <w:tmpl w:val="041D0001"/>
    <w:lvl w:ilvl="0">
      <w:start w:val="1"/>
      <w:numFmt w:val="bullet"/>
      <w:pStyle w:val="Normalindrag"/>
      <w:lvlText w:val=""/>
      <w:lvlJc w:val="left"/>
      <w:pPr>
        <w:tabs>
          <w:tab w:val="num" w:pos="360"/>
        </w:tabs>
        <w:ind w:left="360" w:hanging="360"/>
      </w:pPr>
      <w:rPr>
        <w:rFonts w:ascii="Symbol" w:hAnsi="Symbol" w:hint="default"/>
      </w:rPr>
    </w:lvl>
  </w:abstractNum>
  <w:abstractNum w:abstractNumId="58" w15:restartNumberingAfterBreak="0">
    <w:nsid w:val="165873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6BA7F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16F729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17AA1A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8967A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89C5D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8A239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18CB4EDF"/>
    <w:multiLevelType w:val="singleLevel"/>
    <w:tmpl w:val="5B9254D2"/>
    <w:lvl w:ilvl="0">
      <w:start w:val="1"/>
      <w:numFmt w:val="bullet"/>
      <w:lvlText w:val=""/>
      <w:lvlJc w:val="left"/>
      <w:pPr>
        <w:tabs>
          <w:tab w:val="num" w:pos="360"/>
        </w:tabs>
        <w:ind w:left="170" w:hanging="170"/>
      </w:pPr>
      <w:rPr>
        <w:rFonts w:ascii="Symbol" w:hAnsi="Symbol" w:hint="default"/>
      </w:rPr>
    </w:lvl>
  </w:abstractNum>
  <w:abstractNum w:abstractNumId="66" w15:restartNumberingAfterBreak="0">
    <w:nsid w:val="18CD2D0C"/>
    <w:multiLevelType w:val="singleLevel"/>
    <w:tmpl w:val="041D000F"/>
    <w:lvl w:ilvl="0">
      <w:start w:val="1"/>
      <w:numFmt w:val="decimal"/>
      <w:lvlText w:val="%1."/>
      <w:lvlJc w:val="left"/>
      <w:pPr>
        <w:tabs>
          <w:tab w:val="num" w:pos="360"/>
        </w:tabs>
        <w:ind w:left="360" w:hanging="360"/>
      </w:pPr>
    </w:lvl>
  </w:abstractNum>
  <w:abstractNum w:abstractNumId="67" w15:restartNumberingAfterBreak="0">
    <w:nsid w:val="191611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9BF68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1A335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1A3E05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1AF606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B3A44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1B566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BFB18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C151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1C5467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D6C76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E2D6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EC35F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EF131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1FF95D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20C60A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23922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22A307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22EB40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23995C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39A08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23AB0C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23FE0715"/>
    <w:multiLevelType w:val="singleLevel"/>
    <w:tmpl w:val="041D000F"/>
    <w:lvl w:ilvl="0">
      <w:start w:val="1"/>
      <w:numFmt w:val="decimal"/>
      <w:lvlText w:val="%1."/>
      <w:lvlJc w:val="left"/>
      <w:pPr>
        <w:tabs>
          <w:tab w:val="num" w:pos="360"/>
        </w:tabs>
        <w:ind w:left="360" w:hanging="360"/>
      </w:pPr>
    </w:lvl>
  </w:abstractNum>
  <w:abstractNum w:abstractNumId="90" w15:restartNumberingAfterBreak="0">
    <w:nsid w:val="243713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24975F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24E35F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24F203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256600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25C1184B"/>
    <w:multiLevelType w:val="singleLevel"/>
    <w:tmpl w:val="021C5E7E"/>
    <w:lvl w:ilvl="0">
      <w:numFmt w:val="bullet"/>
      <w:lvlText w:val="-"/>
      <w:lvlJc w:val="left"/>
      <w:pPr>
        <w:tabs>
          <w:tab w:val="num" w:pos="360"/>
        </w:tabs>
        <w:ind w:left="360" w:hanging="360"/>
      </w:pPr>
      <w:rPr>
        <w:rFonts w:hint="default"/>
      </w:rPr>
    </w:lvl>
  </w:abstractNum>
  <w:abstractNum w:abstractNumId="96" w15:restartNumberingAfterBreak="0">
    <w:nsid w:val="25CD75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25D770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265950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26F11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27023F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27F34C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27F406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28D07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2BB15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DFA1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E1064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2E482F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2F9470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FBD13E3"/>
    <w:multiLevelType w:val="singleLevel"/>
    <w:tmpl w:val="221002FA"/>
    <w:lvl w:ilvl="0">
      <w:numFmt w:val="bullet"/>
      <w:lvlText w:val="-"/>
      <w:lvlJc w:val="left"/>
      <w:pPr>
        <w:tabs>
          <w:tab w:val="num" w:pos="530"/>
        </w:tabs>
        <w:ind w:left="530" w:hanging="360"/>
      </w:pPr>
      <w:rPr>
        <w:rFonts w:hint="default"/>
      </w:rPr>
    </w:lvl>
  </w:abstractNum>
  <w:abstractNum w:abstractNumId="110" w15:restartNumberingAfterBreak="0">
    <w:nsid w:val="2FE946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300269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30B00B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0E44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30E63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30FC6C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31263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317E74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31AB34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321D32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32E54A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34056A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2" w15:restartNumberingAfterBreak="0">
    <w:nsid w:val="35D201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36FC228A"/>
    <w:multiLevelType w:val="singleLevel"/>
    <w:tmpl w:val="041D000F"/>
    <w:lvl w:ilvl="0">
      <w:start w:val="1"/>
      <w:numFmt w:val="decimal"/>
      <w:lvlText w:val="%1."/>
      <w:lvlJc w:val="left"/>
      <w:pPr>
        <w:tabs>
          <w:tab w:val="num" w:pos="360"/>
        </w:tabs>
        <w:ind w:left="360" w:hanging="360"/>
      </w:pPr>
    </w:lvl>
  </w:abstractNum>
  <w:abstractNum w:abstractNumId="124" w15:restartNumberingAfterBreak="0">
    <w:nsid w:val="370E5379"/>
    <w:multiLevelType w:val="singleLevel"/>
    <w:tmpl w:val="5B9254D2"/>
    <w:lvl w:ilvl="0">
      <w:start w:val="1"/>
      <w:numFmt w:val="bullet"/>
      <w:lvlText w:val=""/>
      <w:lvlJc w:val="left"/>
      <w:pPr>
        <w:tabs>
          <w:tab w:val="num" w:pos="360"/>
        </w:tabs>
        <w:ind w:left="170" w:hanging="170"/>
      </w:pPr>
      <w:rPr>
        <w:rFonts w:ascii="Symbol" w:hAnsi="Symbol" w:hint="default"/>
      </w:rPr>
    </w:lvl>
  </w:abstractNum>
  <w:abstractNum w:abstractNumId="125" w15:restartNumberingAfterBreak="0">
    <w:nsid w:val="376D14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37882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379D4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37AB58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37CD64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37E21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37EC1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37EE6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380600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386111CD"/>
    <w:multiLevelType w:val="singleLevel"/>
    <w:tmpl w:val="221002FA"/>
    <w:lvl w:ilvl="0">
      <w:numFmt w:val="bullet"/>
      <w:lvlText w:val="-"/>
      <w:lvlJc w:val="left"/>
      <w:pPr>
        <w:tabs>
          <w:tab w:val="num" w:pos="530"/>
        </w:tabs>
        <w:ind w:left="530" w:hanging="360"/>
      </w:pPr>
      <w:rPr>
        <w:rFonts w:hint="default"/>
      </w:rPr>
    </w:lvl>
  </w:abstractNum>
  <w:abstractNum w:abstractNumId="135" w15:restartNumberingAfterBreak="0">
    <w:nsid w:val="39651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397628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398307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39967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39C57D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A157C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3A4811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3B740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3B991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3BAE4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3BE90F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3C084E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3C4F65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3DCF63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3E1748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3E1A1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3F6E31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3FD8719C"/>
    <w:multiLevelType w:val="singleLevel"/>
    <w:tmpl w:val="51D6DBB0"/>
    <w:lvl w:ilvl="0">
      <w:start w:val="1"/>
      <w:numFmt w:val="bullet"/>
      <w:lvlText w:val=""/>
      <w:lvlJc w:val="left"/>
      <w:pPr>
        <w:tabs>
          <w:tab w:val="num" w:pos="360"/>
        </w:tabs>
        <w:ind w:left="170" w:hanging="170"/>
      </w:pPr>
      <w:rPr>
        <w:rFonts w:ascii="Symbol" w:hAnsi="Symbol" w:hint="default"/>
      </w:rPr>
    </w:lvl>
  </w:abstractNum>
  <w:abstractNum w:abstractNumId="153" w15:restartNumberingAfterBreak="0">
    <w:nsid w:val="40262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40827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409024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40DF7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40F535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41174A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417E50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41E959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425B51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425C7E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427849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430965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438640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43B077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43BB23D1"/>
    <w:multiLevelType w:val="singleLevel"/>
    <w:tmpl w:val="041D000F"/>
    <w:lvl w:ilvl="0">
      <w:start w:val="1"/>
      <w:numFmt w:val="decimal"/>
      <w:lvlText w:val="%1."/>
      <w:lvlJc w:val="left"/>
      <w:pPr>
        <w:tabs>
          <w:tab w:val="num" w:pos="360"/>
        </w:tabs>
        <w:ind w:left="360" w:hanging="360"/>
      </w:pPr>
    </w:lvl>
  </w:abstractNum>
  <w:abstractNum w:abstractNumId="168" w15:restartNumberingAfterBreak="0">
    <w:nsid w:val="4423460A"/>
    <w:multiLevelType w:val="singleLevel"/>
    <w:tmpl w:val="041D000F"/>
    <w:lvl w:ilvl="0">
      <w:start w:val="1"/>
      <w:numFmt w:val="decimal"/>
      <w:lvlText w:val="%1."/>
      <w:lvlJc w:val="left"/>
      <w:pPr>
        <w:tabs>
          <w:tab w:val="num" w:pos="360"/>
        </w:tabs>
        <w:ind w:left="360" w:hanging="360"/>
      </w:pPr>
    </w:lvl>
  </w:abstractNum>
  <w:abstractNum w:abstractNumId="169" w15:restartNumberingAfterBreak="0">
    <w:nsid w:val="44A413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48B935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48DF4F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49311E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493D6A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496A1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498C3F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49A331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49E924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4A6141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4AA303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4AF138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4B9C7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4BD606EE"/>
    <w:multiLevelType w:val="singleLevel"/>
    <w:tmpl w:val="221002FA"/>
    <w:lvl w:ilvl="0">
      <w:numFmt w:val="bullet"/>
      <w:lvlText w:val="-"/>
      <w:lvlJc w:val="left"/>
      <w:pPr>
        <w:tabs>
          <w:tab w:val="num" w:pos="530"/>
        </w:tabs>
        <w:ind w:left="530" w:hanging="360"/>
      </w:pPr>
      <w:rPr>
        <w:rFonts w:hint="default"/>
      </w:rPr>
    </w:lvl>
  </w:abstractNum>
  <w:abstractNum w:abstractNumId="183" w15:restartNumberingAfterBreak="0">
    <w:nsid w:val="4C285E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4C4E15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4CFD55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4D4D54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4D934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4E6A01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9" w15:restartNumberingAfterBreak="0">
    <w:nsid w:val="4F7638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50243E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50661976"/>
    <w:multiLevelType w:val="singleLevel"/>
    <w:tmpl w:val="041D000F"/>
    <w:lvl w:ilvl="0">
      <w:start w:val="1"/>
      <w:numFmt w:val="decimal"/>
      <w:lvlText w:val="%1."/>
      <w:lvlJc w:val="left"/>
      <w:pPr>
        <w:tabs>
          <w:tab w:val="num" w:pos="360"/>
        </w:tabs>
        <w:ind w:left="360" w:hanging="360"/>
      </w:pPr>
    </w:lvl>
  </w:abstractNum>
  <w:abstractNum w:abstractNumId="192" w15:restartNumberingAfterBreak="0">
    <w:nsid w:val="509D6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50B610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517A7F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51CD72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6" w15:restartNumberingAfterBreak="0">
    <w:nsid w:val="51E050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52500D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52AB3A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52E72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533F5A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53CE4E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53E667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544404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549E77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54BB55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55A73B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56024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56E13C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9" w15:restartNumberingAfterBreak="0">
    <w:nsid w:val="580167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580B68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1" w15:restartNumberingAfterBreak="0">
    <w:nsid w:val="590024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597827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59A97A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59C477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5B133E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5B1B7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5D0B39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5D0E35DE"/>
    <w:multiLevelType w:val="singleLevel"/>
    <w:tmpl w:val="041D000F"/>
    <w:lvl w:ilvl="0">
      <w:start w:val="1"/>
      <w:numFmt w:val="decimal"/>
      <w:lvlText w:val="%1."/>
      <w:lvlJc w:val="left"/>
      <w:pPr>
        <w:tabs>
          <w:tab w:val="num" w:pos="360"/>
        </w:tabs>
        <w:ind w:left="360" w:hanging="360"/>
      </w:pPr>
    </w:lvl>
  </w:abstractNum>
  <w:abstractNum w:abstractNumId="219" w15:restartNumberingAfterBreak="0">
    <w:nsid w:val="5D3D47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5E1E78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5E4844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5EE678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5F743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5FC266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61E85330"/>
    <w:multiLevelType w:val="singleLevel"/>
    <w:tmpl w:val="221002FA"/>
    <w:lvl w:ilvl="0">
      <w:numFmt w:val="bullet"/>
      <w:lvlText w:val="-"/>
      <w:lvlJc w:val="left"/>
      <w:pPr>
        <w:tabs>
          <w:tab w:val="num" w:pos="530"/>
        </w:tabs>
        <w:ind w:left="530" w:hanging="360"/>
      </w:pPr>
      <w:rPr>
        <w:rFonts w:hint="default"/>
      </w:rPr>
    </w:lvl>
  </w:abstractNum>
  <w:abstractNum w:abstractNumId="226" w15:restartNumberingAfterBreak="0">
    <w:nsid w:val="62617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62952C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8" w15:restartNumberingAfterBreak="0">
    <w:nsid w:val="629A7D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631901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63644E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641C6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64EE5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64F12C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651B11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656A6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66E103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75877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679A54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67EE62BD"/>
    <w:multiLevelType w:val="multilevel"/>
    <w:tmpl w:val="4BD6AF94"/>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0" w15:restartNumberingAfterBreak="0">
    <w:nsid w:val="68E42ED5"/>
    <w:multiLevelType w:val="singleLevel"/>
    <w:tmpl w:val="221002FA"/>
    <w:lvl w:ilvl="0">
      <w:numFmt w:val="bullet"/>
      <w:lvlText w:val="-"/>
      <w:lvlJc w:val="left"/>
      <w:pPr>
        <w:tabs>
          <w:tab w:val="num" w:pos="530"/>
        </w:tabs>
        <w:ind w:left="530" w:hanging="360"/>
      </w:pPr>
      <w:rPr>
        <w:rFonts w:hint="default"/>
      </w:rPr>
    </w:lvl>
  </w:abstractNum>
  <w:abstractNum w:abstractNumId="241" w15:restartNumberingAfterBreak="0">
    <w:nsid w:val="6AB27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6BC82E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6BE206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6BEB5B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5" w15:restartNumberingAfterBreak="0">
    <w:nsid w:val="6C152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6C473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C4E2E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6CC503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6D0F3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6D9A69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1" w15:restartNumberingAfterBreak="0">
    <w:nsid w:val="6DAA6F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6DAF2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6EB97B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6EEB6A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6F224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6F3631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6F985B8E"/>
    <w:multiLevelType w:val="singleLevel"/>
    <w:tmpl w:val="40B4AB6C"/>
    <w:lvl w:ilvl="0">
      <w:start w:val="1"/>
      <w:numFmt w:val="decimal"/>
      <w:lvlText w:val="%1."/>
      <w:lvlJc w:val="left"/>
      <w:pPr>
        <w:tabs>
          <w:tab w:val="num" w:pos="530"/>
        </w:tabs>
        <w:ind w:left="530" w:hanging="360"/>
      </w:pPr>
      <w:rPr>
        <w:rFonts w:hint="default"/>
      </w:rPr>
    </w:lvl>
  </w:abstractNum>
  <w:abstractNum w:abstractNumId="258" w15:restartNumberingAfterBreak="0">
    <w:nsid w:val="70525B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9" w15:restartNumberingAfterBreak="0">
    <w:nsid w:val="70BD5031"/>
    <w:multiLevelType w:val="singleLevel"/>
    <w:tmpl w:val="041D000F"/>
    <w:lvl w:ilvl="0">
      <w:start w:val="1"/>
      <w:numFmt w:val="decimal"/>
      <w:lvlText w:val="%1."/>
      <w:lvlJc w:val="left"/>
      <w:pPr>
        <w:tabs>
          <w:tab w:val="num" w:pos="360"/>
        </w:tabs>
        <w:ind w:left="360" w:hanging="360"/>
      </w:pPr>
    </w:lvl>
  </w:abstractNum>
  <w:abstractNum w:abstractNumId="260" w15:restartNumberingAfterBreak="0">
    <w:nsid w:val="70FD5A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712019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72074E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72613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72D51B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731B2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73653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738D4B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74732A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76072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76585F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780059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780479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788676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79266F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79DF4135"/>
    <w:multiLevelType w:val="singleLevel"/>
    <w:tmpl w:val="52585D9E"/>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7A4156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7AE155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7B041B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7B107363"/>
    <w:multiLevelType w:val="singleLevel"/>
    <w:tmpl w:val="221002FA"/>
    <w:lvl w:ilvl="0">
      <w:numFmt w:val="bullet"/>
      <w:lvlText w:val="-"/>
      <w:lvlJc w:val="left"/>
      <w:pPr>
        <w:tabs>
          <w:tab w:val="num" w:pos="530"/>
        </w:tabs>
        <w:ind w:left="530" w:hanging="360"/>
      </w:pPr>
      <w:rPr>
        <w:rFonts w:hint="default"/>
      </w:rPr>
    </w:lvl>
  </w:abstractNum>
  <w:abstractNum w:abstractNumId="280" w15:restartNumberingAfterBreak="0">
    <w:nsid w:val="7B5C4E5D"/>
    <w:multiLevelType w:val="singleLevel"/>
    <w:tmpl w:val="041D000F"/>
    <w:lvl w:ilvl="0">
      <w:start w:val="1"/>
      <w:numFmt w:val="decimal"/>
      <w:lvlText w:val="%1."/>
      <w:lvlJc w:val="left"/>
      <w:pPr>
        <w:tabs>
          <w:tab w:val="num" w:pos="360"/>
        </w:tabs>
        <w:ind w:left="360" w:hanging="360"/>
      </w:pPr>
    </w:lvl>
  </w:abstractNum>
  <w:abstractNum w:abstractNumId="281" w15:restartNumberingAfterBreak="0">
    <w:nsid w:val="7B6A64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7BBB7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7BD43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7CC56A24"/>
    <w:multiLevelType w:val="singleLevel"/>
    <w:tmpl w:val="041D000F"/>
    <w:lvl w:ilvl="0">
      <w:start w:val="1"/>
      <w:numFmt w:val="decimal"/>
      <w:lvlText w:val="%1."/>
      <w:lvlJc w:val="left"/>
      <w:pPr>
        <w:tabs>
          <w:tab w:val="num" w:pos="360"/>
        </w:tabs>
        <w:ind w:left="360" w:hanging="360"/>
      </w:pPr>
    </w:lvl>
  </w:abstractNum>
  <w:abstractNum w:abstractNumId="285" w15:restartNumberingAfterBreak="0">
    <w:nsid w:val="7D5F05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7D685C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7D904D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7D9166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7DFD2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7E0017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7E0B4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7E6F2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7E886F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7E9856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7EAD7F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7EB65F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7EEE38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7F0838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7F471E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7F7910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7FCF05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2" w15:restartNumberingAfterBreak="0">
    <w:nsid w:val="7FF4051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90976977">
    <w:abstractNumId w:val="181"/>
  </w:num>
  <w:num w:numId="2" w16cid:durableId="1046300882">
    <w:abstractNumId w:val="218"/>
  </w:num>
  <w:num w:numId="3" w16cid:durableId="1716731438">
    <w:abstractNumId w:val="201"/>
  </w:num>
  <w:num w:numId="4" w16cid:durableId="722021580">
    <w:abstractNumId w:val="233"/>
  </w:num>
  <w:num w:numId="5" w16cid:durableId="1105155403">
    <w:abstractNumId w:val="265"/>
  </w:num>
  <w:num w:numId="6" w16cid:durableId="1657227137">
    <w:abstractNumId w:val="116"/>
  </w:num>
  <w:num w:numId="7" w16cid:durableId="1958103501">
    <w:abstractNumId w:val="220"/>
  </w:num>
  <w:num w:numId="8" w16cid:durableId="350113846">
    <w:abstractNumId w:val="269"/>
  </w:num>
  <w:num w:numId="9" w16cid:durableId="1719861419">
    <w:abstractNumId w:val="237"/>
  </w:num>
  <w:num w:numId="10" w16cid:durableId="1442604927">
    <w:abstractNumId w:val="141"/>
  </w:num>
  <w:num w:numId="11" w16cid:durableId="1258562220">
    <w:abstractNumId w:val="239"/>
  </w:num>
  <w:num w:numId="12" w16cid:durableId="1588690067">
    <w:abstractNumId w:val="33"/>
  </w:num>
  <w:num w:numId="13" w16cid:durableId="1831753294">
    <w:abstractNumId w:val="298"/>
  </w:num>
  <w:num w:numId="14" w16cid:durableId="76029838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87615495">
    <w:abstractNumId w:val="282"/>
  </w:num>
  <w:num w:numId="16" w16cid:durableId="1337881562">
    <w:abstractNumId w:val="287"/>
  </w:num>
  <w:num w:numId="17" w16cid:durableId="1402944430">
    <w:abstractNumId w:val="266"/>
  </w:num>
  <w:num w:numId="18" w16cid:durableId="1216699456">
    <w:abstractNumId w:val="202"/>
  </w:num>
  <w:num w:numId="19" w16cid:durableId="1078749468">
    <w:abstractNumId w:val="179"/>
  </w:num>
  <w:num w:numId="20" w16cid:durableId="406457899">
    <w:abstractNumId w:val="70"/>
  </w:num>
  <w:num w:numId="21" w16cid:durableId="792334471">
    <w:abstractNumId w:val="7"/>
  </w:num>
  <w:num w:numId="22" w16cid:durableId="745960312">
    <w:abstractNumId w:val="34"/>
  </w:num>
  <w:num w:numId="23" w16cid:durableId="109671664">
    <w:abstractNumId w:val="286"/>
  </w:num>
  <w:num w:numId="24" w16cid:durableId="2129080444">
    <w:abstractNumId w:val="32"/>
  </w:num>
  <w:num w:numId="25" w16cid:durableId="889729939">
    <w:abstractNumId w:val="259"/>
  </w:num>
  <w:num w:numId="26" w16cid:durableId="1246645067">
    <w:abstractNumId w:val="113"/>
  </w:num>
  <w:num w:numId="27" w16cid:durableId="967930362">
    <w:abstractNumId w:val="168"/>
  </w:num>
  <w:num w:numId="28" w16cid:durableId="1149326848">
    <w:abstractNumId w:val="254"/>
  </w:num>
  <w:num w:numId="29" w16cid:durableId="2054383628">
    <w:abstractNumId w:val="167"/>
  </w:num>
  <w:num w:numId="30" w16cid:durableId="1685748030">
    <w:abstractNumId w:val="123"/>
  </w:num>
  <w:num w:numId="31" w16cid:durableId="339238318">
    <w:abstractNumId w:val="66"/>
  </w:num>
  <w:num w:numId="32" w16cid:durableId="604776084">
    <w:abstractNumId w:val="257"/>
  </w:num>
  <w:num w:numId="33" w16cid:durableId="710543888">
    <w:abstractNumId w:val="80"/>
  </w:num>
  <w:num w:numId="34" w16cid:durableId="1139297036">
    <w:abstractNumId w:val="280"/>
  </w:num>
  <w:num w:numId="35" w16cid:durableId="1520508876">
    <w:abstractNumId w:val="29"/>
  </w:num>
  <w:num w:numId="36" w16cid:durableId="294986747">
    <w:abstractNumId w:val="68"/>
  </w:num>
  <w:num w:numId="37" w16cid:durableId="375738468">
    <w:abstractNumId w:val="12"/>
  </w:num>
  <w:num w:numId="38" w16cid:durableId="1114863737">
    <w:abstractNumId w:val="278"/>
  </w:num>
  <w:num w:numId="39" w16cid:durableId="280458808">
    <w:abstractNumId w:val="173"/>
  </w:num>
  <w:num w:numId="40" w16cid:durableId="75371692">
    <w:abstractNumId w:val="128"/>
  </w:num>
  <w:num w:numId="41" w16cid:durableId="1040592789">
    <w:abstractNumId w:val="142"/>
  </w:num>
  <w:num w:numId="42" w16cid:durableId="781609857">
    <w:abstractNumId w:val="9"/>
  </w:num>
  <w:num w:numId="43" w16cid:durableId="100032058">
    <w:abstractNumId w:val="193"/>
  </w:num>
  <w:num w:numId="44" w16cid:durableId="459761660">
    <w:abstractNumId w:val="157"/>
  </w:num>
  <w:num w:numId="45" w16cid:durableId="2049600821">
    <w:abstractNumId w:val="16"/>
  </w:num>
  <w:num w:numId="46" w16cid:durableId="1467626782">
    <w:abstractNumId w:val="243"/>
  </w:num>
  <w:num w:numId="47" w16cid:durableId="1825854717">
    <w:abstractNumId w:val="50"/>
  </w:num>
  <w:num w:numId="48" w16cid:durableId="984512210">
    <w:abstractNumId w:val="133"/>
  </w:num>
  <w:num w:numId="49" w16cid:durableId="680620524">
    <w:abstractNumId w:val="84"/>
  </w:num>
  <w:num w:numId="50" w16cid:durableId="793796312">
    <w:abstractNumId w:val="152"/>
  </w:num>
  <w:num w:numId="51" w16cid:durableId="1078869133">
    <w:abstractNumId w:val="124"/>
  </w:num>
  <w:num w:numId="52" w16cid:durableId="941381727">
    <w:abstractNumId w:val="95"/>
  </w:num>
  <w:num w:numId="53" w16cid:durableId="247886711">
    <w:abstractNumId w:val="65"/>
  </w:num>
  <w:num w:numId="54" w16cid:durableId="1680353199">
    <w:abstractNumId w:val="89"/>
  </w:num>
  <w:num w:numId="55" w16cid:durableId="727070677">
    <w:abstractNumId w:val="110"/>
  </w:num>
  <w:num w:numId="56" w16cid:durableId="446311731">
    <w:abstractNumId w:val="54"/>
  </w:num>
  <w:num w:numId="57" w16cid:durableId="814563432">
    <w:abstractNumId w:val="245"/>
  </w:num>
  <w:num w:numId="58" w16cid:durableId="323901944">
    <w:abstractNumId w:val="164"/>
  </w:num>
  <w:num w:numId="59" w16cid:durableId="1274096599">
    <w:abstractNumId w:val="146"/>
  </w:num>
  <w:num w:numId="60" w16cid:durableId="24718034">
    <w:abstractNumId w:val="97"/>
  </w:num>
  <w:num w:numId="61" w16cid:durableId="2142065199">
    <w:abstractNumId w:val="197"/>
  </w:num>
  <w:num w:numId="62" w16cid:durableId="491793644">
    <w:abstractNumId w:val="47"/>
  </w:num>
  <w:num w:numId="63" w16cid:durableId="145050812">
    <w:abstractNumId w:val="238"/>
  </w:num>
  <w:num w:numId="64" w16cid:durableId="448816478">
    <w:abstractNumId w:val="174"/>
  </w:num>
  <w:num w:numId="65" w16cid:durableId="295378222">
    <w:abstractNumId w:val="158"/>
  </w:num>
  <w:num w:numId="66" w16cid:durableId="614865622">
    <w:abstractNumId w:val="249"/>
  </w:num>
  <w:num w:numId="67" w16cid:durableId="1138105245">
    <w:abstractNumId w:val="62"/>
  </w:num>
  <w:num w:numId="68" w16cid:durableId="24915680">
    <w:abstractNumId w:val="216"/>
  </w:num>
  <w:num w:numId="69" w16cid:durableId="2046907997">
    <w:abstractNumId w:val="189"/>
  </w:num>
  <w:num w:numId="70" w16cid:durableId="64256375">
    <w:abstractNumId w:val="42"/>
  </w:num>
  <w:num w:numId="71" w16cid:durableId="693114536">
    <w:abstractNumId w:val="293"/>
  </w:num>
  <w:num w:numId="72" w16cid:durableId="1516530816">
    <w:abstractNumId w:val="184"/>
  </w:num>
  <w:num w:numId="73" w16cid:durableId="1192232211">
    <w:abstractNumId w:val="145"/>
  </w:num>
  <w:num w:numId="74" w16cid:durableId="1315377359">
    <w:abstractNumId w:val="127"/>
  </w:num>
  <w:num w:numId="75" w16cid:durableId="302274431">
    <w:abstractNumId w:val="207"/>
  </w:num>
  <w:num w:numId="76" w16cid:durableId="1918401513">
    <w:abstractNumId w:val="200"/>
  </w:num>
  <w:num w:numId="77" w16cid:durableId="1565489898">
    <w:abstractNumId w:val="13"/>
  </w:num>
  <w:num w:numId="78" w16cid:durableId="805968539">
    <w:abstractNumId w:val="213"/>
  </w:num>
  <w:num w:numId="79" w16cid:durableId="1622805772">
    <w:abstractNumId w:val="83"/>
  </w:num>
  <w:num w:numId="80" w16cid:durableId="772554496">
    <w:abstractNumId w:val="300"/>
  </w:num>
  <w:num w:numId="81" w16cid:durableId="628166283">
    <w:abstractNumId w:val="38"/>
  </w:num>
  <w:num w:numId="82" w16cid:durableId="689186078">
    <w:abstractNumId w:val="105"/>
  </w:num>
  <w:num w:numId="83" w16cid:durableId="913246565">
    <w:abstractNumId w:val="63"/>
  </w:num>
  <w:num w:numId="84" w16cid:durableId="295378655">
    <w:abstractNumId w:val="107"/>
  </w:num>
  <w:num w:numId="85" w16cid:durableId="2001424238">
    <w:abstractNumId w:val="96"/>
  </w:num>
  <w:num w:numId="86" w16cid:durableId="1753818379">
    <w:abstractNumId w:val="103"/>
  </w:num>
  <w:num w:numId="87" w16cid:durableId="1364676552">
    <w:abstractNumId w:val="43"/>
  </w:num>
  <w:num w:numId="88" w16cid:durableId="2067408654">
    <w:abstractNumId w:val="175"/>
  </w:num>
  <w:num w:numId="89" w16cid:durableId="14429663">
    <w:abstractNumId w:val="137"/>
  </w:num>
  <w:num w:numId="90" w16cid:durableId="17006226">
    <w:abstractNumId w:val="222"/>
  </w:num>
  <w:num w:numId="91" w16cid:durableId="189345111">
    <w:abstractNumId w:val="136"/>
  </w:num>
  <w:num w:numId="92" w16cid:durableId="575675758">
    <w:abstractNumId w:val="236"/>
  </w:num>
  <w:num w:numId="93" w16cid:durableId="1051224027">
    <w:abstractNumId w:val="169"/>
  </w:num>
  <w:num w:numId="94" w16cid:durableId="380979305">
    <w:abstractNumId w:val="289"/>
  </w:num>
  <w:num w:numId="95" w16cid:durableId="812404546">
    <w:abstractNumId w:val="51"/>
  </w:num>
  <w:num w:numId="96" w16cid:durableId="1354922837">
    <w:abstractNumId w:val="229"/>
  </w:num>
  <w:num w:numId="97" w16cid:durableId="954169263">
    <w:abstractNumId w:val="203"/>
  </w:num>
  <w:num w:numId="98" w16cid:durableId="1057244330">
    <w:abstractNumId w:val="122"/>
  </w:num>
  <w:num w:numId="99" w16cid:durableId="1820884093">
    <w:abstractNumId w:val="144"/>
  </w:num>
  <w:num w:numId="100" w16cid:durableId="759182363">
    <w:abstractNumId w:val="35"/>
  </w:num>
  <w:num w:numId="101" w16cid:durableId="903563198">
    <w:abstractNumId w:val="295"/>
  </w:num>
  <w:num w:numId="102" w16cid:durableId="2098019825">
    <w:abstractNumId w:val="59"/>
  </w:num>
  <w:num w:numId="103" w16cid:durableId="293026817">
    <w:abstractNumId w:val="183"/>
  </w:num>
  <w:num w:numId="104" w16cid:durableId="1100218418">
    <w:abstractNumId w:val="228"/>
  </w:num>
  <w:num w:numId="105" w16cid:durableId="1056591176">
    <w:abstractNumId w:val="178"/>
  </w:num>
  <w:num w:numId="106" w16cid:durableId="245923309">
    <w:abstractNumId w:val="205"/>
  </w:num>
  <w:num w:numId="107" w16cid:durableId="1205097391">
    <w:abstractNumId w:val="224"/>
  </w:num>
  <w:num w:numId="108" w16cid:durableId="801845617">
    <w:abstractNumId w:val="77"/>
  </w:num>
  <w:num w:numId="109" w16cid:durableId="1948124469">
    <w:abstractNumId w:val="248"/>
  </w:num>
  <w:num w:numId="110" w16cid:durableId="1783301954">
    <w:abstractNumId w:val="235"/>
  </w:num>
  <w:num w:numId="111" w16cid:durableId="751004535">
    <w:abstractNumId w:val="132"/>
  </w:num>
  <w:num w:numId="112" w16cid:durableId="355078794">
    <w:abstractNumId w:val="294"/>
  </w:num>
  <w:num w:numId="113" w16cid:durableId="1911423537">
    <w:abstractNumId w:val="78"/>
  </w:num>
  <w:num w:numId="114" w16cid:durableId="774060105">
    <w:abstractNumId w:val="131"/>
  </w:num>
  <w:num w:numId="115" w16cid:durableId="448011615">
    <w:abstractNumId w:val="277"/>
  </w:num>
  <w:num w:numId="116" w16cid:durableId="2107998119">
    <w:abstractNumId w:val="102"/>
  </w:num>
  <w:num w:numId="117" w16cid:durableId="1956398152">
    <w:abstractNumId w:val="299"/>
  </w:num>
  <w:num w:numId="118" w16cid:durableId="1398283881">
    <w:abstractNumId w:val="272"/>
  </w:num>
  <w:num w:numId="119" w16cid:durableId="1591304998">
    <w:abstractNumId w:val="120"/>
  </w:num>
  <w:num w:numId="120" w16cid:durableId="1683126012">
    <w:abstractNumId w:val="148"/>
  </w:num>
  <w:num w:numId="121" w16cid:durableId="40256512">
    <w:abstractNumId w:val="0"/>
  </w:num>
  <w:num w:numId="122" w16cid:durableId="1710959223">
    <w:abstractNumId w:val="98"/>
  </w:num>
  <w:num w:numId="123" w16cid:durableId="1358657197">
    <w:abstractNumId w:val="194"/>
  </w:num>
  <w:num w:numId="124" w16cid:durableId="479886904">
    <w:abstractNumId w:val="82"/>
  </w:num>
  <w:num w:numId="125" w16cid:durableId="2090884533">
    <w:abstractNumId w:val="46"/>
  </w:num>
  <w:num w:numId="126" w16cid:durableId="975524154">
    <w:abstractNumId w:val="232"/>
  </w:num>
  <w:num w:numId="127" w16cid:durableId="1717120368">
    <w:abstractNumId w:val="255"/>
  </w:num>
  <w:num w:numId="128" w16cid:durableId="1480419267">
    <w:abstractNumId w:val="246"/>
  </w:num>
  <w:num w:numId="129" w16cid:durableId="1648054192">
    <w:abstractNumId w:val="176"/>
  </w:num>
  <w:num w:numId="130" w16cid:durableId="1260409323">
    <w:abstractNumId w:val="73"/>
  </w:num>
  <w:num w:numId="131" w16cid:durableId="1979914391">
    <w:abstractNumId w:val="37"/>
  </w:num>
  <w:num w:numId="132" w16cid:durableId="169375708">
    <w:abstractNumId w:val="163"/>
  </w:num>
  <w:num w:numId="133" w16cid:durableId="399909084">
    <w:abstractNumId w:val="226"/>
  </w:num>
  <w:num w:numId="134" w16cid:durableId="1427845794">
    <w:abstractNumId w:val="57"/>
  </w:num>
  <w:num w:numId="135" w16cid:durableId="1046760223">
    <w:abstractNumId w:val="292"/>
  </w:num>
  <w:num w:numId="136" w16cid:durableId="754546426">
    <w:abstractNumId w:val="281"/>
  </w:num>
  <w:num w:numId="137" w16cid:durableId="780030868">
    <w:abstractNumId w:val="48"/>
  </w:num>
  <w:num w:numId="138" w16cid:durableId="586882888">
    <w:abstractNumId w:val="182"/>
  </w:num>
  <w:num w:numId="139" w16cid:durableId="1359354967">
    <w:abstractNumId w:val="279"/>
  </w:num>
  <w:num w:numId="140" w16cid:durableId="1667394732">
    <w:abstractNumId w:val="240"/>
  </w:num>
  <w:num w:numId="141" w16cid:durableId="1062295896">
    <w:abstractNumId w:val="225"/>
  </w:num>
  <w:num w:numId="142" w16cid:durableId="1223713773">
    <w:abstractNumId w:val="109"/>
  </w:num>
  <w:num w:numId="143" w16cid:durableId="1054548223">
    <w:abstractNumId w:val="55"/>
  </w:num>
  <w:num w:numId="144" w16cid:durableId="277034038">
    <w:abstractNumId w:val="134"/>
  </w:num>
  <w:num w:numId="145" w16cid:durableId="784736577">
    <w:abstractNumId w:val="26"/>
  </w:num>
  <w:num w:numId="146" w16cid:durableId="86925167">
    <w:abstractNumId w:val="285"/>
  </w:num>
  <w:num w:numId="147" w16cid:durableId="1769036861">
    <w:abstractNumId w:val="129"/>
  </w:num>
  <w:num w:numId="148" w16cid:durableId="1412461249">
    <w:abstractNumId w:val="275"/>
  </w:num>
  <w:num w:numId="149" w16cid:durableId="398089516">
    <w:abstractNumId w:val="161"/>
  </w:num>
  <w:num w:numId="150" w16cid:durableId="977493088">
    <w:abstractNumId w:val="252"/>
  </w:num>
  <w:num w:numId="151" w16cid:durableId="252934373">
    <w:abstractNumId w:val="71"/>
  </w:num>
  <w:num w:numId="152" w16cid:durableId="1014066342">
    <w:abstractNumId w:val="19"/>
  </w:num>
  <w:num w:numId="153" w16cid:durableId="1784152503">
    <w:abstractNumId w:val="170"/>
  </w:num>
  <w:num w:numId="154" w16cid:durableId="151022431">
    <w:abstractNumId w:val="162"/>
  </w:num>
  <w:num w:numId="155" w16cid:durableId="2097048342">
    <w:abstractNumId w:val="296"/>
  </w:num>
  <w:num w:numId="156" w16cid:durableId="1966155465">
    <w:abstractNumId w:val="58"/>
  </w:num>
  <w:num w:numId="157" w16cid:durableId="816336018">
    <w:abstractNumId w:val="21"/>
  </w:num>
  <w:num w:numId="158" w16cid:durableId="1111822917">
    <w:abstractNumId w:val="139"/>
  </w:num>
  <w:num w:numId="159" w16cid:durableId="481190643">
    <w:abstractNumId w:val="191"/>
  </w:num>
  <w:num w:numId="160" w16cid:durableId="1378241067">
    <w:abstractNumId w:val="250"/>
  </w:num>
  <w:num w:numId="161" w16cid:durableId="259608610">
    <w:abstractNumId w:val="258"/>
  </w:num>
  <w:num w:numId="162" w16cid:durableId="2086297789">
    <w:abstractNumId w:val="18"/>
  </w:num>
  <w:num w:numId="163" w16cid:durableId="1839807383">
    <w:abstractNumId w:val="27"/>
  </w:num>
  <w:num w:numId="164" w16cid:durableId="1589272017">
    <w:abstractNumId w:val="244"/>
  </w:num>
  <w:num w:numId="165" w16cid:durableId="1745832567">
    <w:abstractNumId w:val="301"/>
  </w:num>
  <w:num w:numId="166" w16cid:durableId="2074690195">
    <w:abstractNumId w:val="15"/>
  </w:num>
  <w:num w:numId="167" w16cid:durableId="1425879939">
    <w:abstractNumId w:val="81"/>
  </w:num>
  <w:num w:numId="168" w16cid:durableId="1693528552">
    <w:abstractNumId w:val="117"/>
  </w:num>
  <w:num w:numId="169" w16cid:durableId="1435131663">
    <w:abstractNumId w:val="302"/>
  </w:num>
  <w:num w:numId="170" w16cid:durableId="521171580">
    <w:abstractNumId w:val="160"/>
  </w:num>
  <w:num w:numId="171" w16cid:durableId="1184248526">
    <w:abstractNumId w:val="268"/>
  </w:num>
  <w:num w:numId="172" w16cid:durableId="1005011813">
    <w:abstractNumId w:val="263"/>
  </w:num>
  <w:num w:numId="173" w16cid:durableId="724260717">
    <w:abstractNumId w:val="49"/>
  </w:num>
  <w:num w:numId="174" w16cid:durableId="890507282">
    <w:abstractNumId w:val="264"/>
  </w:num>
  <w:num w:numId="175" w16cid:durableId="791242326">
    <w:abstractNumId w:val="153"/>
  </w:num>
  <w:num w:numId="176" w16cid:durableId="906690900">
    <w:abstractNumId w:val="260"/>
  </w:num>
  <w:num w:numId="177" w16cid:durableId="410156759">
    <w:abstractNumId w:val="209"/>
  </w:num>
  <w:num w:numId="178" w16cid:durableId="1669824348">
    <w:abstractNumId w:val="186"/>
  </w:num>
  <w:num w:numId="179" w16cid:durableId="1131938551">
    <w:abstractNumId w:val="5"/>
  </w:num>
  <w:num w:numId="180" w16cid:durableId="1789667726">
    <w:abstractNumId w:val="44"/>
  </w:num>
  <w:num w:numId="181" w16cid:durableId="1542285955">
    <w:abstractNumId w:val="74"/>
  </w:num>
  <w:num w:numId="182" w16cid:durableId="2065980812">
    <w:abstractNumId w:val="125"/>
  </w:num>
  <w:num w:numId="183" w16cid:durableId="448088910">
    <w:abstractNumId w:val="219"/>
  </w:num>
  <w:num w:numId="184" w16cid:durableId="627510468">
    <w:abstractNumId w:val="8"/>
  </w:num>
  <w:num w:numId="185" w16cid:durableId="1833833493">
    <w:abstractNumId w:val="187"/>
  </w:num>
  <w:num w:numId="186" w16cid:durableId="637493959">
    <w:abstractNumId w:val="185"/>
  </w:num>
  <w:num w:numId="187" w16cid:durableId="866453954">
    <w:abstractNumId w:val="101"/>
  </w:num>
  <w:num w:numId="188" w16cid:durableId="282929765">
    <w:abstractNumId w:val="36"/>
  </w:num>
  <w:num w:numId="189" w16cid:durableId="346950916">
    <w:abstractNumId w:val="166"/>
  </w:num>
  <w:num w:numId="190" w16cid:durableId="2045789207">
    <w:abstractNumId w:val="156"/>
  </w:num>
  <w:num w:numId="191" w16cid:durableId="1761439636">
    <w:abstractNumId w:val="130"/>
  </w:num>
  <w:num w:numId="192" w16cid:durableId="1139034506">
    <w:abstractNumId w:val="126"/>
  </w:num>
  <w:num w:numId="193" w16cid:durableId="1870144899">
    <w:abstractNumId w:val="53"/>
  </w:num>
  <w:num w:numId="194" w16cid:durableId="1466007001">
    <w:abstractNumId w:val="149"/>
  </w:num>
  <w:num w:numId="195" w16cid:durableId="1138955259">
    <w:abstractNumId w:val="87"/>
  </w:num>
  <w:num w:numId="196" w16cid:durableId="1089158936">
    <w:abstractNumId w:val="267"/>
  </w:num>
  <w:num w:numId="197" w16cid:durableId="1167327516">
    <w:abstractNumId w:val="154"/>
  </w:num>
  <w:num w:numId="198" w16cid:durableId="1267036597">
    <w:abstractNumId w:val="241"/>
  </w:num>
  <w:num w:numId="199" w16cid:durableId="179398502">
    <w:abstractNumId w:val="284"/>
  </w:num>
  <w:num w:numId="200" w16cid:durableId="321007659">
    <w:abstractNumId w:val="204"/>
  </w:num>
  <w:num w:numId="201" w16cid:durableId="298192278">
    <w:abstractNumId w:val="155"/>
  </w:num>
  <w:num w:numId="202" w16cid:durableId="1645348766">
    <w:abstractNumId w:val="172"/>
  </w:num>
  <w:num w:numId="203" w16cid:durableId="1751611451">
    <w:abstractNumId w:val="90"/>
  </w:num>
  <w:num w:numId="204" w16cid:durableId="851575265">
    <w:abstractNumId w:val="72"/>
  </w:num>
  <w:num w:numId="205" w16cid:durableId="1330252171">
    <w:abstractNumId w:val="67"/>
  </w:num>
  <w:num w:numId="206" w16cid:durableId="987441757">
    <w:abstractNumId w:val="85"/>
  </w:num>
  <w:num w:numId="207" w16cid:durableId="2036731199">
    <w:abstractNumId w:val="214"/>
  </w:num>
  <w:num w:numId="208" w16cid:durableId="1711564177">
    <w:abstractNumId w:val="262"/>
  </w:num>
  <w:num w:numId="209" w16cid:durableId="632176225">
    <w:abstractNumId w:val="91"/>
  </w:num>
  <w:num w:numId="210" w16cid:durableId="1144468742">
    <w:abstractNumId w:val="231"/>
  </w:num>
  <w:num w:numId="211" w16cid:durableId="2000882442">
    <w:abstractNumId w:val="217"/>
  </w:num>
  <w:num w:numId="212" w16cid:durableId="644316870">
    <w:abstractNumId w:val="86"/>
  </w:num>
  <w:num w:numId="213" w16cid:durableId="1214388042">
    <w:abstractNumId w:val="261"/>
  </w:num>
  <w:num w:numId="214" w16cid:durableId="863128425">
    <w:abstractNumId w:val="108"/>
  </w:num>
  <w:num w:numId="215" w16cid:durableId="1339314168">
    <w:abstractNumId w:val="60"/>
  </w:num>
  <w:num w:numId="216" w16cid:durableId="294798575">
    <w:abstractNumId w:val="104"/>
  </w:num>
  <w:num w:numId="217" w16cid:durableId="1005523639">
    <w:abstractNumId w:val="196"/>
  </w:num>
  <w:num w:numId="218" w16cid:durableId="874076456">
    <w:abstractNumId w:val="41"/>
  </w:num>
  <w:num w:numId="219" w16cid:durableId="634070417">
    <w:abstractNumId w:val="198"/>
  </w:num>
  <w:num w:numId="220" w16cid:durableId="1483086012">
    <w:abstractNumId w:val="242"/>
  </w:num>
  <w:num w:numId="221" w16cid:durableId="218981975">
    <w:abstractNumId w:val="88"/>
  </w:num>
  <w:num w:numId="222" w16cid:durableId="1510170559">
    <w:abstractNumId w:val="271"/>
  </w:num>
  <w:num w:numId="223" w16cid:durableId="1779176127">
    <w:abstractNumId w:val="4"/>
  </w:num>
  <w:num w:numId="224" w16cid:durableId="1799108238">
    <w:abstractNumId w:val="79"/>
  </w:num>
  <w:num w:numId="225" w16cid:durableId="706442771">
    <w:abstractNumId w:val="291"/>
  </w:num>
  <w:num w:numId="226" w16cid:durableId="97527172">
    <w:abstractNumId w:val="247"/>
  </w:num>
  <w:num w:numId="227" w16cid:durableId="2003845946">
    <w:abstractNumId w:val="99"/>
  </w:num>
  <w:num w:numId="228" w16cid:durableId="1131482292">
    <w:abstractNumId w:val="151"/>
  </w:num>
  <w:num w:numId="229" w16cid:durableId="231889409">
    <w:abstractNumId w:val="290"/>
  </w:num>
  <w:num w:numId="230" w16cid:durableId="778139929">
    <w:abstractNumId w:val="215"/>
  </w:num>
  <w:num w:numId="231" w16cid:durableId="356124264">
    <w:abstractNumId w:val="93"/>
  </w:num>
  <w:num w:numId="232" w16cid:durableId="1890605235">
    <w:abstractNumId w:val="251"/>
  </w:num>
  <w:num w:numId="233" w16cid:durableId="470295478">
    <w:abstractNumId w:val="112"/>
  </w:num>
  <w:num w:numId="234" w16cid:durableId="590161560">
    <w:abstractNumId w:val="199"/>
  </w:num>
  <w:num w:numId="235" w16cid:durableId="1137647036">
    <w:abstractNumId w:val="208"/>
  </w:num>
  <w:num w:numId="236" w16cid:durableId="1961109193">
    <w:abstractNumId w:val="52"/>
  </w:num>
  <w:num w:numId="237" w16cid:durableId="416251701">
    <w:abstractNumId w:val="190"/>
  </w:num>
  <w:num w:numId="238" w16cid:durableId="2061439255">
    <w:abstractNumId w:val="135"/>
  </w:num>
  <w:num w:numId="239" w16cid:durableId="1248884989">
    <w:abstractNumId w:val="40"/>
  </w:num>
  <w:num w:numId="240" w16cid:durableId="1497648998">
    <w:abstractNumId w:val="195"/>
  </w:num>
  <w:num w:numId="241" w16cid:durableId="1094782189">
    <w:abstractNumId w:val="121"/>
  </w:num>
  <w:num w:numId="242" w16cid:durableId="370230737">
    <w:abstractNumId w:val="227"/>
  </w:num>
  <w:num w:numId="243" w16cid:durableId="408699083">
    <w:abstractNumId w:val="210"/>
  </w:num>
  <w:num w:numId="244" w16cid:durableId="1658416027">
    <w:abstractNumId w:val="188"/>
  </w:num>
  <w:num w:numId="245" w16cid:durableId="1443720805">
    <w:abstractNumId w:val="138"/>
  </w:num>
  <w:num w:numId="246" w16cid:durableId="1493059429">
    <w:abstractNumId w:val="159"/>
  </w:num>
  <w:num w:numId="247" w16cid:durableId="805781024">
    <w:abstractNumId w:val="150"/>
  </w:num>
  <w:num w:numId="248" w16cid:durableId="428283475">
    <w:abstractNumId w:val="140"/>
  </w:num>
  <w:num w:numId="249" w16cid:durableId="903872793">
    <w:abstractNumId w:val="171"/>
  </w:num>
  <w:num w:numId="250" w16cid:durableId="1163278828">
    <w:abstractNumId w:val="75"/>
  </w:num>
  <w:num w:numId="251" w16cid:durableId="1315722771">
    <w:abstractNumId w:val="11"/>
  </w:num>
  <w:num w:numId="252" w16cid:durableId="1482844941">
    <w:abstractNumId w:val="180"/>
  </w:num>
  <w:num w:numId="253" w16cid:durableId="773525225">
    <w:abstractNumId w:val="253"/>
  </w:num>
  <w:num w:numId="254" w16cid:durableId="1165823977">
    <w:abstractNumId w:val="24"/>
  </w:num>
  <w:num w:numId="255" w16cid:durableId="195430134">
    <w:abstractNumId w:val="106"/>
  </w:num>
  <w:num w:numId="256" w16cid:durableId="896402469">
    <w:abstractNumId w:val="3"/>
  </w:num>
  <w:num w:numId="257" w16cid:durableId="606812398">
    <w:abstractNumId w:val="114"/>
  </w:num>
  <w:num w:numId="258" w16cid:durableId="885139948">
    <w:abstractNumId w:val="221"/>
  </w:num>
  <w:num w:numId="259" w16cid:durableId="225341877">
    <w:abstractNumId w:val="288"/>
  </w:num>
  <w:num w:numId="260" w16cid:durableId="1852644830">
    <w:abstractNumId w:val="30"/>
  </w:num>
  <w:num w:numId="261" w16cid:durableId="148601557">
    <w:abstractNumId w:val="76"/>
  </w:num>
  <w:num w:numId="262" w16cid:durableId="301233875">
    <w:abstractNumId w:val="31"/>
  </w:num>
  <w:num w:numId="263" w16cid:durableId="1041438968">
    <w:abstractNumId w:val="28"/>
  </w:num>
  <w:num w:numId="264" w16cid:durableId="364185136">
    <w:abstractNumId w:val="273"/>
  </w:num>
  <w:num w:numId="265" w16cid:durableId="82847384">
    <w:abstractNumId w:val="111"/>
  </w:num>
  <w:num w:numId="266" w16cid:durableId="1128160459">
    <w:abstractNumId w:val="17"/>
  </w:num>
  <w:num w:numId="267" w16cid:durableId="505022775">
    <w:abstractNumId w:val="206"/>
  </w:num>
  <w:num w:numId="268" w16cid:durableId="852455889">
    <w:abstractNumId w:val="39"/>
  </w:num>
  <w:num w:numId="269" w16cid:durableId="1114255613">
    <w:abstractNumId w:val="2"/>
  </w:num>
  <w:num w:numId="270" w16cid:durableId="166751670">
    <w:abstractNumId w:val="211"/>
  </w:num>
  <w:num w:numId="271" w16cid:durableId="630526068">
    <w:abstractNumId w:val="69"/>
  </w:num>
  <w:num w:numId="272" w16cid:durableId="1683706906">
    <w:abstractNumId w:val="165"/>
  </w:num>
  <w:num w:numId="273" w16cid:durableId="793980997">
    <w:abstractNumId w:val="20"/>
  </w:num>
  <w:num w:numId="274" w16cid:durableId="375356724">
    <w:abstractNumId w:val="143"/>
  </w:num>
  <w:num w:numId="275" w16cid:durableId="23211790">
    <w:abstractNumId w:val="147"/>
  </w:num>
  <w:num w:numId="276" w16cid:durableId="1436247146">
    <w:abstractNumId w:val="94"/>
  </w:num>
  <w:num w:numId="277" w16cid:durableId="2091654533">
    <w:abstractNumId w:val="192"/>
  </w:num>
  <w:num w:numId="278" w16cid:durableId="641927701">
    <w:abstractNumId w:val="256"/>
  </w:num>
  <w:num w:numId="279" w16cid:durableId="2040201227">
    <w:abstractNumId w:val="92"/>
  </w:num>
  <w:num w:numId="280" w16cid:durableId="1465196117">
    <w:abstractNumId w:val="283"/>
  </w:num>
  <w:num w:numId="281" w16cid:durableId="1590386134">
    <w:abstractNumId w:val="22"/>
  </w:num>
  <w:num w:numId="282" w16cid:durableId="863447509">
    <w:abstractNumId w:val="23"/>
  </w:num>
  <w:num w:numId="283" w16cid:durableId="346298898">
    <w:abstractNumId w:val="230"/>
  </w:num>
  <w:num w:numId="284" w16cid:durableId="1766805441">
    <w:abstractNumId w:val="64"/>
  </w:num>
  <w:num w:numId="285" w16cid:durableId="1405833151">
    <w:abstractNumId w:val="25"/>
  </w:num>
  <w:num w:numId="286" w16cid:durableId="222831899">
    <w:abstractNumId w:val="274"/>
  </w:num>
  <w:num w:numId="287" w16cid:durableId="875654674">
    <w:abstractNumId w:val="56"/>
  </w:num>
  <w:num w:numId="288" w16cid:durableId="2050445314">
    <w:abstractNumId w:val="14"/>
  </w:num>
  <w:num w:numId="289" w16cid:durableId="429008638">
    <w:abstractNumId w:val="223"/>
  </w:num>
  <w:num w:numId="290" w16cid:durableId="719399911">
    <w:abstractNumId w:val="115"/>
  </w:num>
  <w:num w:numId="291" w16cid:durableId="1859584636">
    <w:abstractNumId w:val="10"/>
  </w:num>
  <w:num w:numId="292" w16cid:durableId="1832135347">
    <w:abstractNumId w:val="234"/>
  </w:num>
  <w:num w:numId="293" w16cid:durableId="1435831115">
    <w:abstractNumId w:val="297"/>
  </w:num>
  <w:num w:numId="294" w16cid:durableId="1736246640">
    <w:abstractNumId w:val="6"/>
  </w:num>
  <w:num w:numId="295" w16cid:durableId="1402101683">
    <w:abstractNumId w:val="118"/>
  </w:num>
  <w:num w:numId="296" w16cid:durableId="299844878">
    <w:abstractNumId w:val="177"/>
  </w:num>
  <w:num w:numId="297" w16cid:durableId="1850174605">
    <w:abstractNumId w:val="119"/>
  </w:num>
  <w:num w:numId="298" w16cid:durableId="947541364">
    <w:abstractNumId w:val="100"/>
  </w:num>
  <w:num w:numId="299" w16cid:durableId="385643292">
    <w:abstractNumId w:val="270"/>
  </w:num>
  <w:num w:numId="300" w16cid:durableId="969359252">
    <w:abstractNumId w:val="212"/>
  </w:num>
  <w:num w:numId="301" w16cid:durableId="1348751942">
    <w:abstractNumId w:val="45"/>
  </w:num>
  <w:num w:numId="302" w16cid:durableId="350224727">
    <w:abstractNumId w:val="276"/>
  </w:num>
  <w:num w:numId="303" w16cid:durableId="453332185">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AA07B8"/>
    <w:rsid w:val="00031A3F"/>
    <w:rsid w:val="00AA07B8"/>
    <w:rsid w:val="00EE1E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A32B1F08-9633-44C9-A0DA-D37E3CC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Normalindrag">
    <w:name w:val="Normal indrag"/>
    <w:basedOn w:val="Normal"/>
    <w:pPr>
      <w:numPr>
        <w:numId w:val="1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image" Target="media/image4.wmf"/><Relationship Id="rId34" Type="http://schemas.openxmlformats.org/officeDocument/2006/relationships/header" Target="header10.xml"/><Relationship Id="rId42" Type="http://schemas.openxmlformats.org/officeDocument/2006/relationships/header" Target="header15.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oleObject" Target="embeddings/oleObject3.bin"/><Relationship Id="rId29" Type="http://schemas.openxmlformats.org/officeDocument/2006/relationships/header" Target="header7.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56528</Words>
  <Characters>365177</Characters>
  <Application>Microsoft Office Word</Application>
  <DocSecurity>4</DocSecurity>
  <Lines>8115</Lines>
  <Paragraphs>2756</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418949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1999-11-11T17:06:00Z</cp:lastPrinted>
  <dcterms:created xsi:type="dcterms:W3CDTF">2025-12-15T22:21:00Z</dcterms:created>
  <dcterms:modified xsi:type="dcterms:W3CDTF">2025-12-15T22:21:00Z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