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AD33E8">
        <w:tblPrEx>
          <w:tblCellMar>
            <w:top w:w="0" w:type="dxa"/>
            <w:bottom w:w="0" w:type="dxa"/>
          </w:tblCellMar>
        </w:tblPrEx>
        <w:trPr>
          <w:cantSplit/>
          <w:trHeight w:val="635"/>
        </w:trPr>
        <w:tc>
          <w:tcPr>
            <w:tcW w:w="5457" w:type="dxa"/>
            <w:gridSpan w:val="2"/>
            <w:vMerge w:val="restart"/>
            <w:tcBorders>
              <w:bottom w:val="nil"/>
            </w:tcBorders>
          </w:tcPr>
          <w:p w:rsidR="007B7A21" w:rsidRPr="00AD33E8" w:rsidRDefault="007B7A21">
            <w:pPr>
              <w:pStyle w:val="HuvudRubrik"/>
              <w:spacing w:before="0"/>
              <w:rPr>
                <w:sz w:val="36"/>
              </w:rPr>
            </w:pPr>
            <w:r w:rsidRPr="00AD33E8">
              <w:rPr>
                <w:sz w:val="36"/>
              </w:rPr>
              <w:t>Förslag till riksdagen</w:t>
            </w:r>
          </w:p>
          <w:p w:rsidR="007B7A21" w:rsidRPr="00AD33E8" w:rsidRDefault="007B7A21">
            <w:pPr>
              <w:pStyle w:val="HuvudRubrik"/>
              <w:spacing w:before="0"/>
            </w:pPr>
            <w:r w:rsidRPr="00AD33E8">
              <w:rPr>
                <w:sz w:val="36"/>
              </w:rPr>
              <w:t>2002/03:RR2</w:t>
            </w:r>
            <w:r w:rsidRPr="00AD33E8">
              <w:t xml:space="preserve"> </w:t>
            </w:r>
          </w:p>
          <w:p w:rsidR="007B7A21" w:rsidRPr="00AD33E8" w:rsidRDefault="007B7A21">
            <w:pPr>
              <w:pStyle w:val="HuvudRubrik"/>
              <w:spacing w:before="0"/>
            </w:pPr>
            <w:r w:rsidRPr="00AD33E8">
              <w:t xml:space="preserve">Riksdagens revisorers förslag angående </w:t>
            </w:r>
            <w:bookmarkStart w:id="0" w:name="Mittenrubrik2"/>
            <w:bookmarkEnd w:id="0"/>
            <w:r w:rsidRPr="00AD33E8">
              <w:t>Statens personalpolitik</w:t>
            </w:r>
          </w:p>
        </w:tc>
        <w:tc>
          <w:tcPr>
            <w:tcW w:w="2126" w:type="dxa"/>
          </w:tcPr>
          <w:p w:rsidR="007B7A21" w:rsidRPr="00AD33E8" w:rsidRDefault="00AD33E8">
            <w:pPr>
              <w:pStyle w:val="rtal"/>
              <w:ind w:left="0"/>
              <w:rPr>
                <w:sz w:val="2"/>
              </w:rPr>
            </w:pPr>
            <w:r w:rsidRPr="00AD33E8">
              <w:rPr>
                <w:noProof/>
                <w:sz w:val="2"/>
              </w:rPr>
              <w:drawing>
                <wp:inline distT="0" distB="0" distL="0" distR="0">
                  <wp:extent cx="136588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55870"/>
                          <a:stretch>
                            <a:fillRect/>
                          </a:stretch>
                        </pic:blipFill>
                        <pic:spPr bwMode="auto">
                          <a:xfrm>
                            <a:off x="0" y="0"/>
                            <a:ext cx="1365885" cy="979805"/>
                          </a:xfrm>
                          <a:prstGeom prst="rect">
                            <a:avLst/>
                          </a:prstGeom>
                          <a:noFill/>
                          <a:ln>
                            <a:noFill/>
                          </a:ln>
                        </pic:spPr>
                      </pic:pic>
                    </a:graphicData>
                  </a:graphic>
                </wp:inline>
              </w:drawing>
            </w:r>
          </w:p>
        </w:tc>
      </w:tr>
      <w:tr w:rsidR="00000000" w:rsidRPr="00AD33E8">
        <w:tblPrEx>
          <w:tblCellMar>
            <w:top w:w="0" w:type="dxa"/>
            <w:bottom w:w="0" w:type="dxa"/>
          </w:tblCellMar>
        </w:tblPrEx>
        <w:trPr>
          <w:cantSplit/>
          <w:trHeight w:val="313"/>
        </w:trPr>
        <w:tc>
          <w:tcPr>
            <w:tcW w:w="5457" w:type="dxa"/>
            <w:gridSpan w:val="2"/>
            <w:vMerge/>
            <w:tcBorders>
              <w:bottom w:val="nil"/>
            </w:tcBorders>
          </w:tcPr>
          <w:p w:rsidR="007B7A21" w:rsidRPr="00AD33E8" w:rsidRDefault="007B7A21">
            <w:pPr>
              <w:pStyle w:val="HuvudRubrik"/>
            </w:pPr>
          </w:p>
        </w:tc>
        <w:tc>
          <w:tcPr>
            <w:tcW w:w="2126" w:type="dxa"/>
          </w:tcPr>
          <w:p w:rsidR="007B7A21" w:rsidRPr="00AD33E8" w:rsidRDefault="007B7A21">
            <w:pPr>
              <w:pStyle w:val="rtal"/>
              <w:ind w:left="0"/>
            </w:pPr>
            <w:r w:rsidRPr="00AD33E8">
              <w:t>2002/03</w:t>
            </w:r>
          </w:p>
        </w:tc>
      </w:tr>
      <w:tr w:rsidR="00000000" w:rsidRPr="00AD33E8">
        <w:tblPrEx>
          <w:tblCellMar>
            <w:top w:w="0" w:type="dxa"/>
            <w:bottom w:w="0" w:type="dxa"/>
          </w:tblCellMar>
        </w:tblPrEx>
        <w:trPr>
          <w:cantSplit/>
          <w:trHeight w:val="635"/>
        </w:trPr>
        <w:tc>
          <w:tcPr>
            <w:tcW w:w="5457" w:type="dxa"/>
            <w:gridSpan w:val="2"/>
            <w:vMerge/>
            <w:tcBorders>
              <w:bottom w:val="single" w:sz="4" w:space="0" w:color="auto"/>
            </w:tcBorders>
          </w:tcPr>
          <w:p w:rsidR="007B7A21" w:rsidRPr="00AD33E8" w:rsidRDefault="007B7A21">
            <w:pPr>
              <w:pStyle w:val="HuvudRubrik"/>
            </w:pPr>
          </w:p>
        </w:tc>
        <w:tc>
          <w:tcPr>
            <w:tcW w:w="2126" w:type="dxa"/>
            <w:tcBorders>
              <w:bottom w:val="single" w:sz="6" w:space="0" w:color="auto"/>
            </w:tcBorders>
          </w:tcPr>
          <w:p w:rsidR="007B7A21" w:rsidRPr="00AD33E8" w:rsidRDefault="007B7A21">
            <w:pPr>
              <w:pStyle w:val="rtal"/>
              <w:ind w:left="0"/>
            </w:pPr>
            <w:r w:rsidRPr="00AD33E8">
              <w:t>RR2</w:t>
            </w:r>
          </w:p>
        </w:tc>
      </w:tr>
      <w:tr w:rsidR="00000000" w:rsidRPr="00AD33E8">
        <w:tblPrEx>
          <w:tblCellMar>
            <w:top w:w="0" w:type="dxa"/>
            <w:bottom w:w="0" w:type="dxa"/>
          </w:tblCellMar>
        </w:tblPrEx>
        <w:trPr>
          <w:cantSplit/>
          <w:trHeight w:hRule="exact" w:val="660"/>
        </w:trPr>
        <w:tc>
          <w:tcPr>
            <w:tcW w:w="3012" w:type="dxa"/>
          </w:tcPr>
          <w:p w:rsidR="007B7A21" w:rsidRPr="00AD33E8" w:rsidRDefault="007B7A21">
            <w:pPr>
              <w:pStyle w:val="StatusSida1"/>
            </w:pPr>
          </w:p>
        </w:tc>
        <w:tc>
          <w:tcPr>
            <w:tcW w:w="2445" w:type="dxa"/>
          </w:tcPr>
          <w:p w:rsidR="007B7A21" w:rsidRPr="00AD33E8" w:rsidRDefault="007B7A21">
            <w:pPr>
              <w:pStyle w:val="UtskriftsdatumSida1"/>
              <w:rPr>
                <w:b/>
                <w:sz w:val="28"/>
              </w:rPr>
            </w:pPr>
          </w:p>
        </w:tc>
        <w:tc>
          <w:tcPr>
            <w:tcW w:w="2126" w:type="dxa"/>
          </w:tcPr>
          <w:p w:rsidR="007B7A21" w:rsidRPr="00AD33E8" w:rsidRDefault="007B7A21"/>
        </w:tc>
      </w:tr>
    </w:tbl>
    <w:p w:rsidR="007B7A21" w:rsidRPr="00AD33E8" w:rsidRDefault="007B7A21">
      <w:pPr>
        <w:pStyle w:val="Rubrik1"/>
      </w:pPr>
      <w:bookmarkStart w:id="1" w:name="Textstart"/>
      <w:bookmarkStart w:id="2" w:name="_Toc18376967"/>
      <w:bookmarkStart w:id="3" w:name="_Toc21425230"/>
      <w:bookmarkEnd w:id="1"/>
      <w:r w:rsidRPr="00AD33E8">
        <w:t>Revisorernas granskning</w:t>
      </w:r>
      <w:bookmarkEnd w:id="2"/>
      <w:bookmarkEnd w:id="3"/>
    </w:p>
    <w:p w:rsidR="007B7A21" w:rsidRPr="00AD33E8" w:rsidRDefault="007B7A21">
      <w:pPr>
        <w:pStyle w:val="Normaltindrag"/>
      </w:pPr>
    </w:p>
    <w:p w:rsidR="007B7A21" w:rsidRPr="00AD33E8" w:rsidRDefault="007B7A21">
      <w:pPr>
        <w:pStyle w:val="Normaltindrag"/>
        <w:ind w:firstLine="0"/>
      </w:pPr>
      <w:r w:rsidRPr="00AD33E8">
        <w:t xml:space="preserve">Revisorernas granskning har redovisats i rapporten </w:t>
      </w:r>
      <w:r w:rsidRPr="00AD33E8">
        <w:rPr>
          <w:i/>
        </w:rPr>
        <w:t>Statens personalpolitik</w:t>
      </w:r>
      <w:r w:rsidRPr="00AD33E8">
        <w:t xml:space="preserve"> </w:t>
      </w:r>
      <w:r w:rsidRPr="00AD33E8">
        <w:rPr>
          <w:i/>
        </w:rPr>
        <w:t>(Rapport 2001/02:12)</w:t>
      </w:r>
      <w:r w:rsidRPr="00AD33E8">
        <w:t>. Syftet med rapporten var att granska genomförande och förverkligande av det personalpolitiska beslut som riksdagen fattade 1985.</w:t>
      </w:r>
    </w:p>
    <w:p w:rsidR="007B7A21" w:rsidRPr="00AD33E8" w:rsidRDefault="007B7A21">
      <w:pPr>
        <w:pStyle w:val="Normaltindrag"/>
      </w:pPr>
      <w:r w:rsidRPr="00AD33E8">
        <w:t xml:space="preserve"> Undersökningen har genomförts i fyra delar. Statens personalpolitiska principers utveckling och reglering har kartlagts i ett drygt 15-årigt perspe</w:t>
      </w:r>
      <w:r w:rsidRPr="00AD33E8">
        <w:t>k</w:t>
      </w:r>
      <w:r w:rsidRPr="00AD33E8">
        <w:t>tiv. Utfallet av statens personalpolitik, som den kan redovisas med nyckeltal eller statistik, har följts och ana</w:t>
      </w:r>
      <w:r w:rsidRPr="00AD33E8">
        <w:softHyphen/>
        <w:t>ly</w:t>
      </w:r>
      <w:r w:rsidRPr="00AD33E8">
        <w:softHyphen/>
        <w:t>se</w:t>
      </w:r>
      <w:r w:rsidRPr="00AD33E8">
        <w:softHyphen/>
        <w:t>rats. Slutsatserna i olika utredningar som handlar om personalpolitik, organisation och ekonomi</w:t>
      </w:r>
      <w:r w:rsidRPr="00AD33E8">
        <w:softHyphen/>
        <w:t>administra</w:t>
      </w:r>
      <w:r w:rsidRPr="00AD33E8">
        <w:softHyphen/>
        <w:t>tion samt förvaltningspolitik har studerats. Fallstudier har genomförts inom Arbet</w:t>
      </w:r>
      <w:r w:rsidRPr="00AD33E8">
        <w:t>s</w:t>
      </w:r>
      <w:r w:rsidRPr="00AD33E8">
        <w:t>marknadsverket, polisen, skatteförvaltningen och de allmänna försäkring</w:t>
      </w:r>
      <w:r w:rsidRPr="00AD33E8">
        <w:t>s</w:t>
      </w:r>
      <w:r w:rsidRPr="00AD33E8">
        <w:t>kasso</w:t>
      </w:r>
      <w:r w:rsidRPr="00AD33E8">
        <w:t>r</w:t>
      </w:r>
      <w:r w:rsidRPr="00AD33E8">
        <w:t xml:space="preserve">na. </w:t>
      </w:r>
    </w:p>
    <w:p w:rsidR="007B7A21" w:rsidRPr="00AD33E8" w:rsidRDefault="007B7A21">
      <w:pPr>
        <w:pStyle w:val="Normaltindrag"/>
      </w:pPr>
      <w:r w:rsidRPr="00AD33E8">
        <w:t>Utgångspunkt för granskningen är de grundläggande bestämmelserna i r</w:t>
      </w:r>
      <w:r w:rsidRPr="00AD33E8">
        <w:t>e</w:t>
      </w:r>
      <w:r w:rsidRPr="00AD33E8">
        <w:t>geringsformens första kapitel om det svenska statsskickets grunder. Den offentliga makten utövas under lagarna, vilka stiftas av riksdagen som också bestämmer hur statens medel ska användas. Förvaltningsmyndigheter som fullgör uppgifter inom den offentliga förvaltningen ska iaktta saklighet och opartis</w:t>
      </w:r>
      <w:r w:rsidRPr="00AD33E8">
        <w:t>k</w:t>
      </w:r>
      <w:r w:rsidRPr="00AD33E8">
        <w:t>het och  riksdagen ska granska rikets styrelse och förvaltning.</w:t>
      </w:r>
    </w:p>
    <w:p w:rsidR="007B7A21" w:rsidRPr="00AD33E8" w:rsidRDefault="007B7A21">
      <w:pPr>
        <w:pStyle w:val="Normaltindrag"/>
        <w:rPr>
          <w:snapToGrid w:val="0"/>
        </w:rPr>
      </w:pPr>
      <w:r w:rsidRPr="00AD33E8">
        <w:rPr>
          <w:snapToGrid w:val="0"/>
        </w:rPr>
        <w:t>Personalpolitik är ett vitt begrepp. En beskrivning av begreppet som a</w:t>
      </w:r>
      <w:r w:rsidRPr="00AD33E8">
        <w:rPr>
          <w:snapToGrid w:val="0"/>
        </w:rPr>
        <w:t>n</w:t>
      </w:r>
      <w:r w:rsidRPr="00AD33E8">
        <w:rPr>
          <w:snapToGrid w:val="0"/>
        </w:rPr>
        <w:t>vänts i rapporten är: ”Perso</w:t>
      </w:r>
      <w:r w:rsidRPr="00AD33E8">
        <w:rPr>
          <w:snapToGrid w:val="0"/>
        </w:rPr>
        <w:softHyphen/>
        <w:t>nalpolitik i staten är värderingar, normer eller åtgärder som syftar till att rekrytera, leda, behålla, utveckla och avveckla statliga tjänstemän så att riksdagens beslut kan genomföras så bra som mö</w:t>
      </w:r>
      <w:r w:rsidRPr="00AD33E8">
        <w:rPr>
          <w:snapToGrid w:val="0"/>
        </w:rPr>
        <w:t>j</w:t>
      </w:r>
      <w:r w:rsidRPr="00AD33E8">
        <w:rPr>
          <w:snapToGrid w:val="0"/>
        </w:rPr>
        <w:t>ligt samt att relationerna mellan de anställda och den statliga arbetsgivaren regleras och hålls tydliga.”</w:t>
      </w:r>
    </w:p>
    <w:p w:rsidR="007B7A21" w:rsidRPr="00AD33E8" w:rsidRDefault="007B7A21">
      <w:pPr>
        <w:pStyle w:val="Normaltindrag"/>
      </w:pPr>
      <w:r w:rsidRPr="00AD33E8">
        <w:t>Frågan om statens personalpolitik har bidragit till den offentliga sektorns effektivisering kan inte entydigt besvaras enligt rapporten. Uppföljningar som kan ge rätt</w:t>
      </w:r>
      <w:r w:rsidRPr="00AD33E8">
        <w:softHyphen/>
        <w:t>visan</w:t>
      </w:r>
      <w:r w:rsidRPr="00AD33E8">
        <w:softHyphen/>
        <w:t>de bilder av den statliga förvaltningens resultat saknas fortfarande. De indikatorer som revisorerna studerat ger delvis motsägels</w:t>
      </w:r>
      <w:r w:rsidRPr="00AD33E8">
        <w:t>e</w:t>
      </w:r>
      <w:r w:rsidRPr="00AD33E8">
        <w:t>fulla intryck. Möjligheter till förenklade förvaltningsprocesser har utnyttjas på många håll. Genomloppstider har kortats, om än inte för alla ärendetyper eller verksam</w:t>
      </w:r>
      <w:r w:rsidRPr="00AD33E8">
        <w:softHyphen/>
        <w:t>heter. Samtidigt har genomgripande och kost</w:t>
      </w:r>
      <w:r w:rsidRPr="00AD33E8">
        <w:softHyphen/>
        <w:t>nads</w:t>
      </w:r>
      <w:r w:rsidRPr="00AD33E8">
        <w:softHyphen/>
        <w:t xml:space="preserve">krävande </w:t>
      </w:r>
      <w:r w:rsidRPr="00AD33E8">
        <w:lastRenderedPageBreak/>
        <w:t>omorganisationer genomförts, med osäkra eller ibland negativa resultat som ibland krävt nya korrigerande omorganisationer. Nya arbetsmetoder och de</w:t>
      </w:r>
      <w:r w:rsidRPr="00AD33E8">
        <w:t>n tekniska utveck</w:t>
      </w:r>
      <w:r w:rsidRPr="00AD33E8">
        <w:softHyphen/>
        <w:t>lingen har gett förutsättningar för effektivare arbete och ökad kval</w:t>
      </w:r>
      <w:r w:rsidRPr="00AD33E8">
        <w:t>i</w:t>
      </w:r>
      <w:r w:rsidRPr="00AD33E8">
        <w:t>tet i form av t.ex. ökad tillgänglighet.</w:t>
      </w:r>
    </w:p>
    <w:p w:rsidR="007B7A21" w:rsidRPr="00AD33E8" w:rsidRDefault="007B7A21">
      <w:pPr>
        <w:pStyle w:val="Normaltindrag"/>
      </w:pPr>
      <w:r w:rsidRPr="00AD33E8">
        <w:t>Den fulla potentialen har på grund av bl.a. minskad bemanning eller olika fördröjningar ännu inte kunnat tas till vara enligt rapporten. Uppgifter tyder på att resultatutvecklingen, för såväl verk</w:t>
      </w:r>
      <w:r w:rsidRPr="00AD33E8">
        <w:softHyphen/>
        <w:t>sam</w:t>
      </w:r>
      <w:r w:rsidRPr="00AD33E8">
        <w:softHyphen/>
        <w:t>heternas prestationer som mä</w:t>
      </w:r>
      <w:r w:rsidRPr="00AD33E8">
        <w:t>t</w:t>
      </w:r>
      <w:r w:rsidRPr="00AD33E8">
        <w:t>bara effekter, var negativ under några år vid mitten av 1990-talet. Det finns också motsatta bedömningar där tjänstemän vittnar om stolthet över att ha bidragit till att hålla verksamheten på en acceptabel nivå. En ökad frekvens av sjukskrivningar har, åtminstone till viss del, kopplats till ökad arbetsb</w:t>
      </w:r>
      <w:r w:rsidRPr="00AD33E8">
        <w:t>e</w:t>
      </w:r>
      <w:r w:rsidRPr="00AD33E8">
        <w:t>lastning till följd av minskad bema</w:t>
      </w:r>
      <w:r w:rsidRPr="00AD33E8">
        <w:t>n</w:t>
      </w:r>
      <w:r w:rsidRPr="00AD33E8">
        <w:t>ning.</w:t>
      </w:r>
    </w:p>
    <w:p w:rsidR="007B7A21" w:rsidRPr="00AD33E8" w:rsidRDefault="007B7A21">
      <w:pPr>
        <w:pStyle w:val="Normaltindrag"/>
      </w:pPr>
      <w:r w:rsidRPr="00AD33E8">
        <w:t xml:space="preserve"> I rapporten konstateras att uppföljningen inom personalpolitiken hittills haft en schablon</w:t>
      </w:r>
      <w:r w:rsidRPr="00AD33E8">
        <w:softHyphen/>
        <w:t>mäs</w:t>
      </w:r>
      <w:r w:rsidRPr="00AD33E8">
        <w:softHyphen/>
        <w:t>sig inriktning. Den har varit inriktad på kvantitativa nyckeltal och statistik, t.ex. om personalrörlighet, produktivitet, arbetstid</w:t>
      </w:r>
      <w:r w:rsidRPr="00AD33E8">
        <w:t>s</w:t>
      </w:r>
      <w:r w:rsidRPr="00AD33E8">
        <w:t>planering, där bakomliggande för</w:t>
      </w:r>
      <w:r w:rsidRPr="00AD33E8">
        <w:softHyphen/>
        <w:t>kla</w:t>
      </w:r>
      <w:r w:rsidRPr="00AD33E8">
        <w:softHyphen/>
        <w:t>ringar vare sig fått tillräckligt utrymme eller analys. Därtill görs regeringens arbetsgivarpolitiska uppföljning i sä</w:t>
      </w:r>
      <w:r w:rsidRPr="00AD33E8">
        <w:t>r</w:t>
      </w:r>
      <w:r w:rsidRPr="00AD33E8">
        <w:t>skild ordning, skild från myndigheternas övriga verksamhets- och resultatr</w:t>
      </w:r>
      <w:r w:rsidRPr="00AD33E8">
        <w:t>e</w:t>
      </w:r>
      <w:r w:rsidRPr="00AD33E8">
        <w:t>dovisning. Uppföljningen har också schablonmässigt utgått från att den a</w:t>
      </w:r>
      <w:r w:rsidRPr="00AD33E8">
        <w:t>r</w:t>
      </w:r>
      <w:r w:rsidRPr="00AD33E8">
        <w:t>betsgivarpolitiska delege</w:t>
      </w:r>
      <w:r w:rsidRPr="00AD33E8">
        <w:softHyphen/>
        <w:t>ringen inneburit att enskilda inslag i myndi</w:t>
      </w:r>
      <w:r w:rsidRPr="00AD33E8">
        <w:t>gheternas personalpolitik inte behöver omfattas av riksdagens, i regeringsformen a</w:t>
      </w:r>
      <w:r w:rsidRPr="00AD33E8">
        <w:t>n</w:t>
      </w:r>
      <w:r w:rsidRPr="00AD33E8">
        <w:t>givna, gransknings</w:t>
      </w:r>
      <w:r w:rsidRPr="00AD33E8">
        <w:softHyphen/>
        <w:t>an</w:t>
      </w:r>
      <w:r w:rsidRPr="00AD33E8">
        <w:softHyphen/>
        <w:t>svar. Vid personalpolitikens praktiska tillämpning sa</w:t>
      </w:r>
      <w:r w:rsidRPr="00AD33E8">
        <w:t>k</w:t>
      </w:r>
      <w:r w:rsidRPr="00AD33E8">
        <w:t>nas i flera fall tydl</w:t>
      </w:r>
      <w:r w:rsidRPr="00AD33E8">
        <w:softHyphen/>
        <w:t>iga motive</w:t>
      </w:r>
      <w:r w:rsidRPr="00AD33E8">
        <w:softHyphen/>
        <w:t>ringar för viktiga beslut.</w:t>
      </w:r>
    </w:p>
    <w:p w:rsidR="007B7A21" w:rsidRPr="00AD33E8" w:rsidRDefault="007B7A21">
      <w:pPr>
        <w:pStyle w:val="Normaltindrag"/>
        <w:rPr>
          <w:snapToGrid w:val="0"/>
        </w:rPr>
      </w:pPr>
      <w:r w:rsidRPr="00AD33E8">
        <w:rPr>
          <w:snapToGrid w:val="0"/>
        </w:rPr>
        <w:t xml:space="preserve"> Revisorerna anser i rapporten att regeringen bör förtydliga den statliga per</w:t>
      </w:r>
      <w:r w:rsidRPr="00AD33E8">
        <w:rPr>
          <w:snapToGrid w:val="0"/>
        </w:rPr>
        <w:softHyphen/>
        <w:t>so</w:t>
      </w:r>
      <w:r w:rsidRPr="00AD33E8">
        <w:rPr>
          <w:snapToGrid w:val="0"/>
        </w:rPr>
        <w:softHyphen/>
        <w:t>nal</w:t>
      </w:r>
      <w:r w:rsidRPr="00AD33E8">
        <w:rPr>
          <w:snapToGrid w:val="0"/>
        </w:rPr>
        <w:softHyphen/>
        <w:t>politikens innehåll. I granskningen delas personalpolitiken in i två kate</w:t>
      </w:r>
      <w:r w:rsidRPr="00AD33E8">
        <w:rPr>
          <w:snapToGrid w:val="0"/>
        </w:rPr>
        <w:softHyphen/>
        <w:t>gorier – arbet</w:t>
      </w:r>
      <w:r w:rsidRPr="00AD33E8">
        <w:rPr>
          <w:snapToGrid w:val="0"/>
        </w:rPr>
        <w:softHyphen/>
        <w:t>s</w:t>
      </w:r>
      <w:r w:rsidRPr="00AD33E8">
        <w:rPr>
          <w:snapToGrid w:val="0"/>
        </w:rPr>
        <w:softHyphen/>
      </w:r>
      <w:r w:rsidRPr="00AD33E8">
        <w:rPr>
          <w:snapToGrid w:val="0"/>
        </w:rPr>
        <w:softHyphen/>
        <w:t>ledningspolitik och arbetsgivarpolitik. Dessa två kategor</w:t>
      </w:r>
      <w:r w:rsidRPr="00AD33E8">
        <w:rPr>
          <w:snapToGrid w:val="0"/>
        </w:rPr>
        <w:t>i</w:t>
      </w:r>
      <w:r w:rsidRPr="00AD33E8">
        <w:rPr>
          <w:snapToGrid w:val="0"/>
        </w:rPr>
        <w:t>er kan även ses i ett externt och ett internt perspektiv. Arbets</w:t>
      </w:r>
      <w:r w:rsidRPr="00AD33E8">
        <w:rPr>
          <w:snapToGrid w:val="0"/>
        </w:rPr>
        <w:softHyphen/>
        <w:t>ledning gäller frågor om hur medborgarna ska få en statlig tjänst utförd på bästa sätt. A</w:t>
      </w:r>
      <w:r w:rsidRPr="00AD33E8">
        <w:rPr>
          <w:snapToGrid w:val="0"/>
        </w:rPr>
        <w:t>r</w:t>
      </w:r>
      <w:r w:rsidRPr="00AD33E8">
        <w:rPr>
          <w:snapToGrid w:val="0"/>
        </w:rPr>
        <w:t>betsgivarfrågor rör interna relationer i den statliga förvaltnin</w:t>
      </w:r>
      <w:r w:rsidRPr="00AD33E8">
        <w:rPr>
          <w:snapToGrid w:val="0"/>
        </w:rPr>
        <w:t>g</w:t>
      </w:r>
      <w:r w:rsidRPr="00AD33E8">
        <w:rPr>
          <w:snapToGrid w:val="0"/>
        </w:rPr>
        <w:t>en.</w:t>
      </w:r>
    </w:p>
    <w:p w:rsidR="007B7A21" w:rsidRPr="00AD33E8" w:rsidRDefault="007B7A21">
      <w:pPr>
        <w:pStyle w:val="Normaltindrag"/>
        <w:rPr>
          <w:snapToGrid w:val="0"/>
        </w:rPr>
      </w:pPr>
      <w:r w:rsidRPr="00AD33E8">
        <w:rPr>
          <w:snapToGrid w:val="0"/>
        </w:rPr>
        <w:t>Enligt rapporten har den arbetsgivarpolitiska delegeringen varit en viktig förutsättning för den statliga personal</w:t>
      </w:r>
      <w:r w:rsidRPr="00AD33E8">
        <w:rPr>
          <w:snapToGrid w:val="0"/>
        </w:rPr>
        <w:softHyphen/>
        <w:t>politiken och den statliga verksamh</w:t>
      </w:r>
      <w:r w:rsidRPr="00AD33E8">
        <w:rPr>
          <w:snapToGrid w:val="0"/>
        </w:rPr>
        <w:t>e</w:t>
      </w:r>
      <w:r w:rsidRPr="00AD33E8">
        <w:rPr>
          <w:snapToGrid w:val="0"/>
        </w:rPr>
        <w:t>tens förnyelse. Den arbetsgivarpolitiska delege</w:t>
      </w:r>
      <w:r w:rsidRPr="00AD33E8">
        <w:rPr>
          <w:snapToGrid w:val="0"/>
        </w:rPr>
        <w:softHyphen/>
        <w:t xml:space="preserve">ringen bör enligt revisorerna fortsätta att utvecklas men dess innebörd behöver samtidigt preciseras. </w:t>
      </w:r>
      <w:r w:rsidRPr="00AD33E8">
        <w:t>Rev</w:t>
      </w:r>
      <w:r w:rsidRPr="00AD33E8">
        <w:t>i</w:t>
      </w:r>
      <w:r w:rsidRPr="00AD33E8">
        <w:t xml:space="preserve">sorerna anser samtidigt att </w:t>
      </w:r>
      <w:r w:rsidRPr="00AD33E8">
        <w:rPr>
          <w:snapToGrid w:val="0"/>
        </w:rPr>
        <w:t>en personalpolitik i staten som i alltför hög grad inriktas på arbets</w:t>
      </w:r>
      <w:r w:rsidRPr="00AD33E8">
        <w:rPr>
          <w:snapToGrid w:val="0"/>
        </w:rPr>
        <w:softHyphen/>
        <w:t>givar</w:t>
      </w:r>
      <w:r w:rsidRPr="00AD33E8">
        <w:rPr>
          <w:snapToGrid w:val="0"/>
        </w:rPr>
        <w:softHyphen/>
        <w:t>rollen bortser från andra centrala delar av personalp</w:t>
      </w:r>
      <w:r w:rsidRPr="00AD33E8">
        <w:rPr>
          <w:snapToGrid w:val="0"/>
        </w:rPr>
        <w:t>o</w:t>
      </w:r>
      <w:r w:rsidRPr="00AD33E8">
        <w:rPr>
          <w:snapToGrid w:val="0"/>
        </w:rPr>
        <w:t>litiken.</w:t>
      </w:r>
    </w:p>
    <w:p w:rsidR="007B7A21" w:rsidRPr="00AD33E8" w:rsidRDefault="007B7A21">
      <w:pPr>
        <w:pStyle w:val="Normaltindrag"/>
      </w:pPr>
      <w:r w:rsidRPr="00AD33E8">
        <w:t>Granskningen visar att det finns brister i det statliga chefskapet. Det är fr</w:t>
      </w:r>
      <w:r w:rsidRPr="00AD33E8">
        <w:t>å</w:t>
      </w:r>
      <w:r w:rsidRPr="00AD33E8">
        <w:t>ga om brister i tydlighet, saklighet och lyhördhet. Tydligheten är enligt rev</w:t>
      </w:r>
      <w:r w:rsidRPr="00AD33E8">
        <w:t>i</w:t>
      </w:r>
      <w:r w:rsidRPr="00AD33E8">
        <w:t>sorernas mening viktig. Revisorernas bedömning är att både personalpoliti</w:t>
      </w:r>
      <w:r w:rsidRPr="00AD33E8">
        <w:t>s</w:t>
      </w:r>
      <w:r w:rsidRPr="00AD33E8">
        <w:t>ka program och existerande regelverk väl uttrycker värdet av tydlighet, sa</w:t>
      </w:r>
      <w:r w:rsidRPr="00AD33E8">
        <w:t>k</w:t>
      </w:r>
      <w:r w:rsidRPr="00AD33E8">
        <w:t>lighet eller lyhördhet. Det är vid efterlevnaden av ifråga</w:t>
      </w:r>
      <w:r w:rsidRPr="00AD33E8">
        <w:softHyphen/>
        <w:t>varande bestämme</w:t>
      </w:r>
      <w:r w:rsidRPr="00AD33E8">
        <w:t>l</w:t>
      </w:r>
      <w:r w:rsidRPr="00AD33E8">
        <w:t>ser i regeringsformen och verksförord</w:t>
      </w:r>
      <w:r w:rsidRPr="00AD33E8">
        <w:softHyphen/>
        <w:t xml:space="preserve">ningen som det i flera fall brister enligt rapporten. </w:t>
      </w:r>
    </w:p>
    <w:p w:rsidR="007B7A21" w:rsidRPr="00AD33E8" w:rsidRDefault="007B7A21">
      <w:pPr>
        <w:pStyle w:val="Normaltindrag"/>
      </w:pPr>
      <w:r w:rsidRPr="00AD33E8">
        <w:t>Resultatet av granskningen har redovisats i rapporten Statens personalp</w:t>
      </w:r>
      <w:r w:rsidRPr="00AD33E8">
        <w:t>o</w:t>
      </w:r>
      <w:r w:rsidRPr="00AD33E8">
        <w:t>litik (Rapport 2001/02:12). Rapporten finns som bilaga 1 till denna skrivelse.</w:t>
      </w:r>
    </w:p>
    <w:p w:rsidR="007B7A21" w:rsidRPr="00AD33E8" w:rsidRDefault="007B7A21">
      <w:pPr>
        <w:pStyle w:val="Normaltindrag"/>
      </w:pPr>
      <w:r w:rsidRPr="00AD33E8">
        <w:t>Rapporten har remissbehandlats. Följande 23 remissinstanser har yttrat sig över rapporten: Rikspolisstyrelsen, Polismyndigheten i Uppsala län, Poli</w:t>
      </w:r>
      <w:r w:rsidRPr="00AD33E8">
        <w:t>s</w:t>
      </w:r>
      <w:r w:rsidRPr="00AD33E8">
        <w:t>myndigheten i Örebro län, Statskontoret, Statistiska centralbyrån, Statens kvalitets- och kompetensråd, Styrelsen för internationellt utvecklingssama</w:t>
      </w:r>
      <w:r w:rsidRPr="00AD33E8">
        <w:t>r</w:t>
      </w:r>
      <w:r w:rsidRPr="00AD33E8">
        <w:t>bete (Sida), Riksförsäkringsverket, Försäkringskassan i Dalarnas län, Försä</w:t>
      </w:r>
      <w:r w:rsidRPr="00AD33E8">
        <w:t>k</w:t>
      </w:r>
      <w:r w:rsidRPr="00AD33E8">
        <w:t>ringskassan i Uppsala län, Försäkringskasseförbundet, Handikappombud</w:t>
      </w:r>
      <w:r w:rsidRPr="00AD33E8">
        <w:t>s</w:t>
      </w:r>
      <w:r w:rsidRPr="00AD33E8">
        <w:t>mannen, Finansinspektionen, Ekonomistyrningsverket, Riksskatteverket, Skattemyndigheten i Västeråsregionen, Skattemyndigheten i Västra Göt</w:t>
      </w:r>
      <w:r w:rsidRPr="00AD33E8">
        <w:t>a</w:t>
      </w:r>
      <w:r w:rsidRPr="00AD33E8">
        <w:t>land, Arbetsgivarverket, AMS, Länsarbetsnämnden i Västmanlands län</w:t>
      </w:r>
      <w:r w:rsidRPr="00AD33E8">
        <w:rPr>
          <w:b/>
        </w:rPr>
        <w:t>,</w:t>
      </w:r>
      <w:r w:rsidRPr="00AD33E8">
        <w:t xml:space="preserve"> Arbet</w:t>
      </w:r>
      <w:r w:rsidRPr="00AD33E8">
        <w:t>s</w:t>
      </w:r>
      <w:r w:rsidRPr="00AD33E8">
        <w:t>mil</w:t>
      </w:r>
      <w:r w:rsidRPr="00AD33E8">
        <w:t xml:space="preserve">jöverket, SACO-S och Statstjänstemannaförbundet. </w:t>
      </w:r>
    </w:p>
    <w:p w:rsidR="007B7A21" w:rsidRPr="00AD33E8" w:rsidRDefault="007B7A21">
      <w:pPr>
        <w:pStyle w:val="Normaltindrag"/>
      </w:pPr>
      <w:r w:rsidRPr="00AD33E8">
        <w:t>I avsnitt 2 redovisas en sammanfattning av remissinstansernas synpunkter på revisorernas förslag och revisorernas överväganden med anledning av dessa. I avsnitt 3 redovisas revisorernas förslag.</w:t>
      </w:r>
    </w:p>
    <w:p w:rsidR="007B7A21" w:rsidRPr="00AD33E8" w:rsidRDefault="007B7A21">
      <w:pPr>
        <w:pStyle w:val="Rubrik1"/>
      </w:pPr>
      <w:bookmarkStart w:id="4" w:name="_Toc18376968"/>
      <w:bookmarkStart w:id="5" w:name="_Toc21425231"/>
      <w:r w:rsidRPr="00AD33E8">
        <w:t>Remissinstansernas synpunkter och revisorernas överväganden</w:t>
      </w:r>
      <w:bookmarkEnd w:id="4"/>
      <w:bookmarkEnd w:id="5"/>
    </w:p>
    <w:p w:rsidR="007B7A21" w:rsidRPr="00AD33E8" w:rsidRDefault="007B7A21">
      <w:r w:rsidRPr="00AD33E8">
        <w:t>I det följande återges en sammanfattning av revisorernas iakttagelser från rapporten och vad remissinstanserna anfört i motsvarande delar samt revis</w:t>
      </w:r>
      <w:r w:rsidRPr="00AD33E8">
        <w:t>o</w:t>
      </w:r>
      <w:r w:rsidRPr="00AD33E8">
        <w:t>rernas överväganden och förslag. Dessa senare grundar sig på det samlade resultatet av rapporten och remissbehandlingen. Remissinstansernas sy</w:t>
      </w:r>
      <w:r w:rsidRPr="00AD33E8">
        <w:t>n</w:t>
      </w:r>
      <w:r w:rsidRPr="00AD33E8">
        <w:t>punkter är relativt utförligt återgivna eftersom någon särskild remissamma</w:t>
      </w:r>
      <w:r w:rsidRPr="00AD33E8">
        <w:t>n</w:t>
      </w:r>
      <w:r w:rsidRPr="00AD33E8">
        <w:t>stäl</w:t>
      </w:r>
      <w:r w:rsidRPr="00AD33E8">
        <w:t>l</w:t>
      </w:r>
      <w:r w:rsidRPr="00AD33E8">
        <w:t>ning inte bifogas.</w:t>
      </w:r>
    </w:p>
    <w:p w:rsidR="007B7A21" w:rsidRPr="00AD33E8" w:rsidRDefault="007B7A21">
      <w:pPr>
        <w:pStyle w:val="Rubrik2"/>
      </w:pPr>
      <w:bookmarkStart w:id="6" w:name="_Toc18376969"/>
      <w:bookmarkStart w:id="7" w:name="_Toc21425232"/>
      <w:r w:rsidRPr="00AD33E8">
        <w:t>Utgångspunkter och allmänna synpunkter</w:t>
      </w:r>
      <w:bookmarkEnd w:id="6"/>
      <w:bookmarkEnd w:id="7"/>
    </w:p>
    <w:p w:rsidR="007B7A21" w:rsidRPr="00AD33E8" w:rsidRDefault="007B7A21">
      <w:pPr>
        <w:pStyle w:val="RubrikUtanNr3"/>
        <w:spacing w:before="123"/>
      </w:pPr>
      <w:bookmarkStart w:id="8" w:name="_Toc18376970"/>
      <w:bookmarkStart w:id="9" w:name="_Toc21420413"/>
      <w:bookmarkStart w:id="10" w:name="_Toc21425233"/>
      <w:r w:rsidRPr="00AD33E8">
        <w:t>Rapporten</w:t>
      </w:r>
      <w:bookmarkEnd w:id="8"/>
      <w:bookmarkEnd w:id="9"/>
      <w:bookmarkEnd w:id="10"/>
    </w:p>
    <w:p w:rsidR="007B7A21" w:rsidRPr="00AD33E8" w:rsidRDefault="007B7A21">
      <w:r w:rsidRPr="00AD33E8">
        <w:t xml:space="preserve">Rapporten tar sin </w:t>
      </w:r>
      <w:r w:rsidRPr="00AD33E8">
        <w:rPr>
          <w:i/>
        </w:rPr>
        <w:t>första utgångspunkt</w:t>
      </w:r>
      <w:r w:rsidRPr="00AD33E8">
        <w:t xml:space="preserve"> i riksdagens grundläggande beslut i 1974 års regeringsform. Redan i den inledande paragrafen i första kapitlet finns en bestämmelse med betydelse för samtliga anställda i statens tjänst: ”Den offentliga makten utövas under lagarna.” Här visas hur statstjänst</w:t>
      </w:r>
      <w:r w:rsidRPr="00AD33E8">
        <w:t>e</w:t>
      </w:r>
      <w:r w:rsidRPr="00AD33E8">
        <w:t>männens arbetsuppgifter bestäms, genom lag. Fortsatt och närmare reglering och vägledning ges i förordningar, instruktioner eller regl</w:t>
      </w:r>
      <w:r w:rsidRPr="00AD33E8">
        <w:t>e</w:t>
      </w:r>
      <w:r w:rsidRPr="00AD33E8">
        <w:t>ringsbrev.</w:t>
      </w:r>
    </w:p>
    <w:p w:rsidR="007B7A21" w:rsidRPr="00AD33E8" w:rsidRDefault="007B7A21">
      <w:pPr>
        <w:pStyle w:val="Normaltindrag"/>
      </w:pPr>
      <w:r w:rsidRPr="00AD33E8">
        <w:t>I regeringsformens första kapitel finns också regler om hur den statliga personalens ar</w:t>
      </w:r>
      <w:r w:rsidRPr="00AD33E8">
        <w:t>bete ska bedrivas. De som utför uppgifter inom den offentliga förvaltningen ska i sin verksamhet iaktta saklighet och opartiskhet (RF 1 kap. 9 §).</w:t>
      </w:r>
    </w:p>
    <w:p w:rsidR="007B7A21" w:rsidRPr="00AD33E8" w:rsidRDefault="007B7A21">
      <w:pPr>
        <w:pStyle w:val="Normaltindrag"/>
      </w:pPr>
      <w:r w:rsidRPr="00AD33E8">
        <w:t>I elfte kapitlet i regeringsformen behandlas bl.a. den statliga förvaltningen. Där finns regeln om självständighet i ärendehandläggningen. I 7 § stadgas att ingen myndighet, ej heller riksdagen eller kommuns beslutande organ, får bestämma hur förvaltningsmyndighet ska i särskilt fall besluta i ärende som rör myn</w:t>
      </w:r>
      <w:r w:rsidRPr="00AD33E8">
        <w:softHyphen/>
        <w:t>dighets</w:t>
      </w:r>
      <w:r w:rsidRPr="00AD33E8">
        <w:softHyphen/>
        <w:t>ut</w:t>
      </w:r>
      <w:r w:rsidRPr="00AD33E8">
        <w:softHyphen/>
        <w:t>öv</w:t>
      </w:r>
      <w:r w:rsidRPr="00AD33E8">
        <w:softHyphen/>
        <w:t>ning mot enskild eller mot kommun eller som rör ti</w:t>
      </w:r>
      <w:r w:rsidRPr="00AD33E8">
        <w:t>l</w:t>
      </w:r>
      <w:r w:rsidRPr="00AD33E8">
        <w:t xml:space="preserve">lämpning av lag. </w:t>
      </w:r>
    </w:p>
    <w:p w:rsidR="007B7A21" w:rsidRPr="00AD33E8" w:rsidRDefault="007B7A21">
      <w:pPr>
        <w:pStyle w:val="Normaltindrag"/>
      </w:pPr>
      <w:r w:rsidRPr="00AD33E8">
        <w:t>I elfte kapitlet finns även de mer direkta personalpolitiskt riktade bestä</w:t>
      </w:r>
      <w:r w:rsidRPr="00AD33E8">
        <w:t>m</w:t>
      </w:r>
      <w:r w:rsidRPr="00AD33E8">
        <w:t>melserna om tillsättning av statlig tjänst. Det ska ske på sakliga grunder, dvs. förtjänst och skicklighet. Beslut om till</w:t>
      </w:r>
      <w:r w:rsidRPr="00AD33E8">
        <w:softHyphen/>
        <w:t>sätt</w:t>
      </w:r>
      <w:r w:rsidRPr="00AD33E8">
        <w:softHyphen/>
        <w:t>ning av tjänst vid förvaltnings</w:t>
      </w:r>
      <w:r w:rsidRPr="00AD33E8">
        <w:softHyphen/>
        <w:t>myndighet som lyder under regeringen tas av regeringen eller av myndighet som regeringen bestämmer (RF 11 kap. 9 §). Denna bestämmelse återko</w:t>
      </w:r>
      <w:r w:rsidRPr="00AD33E8">
        <w:t>m</w:t>
      </w:r>
      <w:r w:rsidRPr="00AD33E8">
        <w:t>mer sedan i lagen (1994:260) om offentlig a</w:t>
      </w:r>
      <w:r w:rsidRPr="00AD33E8">
        <w:t>n</w:t>
      </w:r>
      <w:r w:rsidRPr="00AD33E8">
        <w:t>ställning.</w:t>
      </w:r>
    </w:p>
    <w:p w:rsidR="007B7A21" w:rsidRPr="00AD33E8" w:rsidRDefault="007B7A21">
      <w:pPr>
        <w:pStyle w:val="Normaltindrag"/>
      </w:pPr>
      <w:r w:rsidRPr="00AD33E8">
        <w:t xml:space="preserve">Den </w:t>
      </w:r>
      <w:r w:rsidRPr="00AD33E8">
        <w:rPr>
          <w:i/>
        </w:rPr>
        <w:t>andra utgångspunkten</w:t>
      </w:r>
      <w:r w:rsidRPr="00AD33E8">
        <w:t xml:space="preserve"> för rapporten är en analys av de personalpol</w:t>
      </w:r>
      <w:r w:rsidRPr="00AD33E8">
        <w:t>i</w:t>
      </w:r>
      <w:r w:rsidRPr="00AD33E8">
        <w:t>tiska reformerna sedan 1985. I rapporten konstaterade revisorerna att pers</w:t>
      </w:r>
      <w:r w:rsidRPr="00AD33E8">
        <w:t>o</w:t>
      </w:r>
      <w:r w:rsidRPr="00AD33E8">
        <w:t>nalpolitiken i staten, inom ramen för den förvaltningspolitiska förnyelsen och effektiviseringen, kännetecknats av avreglering, decentralisering och fören</w:t>
      </w:r>
      <w:r w:rsidRPr="00AD33E8">
        <w:t>k</w:t>
      </w:r>
      <w:r w:rsidRPr="00AD33E8">
        <w:t>ling. I och med införandet av resultatstyrning i slutet av 1980-talet blev b</w:t>
      </w:r>
      <w:r w:rsidRPr="00AD33E8">
        <w:t>e</w:t>
      </w:r>
      <w:r w:rsidRPr="00AD33E8">
        <w:t>grepp som delegerat arbetsgivaransvar och uppföljning centrala för den sta</w:t>
      </w:r>
      <w:r w:rsidRPr="00AD33E8">
        <w:t>t</w:t>
      </w:r>
      <w:r w:rsidRPr="00AD33E8">
        <w:t>liga personalpolitiken och för myndigheterna. År 1994 togs ordet</w:t>
      </w:r>
      <w:r w:rsidRPr="00AD33E8">
        <w:t xml:space="preserve"> ”tjänst” bort ur lagen om offentlig anställning och ersattes med ”anställning”. En viktig reform var inrättandet 1994 av Statens arbetsgivarverk. Verksföror</w:t>
      </w:r>
      <w:r w:rsidRPr="00AD33E8">
        <w:t>d</w:t>
      </w:r>
      <w:r w:rsidRPr="00AD33E8">
        <w:t>ningen ändrades 1995 där begreppet personalpolitik ersattes med arbetsg</w:t>
      </w:r>
      <w:r w:rsidRPr="00AD33E8">
        <w:t>i</w:t>
      </w:r>
      <w:r w:rsidRPr="00AD33E8">
        <w:t>varpolitik. Revisorerna konstaterade sammanfattningsvis att arbetsgivarpol</w:t>
      </w:r>
      <w:r w:rsidRPr="00AD33E8">
        <w:t>i</w:t>
      </w:r>
      <w:r w:rsidRPr="00AD33E8">
        <w:t>tik blev huvudbeteckningen för den statliga personalpolit</w:t>
      </w:r>
      <w:r w:rsidRPr="00AD33E8">
        <w:t>i</w:t>
      </w:r>
      <w:r w:rsidRPr="00AD33E8">
        <w:t>ken.</w:t>
      </w:r>
    </w:p>
    <w:p w:rsidR="007B7A21" w:rsidRPr="00AD33E8" w:rsidRDefault="007B7A21">
      <w:pPr>
        <w:pStyle w:val="Normaltindrag"/>
      </w:pPr>
      <w:r w:rsidRPr="00AD33E8">
        <w:t xml:space="preserve">Slutligen, som </w:t>
      </w:r>
      <w:r w:rsidRPr="00AD33E8">
        <w:rPr>
          <w:i/>
        </w:rPr>
        <w:t>tredje utgångspunkt</w:t>
      </w:r>
      <w:r w:rsidRPr="00AD33E8">
        <w:t>, analyseras i rapporten  regeringens å</w:t>
      </w:r>
      <w:r w:rsidRPr="00AD33E8">
        <w:t>r</w:t>
      </w:r>
      <w:r w:rsidRPr="00AD33E8">
        <w:t>liga arbetsgivarpolitiska uppföljningar sedan 1997. Det finns enligt rapporten ett stort utbud av såväl statistik som data men mera systematisk upp</w:t>
      </w:r>
      <w:r w:rsidRPr="00AD33E8">
        <w:softHyphen/>
        <w:t>följning av kostnader eller nyckeltal, med fokus på statens personalpolitiska mål, är begränsad och av relativt sent datum. Vidare samordnas inte den arbetsgiva</w:t>
      </w:r>
      <w:r w:rsidRPr="00AD33E8">
        <w:t>r</w:t>
      </w:r>
      <w:r w:rsidRPr="00AD33E8">
        <w:t>politiska uppföljningen med myndigheternas årsredovisnin</w:t>
      </w:r>
      <w:r w:rsidRPr="00AD33E8">
        <w:t>g</w:t>
      </w:r>
      <w:r w:rsidRPr="00AD33E8">
        <w:t>ar.</w:t>
      </w:r>
    </w:p>
    <w:p w:rsidR="007B7A21" w:rsidRPr="00AD33E8" w:rsidRDefault="007B7A21">
      <w:pPr>
        <w:pStyle w:val="RubrikUtanNr3"/>
      </w:pPr>
      <w:bookmarkStart w:id="11" w:name="_Toc18376971"/>
      <w:bookmarkStart w:id="12" w:name="_Toc21420414"/>
      <w:bookmarkStart w:id="13" w:name="_Toc21425234"/>
      <w:r w:rsidRPr="00AD33E8">
        <w:t>Remissinstanserna</w:t>
      </w:r>
      <w:bookmarkEnd w:id="11"/>
      <w:bookmarkEnd w:id="12"/>
      <w:bookmarkEnd w:id="13"/>
    </w:p>
    <w:p w:rsidR="007B7A21" w:rsidRPr="00AD33E8" w:rsidRDefault="007B7A21">
      <w:pPr>
        <w:pStyle w:val="RubrikUtanNr3"/>
        <w:spacing w:before="123"/>
        <w:rPr>
          <w:b w:val="0"/>
          <w:i/>
        </w:rPr>
      </w:pPr>
      <w:bookmarkStart w:id="14" w:name="_Toc21420415"/>
      <w:bookmarkStart w:id="15" w:name="_Toc21425235"/>
      <w:r w:rsidRPr="00AD33E8">
        <w:rPr>
          <w:b w:val="0"/>
          <w:i/>
        </w:rPr>
        <w:t>Myndigheter som berördes av fallstudierna</w:t>
      </w:r>
      <w:bookmarkEnd w:id="14"/>
      <w:bookmarkEnd w:id="15"/>
    </w:p>
    <w:p w:rsidR="007B7A21" w:rsidRPr="00AD33E8" w:rsidRDefault="007B7A21">
      <w:r w:rsidRPr="00AD33E8">
        <w:rPr>
          <w:i/>
        </w:rPr>
        <w:t>Rikspolisstyrelsen (RPS)</w:t>
      </w:r>
      <w:r w:rsidRPr="00AD33E8">
        <w:t xml:space="preserve"> instämmer i stort med revisorernas överväganden och förslag men efterlyser en vision för statens personalpolitik och ett tydl</w:t>
      </w:r>
      <w:r w:rsidRPr="00AD33E8">
        <w:t>i</w:t>
      </w:r>
      <w:r w:rsidRPr="00AD33E8">
        <w:t>gare framtidsfokus. Man pekar på att olika policyprogram haft svårt att få genomslag och att dessa ibland kan uppfattas som alibi och inte som hjäl</w:t>
      </w:r>
      <w:r w:rsidRPr="00AD33E8">
        <w:t>p</w:t>
      </w:r>
      <w:r w:rsidRPr="00AD33E8">
        <w:t>medel i den statliga verksamheten. RPS anser att stöd för genomförande av olika personalpolitiska mål ofta saknas. Angående mål- och resultatstyrnin</w:t>
      </w:r>
      <w:r w:rsidRPr="00AD33E8">
        <w:t>g</w:t>
      </w:r>
      <w:r w:rsidRPr="00AD33E8">
        <w:t>en finns enligt RPS problem med att formulera och mäta mål för vissa ver</w:t>
      </w:r>
      <w:r w:rsidRPr="00AD33E8">
        <w:t>k</w:t>
      </w:r>
      <w:r w:rsidRPr="00AD33E8">
        <w:t>samheter samtid</w:t>
      </w:r>
      <w:r w:rsidRPr="00AD33E8">
        <w:t>igt som sambandet mellan de olika styrmodellerna och e</w:t>
      </w:r>
      <w:r w:rsidRPr="00AD33E8">
        <w:t>f</w:t>
      </w:r>
      <w:r w:rsidRPr="00AD33E8">
        <w:t xml:space="preserve">fektivitet och kvalitet är osäkert. </w:t>
      </w:r>
      <w:r w:rsidRPr="00AD33E8">
        <w:rPr>
          <w:i/>
        </w:rPr>
        <w:t>Polismyndigheten i Uppsala län</w:t>
      </w:r>
      <w:r w:rsidRPr="00AD33E8">
        <w:t xml:space="preserve"> delar i huvudsak den beskrivning av den personalpolitiska tillämpningen och u</w:t>
      </w:r>
      <w:r w:rsidRPr="00AD33E8">
        <w:t>t</w:t>
      </w:r>
      <w:r w:rsidRPr="00AD33E8">
        <w:t>vecklingen sedan 1985 som gjorts i rapporten. Man är dock inom polisv</w:t>
      </w:r>
      <w:r w:rsidRPr="00AD33E8">
        <w:t>ä</w:t>
      </w:r>
      <w:r w:rsidRPr="00AD33E8">
        <w:t xml:space="preserve">sendet  något främmande för rapportens begrepp ”dubbelt ledarskap” och påpekar att delegation inte innebär att det yttersta ansvaret försvinner från högre nivåer. </w:t>
      </w:r>
      <w:r w:rsidRPr="00AD33E8">
        <w:rPr>
          <w:i/>
        </w:rPr>
        <w:t xml:space="preserve">Polismyndigheten i Örebro län </w:t>
      </w:r>
      <w:r w:rsidRPr="00AD33E8">
        <w:t>delar de överväganden och förslag som rev</w:t>
      </w:r>
      <w:r w:rsidRPr="00AD33E8">
        <w:t>i</w:t>
      </w:r>
      <w:r w:rsidRPr="00AD33E8">
        <w:t>sorerna</w:t>
      </w:r>
      <w:r w:rsidRPr="00AD33E8">
        <w:t xml:space="preserve"> redovisar.</w:t>
      </w:r>
    </w:p>
    <w:p w:rsidR="007B7A21" w:rsidRPr="00AD33E8" w:rsidRDefault="007B7A21">
      <w:pPr>
        <w:pStyle w:val="Normaltindrag"/>
      </w:pPr>
      <w:r w:rsidRPr="00AD33E8">
        <w:rPr>
          <w:i/>
        </w:rPr>
        <w:t>Riksförsäkringsverket (RFV)</w:t>
      </w:r>
      <w:r w:rsidRPr="00AD33E8">
        <w:t xml:space="preserve"> anser att revisorerna för fram intressanta fr</w:t>
      </w:r>
      <w:r w:rsidRPr="00AD33E8">
        <w:t>å</w:t>
      </w:r>
      <w:r w:rsidRPr="00AD33E8">
        <w:t>geställningar i rapporten kring utvecklingen av personalpolitiken, styrning,  mätning och uppföljningseffekter. Dessa förhållanden är enligt RFV väl värda att studera närmare. Sammanfattningsvis tycker RFV att det är en mycket bra och innehållsrik rapport. RFV anger särskilt att uppföljningen av personalpolitiken under senare år haft svårt att konkurrera med uppmär</w:t>
      </w:r>
      <w:r w:rsidRPr="00AD33E8">
        <w:t>k</w:t>
      </w:r>
      <w:r w:rsidRPr="00AD33E8">
        <w:t>samheten kring uppföljning av ekonomi och andra produktionsmått. Man ser med tillförsikt fram mot</w:t>
      </w:r>
      <w:r w:rsidRPr="00AD33E8">
        <w:t xml:space="preserve"> en mer tydlig linje i personalpolitiken från regerin</w:t>
      </w:r>
      <w:r w:rsidRPr="00AD33E8">
        <w:t>g</w:t>
      </w:r>
      <w:r w:rsidRPr="00AD33E8">
        <w:t xml:space="preserve">ens sida. </w:t>
      </w:r>
      <w:r w:rsidRPr="00AD33E8">
        <w:rPr>
          <w:i/>
        </w:rPr>
        <w:t>Uppsala läns allmänna försäkringskassa</w:t>
      </w:r>
      <w:r w:rsidRPr="00AD33E8">
        <w:t xml:space="preserve"> anger att rapportens fal</w:t>
      </w:r>
      <w:r w:rsidRPr="00AD33E8">
        <w:t>l</w:t>
      </w:r>
      <w:r w:rsidRPr="00AD33E8">
        <w:t>studier grundar sig på 70 intervjuer och är begränsade till några få myndi</w:t>
      </w:r>
      <w:r w:rsidRPr="00AD33E8">
        <w:t>g</w:t>
      </w:r>
      <w:r w:rsidRPr="00AD33E8">
        <w:t>heter och regioner. Detta har enligt kassan förmodligen präglat de synpunkter som kommit fram i intervjuerna. Kassan vill också fästa uppmärksamheten på att intervjuerna hos kassan gjorts mitt uppe i en stor omorganisation, vilket säkerligen inverkat på flera av de synpunkter som lämnats i intervjue</w:t>
      </w:r>
      <w:r w:rsidRPr="00AD33E8">
        <w:t>r</w:t>
      </w:r>
      <w:r w:rsidRPr="00AD33E8">
        <w:t>na.</w:t>
      </w:r>
      <w:r w:rsidRPr="00AD33E8">
        <w:rPr>
          <w:i/>
        </w:rPr>
        <w:t xml:space="preserve"> Dala</w:t>
      </w:r>
      <w:r w:rsidRPr="00AD33E8">
        <w:rPr>
          <w:i/>
        </w:rPr>
        <w:t>rnas läns allmänna försäkringskassa</w:t>
      </w:r>
      <w:r w:rsidRPr="00AD33E8">
        <w:t xml:space="preserve"> anser att den del av statens personalpolitik som avser avreglering och förenkling av olika personalpol</w:t>
      </w:r>
      <w:r w:rsidRPr="00AD33E8">
        <w:t>i</w:t>
      </w:r>
      <w:r w:rsidRPr="00AD33E8">
        <w:t xml:space="preserve">tiska åtgärder varit positiv och effektivitetsbefrämjande. Man är dock kritisk till den brist på långsiktighet och lyhördhet som präglar budgetpolitiken. </w:t>
      </w:r>
      <w:r w:rsidRPr="00AD33E8">
        <w:rPr>
          <w:i/>
        </w:rPr>
        <w:t>Försäkringskasseförbundet</w:t>
      </w:r>
      <w:r w:rsidRPr="00AD33E8">
        <w:t xml:space="preserve"> ställer sig i allt väsentligt bakom de yttranden som lämnats av försäkringskassorna i Uppsala och Dalarnas län. Man påp</w:t>
      </w:r>
      <w:r w:rsidRPr="00AD33E8">
        <w:t>e</w:t>
      </w:r>
      <w:r w:rsidRPr="00AD33E8">
        <w:t>kar att de avregleringar och delegeringar som skett, t.ex. borttagandet a</w:t>
      </w:r>
      <w:r w:rsidRPr="00AD33E8">
        <w:t>v tjänstebegreppet, har förenklat försäkringskassornas personaladministration. Förbundet anser emellertid att sparkraven och den kortsiktiga årliga m</w:t>
      </w:r>
      <w:r w:rsidRPr="00AD33E8">
        <w:t>e</w:t>
      </w:r>
      <w:r w:rsidRPr="00AD33E8">
        <w:t>delstillde</w:t>
      </w:r>
      <w:r w:rsidRPr="00AD33E8">
        <w:t>l</w:t>
      </w:r>
      <w:r w:rsidRPr="00AD33E8">
        <w:t>ningen har försvårat en långsiktig och aktiv personalpolitik.</w:t>
      </w:r>
    </w:p>
    <w:p w:rsidR="007B7A21" w:rsidRPr="00AD33E8" w:rsidRDefault="007B7A21">
      <w:pPr>
        <w:pStyle w:val="Normaltindrag"/>
      </w:pPr>
      <w:r w:rsidRPr="00AD33E8">
        <w:rPr>
          <w:i/>
        </w:rPr>
        <w:t>Riksskatteverket (RSV)</w:t>
      </w:r>
      <w:r w:rsidRPr="00AD33E8">
        <w:t xml:space="preserve"> anser att rapporten ger en värdefull sammanstäl</w:t>
      </w:r>
      <w:r w:rsidRPr="00AD33E8">
        <w:t>l</w:t>
      </w:r>
      <w:r w:rsidRPr="00AD33E8">
        <w:t>ning av den statliga personalpolitikens utveckling under de senaste åren. RSV konstaterar dock att revisorerna i sina fallstudier inte har intervjuat myndighetsledningarna eller granskat styrning och uppföljning. En djupare studie av detta hade enligt RSV sannolikt gett ytterligare underlag för slutsa</w:t>
      </w:r>
      <w:r w:rsidRPr="00AD33E8">
        <w:t>t</w:t>
      </w:r>
      <w:r w:rsidRPr="00AD33E8">
        <w:t xml:space="preserve">ser och konkreta förslag till förbättringar. </w:t>
      </w:r>
      <w:r w:rsidRPr="00AD33E8">
        <w:rPr>
          <w:i/>
        </w:rPr>
        <w:t>Skattemyndigheten i Västeråsreg</w:t>
      </w:r>
      <w:r w:rsidRPr="00AD33E8">
        <w:rPr>
          <w:i/>
        </w:rPr>
        <w:t>i</w:t>
      </w:r>
      <w:r w:rsidRPr="00AD33E8">
        <w:rPr>
          <w:i/>
        </w:rPr>
        <w:t>onen</w:t>
      </w:r>
      <w:r w:rsidRPr="00AD33E8">
        <w:t xml:space="preserve"> instämmer i stort i RSV:s yttrande. </w:t>
      </w:r>
      <w:r w:rsidRPr="00AD33E8">
        <w:rPr>
          <w:i/>
        </w:rPr>
        <w:t>Skattemyndigheten i Västra Göt</w:t>
      </w:r>
      <w:r w:rsidRPr="00AD33E8">
        <w:rPr>
          <w:i/>
        </w:rPr>
        <w:t>a</w:t>
      </w:r>
      <w:r w:rsidRPr="00AD33E8">
        <w:rPr>
          <w:i/>
        </w:rPr>
        <w:t>land</w:t>
      </w:r>
      <w:r w:rsidRPr="00AD33E8">
        <w:t xml:space="preserve"> anger </w:t>
      </w:r>
      <w:r w:rsidRPr="00AD33E8">
        <w:t>att, med hänsyn till kommande ökande konkurrens om kvalific</w:t>
      </w:r>
      <w:r w:rsidRPr="00AD33E8">
        <w:t>e</w:t>
      </w:r>
      <w:r w:rsidRPr="00AD33E8">
        <w:t>rad arbetskraft, det är mycket angeläget att staten för en genomtänkt och framsynt personalpolitik. Man påpekar att revisorerna inte granskat budge</w:t>
      </w:r>
      <w:r w:rsidRPr="00AD33E8">
        <w:t>t</w:t>
      </w:r>
      <w:r w:rsidRPr="00AD33E8">
        <w:t>politiken utan tagit den som en given förutsättning för personalpolitiken. Skattemyndigheten anser dock,  under hänvisning till den ökande ohälsan,  att det inte går att bortse från resursfrågornas samband med personalpolit</w:t>
      </w:r>
      <w:r w:rsidRPr="00AD33E8">
        <w:t>i</w:t>
      </w:r>
      <w:r w:rsidRPr="00AD33E8">
        <w:t>ken.</w:t>
      </w:r>
    </w:p>
    <w:p w:rsidR="007B7A21" w:rsidRPr="00AD33E8" w:rsidRDefault="007B7A21">
      <w:pPr>
        <w:pStyle w:val="Normaltindrag"/>
      </w:pPr>
      <w:r w:rsidRPr="00AD33E8">
        <w:rPr>
          <w:i/>
        </w:rPr>
        <w:t xml:space="preserve">Arbetsmarknadsstyrelsens (AMS) </w:t>
      </w:r>
      <w:r w:rsidRPr="00AD33E8">
        <w:t xml:space="preserve">synpunkter redovisas under respektive rubrik nedan. </w:t>
      </w:r>
      <w:r w:rsidRPr="00AD33E8">
        <w:rPr>
          <w:i/>
        </w:rPr>
        <w:t>Länsarbetsnämnden i Västmanlands län</w:t>
      </w:r>
      <w:r w:rsidRPr="00AD33E8">
        <w:t xml:space="preserve"> anser att rapporten är gedigen och välskriven och en bra introduktion till statens personalpolitik sedan 1985.</w:t>
      </w:r>
    </w:p>
    <w:p w:rsidR="007B7A21" w:rsidRPr="00AD33E8" w:rsidRDefault="007B7A21">
      <w:pPr>
        <w:pStyle w:val="R4"/>
      </w:pPr>
      <w:r w:rsidRPr="00AD33E8">
        <w:t>Övriga myndigheter</w:t>
      </w:r>
    </w:p>
    <w:p w:rsidR="007B7A21" w:rsidRPr="00AD33E8" w:rsidRDefault="007B7A21">
      <w:r w:rsidRPr="00AD33E8">
        <w:rPr>
          <w:i/>
        </w:rPr>
        <w:t>Statskontoret</w:t>
      </w:r>
      <w:r w:rsidRPr="00AD33E8">
        <w:t xml:space="preserve"> konstaterar att personalpolitiken är en del av förvaltningspolit</w:t>
      </w:r>
      <w:r w:rsidRPr="00AD33E8">
        <w:t>i</w:t>
      </w:r>
      <w:r w:rsidRPr="00AD33E8">
        <w:t>ken och att regeringen därmed ytterst är ”ägare” av statens personalpolitik. Personalpolitiken är i dag, enligt myndigheten, utformad på så sätt att den inrymmer ett stort mått av delegering till de enskilda myndigheterna. Rege</w:t>
      </w:r>
      <w:r w:rsidRPr="00AD33E8">
        <w:t>r</w:t>
      </w:r>
      <w:r w:rsidRPr="00AD33E8">
        <w:t>ingen har enligt Statskontoret ansvar för ett antal övergripande värden med nära koppling till personalpolitiken: samhällsekonomisk rimlig löneutvec</w:t>
      </w:r>
      <w:r w:rsidRPr="00AD33E8">
        <w:t>k</w:t>
      </w:r>
      <w:r w:rsidRPr="00AD33E8">
        <w:t>ling, föredömliga arbetsförhållanden och arbetsmiljö, tillgång till k</w:t>
      </w:r>
      <w:r w:rsidRPr="00AD33E8">
        <w:t>ompetent arbetskraft och för att staten uppträder i enlighet med de förvaltningspolitiska målen. Statskontoret betonar att delegering av ansvar till myndigheterna, däribland personalpolitiken, i grunden är rätt men att en oundgänglig föru</w:t>
      </w:r>
      <w:r w:rsidRPr="00AD33E8">
        <w:t>t</w:t>
      </w:r>
      <w:r w:rsidRPr="00AD33E8">
        <w:t>sättning för en sådan delegering är att regeringen ställer tydliga resultatkrav på myndigheterna.</w:t>
      </w:r>
    </w:p>
    <w:p w:rsidR="007B7A21" w:rsidRPr="00AD33E8" w:rsidRDefault="007B7A21">
      <w:pPr>
        <w:pStyle w:val="Normaltindrag"/>
      </w:pPr>
      <w:r w:rsidRPr="00AD33E8">
        <w:rPr>
          <w:i/>
        </w:rPr>
        <w:t>Statistiska centralbyrån (SCB)</w:t>
      </w:r>
      <w:r w:rsidRPr="00AD33E8">
        <w:t xml:space="preserve"> anser att revisorernas överväganden och förslag är väl avvägda utifrån den gjorda genomgången av den arbetsgiva</w:t>
      </w:r>
      <w:r w:rsidRPr="00AD33E8">
        <w:t>r</w:t>
      </w:r>
      <w:r w:rsidRPr="00AD33E8">
        <w:t>politiska delegeringen. SCB anser att den arbetsgivarpolitiska delegeringen varit en viktig förutsättning för den statliga personalpolitiken och den statliga verksamhetens förnyelse.</w:t>
      </w:r>
    </w:p>
    <w:p w:rsidR="007B7A21" w:rsidRPr="00AD33E8" w:rsidRDefault="007B7A21">
      <w:pPr>
        <w:pStyle w:val="Normaltindrag"/>
      </w:pPr>
      <w:r w:rsidRPr="00AD33E8">
        <w:rPr>
          <w:i/>
        </w:rPr>
        <w:t>Statens kvalitets- och kompetensråd (KKR)</w:t>
      </w:r>
      <w:r w:rsidRPr="00AD33E8">
        <w:t xml:space="preserve">  finner mycket av redovisnin</w:t>
      </w:r>
      <w:r w:rsidRPr="00AD33E8">
        <w:t>g</w:t>
      </w:r>
      <w:r w:rsidRPr="00AD33E8">
        <w:t>en i rapporten intresseväckande. Rådet anser dock att eftersom de flesta statliga myndigheter är små hade det varit intressant om revisorerna i sina fallbeskrivningar även inhämtat underlag från andra myndigheter så att slu</w:t>
      </w:r>
      <w:r w:rsidRPr="00AD33E8">
        <w:t>t</w:t>
      </w:r>
      <w:r w:rsidRPr="00AD33E8">
        <w:t>satserna grundats på en mer varierad bild av statsförvaltningen. KKR drar mer positiva slutsatser av de nuvarande förhållandena än de som rapporten återger. Enligt KKR:s uppfattning har de statliga myndigheterna inte några stora tolkningsproblem när de i ope</w:t>
      </w:r>
      <w:r w:rsidRPr="00AD33E8">
        <w:t>rativt arbete ska omsätta regeringens avsikter och intentioner med personalpolitiken.</w:t>
      </w:r>
    </w:p>
    <w:p w:rsidR="007B7A21" w:rsidRPr="00AD33E8" w:rsidRDefault="007B7A21">
      <w:pPr>
        <w:pStyle w:val="Normaltindrag"/>
      </w:pPr>
      <w:r w:rsidRPr="00AD33E8">
        <w:rPr>
          <w:i/>
        </w:rPr>
        <w:t>Styrelsen för internationellt utvecklingssamarbete (Sida)</w:t>
      </w:r>
      <w:r w:rsidRPr="00AD33E8">
        <w:t xml:space="preserve"> har inga ytterlig</w:t>
      </w:r>
      <w:r w:rsidRPr="00AD33E8">
        <w:t>a</w:t>
      </w:r>
      <w:r w:rsidRPr="00AD33E8">
        <w:t>re synpunkter att tillföra de överväganden och förslag som lagts fram i rap</w:t>
      </w:r>
      <w:r w:rsidRPr="00AD33E8">
        <w:t>p</w:t>
      </w:r>
      <w:r w:rsidRPr="00AD33E8">
        <w:t>o</w:t>
      </w:r>
      <w:r w:rsidRPr="00AD33E8">
        <w:t>r</w:t>
      </w:r>
      <w:r w:rsidRPr="00AD33E8">
        <w:t>ten.</w:t>
      </w:r>
    </w:p>
    <w:p w:rsidR="007B7A21" w:rsidRPr="00AD33E8" w:rsidRDefault="007B7A21">
      <w:pPr>
        <w:pStyle w:val="Normaltindrag"/>
      </w:pPr>
      <w:r w:rsidRPr="00AD33E8">
        <w:rPr>
          <w:i/>
        </w:rPr>
        <w:t>Finansinspektionen (FI)</w:t>
      </w:r>
      <w:r w:rsidRPr="00AD33E8">
        <w:t xml:space="preserve"> bekräftar i stort bilden av den personalpolitiska utveckling som beskrivs i rapporten och ställer sig i huvudsak bakom de överväganden och förslag som angivits. FI stöder fortsatt delegering och avreglering för att möjliggöra ytterligare verksamhetsanpassning och effekt</w:t>
      </w:r>
      <w:r w:rsidRPr="00AD33E8">
        <w:t>i</w:t>
      </w:r>
      <w:r w:rsidRPr="00AD33E8">
        <w:t>visering i den statliga personalpolitiken och verksamheten. Enligt FI är r</w:t>
      </w:r>
      <w:r w:rsidRPr="00AD33E8">
        <w:t>e</w:t>
      </w:r>
      <w:r w:rsidRPr="00AD33E8">
        <w:t>geringens övergripande ansvar för normgivning och vägledning för de statl</w:t>
      </w:r>
      <w:r w:rsidRPr="00AD33E8">
        <w:t>i</w:t>
      </w:r>
      <w:r w:rsidRPr="00AD33E8">
        <w:t>ga arbetsgivarna och för uppföljningen av myndigheternas situation grun</w:t>
      </w:r>
      <w:r w:rsidRPr="00AD33E8">
        <w:t>d</w:t>
      </w:r>
      <w:r w:rsidRPr="00AD33E8">
        <w:t>läggande för den pe</w:t>
      </w:r>
      <w:r w:rsidRPr="00AD33E8">
        <w:t>rsonalpolitiska styrningen.</w:t>
      </w:r>
    </w:p>
    <w:p w:rsidR="007B7A21" w:rsidRPr="00AD33E8" w:rsidRDefault="007B7A21">
      <w:pPr>
        <w:pStyle w:val="Normaltindrag"/>
      </w:pPr>
      <w:r w:rsidRPr="00AD33E8">
        <w:rPr>
          <w:i/>
        </w:rPr>
        <w:t xml:space="preserve"> Ekonomistyrningsverket (ESV)</w:t>
      </w:r>
      <w:r w:rsidRPr="00AD33E8">
        <w:t xml:space="preserve"> finner att revisorernas rapport är välskr</w:t>
      </w:r>
      <w:r w:rsidRPr="00AD33E8">
        <w:t>i</w:t>
      </w:r>
      <w:r w:rsidRPr="00AD33E8">
        <w:t>ven och välstrukturerad. Rapporten ger enligt ESV en bild av den statliga personalpolitikens utveckling sedan 1985 och behandlar viktiga kritiska punkter inom området. Revisorernas överväganden och förslag är angelägna bidrag till det fortsatta utvecklingsarbetet. Enligt ESV finns det ett behov av att tydliggöra personalfrågornas koppling till budgetpolitiken och därmed till statsmakternas möjligheter att genomföra politiska beslut. Rapportens bely</w:t>
      </w:r>
      <w:r w:rsidRPr="00AD33E8">
        <w:t>s</w:t>
      </w:r>
      <w:r w:rsidRPr="00AD33E8">
        <w:t>ning av de gångn</w:t>
      </w:r>
      <w:r w:rsidRPr="00AD33E8">
        <w:t>a årens statliga personalpolitik leder enligt ESV också till slutsatsen att snabbt föränderliga planeringsförutsättningar försvårar föru</w:t>
      </w:r>
      <w:r w:rsidRPr="00AD33E8">
        <w:t>t</w:t>
      </w:r>
      <w:r w:rsidRPr="00AD33E8">
        <w:t>sättningarna för att personalpolitiken ska fungera tillfredsställande i nedskä</w:t>
      </w:r>
      <w:r w:rsidRPr="00AD33E8">
        <w:t>r</w:t>
      </w:r>
      <w:r w:rsidRPr="00AD33E8">
        <w:t>ningssituationer.</w:t>
      </w:r>
    </w:p>
    <w:p w:rsidR="007B7A21" w:rsidRPr="00AD33E8" w:rsidRDefault="007B7A21">
      <w:pPr>
        <w:pStyle w:val="Normaltindrag"/>
        <w:rPr>
          <w:b/>
        </w:rPr>
      </w:pPr>
      <w:r w:rsidRPr="00AD33E8">
        <w:rPr>
          <w:i/>
        </w:rPr>
        <w:t xml:space="preserve">Arbetsgivarverket </w:t>
      </w:r>
      <w:r w:rsidRPr="00AD33E8">
        <w:t>anser att rapporten bjuder på en redovisning av pers</w:t>
      </w:r>
      <w:r w:rsidRPr="00AD33E8">
        <w:t>o</w:t>
      </w:r>
      <w:r w:rsidRPr="00AD33E8">
        <w:t>nalpolitisk utveckling i staten som har ett värde i sig för att förstå dagens situation. Man är dock kritisk till rapportens analys av personalrörligheten inom staten och menar att de redovisade siffrorna har så allvarliga brister att de fört fram till felaktiga slutsatser. Verket menar att det, med hänsyn till konjunkturens påverkan och utvecklingen på arbetsmarknaden i dess helhet, saknas fog för påståendet i rapporten att rörligheten i staten skulle ha</w:t>
      </w:r>
      <w:r w:rsidRPr="00AD33E8">
        <w:t xml:space="preserve"> min</w:t>
      </w:r>
      <w:r w:rsidRPr="00AD33E8">
        <w:t>s</w:t>
      </w:r>
      <w:r w:rsidRPr="00AD33E8">
        <w:t>kat.</w:t>
      </w:r>
      <w:r w:rsidRPr="00AD33E8">
        <w:rPr>
          <w:b/>
        </w:rPr>
        <w:t xml:space="preserve"> </w:t>
      </w:r>
    </w:p>
    <w:p w:rsidR="007B7A21" w:rsidRPr="00AD33E8" w:rsidRDefault="007B7A21">
      <w:pPr>
        <w:pStyle w:val="Normaltindrag"/>
      </w:pPr>
      <w:r w:rsidRPr="00AD33E8">
        <w:rPr>
          <w:i/>
        </w:rPr>
        <w:t>Arbetsmiljöverket</w:t>
      </w:r>
      <w:r w:rsidRPr="00AD33E8">
        <w:t xml:space="preserve"> instämmer i huvudsak med de uppfattningar och b</w:t>
      </w:r>
      <w:r w:rsidRPr="00AD33E8">
        <w:t>e</w:t>
      </w:r>
      <w:r w:rsidRPr="00AD33E8">
        <w:t>dömningar som framförts i rapporten och tillstyrker de förslag som läggs fram.</w:t>
      </w:r>
    </w:p>
    <w:p w:rsidR="007B7A21" w:rsidRPr="00AD33E8" w:rsidRDefault="007B7A21">
      <w:pPr>
        <w:pStyle w:val="R4"/>
      </w:pPr>
      <w:r w:rsidRPr="00AD33E8">
        <w:t>Fackliga organisationer</w:t>
      </w:r>
    </w:p>
    <w:p w:rsidR="007B7A21" w:rsidRPr="00AD33E8" w:rsidRDefault="007B7A21">
      <w:r w:rsidRPr="00AD33E8">
        <w:rPr>
          <w:i/>
        </w:rPr>
        <w:t>SACO-S</w:t>
      </w:r>
      <w:r w:rsidRPr="00AD33E8">
        <w:t xml:space="preserve">  biträder i stort de överväganden och förslag som redovisas i kapitel 6 i rapporten.</w:t>
      </w:r>
    </w:p>
    <w:p w:rsidR="007B7A21" w:rsidRPr="00AD33E8" w:rsidRDefault="007B7A21">
      <w:pPr>
        <w:pStyle w:val="Normaltindrag"/>
      </w:pPr>
      <w:r w:rsidRPr="00AD33E8">
        <w:rPr>
          <w:i/>
        </w:rPr>
        <w:t>Statstjänstemannaförbundet</w:t>
      </w:r>
      <w:r w:rsidRPr="00AD33E8">
        <w:t xml:space="preserve"> anser att den rådande ansvarsfördelningen mellan regeringen och de enskilda myndigheterna har inneburit en lokal utveckling av personalpolitiken. Samtidigt som detta i stort varit av godo konstaterar ST att viktiga frågor, som behöver gemensamt syn- och hål</w:t>
      </w:r>
      <w:r w:rsidRPr="00AD33E8">
        <w:t>l</w:t>
      </w:r>
      <w:r w:rsidRPr="00AD33E8">
        <w:t>ningssätt samt likartade åtgärder, saknar en drivande kraft med ett klart utt</w:t>
      </w:r>
      <w:r w:rsidRPr="00AD33E8">
        <w:t>a</w:t>
      </w:r>
      <w:r w:rsidRPr="00AD33E8">
        <w:t>lat ansvar. ST delar rapportens uppfattning att det inte kan vara den enskilde statliga arbetsgivarens uppgift att bestämma innehållet i eller innebörden av statlig personalpo</w:t>
      </w:r>
      <w:r w:rsidRPr="00AD33E8">
        <w:t>litik. Förbundet utgår från att det finns politiskt fastlagda värden om demokrati, öppenhet och rättssäkerhet som är gemensam i staten oavsett myndighet. Dessa värden måste enligt ST tas om hand i myndigh</w:t>
      </w:r>
      <w:r w:rsidRPr="00AD33E8">
        <w:t>e</w:t>
      </w:r>
      <w:r w:rsidRPr="00AD33E8">
        <w:t>ternas personalpolitik, och det måste finnas ett tydligt utvecklings- och up</w:t>
      </w:r>
      <w:r w:rsidRPr="00AD33E8">
        <w:t>p</w:t>
      </w:r>
      <w:r w:rsidRPr="00AD33E8">
        <w:t>följningsansvar för att så sker. Detta saknas i dag enligt ST.</w:t>
      </w:r>
    </w:p>
    <w:p w:rsidR="007B7A21" w:rsidRPr="00AD33E8" w:rsidRDefault="007B7A21">
      <w:pPr>
        <w:pStyle w:val="RubrikUtanNr3"/>
      </w:pPr>
      <w:bookmarkStart w:id="16" w:name="_Toc18376972"/>
      <w:bookmarkStart w:id="17" w:name="_Toc21420416"/>
      <w:bookmarkStart w:id="18" w:name="_Toc21425236"/>
      <w:r w:rsidRPr="00AD33E8">
        <w:t>Revisorerna</w:t>
      </w:r>
      <w:bookmarkEnd w:id="16"/>
      <w:bookmarkEnd w:id="17"/>
      <w:bookmarkEnd w:id="18"/>
    </w:p>
    <w:p w:rsidR="007B7A21" w:rsidRPr="00AD33E8" w:rsidRDefault="007B7A21">
      <w:pPr>
        <w:spacing w:before="123"/>
      </w:pPr>
      <w:r w:rsidRPr="00AD33E8">
        <w:t>Revisorerna vill som rapporten, och i likhet med flera remissinstanser, bet</w:t>
      </w:r>
      <w:r w:rsidRPr="00AD33E8">
        <w:t>o</w:t>
      </w:r>
      <w:r w:rsidRPr="00AD33E8">
        <w:t>na att den statliga personalpolitiken inte kan ses som vilken personalpolitik som helst. Som angetts ovan har riksdagen redan i regeringsformen angett regler som skiljer ut den statliga verksamheten och personalpolitiken. Det finns därför ett legitimt behov från riksdagens sida att få information om hur den statliga verksamheten och därmed personalpolitiken utvecklas. Det är regeringen som ska informera riksdagen och det är regeringen som, för att citera Statskontorets yttrande, ”äger” personalpolitiken so</w:t>
      </w:r>
      <w:r w:rsidRPr="00AD33E8">
        <w:t>m en del av fö</w:t>
      </w:r>
      <w:r w:rsidRPr="00AD33E8">
        <w:t>r</w:t>
      </w:r>
      <w:r w:rsidRPr="00AD33E8">
        <w:t>valtningspolitiken. Revisorerna instämmer också i Finansinspektionens yt</w:t>
      </w:r>
      <w:r w:rsidRPr="00AD33E8">
        <w:t>t</w:t>
      </w:r>
      <w:r w:rsidRPr="00AD33E8">
        <w:t>rande att regeringens övergripande ansvar för normgivning och vägledning för de statliga arbetsgivarna och för uppföljningen av myndigheternas situ</w:t>
      </w:r>
      <w:r w:rsidRPr="00AD33E8">
        <w:t>a</w:t>
      </w:r>
      <w:r w:rsidRPr="00AD33E8">
        <w:t>tion är grundläggande för den personalpolitiska styrningen.</w:t>
      </w:r>
    </w:p>
    <w:p w:rsidR="007B7A21" w:rsidRPr="00AD33E8" w:rsidRDefault="007B7A21">
      <w:pPr>
        <w:pStyle w:val="Normaltindrag"/>
      </w:pPr>
      <w:r w:rsidRPr="00AD33E8">
        <w:t>Samtidigt har det sedan mitten av 1980-talet fram till mitten av 1990-talet skett en kraftig arbetsgivarpolitisk delegering till myndigheterna</w:t>
      </w:r>
      <w:r w:rsidRPr="00AD33E8">
        <w:rPr>
          <w:rStyle w:val="Fotnotsreferens"/>
        </w:rPr>
        <w:footnoteReference w:id="1"/>
      </w:r>
      <w:r w:rsidRPr="00AD33E8">
        <w:t>. Som p</w:t>
      </w:r>
      <w:r w:rsidRPr="00AD33E8">
        <w:t>å</w:t>
      </w:r>
      <w:r w:rsidRPr="00AD33E8">
        <w:t>pekats i rapporten, och understryks i myndigheternas och de fackliga organ</w:t>
      </w:r>
      <w:r w:rsidRPr="00AD33E8">
        <w:t>i</w:t>
      </w:r>
      <w:r w:rsidRPr="00AD33E8">
        <w:t>sationernas remissvar, har denna delegering varit en viktig förutsättning för att utveckla och effektivisera såväl den statliga verksamheten som den statl</w:t>
      </w:r>
      <w:r w:rsidRPr="00AD33E8">
        <w:t>i</w:t>
      </w:r>
      <w:r w:rsidRPr="00AD33E8">
        <w:t>ga personalpol</w:t>
      </w:r>
      <w:r w:rsidRPr="00AD33E8">
        <w:t>i</w:t>
      </w:r>
      <w:r w:rsidRPr="00AD33E8">
        <w:t>tiken. Revisorerna delar denna uppfattning.</w:t>
      </w:r>
    </w:p>
    <w:p w:rsidR="007B7A21" w:rsidRPr="00AD33E8" w:rsidRDefault="007B7A21">
      <w:pPr>
        <w:pStyle w:val="Normaltindrag"/>
      </w:pPr>
      <w:r w:rsidRPr="00AD33E8">
        <w:t>För den statliga personalpolitikens vidkommande finns dock enligt revis</w:t>
      </w:r>
      <w:r w:rsidRPr="00AD33E8">
        <w:t>o</w:t>
      </w:r>
      <w:r w:rsidRPr="00AD33E8">
        <w:t>rerna oklarheter och otydligheter i spänningsfältet mellan å ena sidan det centrala perspektivet – staten som en juridisk person – och å andra sidan den arbetsgivarpolitiska delegeringen – staten som summan av myndigheterna. Flera av remissinstanserna (RPS, RFV, Statskontoret, ESV, Statstjänstema</w:t>
      </w:r>
      <w:r w:rsidRPr="00AD33E8">
        <w:t>n</w:t>
      </w:r>
      <w:r w:rsidRPr="00AD33E8">
        <w:t>n</w:t>
      </w:r>
      <w:r w:rsidRPr="00AD33E8">
        <w:t>a</w:t>
      </w:r>
      <w:r w:rsidRPr="00AD33E8">
        <w:t xml:space="preserve">förbundet) pekar också på dessa otydligheter. </w:t>
      </w:r>
    </w:p>
    <w:p w:rsidR="007B7A21" w:rsidRPr="00AD33E8" w:rsidRDefault="007B7A21">
      <w:pPr>
        <w:pStyle w:val="Normaltindrag"/>
      </w:pPr>
      <w:r w:rsidRPr="00AD33E8">
        <w:t>Revisorerna vill i detta sammanhang uppmärksamma den grundliga utvä</w:t>
      </w:r>
      <w:r w:rsidRPr="00AD33E8">
        <w:t>r</w:t>
      </w:r>
      <w:r w:rsidRPr="00AD33E8">
        <w:t>dering av den arbetsgivarpolitiska delegeringen som Arbetsgivarpolitiska utredningen (SOU 2002:32) nyligen gjort</w:t>
      </w:r>
      <w:r w:rsidRPr="00AD33E8">
        <w:rPr>
          <w:rStyle w:val="Fotnotsreferens"/>
        </w:rPr>
        <w:footnoteReference w:id="2"/>
      </w:r>
      <w:r w:rsidRPr="00AD33E8">
        <w:t>. Baserat på ett stort antal intervj</w:t>
      </w:r>
      <w:r w:rsidRPr="00AD33E8">
        <w:t>u</w:t>
      </w:r>
      <w:r w:rsidRPr="00AD33E8">
        <w:t>er med företrädare för Regeringskansliet och myndigheterna konstaterar utredningen att det råder en betydande osäkerhet om vad som avses med statlig arbetsgivarpolitik. Enligt utredningen fungerar delegeringen bäst på stora myndigheter med en stark arbetsgivarfunktion. Utredningens intervjuer visar vidare  att myndigheterna i första hand känner en samhörighet inom den egna sektorn och inte med staten som helhet: ”Den enda makt som fullt ut kan företräda hela staten är re</w:t>
      </w:r>
      <w:r w:rsidRPr="00AD33E8">
        <w:t>geringen (och naturligtvis riksdagen)”</w:t>
      </w:r>
      <w:r w:rsidRPr="00AD33E8">
        <w:rPr>
          <w:rStyle w:val="Fotnotsreferens"/>
        </w:rPr>
        <w:footnoteReference w:id="3"/>
      </w:r>
      <w:r w:rsidRPr="00AD33E8">
        <w:t>. Utredningen betonar att det är regeringen som styr riket och har delegerat ansvaret för arbetsgivarpolitiken till myndighetscheferna. Samtidigt anger utredningen att det nu sker en påfallande ambitionshöjning i regeringens förvaltningspolitik där regeringen ställer krav på myndigheterna vad gäller kompetensförsörjning, arbetsmiljöfrågor, etnisk och kulturell mångfald, m.m. Utredningen konstaterar dock att regeringens ambitionshöjning delvis står i motsättning till myndigheternas ökande ”krasshet” vad gäll</w:t>
      </w:r>
      <w:r w:rsidRPr="00AD33E8">
        <w:t>er utbrändhet och långtidssjukskrivning bland personalen, där myndighetsföreträdarna anser att man inte skall – eller kan – vara bättre än andra arbet</w:t>
      </w:r>
      <w:r w:rsidRPr="00AD33E8">
        <w:t>s</w:t>
      </w:r>
      <w:r w:rsidRPr="00AD33E8">
        <w:t>givare.</w:t>
      </w:r>
    </w:p>
    <w:p w:rsidR="007B7A21" w:rsidRPr="00AD33E8" w:rsidRDefault="007B7A21">
      <w:pPr>
        <w:pStyle w:val="Normaltindrag"/>
      </w:pPr>
      <w:r w:rsidRPr="00AD33E8">
        <w:t>Revisorerna drar slutsatsen att den arbetsgivarpolitiska delegeringen inte är ett tillräckligt villkor för en bra verksamheten i staten. Detta är samma slu</w:t>
      </w:r>
      <w:r w:rsidRPr="00AD33E8">
        <w:t>t</w:t>
      </w:r>
      <w:r w:rsidRPr="00AD33E8">
        <w:t>sats som i rapporten om den statliga personalpolitiken och som de flesta remissinstanserna ansluter sig till.  Det finns sammanfattningsvis enligt rev</w:t>
      </w:r>
      <w:r w:rsidRPr="00AD33E8">
        <w:t>i</w:t>
      </w:r>
      <w:r w:rsidRPr="00AD33E8">
        <w:t>sorerna ett utrymme för statsmakterna att höja ambitionsnivån – utan att i grunden ändra den arbetsgivarpolitiska delegeringen - vad gäller den del av statens verksamhet som i rapporten definierats som statens personalpolitik</w:t>
      </w:r>
      <w:r w:rsidRPr="00AD33E8">
        <w:rPr>
          <w:rStyle w:val="Fotnotsreferens"/>
        </w:rPr>
        <w:footnoteReference w:id="4"/>
      </w:r>
      <w:r w:rsidRPr="00AD33E8">
        <w:t>. Detta är utgångspunkten för de konkreta förslag som revisorerna lämnar nedan.</w:t>
      </w:r>
    </w:p>
    <w:p w:rsidR="007B7A21" w:rsidRPr="00AD33E8" w:rsidRDefault="007B7A21">
      <w:pPr>
        <w:pStyle w:val="Normaltindrag"/>
      </w:pPr>
      <w:r w:rsidRPr="00AD33E8">
        <w:t>I det följande kommenterar revisorerna några punkter som tagits upp av remissinstanserna.</w:t>
      </w:r>
    </w:p>
    <w:p w:rsidR="007B7A21" w:rsidRPr="00AD33E8" w:rsidRDefault="007B7A21">
      <w:pPr>
        <w:pStyle w:val="Normaltindrag"/>
      </w:pPr>
      <w:r w:rsidRPr="00AD33E8">
        <w:t xml:space="preserve">Statens kvalitets- och kompetensråd efterlyser i sitt remissvar en analys av de </w:t>
      </w:r>
      <w:r w:rsidRPr="00AD33E8">
        <w:rPr>
          <w:i/>
        </w:rPr>
        <w:t>mindre myndigheternas situation</w:t>
      </w:r>
      <w:r w:rsidRPr="00AD33E8">
        <w:t>. Revisorerna är väl medvetna om, även om detta inte explicit angavs i rapporten, att de mindre myndigheterna  i vissa avseenden har sämre förutsättningar än stora myndigheter att bedriva en bra personalpolitik</w:t>
      </w:r>
      <w:r w:rsidRPr="00AD33E8">
        <w:rPr>
          <w:rStyle w:val="Fotnotsreferens"/>
        </w:rPr>
        <w:footnoteReference w:id="5"/>
      </w:r>
      <w:r w:rsidRPr="00AD33E8">
        <w:t>. Revisorernas förslag nedan har som en utgångspunkt bl.a. att ge bättre förutsättningar för just de mindre myndigheterna.</w:t>
      </w:r>
    </w:p>
    <w:p w:rsidR="007B7A21" w:rsidRPr="00AD33E8" w:rsidRDefault="007B7A21">
      <w:pPr>
        <w:pStyle w:val="Normaltindrag"/>
      </w:pPr>
      <w:r w:rsidRPr="00AD33E8">
        <w:t xml:space="preserve">Uppsala läns allmänna försäkringskassa anser att </w:t>
      </w:r>
      <w:r w:rsidRPr="00AD33E8">
        <w:rPr>
          <w:i/>
        </w:rPr>
        <w:t>rapportens empiriska underlag</w:t>
      </w:r>
      <w:r w:rsidRPr="00AD33E8">
        <w:t xml:space="preserve"> är begränsat. Riksskatteverket anför att en djupare studie av bl.a. ledningsfrågorna skulle gett ett bättre underlag för förslag till förbättringar. Revisorerna håller med om att rapportens ansats är begränsad men vill peka på att nästan samtliga remissinstanser utom två (Arbetsgivarverket och St</w:t>
      </w:r>
      <w:r w:rsidRPr="00AD33E8">
        <w:t>a</w:t>
      </w:r>
      <w:r w:rsidRPr="00AD33E8">
        <w:t>tens kvalitets- och kompetensråd) i mer eller mindre grad bekräftar rappo</w:t>
      </w:r>
      <w:r w:rsidRPr="00AD33E8">
        <w:t>r</w:t>
      </w:r>
      <w:r w:rsidRPr="00AD33E8">
        <w:t>tens bild av personalpolitiken i myndigheterna. Så verkar t.ex. påståendet från KKR om att de statliga myndigh</w:t>
      </w:r>
      <w:r w:rsidRPr="00AD33E8">
        <w:t>eterna inte har några stora tolkning</w:t>
      </w:r>
      <w:r w:rsidRPr="00AD33E8">
        <w:t>s</w:t>
      </w:r>
      <w:r w:rsidRPr="00AD33E8">
        <w:t>problem med personalpolitiken enligt revisorerna inte stämma överens med övriga remissinstansers uppfattning.</w:t>
      </w:r>
    </w:p>
    <w:p w:rsidR="007B7A21" w:rsidRPr="00AD33E8" w:rsidRDefault="007B7A21">
      <w:pPr>
        <w:pStyle w:val="Normaltindrag"/>
      </w:pPr>
      <w:r w:rsidRPr="00AD33E8">
        <w:t xml:space="preserve">Arbetsgivarverket är kritiskt till rapportens hantering av </w:t>
      </w:r>
      <w:r w:rsidRPr="00AD33E8">
        <w:rPr>
          <w:i/>
        </w:rPr>
        <w:t>statistiken för pe</w:t>
      </w:r>
      <w:r w:rsidRPr="00AD33E8">
        <w:rPr>
          <w:i/>
        </w:rPr>
        <w:t>r</w:t>
      </w:r>
      <w:r w:rsidRPr="00AD33E8">
        <w:rPr>
          <w:i/>
        </w:rPr>
        <w:t>sonalrörlighet inom staten</w:t>
      </w:r>
      <w:r w:rsidRPr="00AD33E8">
        <w:t>. Revisorerna avvisar kritiken. För det första sägs inte i rapporten att personalrörligheten minskat utan den har ”varit relativt stabil under 1990-talet” (s. 48). För det andra redovisas i rapporten siffror t.o.m. 1999 medan Arbetsgivarverket redovisar siffror också för 2000 och 2001. Därvid drar man stora växlar på att nivån på rörligheten för sista året, 2001,  ligger något högre än tidigare år. Enligt revisorerna kan man inte uttala sig om  långsiktiga föränd</w:t>
      </w:r>
      <w:r w:rsidRPr="00AD33E8">
        <w:t xml:space="preserve">ringar på basis av värden för ett enstaka år. </w:t>
      </w:r>
    </w:p>
    <w:p w:rsidR="007B7A21" w:rsidRPr="00AD33E8" w:rsidRDefault="007B7A21">
      <w:pPr>
        <w:pStyle w:val="Normaltindrag"/>
      </w:pPr>
      <w:r w:rsidRPr="00AD33E8">
        <w:t xml:space="preserve">Frågan om </w:t>
      </w:r>
      <w:r w:rsidRPr="00AD33E8">
        <w:rPr>
          <w:i/>
        </w:rPr>
        <w:t>kopplingen mellan budget- och personalpolitik</w:t>
      </w:r>
      <w:r w:rsidRPr="00AD33E8">
        <w:t xml:space="preserve"> tas upp av flera remissinstanser. Revisorerna behandlar denna fråga under avsnitt 2.5 nedan.</w:t>
      </w:r>
    </w:p>
    <w:p w:rsidR="007B7A21" w:rsidRPr="00AD33E8" w:rsidRDefault="007B7A21">
      <w:pPr>
        <w:pStyle w:val="Rubrik2"/>
      </w:pPr>
      <w:bookmarkStart w:id="19" w:name="_Toc18376973"/>
      <w:bookmarkStart w:id="20" w:name="_Toc21425237"/>
      <w:r w:rsidRPr="00AD33E8">
        <w:t>Definition av den statliga personalpolitiken</w:t>
      </w:r>
      <w:bookmarkEnd w:id="19"/>
      <w:bookmarkEnd w:id="20"/>
    </w:p>
    <w:p w:rsidR="007B7A21" w:rsidRPr="00AD33E8" w:rsidRDefault="007B7A21">
      <w:pPr>
        <w:pStyle w:val="RubrikUtanNr3"/>
      </w:pPr>
      <w:bookmarkStart w:id="21" w:name="_Toc18376974"/>
      <w:bookmarkStart w:id="22" w:name="_Toc21420418"/>
      <w:bookmarkStart w:id="23" w:name="_Toc21425238"/>
      <w:r w:rsidRPr="00AD33E8">
        <w:t>Rapporten</w:t>
      </w:r>
      <w:bookmarkEnd w:id="21"/>
      <w:bookmarkEnd w:id="22"/>
      <w:bookmarkEnd w:id="23"/>
    </w:p>
    <w:p w:rsidR="007B7A21" w:rsidRPr="00AD33E8" w:rsidRDefault="007B7A21">
      <w:pPr>
        <w:pStyle w:val="Normaltindrag"/>
        <w:spacing w:before="123"/>
        <w:ind w:firstLine="0"/>
        <w:rPr>
          <w:snapToGrid w:val="0"/>
        </w:rPr>
      </w:pPr>
      <w:r w:rsidRPr="00AD33E8">
        <w:rPr>
          <w:snapToGrid w:val="0"/>
        </w:rPr>
        <w:t>I rapporten föreslog revisorerna att regeringen bör förtydliga den statliga per</w:t>
      </w:r>
      <w:r w:rsidRPr="00AD33E8">
        <w:rPr>
          <w:snapToGrid w:val="0"/>
        </w:rPr>
        <w:softHyphen/>
        <w:t>so</w:t>
      </w:r>
      <w:r w:rsidRPr="00AD33E8">
        <w:rPr>
          <w:snapToGrid w:val="0"/>
        </w:rPr>
        <w:softHyphen/>
        <w:t>nal</w:t>
      </w:r>
      <w:r w:rsidRPr="00AD33E8">
        <w:rPr>
          <w:snapToGrid w:val="0"/>
        </w:rPr>
        <w:softHyphen/>
        <w:t>politikens innehåll. I rapporten delas personalpolitiken in i två kate</w:t>
      </w:r>
      <w:r w:rsidRPr="00AD33E8">
        <w:rPr>
          <w:snapToGrid w:val="0"/>
        </w:rPr>
        <w:softHyphen/>
        <w:t>gorier, arbet</w:t>
      </w:r>
      <w:r w:rsidRPr="00AD33E8">
        <w:rPr>
          <w:snapToGrid w:val="0"/>
        </w:rPr>
        <w:softHyphen/>
        <w:t>s</w:t>
      </w:r>
      <w:r w:rsidRPr="00AD33E8">
        <w:rPr>
          <w:snapToGrid w:val="0"/>
        </w:rPr>
        <w:softHyphen/>
      </w:r>
      <w:r w:rsidRPr="00AD33E8">
        <w:rPr>
          <w:snapToGrid w:val="0"/>
        </w:rPr>
        <w:softHyphen/>
        <w:t>ledningspolitik och arbetsgivarpolitik. Dessa två kategorier kan även ses i ett externt och ett internt perspektiv. Arbets</w:t>
      </w:r>
      <w:r w:rsidRPr="00AD33E8">
        <w:rPr>
          <w:snapToGrid w:val="0"/>
        </w:rPr>
        <w:softHyphen/>
        <w:t>ledningen gäller frågor om hur medborgarna ska få en statlig tjänst utförd på bästa sätt. Arbetsgiva</w:t>
      </w:r>
      <w:r w:rsidRPr="00AD33E8">
        <w:rPr>
          <w:snapToGrid w:val="0"/>
        </w:rPr>
        <w:t>r</w:t>
      </w:r>
      <w:r w:rsidRPr="00AD33E8">
        <w:rPr>
          <w:snapToGrid w:val="0"/>
        </w:rPr>
        <w:t>fr</w:t>
      </w:r>
      <w:r w:rsidRPr="00AD33E8">
        <w:rPr>
          <w:snapToGrid w:val="0"/>
        </w:rPr>
        <w:t>å</w:t>
      </w:r>
      <w:r w:rsidRPr="00AD33E8">
        <w:rPr>
          <w:snapToGrid w:val="0"/>
        </w:rPr>
        <w:t>gor rör interna relationer i den statliga förvaltningen.</w:t>
      </w:r>
    </w:p>
    <w:p w:rsidR="007B7A21" w:rsidRPr="00AD33E8" w:rsidRDefault="007B7A21">
      <w:pPr>
        <w:pStyle w:val="Normaltindrag"/>
        <w:rPr>
          <w:snapToGrid w:val="0"/>
        </w:rPr>
      </w:pPr>
      <w:r w:rsidRPr="00AD33E8">
        <w:rPr>
          <w:snapToGrid w:val="0"/>
        </w:rPr>
        <w:t>I rapporten lämnas följande definition av statens personalpolitik: ”Perso</w:t>
      </w:r>
      <w:r w:rsidRPr="00AD33E8">
        <w:rPr>
          <w:snapToGrid w:val="0"/>
        </w:rPr>
        <w:softHyphen/>
        <w:t xml:space="preserve">nalpolitik i staten är värderingar, normer eller åtgärder som syftar till att rekrytera, leda, behålla, utveckla och avveckla statliga tjänstemän så att riksdagens beslut kan genomföras så bra som möjligt samt att relationerna mellan de anställda och den statliga arbetsgivaren regleras och hålls tydliga.” </w:t>
      </w:r>
    </w:p>
    <w:p w:rsidR="007B7A21" w:rsidRPr="00AD33E8" w:rsidRDefault="007B7A21">
      <w:pPr>
        <w:pStyle w:val="RubrikUtanNr3"/>
      </w:pPr>
      <w:bookmarkStart w:id="24" w:name="_Toc18376975"/>
      <w:bookmarkStart w:id="25" w:name="_Toc21420419"/>
      <w:bookmarkStart w:id="26" w:name="_Toc21425239"/>
      <w:r w:rsidRPr="00AD33E8">
        <w:t>Remissinstanserna</w:t>
      </w:r>
      <w:bookmarkEnd w:id="24"/>
      <w:bookmarkEnd w:id="25"/>
      <w:bookmarkEnd w:id="26"/>
    </w:p>
    <w:p w:rsidR="007B7A21" w:rsidRPr="00AD33E8" w:rsidRDefault="007B7A21">
      <w:pPr>
        <w:pStyle w:val="RubrikUtanNr3"/>
        <w:spacing w:before="123"/>
        <w:rPr>
          <w:b w:val="0"/>
          <w:i/>
        </w:rPr>
      </w:pPr>
      <w:bookmarkStart w:id="27" w:name="_Toc21420420"/>
      <w:bookmarkStart w:id="28" w:name="_Toc21425240"/>
      <w:r w:rsidRPr="00AD33E8">
        <w:rPr>
          <w:b w:val="0"/>
          <w:i/>
        </w:rPr>
        <w:t>Myndigheter som berördes av fallstudierna</w:t>
      </w:r>
      <w:bookmarkEnd w:id="27"/>
      <w:bookmarkEnd w:id="28"/>
    </w:p>
    <w:p w:rsidR="007B7A21" w:rsidRPr="00AD33E8" w:rsidRDefault="007B7A21">
      <w:r w:rsidRPr="00AD33E8">
        <w:rPr>
          <w:i/>
        </w:rPr>
        <w:t>Rikspolisstyrelsen</w:t>
      </w:r>
      <w:r w:rsidRPr="00AD33E8">
        <w:t xml:space="preserve"> anser att man behöver bättre analyser av statens roll som arbetsgivare, både i form av arbetsledningspolitik och arbetsgivarpol</w:t>
      </w:r>
      <w:r w:rsidRPr="00AD33E8">
        <w:t>i</w:t>
      </w:r>
      <w:r w:rsidRPr="00AD33E8">
        <w:t>tik.</w:t>
      </w:r>
    </w:p>
    <w:p w:rsidR="007B7A21" w:rsidRPr="00AD33E8" w:rsidRDefault="007B7A21">
      <w:pPr>
        <w:pStyle w:val="Normaltindrag"/>
      </w:pPr>
      <w:r w:rsidRPr="00AD33E8">
        <w:rPr>
          <w:i/>
        </w:rPr>
        <w:t>Riksförsäkringsverket</w:t>
      </w:r>
      <w:r w:rsidRPr="00AD33E8">
        <w:t xml:space="preserve"> och </w:t>
      </w:r>
      <w:r w:rsidRPr="00AD33E8">
        <w:rPr>
          <w:i/>
        </w:rPr>
        <w:t>Uppsala läns allmänna försäkringskassa</w:t>
      </w:r>
      <w:r w:rsidRPr="00AD33E8">
        <w:t xml:space="preserve"> stöder revisorerna i deras förslag kring regeringens ansvar gällande precisering och tydliggörande av den arbetsgivarpolitiska delegeringens räckvidd och b</w:t>
      </w:r>
      <w:r w:rsidRPr="00AD33E8">
        <w:t>e</w:t>
      </w:r>
      <w:r w:rsidRPr="00AD33E8">
        <w:t xml:space="preserve">gränsningar. </w:t>
      </w:r>
    </w:p>
    <w:p w:rsidR="007B7A21" w:rsidRPr="00AD33E8" w:rsidRDefault="007B7A21">
      <w:pPr>
        <w:pStyle w:val="Normaltindrag"/>
      </w:pPr>
      <w:r w:rsidRPr="00AD33E8">
        <w:rPr>
          <w:i/>
        </w:rPr>
        <w:t>Riksskatteverket (RSV)</w:t>
      </w:r>
      <w:r w:rsidRPr="00AD33E8">
        <w:t xml:space="preserve"> anser att den föreslagna uppdelningen av persona</w:t>
      </w:r>
      <w:r w:rsidRPr="00AD33E8">
        <w:t>l</w:t>
      </w:r>
      <w:r w:rsidRPr="00AD33E8">
        <w:t>politiken i kategorierna arbetslednings- och arbetsgivarpolitik känns frä</w:t>
      </w:r>
      <w:r w:rsidRPr="00AD33E8">
        <w:t>m</w:t>
      </w:r>
      <w:r w:rsidRPr="00AD33E8">
        <w:t>mande. Enligt RSV känns det mera lättfattligt att tala om medborgarfokus å den ena sidan och medarbetarfokus å den andra.</w:t>
      </w:r>
    </w:p>
    <w:p w:rsidR="007B7A21" w:rsidRPr="00AD33E8" w:rsidRDefault="007B7A21">
      <w:pPr>
        <w:pStyle w:val="Normaltindrag"/>
      </w:pPr>
      <w:r w:rsidRPr="00AD33E8">
        <w:rPr>
          <w:i/>
        </w:rPr>
        <w:t>Arbetsmarknadsstyrelsen (AMS)</w:t>
      </w:r>
      <w:r w:rsidRPr="00AD33E8">
        <w:t xml:space="preserve"> instämmer i att det kan finnas skäl för r</w:t>
      </w:r>
      <w:r w:rsidRPr="00AD33E8">
        <w:t>e</w:t>
      </w:r>
      <w:r w:rsidRPr="00AD33E8">
        <w:t>geringen att förtydliga den statliga arbetsgivarpolitikens innehåll. Men AMS ställer sig dock tveksamt till den föreslagna uppdelningen i två kategorier,  arbetsledningspolitik och arbetsgivarpolitik.</w:t>
      </w:r>
    </w:p>
    <w:p w:rsidR="007B7A21" w:rsidRPr="00AD33E8" w:rsidRDefault="007B7A21">
      <w:pPr>
        <w:pStyle w:val="R4"/>
      </w:pPr>
      <w:r w:rsidRPr="00AD33E8">
        <w:t>Övriga myndigheter</w:t>
      </w:r>
    </w:p>
    <w:p w:rsidR="007B7A21" w:rsidRPr="00AD33E8" w:rsidRDefault="007B7A21">
      <w:r w:rsidRPr="00AD33E8">
        <w:rPr>
          <w:i/>
        </w:rPr>
        <w:t>Statistiska centralbyrån (SCB)</w:t>
      </w:r>
      <w:r w:rsidRPr="00AD33E8">
        <w:t xml:space="preserve"> anser att rapportens uppdelning av persona</w:t>
      </w:r>
      <w:r w:rsidRPr="00AD33E8">
        <w:t>l</w:t>
      </w:r>
      <w:r w:rsidRPr="00AD33E8">
        <w:t>politiken i två delar är relevant. SCB tillstyrker att en konkretisering av inn</w:t>
      </w:r>
      <w:r w:rsidRPr="00AD33E8">
        <w:t>e</w:t>
      </w:r>
      <w:r w:rsidRPr="00AD33E8">
        <w:t>börden av dessa begrepp görs av regeringen så att de blir både styrande och uppföljningsbara.</w:t>
      </w:r>
    </w:p>
    <w:p w:rsidR="007B7A21" w:rsidRPr="00AD33E8" w:rsidRDefault="007B7A21">
      <w:pPr>
        <w:pStyle w:val="Normaltindrag"/>
      </w:pPr>
      <w:r w:rsidRPr="00AD33E8">
        <w:t>Enligt</w:t>
      </w:r>
      <w:r w:rsidRPr="00AD33E8">
        <w:rPr>
          <w:i/>
        </w:rPr>
        <w:t xml:space="preserve"> Statens kvalitets- och kompetensråds (KKR)</w:t>
      </w:r>
      <w:r w:rsidRPr="00AD33E8">
        <w:t xml:space="preserve"> mening är det viktigt att betona att personalpolitik är sammanflätad med förvaltningspolitik och budgetpolitik och därmed med verksamhetsmål och medborgarperspektiv. KKR saknar här resonemang som anknyter till verksamhetsutveckling som ett sätt att göra denna koppling på ett genomtänkt och strukturerat sätt. En kategorisering av personalpolitik på det sätt revisorerna gör i rapporten ökar enligt KKR inte tydligheten.</w:t>
      </w:r>
    </w:p>
    <w:p w:rsidR="007B7A21" w:rsidRPr="00AD33E8" w:rsidRDefault="007B7A21">
      <w:pPr>
        <w:pStyle w:val="Normaltindrag"/>
      </w:pPr>
      <w:r w:rsidRPr="00AD33E8">
        <w:rPr>
          <w:i/>
        </w:rPr>
        <w:t xml:space="preserve">Handikappombudsmannen (HO) </w:t>
      </w:r>
      <w:r w:rsidRPr="00AD33E8">
        <w:t>instämmer i rapportens uppfattning att begreppet statlig personalpolitik behöver definieras. Enligt HO fungerar rapportens indelning av begreppet i två kategorier bra och kan tjäna som utgångspunkt för det fortsatta arbetet med att utveckla statens personalpol</w:t>
      </w:r>
      <w:r w:rsidRPr="00AD33E8">
        <w:t>i</w:t>
      </w:r>
      <w:r w:rsidRPr="00AD33E8">
        <w:t>tik.</w:t>
      </w:r>
    </w:p>
    <w:p w:rsidR="007B7A21" w:rsidRPr="00AD33E8" w:rsidRDefault="007B7A21">
      <w:pPr>
        <w:pStyle w:val="Normaltindrag"/>
      </w:pPr>
      <w:r w:rsidRPr="00AD33E8">
        <w:rPr>
          <w:i/>
        </w:rPr>
        <w:t>Arbetsgivarverket</w:t>
      </w:r>
      <w:r w:rsidRPr="00AD33E8">
        <w:t xml:space="preserve"> anser att det saknas behov av mera exakta definitioner av personalpolitiken. Man menar att begreppet personalpolitik och arbetsg</w:t>
      </w:r>
      <w:r w:rsidRPr="00AD33E8">
        <w:t>i</w:t>
      </w:r>
      <w:r w:rsidRPr="00AD33E8">
        <w:t>varpolitik snarare står för två olika sätt att närma sig samma frågeområde. Båda syftar på arbetsgivarens förhållningssätt och agerande i relation till anställda. Enligt Arbetsgivarverket är det centrala en tydlig rollfördelning mellan regeringen,  my</w:t>
      </w:r>
      <w:r w:rsidRPr="00AD33E8">
        <w:t>n</w:t>
      </w:r>
      <w:r w:rsidRPr="00AD33E8">
        <w:t>digheter och Arbetsgivarverket.</w:t>
      </w:r>
    </w:p>
    <w:p w:rsidR="007B7A21" w:rsidRPr="00AD33E8" w:rsidRDefault="007B7A21">
      <w:pPr>
        <w:pStyle w:val="Normaltindrag"/>
      </w:pPr>
      <w:r w:rsidRPr="00AD33E8">
        <w:rPr>
          <w:i/>
        </w:rPr>
        <w:t xml:space="preserve">Arbetsmiljöverket </w:t>
      </w:r>
      <w:r w:rsidRPr="00AD33E8">
        <w:t>anser att rapportens definition av personalpolitik kan u</w:t>
      </w:r>
      <w:r w:rsidRPr="00AD33E8">
        <w:t>t</w:t>
      </w:r>
      <w:r w:rsidRPr="00AD33E8">
        <w:t>vecklas ytterligare. Man pekar t.ex. på avtalet Samverkan för utveckling från 1997 och ramavtalet 2001 för löner. I dessa dokument finns skrivningar som med utgångspunkt i verksamhet och personalpolitikens mål ger balans me</w:t>
      </w:r>
      <w:r w:rsidRPr="00AD33E8">
        <w:t>l</w:t>
      </w:r>
      <w:r w:rsidRPr="00AD33E8">
        <w:t>lan arbetsgivarens och de anställdas intressen. Enligt Arbetsmiljöverket handlar den definition som föreslagits i rapporten i huvudsak om arbetsgiv</w:t>
      </w:r>
      <w:r w:rsidRPr="00AD33E8">
        <w:t>a</w:t>
      </w:r>
      <w:r w:rsidRPr="00AD33E8">
        <w:t>rens behov.</w:t>
      </w:r>
    </w:p>
    <w:p w:rsidR="007B7A21" w:rsidRPr="00AD33E8" w:rsidRDefault="007B7A21">
      <w:pPr>
        <w:pStyle w:val="R4"/>
      </w:pPr>
      <w:r w:rsidRPr="00AD33E8">
        <w:t>Fackliga organisationer</w:t>
      </w:r>
    </w:p>
    <w:p w:rsidR="007B7A21" w:rsidRPr="00AD33E8" w:rsidRDefault="007B7A21">
      <w:r w:rsidRPr="00AD33E8">
        <w:t>Statstjänstemannaförbundet (ST) pekar på konceptet 24-timmarsmyndig-heten som exempel på områden där avsaknaden av en samlad statlig pers</w:t>
      </w:r>
      <w:r w:rsidRPr="00AD33E8">
        <w:t>o</w:t>
      </w:r>
      <w:r w:rsidRPr="00AD33E8">
        <w:t>nalpolitik är särskilt allvarlig</w:t>
      </w:r>
      <w:r w:rsidRPr="00AD33E8">
        <w:rPr>
          <w:rStyle w:val="Fotnotsreferens"/>
        </w:rPr>
        <w:footnoteReference w:id="6"/>
      </w:r>
      <w:r w:rsidRPr="00AD33E8">
        <w:t>. Förbundet menar att ingen har haft ansvaret för de personalpolitiska aspekterna i utvecklingsarbetet kring 24-timmarsmyndigheten.</w:t>
      </w:r>
    </w:p>
    <w:p w:rsidR="007B7A21" w:rsidRPr="00AD33E8" w:rsidRDefault="007B7A21">
      <w:pPr>
        <w:pStyle w:val="RubrikUtanNr3"/>
      </w:pPr>
      <w:bookmarkStart w:id="29" w:name="_Toc18376976"/>
      <w:bookmarkStart w:id="30" w:name="_Toc21420421"/>
      <w:bookmarkStart w:id="31" w:name="_Toc21425241"/>
      <w:r w:rsidRPr="00AD33E8">
        <w:t>Revisorerna</w:t>
      </w:r>
      <w:bookmarkEnd w:id="29"/>
      <w:bookmarkEnd w:id="30"/>
      <w:bookmarkEnd w:id="31"/>
    </w:p>
    <w:p w:rsidR="007B7A21" w:rsidRPr="00AD33E8" w:rsidRDefault="007B7A21">
      <w:r w:rsidRPr="00AD33E8">
        <w:t>Enligt revisorerna har definitioner i allmänhet inget egenvärde utan syftar till att ge perspektiv och struktur åt det man studerar eller arbetar med. Bra def</w:t>
      </w:r>
      <w:r w:rsidRPr="00AD33E8">
        <w:t>i</w:t>
      </w:r>
      <w:r w:rsidRPr="00AD33E8">
        <w:t>nitioner fyller därför en operativ  och praktisk funktion till hjälp för att fö</w:t>
      </w:r>
      <w:r w:rsidRPr="00AD33E8">
        <w:t>r</w:t>
      </w:r>
      <w:r w:rsidRPr="00AD33E8">
        <w:t>bättra verksamheten utan att de därför är heltäckande. Man kan, vilket också remissinstanserna gör, diskutera den uppdelning i två delar som i rapporten görs av personalpolitiken i två delar. Revisorerna vill dock lyfta fram pe</w:t>
      </w:r>
      <w:r w:rsidRPr="00AD33E8">
        <w:t>r</w:t>
      </w:r>
      <w:r w:rsidRPr="00AD33E8">
        <w:t>spektivet att begreppet ”personalpolitik” är större än begreppet ”arbetsgivarpolitik”. Revisorerna håller med Arbetsgivarverket om att dessa begrepp kan stå för två olika sätt att närma sig samma sak, om</w:t>
      </w:r>
      <w:r w:rsidRPr="00AD33E8">
        <w:t xml:space="preserve"> den statliga verksamheten och dess anställda. Revisorerna håller däremot inte med A</w:t>
      </w:r>
      <w:r w:rsidRPr="00AD33E8">
        <w:t>r</w:t>
      </w:r>
      <w:r w:rsidRPr="00AD33E8">
        <w:t>betsgivarverket om att dagens traditionella, arbetsgivarpolitiskt inspirerade system regering –arbetsgivarverk – myndighet är tillräckligt för att staten ska bedriva en bra pers</w:t>
      </w:r>
      <w:r w:rsidRPr="00AD33E8">
        <w:t>o</w:t>
      </w:r>
      <w:r w:rsidRPr="00AD33E8">
        <w:t xml:space="preserve">nalpolitik. </w:t>
      </w:r>
    </w:p>
    <w:p w:rsidR="007B7A21" w:rsidRPr="00AD33E8" w:rsidRDefault="007B7A21">
      <w:pPr>
        <w:spacing w:before="0"/>
        <w:ind w:firstLine="170"/>
      </w:pPr>
      <w:r w:rsidRPr="00AD33E8">
        <w:t>Som framgått av avsnitt 2.1 ovan anser revisorerna att den arbetsgivarpol</w:t>
      </w:r>
      <w:r w:rsidRPr="00AD33E8">
        <w:t>i</w:t>
      </w:r>
      <w:r w:rsidRPr="00AD33E8">
        <w:t>tiska delegeringen inte är tillräcklig för en bra personalpolitik. Revisorerna ställer sig  också undrande inför hur staten, som en av parterna på arbet</w:t>
      </w:r>
      <w:r w:rsidRPr="00AD33E8">
        <w:t>s</w:t>
      </w:r>
      <w:r w:rsidRPr="00AD33E8">
        <w:t>marknaden, ska kunna leva upp till de mycket ambitiösa målsättningar om t.ex. en utvecklad arbetsorganisation som anges i det samverkansavtal A</w:t>
      </w:r>
      <w:r w:rsidRPr="00AD33E8">
        <w:t>r</w:t>
      </w:r>
      <w:r w:rsidRPr="00AD33E8">
        <w:t>betsmiljöverket hänvisar till. Revisorerna ställer sig frågande inför hur detta ska gå till om staten inte har en samlad, konkret och tydlig personalpolitik. Nästan alla remissinstanser efterlyser, och rentav välko</w:t>
      </w:r>
      <w:r w:rsidRPr="00AD33E8">
        <w:t>mnar, ett sådant fö</w:t>
      </w:r>
      <w:r w:rsidRPr="00AD33E8">
        <w:t>r</w:t>
      </w:r>
      <w:r w:rsidRPr="00AD33E8">
        <w:t xml:space="preserve">tydligande. </w:t>
      </w:r>
    </w:p>
    <w:p w:rsidR="007B7A21" w:rsidRPr="00AD33E8" w:rsidRDefault="007B7A21">
      <w:pPr>
        <w:pStyle w:val="Normaltindrag"/>
      </w:pPr>
      <w:r w:rsidRPr="00AD33E8">
        <w:t>Exemplet om 24-timmarsmyndigheten som ST anför ovan är också bel</w:t>
      </w:r>
      <w:r w:rsidRPr="00AD33E8">
        <w:t>y</w:t>
      </w:r>
      <w:r w:rsidRPr="00AD33E8">
        <w:t>sande för hur den tekniska utvecklingen enligt revisorerna anammats utan att regeringen satt in den i ett persona</w:t>
      </w:r>
      <w:r w:rsidRPr="00AD33E8">
        <w:t>l</w:t>
      </w:r>
      <w:r w:rsidRPr="00AD33E8">
        <w:t>politiskt perspektiv</w:t>
      </w:r>
      <w:r w:rsidRPr="00AD33E8">
        <w:rPr>
          <w:rStyle w:val="Fotnotsreferens"/>
        </w:rPr>
        <w:footnoteReference w:id="7"/>
      </w:r>
      <w:r w:rsidRPr="00AD33E8">
        <w:t xml:space="preserve">. </w:t>
      </w:r>
    </w:p>
    <w:p w:rsidR="007B7A21" w:rsidRPr="00AD33E8" w:rsidRDefault="007B7A21">
      <w:pPr>
        <w:pStyle w:val="Normaltindrag"/>
      </w:pPr>
      <w:r w:rsidRPr="00AD33E8">
        <w:t>Revisorernas förslag lämnas under avsnitt 2.3 nedan.</w:t>
      </w:r>
    </w:p>
    <w:p w:rsidR="007B7A21" w:rsidRPr="00AD33E8" w:rsidRDefault="007B7A21">
      <w:pPr>
        <w:pStyle w:val="Normaltindrag"/>
      </w:pPr>
    </w:p>
    <w:p w:rsidR="007B7A21" w:rsidRPr="00AD33E8" w:rsidRDefault="007B7A21">
      <w:pPr>
        <w:pStyle w:val="Rubrik2"/>
      </w:pPr>
      <w:bookmarkStart w:id="32" w:name="_Toc18376977"/>
      <w:bookmarkStart w:id="33" w:name="_Toc21425242"/>
      <w:r w:rsidRPr="00AD33E8">
        <w:t>Precisering av den arbetsgivarpolitiska delegeringen</w:t>
      </w:r>
      <w:bookmarkEnd w:id="32"/>
      <w:bookmarkEnd w:id="33"/>
    </w:p>
    <w:p w:rsidR="007B7A21" w:rsidRPr="00AD33E8" w:rsidRDefault="007B7A21">
      <w:pPr>
        <w:pStyle w:val="RubrikUtanNr3"/>
      </w:pPr>
      <w:bookmarkStart w:id="34" w:name="_Toc18376978"/>
      <w:bookmarkStart w:id="35" w:name="_Toc21420423"/>
      <w:bookmarkStart w:id="36" w:name="_Toc21425243"/>
      <w:r w:rsidRPr="00AD33E8">
        <w:t>Rapporten</w:t>
      </w:r>
      <w:bookmarkEnd w:id="34"/>
      <w:bookmarkEnd w:id="35"/>
      <w:bookmarkEnd w:id="36"/>
    </w:p>
    <w:p w:rsidR="007B7A21" w:rsidRPr="00AD33E8" w:rsidRDefault="007B7A21">
      <w:pPr>
        <w:rPr>
          <w:snapToGrid w:val="0"/>
        </w:rPr>
      </w:pPr>
      <w:r w:rsidRPr="00AD33E8">
        <w:t xml:space="preserve">I rapporten konstaterade revisorerna att </w:t>
      </w:r>
      <w:r w:rsidRPr="00AD33E8">
        <w:rPr>
          <w:snapToGrid w:val="0"/>
        </w:rPr>
        <w:t>den arbetsgivarpolitiska delege</w:t>
      </w:r>
      <w:r w:rsidRPr="00AD33E8">
        <w:rPr>
          <w:snapToGrid w:val="0"/>
        </w:rPr>
        <w:softHyphen/>
        <w:t xml:space="preserve">ringen bör fortsätta att utvecklas samtidigt som dess innebörd och räckvidd på flera punkter behöver preciseras eller avgränsas. Enligt rapporten </w:t>
      </w:r>
      <w:r w:rsidRPr="00AD33E8">
        <w:t xml:space="preserve">innebär en </w:t>
      </w:r>
      <w:r w:rsidRPr="00AD33E8">
        <w:rPr>
          <w:snapToGrid w:val="0"/>
        </w:rPr>
        <w:t>pe</w:t>
      </w:r>
      <w:r w:rsidRPr="00AD33E8">
        <w:rPr>
          <w:snapToGrid w:val="0"/>
        </w:rPr>
        <w:t>r</w:t>
      </w:r>
      <w:r w:rsidRPr="00AD33E8">
        <w:rPr>
          <w:snapToGrid w:val="0"/>
        </w:rPr>
        <w:t>sonalpolitik i staten som i alltför hög grad inriktas på arbets</w:t>
      </w:r>
      <w:r w:rsidRPr="00AD33E8">
        <w:rPr>
          <w:snapToGrid w:val="0"/>
        </w:rPr>
        <w:softHyphen/>
        <w:t>givar</w:t>
      </w:r>
      <w:r w:rsidRPr="00AD33E8">
        <w:rPr>
          <w:snapToGrid w:val="0"/>
        </w:rPr>
        <w:softHyphen/>
        <w:t>rollen att man bortser från andra centrala delar av personalpolitiken och  från person</w:t>
      </w:r>
      <w:r w:rsidRPr="00AD33E8">
        <w:rPr>
          <w:snapToGrid w:val="0"/>
        </w:rPr>
        <w:t>a</w:t>
      </w:r>
      <w:r w:rsidRPr="00AD33E8">
        <w:rPr>
          <w:snapToGrid w:val="0"/>
        </w:rPr>
        <w:t>lens relation till me</w:t>
      </w:r>
      <w:r w:rsidRPr="00AD33E8">
        <w:rPr>
          <w:snapToGrid w:val="0"/>
        </w:rPr>
        <w:t>d</w:t>
      </w:r>
      <w:r w:rsidRPr="00AD33E8">
        <w:rPr>
          <w:snapToGrid w:val="0"/>
        </w:rPr>
        <w:t xml:space="preserve">borgarna. </w:t>
      </w:r>
    </w:p>
    <w:p w:rsidR="007B7A21" w:rsidRPr="00AD33E8" w:rsidRDefault="007B7A21">
      <w:pPr>
        <w:pStyle w:val="Normaltindrag"/>
      </w:pPr>
      <w:r w:rsidRPr="00AD33E8">
        <w:t>Regeringen bör enligt rapporten precisera och tydliggöra den arbetsgiva</w:t>
      </w:r>
      <w:r w:rsidRPr="00AD33E8">
        <w:t>r</w:t>
      </w:r>
      <w:r w:rsidRPr="00AD33E8">
        <w:t>politiska delegeringens räckvidd och begränsningar på främst tre omr</w:t>
      </w:r>
      <w:r w:rsidRPr="00AD33E8">
        <w:t>å</w:t>
      </w:r>
      <w:r w:rsidRPr="00AD33E8">
        <w:t>den:</w:t>
      </w:r>
    </w:p>
    <w:p w:rsidR="007B7A21" w:rsidRPr="00AD33E8" w:rsidRDefault="007B7A21">
      <w:pPr>
        <w:pStyle w:val="Normaltindrag"/>
        <w:ind w:firstLine="0"/>
      </w:pPr>
      <w:r w:rsidRPr="00AD33E8">
        <w:t>–  Delegering innebär inte godtycke.</w:t>
      </w:r>
    </w:p>
    <w:p w:rsidR="007B7A21" w:rsidRPr="00AD33E8" w:rsidRDefault="007B7A21">
      <w:pPr>
        <w:pStyle w:val="Normaltindrag"/>
        <w:ind w:firstLine="0"/>
      </w:pPr>
      <w:r w:rsidRPr="00AD33E8">
        <w:t>–  Arbetslednings- och arbetsgivarfrågor är  inte identiska.</w:t>
      </w:r>
    </w:p>
    <w:p w:rsidR="007B7A21" w:rsidRPr="00AD33E8" w:rsidRDefault="007B7A21">
      <w:pPr>
        <w:pStyle w:val="Normaltindrag"/>
        <w:ind w:firstLine="0"/>
      </w:pPr>
      <w:r w:rsidRPr="00AD33E8">
        <w:t>–  Innebörden av personalpolitikens mål kan inte delegeras.</w:t>
      </w:r>
    </w:p>
    <w:p w:rsidR="007B7A21" w:rsidRPr="00AD33E8" w:rsidRDefault="007B7A21">
      <w:pPr>
        <w:spacing w:before="0"/>
      </w:pPr>
      <w:r w:rsidRPr="00AD33E8">
        <w:t xml:space="preserve">Huvudbudskapet i rapporten är att </w:t>
      </w:r>
      <w:r w:rsidRPr="00AD33E8">
        <w:rPr>
          <w:snapToGrid w:val="0"/>
        </w:rPr>
        <w:t>delegeringen eller ett minskat regelverk inte medför att regeringen kan avstå från att ange normer till vägledning för de statliga arbetsgivarna. Uppföljningen blir därmed en viktig del i regerin</w:t>
      </w:r>
      <w:r w:rsidRPr="00AD33E8">
        <w:rPr>
          <w:snapToGrid w:val="0"/>
        </w:rPr>
        <w:t>g</w:t>
      </w:r>
      <w:r w:rsidRPr="00AD33E8">
        <w:rPr>
          <w:snapToGrid w:val="0"/>
        </w:rPr>
        <w:t>ens arbete med att utveckla den statliga personalpolitiken. Regeringen bör enligt rapporten konkretisera viktiga begrepp som saklighet och effektivitet så att de blir både styrande och uppföljningsbara inom den statliga persona</w:t>
      </w:r>
      <w:r w:rsidRPr="00AD33E8">
        <w:rPr>
          <w:snapToGrid w:val="0"/>
        </w:rPr>
        <w:t>l</w:t>
      </w:r>
      <w:r w:rsidRPr="00AD33E8">
        <w:rPr>
          <w:snapToGrid w:val="0"/>
        </w:rPr>
        <w:t>politiken.</w:t>
      </w:r>
    </w:p>
    <w:p w:rsidR="007B7A21" w:rsidRPr="00AD33E8" w:rsidRDefault="007B7A21">
      <w:pPr>
        <w:pStyle w:val="RubrikUtanNr3"/>
      </w:pPr>
      <w:bookmarkStart w:id="37" w:name="_Toc18376979"/>
      <w:bookmarkStart w:id="38" w:name="_Toc21420424"/>
      <w:bookmarkStart w:id="39" w:name="_Toc21425244"/>
      <w:r w:rsidRPr="00AD33E8">
        <w:t>Remissinstanserna</w:t>
      </w:r>
      <w:bookmarkEnd w:id="37"/>
      <w:bookmarkEnd w:id="38"/>
      <w:bookmarkEnd w:id="39"/>
    </w:p>
    <w:p w:rsidR="007B7A21" w:rsidRPr="00AD33E8" w:rsidRDefault="007B7A21">
      <w:pPr>
        <w:pStyle w:val="R4"/>
      </w:pPr>
      <w:r w:rsidRPr="00AD33E8">
        <w:t>Myndigheter som berördes av fallstudierna</w:t>
      </w:r>
    </w:p>
    <w:p w:rsidR="007B7A21" w:rsidRPr="00AD33E8" w:rsidRDefault="007B7A21">
      <w:r w:rsidRPr="00AD33E8">
        <w:rPr>
          <w:i/>
          <w:snapToGrid w:val="0"/>
        </w:rPr>
        <w:t>Riksförsäkringsverket (RFV)</w:t>
      </w:r>
      <w:r w:rsidRPr="00AD33E8">
        <w:rPr>
          <w:snapToGrid w:val="0"/>
        </w:rPr>
        <w:t xml:space="preserve"> stöder revisorerna i deras förslag kring rege</w:t>
      </w:r>
      <w:r w:rsidRPr="00AD33E8">
        <w:rPr>
          <w:snapToGrid w:val="0"/>
        </w:rPr>
        <w:t>r</w:t>
      </w:r>
      <w:r w:rsidRPr="00AD33E8">
        <w:rPr>
          <w:snapToGrid w:val="0"/>
        </w:rPr>
        <w:t>ingens ansvar gällande precisering och tydliggörande av den arbetsgivarpol</w:t>
      </w:r>
      <w:r w:rsidRPr="00AD33E8">
        <w:rPr>
          <w:snapToGrid w:val="0"/>
        </w:rPr>
        <w:t>i</w:t>
      </w:r>
      <w:r w:rsidRPr="00AD33E8">
        <w:rPr>
          <w:snapToGrid w:val="0"/>
        </w:rPr>
        <w:t xml:space="preserve">tiska delegeringens räckvidd och begränsningar. RFV uppskattar vidare tanken i rapporten på att uppföljningen och de styrande dokumenten blir mer entydiga. </w:t>
      </w:r>
      <w:r w:rsidRPr="00AD33E8">
        <w:rPr>
          <w:i/>
        </w:rPr>
        <w:t xml:space="preserve">Uppsala läns allmänna försäkringskassa </w:t>
      </w:r>
      <w:r w:rsidRPr="00AD33E8">
        <w:t>delar rapportens syn på att begreppet statlig personalpolitik behöver definieras tydligare och att innebörden av den arbetsgivarpolitiska delegeringen måste preciseras ytterl</w:t>
      </w:r>
      <w:r w:rsidRPr="00AD33E8">
        <w:t>i</w:t>
      </w:r>
      <w:r w:rsidRPr="00AD33E8">
        <w:t>gare.</w:t>
      </w:r>
    </w:p>
    <w:p w:rsidR="007B7A21" w:rsidRPr="00AD33E8" w:rsidRDefault="007B7A21">
      <w:pPr>
        <w:pStyle w:val="Normaltindrag"/>
      </w:pPr>
      <w:r w:rsidRPr="00AD33E8">
        <w:rPr>
          <w:i/>
        </w:rPr>
        <w:t>Riksskatteverk</w:t>
      </w:r>
      <w:r w:rsidRPr="00AD33E8">
        <w:rPr>
          <w:i/>
        </w:rPr>
        <w:t>et (RSV)</w:t>
      </w:r>
      <w:r w:rsidRPr="00AD33E8">
        <w:t xml:space="preserve"> tar upp de små myndigheternas situation vars resu</w:t>
      </w:r>
      <w:r w:rsidRPr="00AD33E8">
        <w:t>r</w:t>
      </w:r>
      <w:r w:rsidRPr="00AD33E8">
        <w:t>ser för utveckling av personal- och förvaltningspolitiken är begränsade. Enligt RSV är det en brist att det inte finns något statligt organ som har till uppgift att konkret och konsultativt biträda de små myndigheterna i detta arbete. En uppenbar risk med dagens situation är enligt RSV att kvalitet och förhållningssätt med tiden kan komma att starkt variera mellan olika delar av statsförvaltningen.</w:t>
      </w:r>
    </w:p>
    <w:p w:rsidR="007B7A21" w:rsidRPr="00AD33E8" w:rsidRDefault="007B7A21">
      <w:pPr>
        <w:pStyle w:val="Normaltindrag"/>
        <w:rPr>
          <w:snapToGrid w:val="0"/>
        </w:rPr>
      </w:pPr>
      <w:r w:rsidRPr="00AD33E8">
        <w:rPr>
          <w:i/>
        </w:rPr>
        <w:t>Arbetsmarknadsstyrelsen (AMS)</w:t>
      </w:r>
      <w:r w:rsidRPr="00AD33E8">
        <w:t xml:space="preserve"> anser att den arbetsgivarpolitiska deleg</w:t>
      </w:r>
      <w:r w:rsidRPr="00AD33E8">
        <w:t>e</w:t>
      </w:r>
      <w:r w:rsidRPr="00AD33E8">
        <w:t>ringen är en viktig förutsättning för den statliga personalpolitiken och den statliga verksamhetens förnyelse. Den arbetsgivarpolitiska delegeringen bör därför enligt AMS fortsätta att utvecklas och samtidigt preciseras och b</w:t>
      </w:r>
      <w:r w:rsidRPr="00AD33E8">
        <w:t>e</w:t>
      </w:r>
      <w:r w:rsidRPr="00AD33E8">
        <w:t>gränsas. AMS instämmer i rapportens betoning av att delegering inte får innebära godtycke och i vikten av att beslut fattas på konkreta grunder. Man ställer sig dock tveksam till rapportens uppdelning mellan arbetsledningsfr</w:t>
      </w:r>
      <w:r w:rsidRPr="00AD33E8">
        <w:t>å</w:t>
      </w:r>
      <w:r w:rsidRPr="00AD33E8">
        <w:t>gor och arbetsgivar</w:t>
      </w:r>
      <w:r w:rsidRPr="00AD33E8">
        <w:t>frågor i staten. AMS instämmer i rapportens krav på saklighet och anser att regeringen kan sätta upp mål för den statliga pers</w:t>
      </w:r>
      <w:r w:rsidRPr="00AD33E8">
        <w:t>o</w:t>
      </w:r>
      <w:r w:rsidRPr="00AD33E8">
        <w:t>nalpolitiken på en övergripande nivå. Det bör dock enligt AMS vara varje myndighets ansvar att konkretisera innebörden av de övergripande målen och ange hur dessa ska up</w:t>
      </w:r>
      <w:r w:rsidRPr="00AD33E8">
        <w:t>p</w:t>
      </w:r>
      <w:r w:rsidRPr="00AD33E8">
        <w:t>nås.</w:t>
      </w:r>
    </w:p>
    <w:p w:rsidR="007B7A21" w:rsidRPr="00AD33E8" w:rsidRDefault="007B7A21">
      <w:pPr>
        <w:pStyle w:val="R4"/>
      </w:pPr>
      <w:r w:rsidRPr="00AD33E8">
        <w:t>Övriga myndigheter</w:t>
      </w:r>
    </w:p>
    <w:p w:rsidR="007B7A21" w:rsidRPr="00AD33E8" w:rsidRDefault="007B7A21">
      <w:r w:rsidRPr="00AD33E8">
        <w:t>Enligt</w:t>
      </w:r>
      <w:r w:rsidRPr="00AD33E8">
        <w:rPr>
          <w:i/>
        </w:rPr>
        <w:t xml:space="preserve"> Statens kvalitets- och kompetensråd (KKR)</w:t>
      </w:r>
      <w:r w:rsidRPr="00AD33E8">
        <w:t xml:space="preserve"> är myndigheterna väl införstådda med sitt ansvar att göra en avvägning mellan den egna myndi</w:t>
      </w:r>
      <w:r w:rsidRPr="00AD33E8">
        <w:t>g</w:t>
      </w:r>
      <w:r w:rsidRPr="00AD33E8">
        <w:t>hetens behov och en anpassning till det som är bäst för staten som sektor. I sammanhanget pekar KKR på den arbetsgivarsamverkan som sker genom Arbetsgivarverkets försorg. Enligt KKR:s uppfattning har många myndigh</w:t>
      </w:r>
      <w:r w:rsidRPr="00AD33E8">
        <w:t>e</w:t>
      </w:r>
      <w:r w:rsidRPr="00AD33E8">
        <w:t>ter redan inlett ett arbete med att i högre grad än hittills anpassa sin verksa</w:t>
      </w:r>
      <w:r w:rsidRPr="00AD33E8">
        <w:t>m</w:t>
      </w:r>
      <w:r w:rsidRPr="00AD33E8">
        <w:t>het till de förväntningar som uttrycks i regeringens förvaltningspolitiska handlin</w:t>
      </w:r>
      <w:r w:rsidRPr="00AD33E8">
        <w:t>gsprogram, En förvaltning i demokratins tjänst. KKR ställer sig vid</w:t>
      </w:r>
      <w:r w:rsidRPr="00AD33E8">
        <w:t>a</w:t>
      </w:r>
      <w:r w:rsidRPr="00AD33E8">
        <w:t>re frågande till de ståndpunkter som förs fram i rapporten under rubriken ”Innebörden av personalpolitikens mål kan inte delegeras” och är osäker på vad som föreslås. I den mån det behövs generella förtydliganden av vissa begrepp kan det lämpligen göras i verksförordningen. Enligt KKR anges att begrepp som effektivitet enbart torde kunna få en konkret innebörd om de sätts i relation till respektive myndighets verksamhet. Detta sker också en</w:t>
      </w:r>
      <w:r w:rsidRPr="00AD33E8">
        <w:t>ligt KKR i regl</w:t>
      </w:r>
      <w:r w:rsidRPr="00AD33E8">
        <w:t>e</w:t>
      </w:r>
      <w:r w:rsidRPr="00AD33E8">
        <w:t>ringsbreven.</w:t>
      </w:r>
    </w:p>
    <w:p w:rsidR="007B7A21" w:rsidRPr="00AD33E8" w:rsidRDefault="007B7A21">
      <w:pPr>
        <w:pStyle w:val="Normaltindrag"/>
      </w:pPr>
      <w:r w:rsidRPr="00AD33E8">
        <w:rPr>
          <w:i/>
        </w:rPr>
        <w:t>Handikappombudsmannen (HO)</w:t>
      </w:r>
      <w:r w:rsidRPr="00AD33E8">
        <w:t xml:space="preserve"> konstaterar att rapportens överväganden och förslag om preciseringar av den arbetsgivarpolitiska delegeringen ligger väl i linje med den handikappolitiska utvecklingen. Man pekar på den av riksdagen antagna nationella handikapplanen där staten ska vara ett föredöme och leda utvecklingen mot de handikappolitiska målen. HO pekar på att staten ska vara ett föredöme som arbetsplats för personer med funktionshi</w:t>
      </w:r>
      <w:r w:rsidRPr="00AD33E8">
        <w:t>n</w:t>
      </w:r>
      <w:r w:rsidRPr="00AD33E8">
        <w:t>der. Men myndigheterna bör enligt HO också verka för att göra sina lokaler samt sin information och v</w:t>
      </w:r>
      <w:r w:rsidRPr="00AD33E8">
        <w:t>erksamhet tillgänglig för medborgare med fun</w:t>
      </w:r>
      <w:r w:rsidRPr="00AD33E8">
        <w:t>k</w:t>
      </w:r>
      <w:r w:rsidRPr="00AD33E8">
        <w:t>tionshinder.</w:t>
      </w:r>
    </w:p>
    <w:p w:rsidR="007B7A21" w:rsidRPr="00AD33E8" w:rsidRDefault="007B7A21">
      <w:pPr>
        <w:pStyle w:val="Normaltindrag"/>
      </w:pPr>
      <w:r w:rsidRPr="00AD33E8">
        <w:rPr>
          <w:i/>
        </w:rPr>
        <w:t>Arbetsgivarverket</w:t>
      </w:r>
      <w:r w:rsidRPr="00AD33E8">
        <w:t xml:space="preserve"> anger att arbetsgivarpolitiken syftar till att, med hänsyn till det gemensammas bästa, ge goda förutsättningar för varje myndighets lokala personalpolitik.  Den gemensamma statliga arbetsgivarpolitiken u</w:t>
      </w:r>
      <w:r w:rsidRPr="00AD33E8">
        <w:t>t</w:t>
      </w:r>
      <w:r w:rsidRPr="00AD33E8">
        <w:t>vecklas enligt Arbetsgivarverket inom arbetsgivarorganisationen Arbetsg</w:t>
      </w:r>
      <w:r w:rsidRPr="00AD33E8">
        <w:t>i</w:t>
      </w:r>
      <w:r w:rsidRPr="00AD33E8">
        <w:t>varverket grundad på myndigheternas personalpolitiska behov. Enligt A</w:t>
      </w:r>
      <w:r w:rsidRPr="00AD33E8">
        <w:t>r</w:t>
      </w:r>
      <w:r w:rsidRPr="00AD33E8">
        <w:t>betsgivarverket påverkar regeringen innehållet i myndigheternas personalp</w:t>
      </w:r>
      <w:r w:rsidRPr="00AD33E8">
        <w:t>o</w:t>
      </w:r>
      <w:r w:rsidRPr="00AD33E8">
        <w:t>litik genom att ställa generella krav, följa upp och delge synpunkter i dialog med myndighe</w:t>
      </w:r>
      <w:r w:rsidRPr="00AD33E8">
        <w:t>terna. Myndigheternas personalpolitiska behov påverkar enligt Arbetsgivarverket hur myndigheterna utformar den gemensamma arbetsg</w:t>
      </w:r>
      <w:r w:rsidRPr="00AD33E8">
        <w:t>i</w:t>
      </w:r>
      <w:r w:rsidRPr="00AD33E8">
        <w:t>varpolitiken via Arbetsgivarverket. Regeringen kan således enligt Arbetsg</w:t>
      </w:r>
      <w:r w:rsidRPr="00AD33E8">
        <w:t>i</w:t>
      </w:r>
      <w:r w:rsidRPr="00AD33E8">
        <w:t xml:space="preserve">varverket påverka den statliga arbetsgivarpolitiken via myndighetscheferna. Enligt Arbetsgivarverket saknas behov av mera exakta definitioner av den statliga personalpolitiken. </w:t>
      </w:r>
    </w:p>
    <w:p w:rsidR="007B7A21" w:rsidRPr="00AD33E8" w:rsidRDefault="007B7A21">
      <w:pPr>
        <w:pStyle w:val="Normaltindrag"/>
      </w:pPr>
      <w:r w:rsidRPr="00AD33E8">
        <w:rPr>
          <w:i/>
        </w:rPr>
        <w:t xml:space="preserve">Arbetsmiljöverket </w:t>
      </w:r>
      <w:r w:rsidRPr="00AD33E8">
        <w:t>instämmer i rapportens analys under avsnittet om att delegering inte får innebära godtycke. Enligt Arbetsmiljöverket skulle det vara värdefullt om gränsdragningen kunde blir tydligare mellan vad som görs centralt av Arbetsgivarverket och av Regeringskansliet respektive av enski</w:t>
      </w:r>
      <w:r w:rsidRPr="00AD33E8">
        <w:t>l</w:t>
      </w:r>
      <w:r w:rsidRPr="00AD33E8">
        <w:t>da myndigheter. Exempel på de svårigheter som det medför om det råder oklarhet kan enligt Arbetsmiljöverket hämtas från arbetet med lönerevisi</w:t>
      </w:r>
      <w:r w:rsidRPr="00AD33E8">
        <w:t>o</w:t>
      </w:r>
      <w:r w:rsidRPr="00AD33E8">
        <w:t>nen 2001 och från det nyligen slutna avtalet om delpension för statligt a</w:t>
      </w:r>
      <w:r w:rsidRPr="00AD33E8">
        <w:t>n</w:t>
      </w:r>
      <w:r w:rsidRPr="00AD33E8">
        <w:t>ställda. Vad gäl</w:t>
      </w:r>
      <w:r w:rsidRPr="00AD33E8">
        <w:t>ler skillnaden mellan arbetslednings- och arbetsgivarfrågor i staten pekar Arbetsmiljöverket på att det finns ett beroendeförhållande me</w:t>
      </w:r>
      <w:r w:rsidRPr="00AD33E8">
        <w:t>l</w:t>
      </w:r>
      <w:r w:rsidRPr="00AD33E8">
        <w:t>lan dessa. Orsaken är enligt Arbetsmiljöverket att det i staten inte finns sa</w:t>
      </w:r>
      <w:r w:rsidRPr="00AD33E8">
        <w:t>m</w:t>
      </w:r>
      <w:r w:rsidRPr="00AD33E8">
        <w:t>ma tydliga parter – arbetsgivare och arbetstagare – som på den övriga a</w:t>
      </w:r>
      <w:r w:rsidRPr="00AD33E8">
        <w:t>r</w:t>
      </w:r>
      <w:r w:rsidRPr="00AD33E8">
        <w:t>betsmarknaden.  Man pekar dock på kompetensutveckling som ett betydels</w:t>
      </w:r>
      <w:r w:rsidRPr="00AD33E8">
        <w:t>e</w:t>
      </w:r>
      <w:r w:rsidRPr="00AD33E8">
        <w:t>fullt gränssnitt mellan arbetslednings- och arbetsgivarfrågor. Slutligen i</w:t>
      </w:r>
      <w:r w:rsidRPr="00AD33E8">
        <w:t>n</w:t>
      </w:r>
      <w:r w:rsidRPr="00AD33E8">
        <w:t>stämmer Arbetsmiljöverket i rapportens krav på att  innebörden i nyckelb</w:t>
      </w:r>
      <w:r w:rsidRPr="00AD33E8">
        <w:t>e</w:t>
      </w:r>
      <w:r w:rsidRPr="00AD33E8">
        <w:t xml:space="preserve">grepp </w:t>
      </w:r>
      <w:r w:rsidRPr="00AD33E8">
        <w:t>som saklighet och effektivitet behöver preciseras.</w:t>
      </w:r>
    </w:p>
    <w:p w:rsidR="007B7A21" w:rsidRPr="00AD33E8" w:rsidRDefault="007B7A21">
      <w:pPr>
        <w:pStyle w:val="R4"/>
      </w:pPr>
      <w:r w:rsidRPr="00AD33E8">
        <w:t>Fackliga organisationer</w:t>
      </w:r>
    </w:p>
    <w:p w:rsidR="007B7A21" w:rsidRPr="00AD33E8" w:rsidRDefault="007B7A21">
      <w:r w:rsidRPr="00AD33E8">
        <w:t>Statstjänstemannaförbundet (ST) delar rapportens uppfattning att det inte kan vara den enskilda statliga arbetsgivarens uppgift att bestämma innehållet i  eller innebörden av de krav som ställs på den statliga förvaltningen och dess personal. Om så är fallet blir resultatet att kvaliteten på myndigheternas utvecklingsarbete kommer att skilja sig åt enligt ST. Detta gagnar inte me</w:t>
      </w:r>
      <w:r w:rsidRPr="00AD33E8">
        <w:t>d</w:t>
      </w:r>
      <w:r w:rsidRPr="00AD33E8">
        <w:t>borgarnas intresse av att staten ska tillhandahålla en bra och effektiv ver</w:t>
      </w:r>
      <w:r w:rsidRPr="00AD33E8">
        <w:t>k</w:t>
      </w:r>
      <w:r w:rsidRPr="00AD33E8">
        <w:t>samhet. ST menar att det är speciellt att arbeta i staten och att både myndi</w:t>
      </w:r>
      <w:r w:rsidRPr="00AD33E8">
        <w:t>g</w:t>
      </w:r>
      <w:r w:rsidRPr="00AD33E8">
        <w:t>heter och anställda har att förvalta och förverkliga ett demokratiskt uppdrag. Förutsättningarna för personalpolitiken är därför annorlunda i staten än i andra sektorer enligt ST. Man efterlyser en betydligt klarare personalpolitik än för närvarande, som enkelt och tydligt formulerar statens syn på att arbeta i dess tjänst och som ställer krav på myndighet</w:t>
      </w:r>
      <w:r w:rsidRPr="00AD33E8">
        <w:t>erna att leva upp till denna politik.</w:t>
      </w:r>
    </w:p>
    <w:p w:rsidR="007B7A21" w:rsidRPr="00AD33E8" w:rsidRDefault="007B7A21">
      <w:pPr>
        <w:pStyle w:val="RubrikUtanNr3"/>
      </w:pPr>
      <w:bookmarkStart w:id="40" w:name="_Toc18376980"/>
      <w:bookmarkStart w:id="41" w:name="_Toc21420425"/>
      <w:bookmarkStart w:id="42" w:name="_Toc21425245"/>
      <w:r w:rsidRPr="00AD33E8">
        <w:t>Revisorerna</w:t>
      </w:r>
      <w:bookmarkEnd w:id="40"/>
      <w:bookmarkEnd w:id="41"/>
      <w:bookmarkEnd w:id="42"/>
    </w:p>
    <w:p w:rsidR="007B7A21" w:rsidRPr="00AD33E8" w:rsidRDefault="007B7A21">
      <w:r w:rsidRPr="00AD33E8">
        <w:t>Efter att ha tagit del av remissinstansernas synpunkter står revisorerna fast vid sin uppfattning från rapporten att regeringen ska precisera den arbetsg</w:t>
      </w:r>
      <w:r w:rsidRPr="00AD33E8">
        <w:t>i</w:t>
      </w:r>
      <w:r w:rsidRPr="00AD33E8">
        <w:t>varpolitiska delegeringen och konkretisera viktiga begrepp som saklighet och effektivitet. För detta finns ett överväldigande stöd bland remissinstanserna. Två remissinstanser, Statens kvalitets- och kompetensråd (KKR) och Arbet</w:t>
      </w:r>
      <w:r w:rsidRPr="00AD33E8">
        <w:t>s</w:t>
      </w:r>
      <w:r w:rsidRPr="00AD33E8">
        <w:t>givarverket, har dock helt eller delvis avv</w:t>
      </w:r>
      <w:r w:rsidRPr="00AD33E8">
        <w:t>i</w:t>
      </w:r>
      <w:r w:rsidRPr="00AD33E8">
        <w:t>kande mening.</w:t>
      </w:r>
    </w:p>
    <w:p w:rsidR="007B7A21" w:rsidRPr="00AD33E8" w:rsidRDefault="007B7A21">
      <w:pPr>
        <w:spacing w:before="0"/>
        <w:ind w:firstLine="170"/>
      </w:pPr>
      <w:r w:rsidRPr="00AD33E8">
        <w:t xml:space="preserve">  KKR menar, under bl.a. hänvisning till myndigheternas arbetsgivarsa</w:t>
      </w:r>
      <w:r w:rsidRPr="00AD33E8">
        <w:t>m</w:t>
      </w:r>
      <w:r w:rsidRPr="00AD33E8">
        <w:t>verkan och till att myndigheterna redan inlett förverkligandet av regeringens förvaltningspolitiska program, att dagens system i stort fungerar bra. Att myndigheterna söker förverkliga regeringens förvaltningspolitik är enligt revisorerna utmärkt men saknar delvis relevans som argument mot att rege</w:t>
      </w:r>
      <w:r w:rsidRPr="00AD33E8">
        <w:t>r</w:t>
      </w:r>
      <w:r w:rsidRPr="00AD33E8">
        <w:t>ingen behöver precisera innehållet i den statliga personalpolitiken. Orsaken till detta är att det nuvarande förvaltningspolitiska programmet från år 2000, En förvaltning i demokratins tjänst, har tyngdpunkten p</w:t>
      </w:r>
      <w:r w:rsidRPr="00AD33E8">
        <w:t>å förvaltningspoliti</w:t>
      </w:r>
      <w:r w:rsidRPr="00AD33E8">
        <w:t>s</w:t>
      </w:r>
      <w:r w:rsidRPr="00AD33E8">
        <w:t>ka frågor där personalpolitiken har ett litet utrymme</w:t>
      </w:r>
      <w:r w:rsidRPr="00AD33E8">
        <w:rPr>
          <w:rStyle w:val="Fotnotsreferens"/>
        </w:rPr>
        <w:footnoteReference w:id="8"/>
      </w:r>
      <w:r w:rsidRPr="00AD33E8">
        <w:t>. De personalpolitiska frågorna tas dessutom upp i programmet på en generell nivå där viktiga avvägningar mellan verksamhet och personalp</w:t>
      </w:r>
      <w:r w:rsidRPr="00AD33E8">
        <w:t>o</w:t>
      </w:r>
      <w:r w:rsidRPr="00AD33E8">
        <w:t xml:space="preserve">litiska mål saknas. </w:t>
      </w:r>
    </w:p>
    <w:p w:rsidR="007B7A21" w:rsidRPr="00AD33E8" w:rsidRDefault="007B7A21">
      <w:pPr>
        <w:spacing w:before="0"/>
        <w:ind w:firstLine="170"/>
      </w:pPr>
      <w:r w:rsidRPr="00AD33E8">
        <w:t>KKR menar vidare att man är osäker på vad som menas med rapportens krav att regeringen inte kan delegera innebörden i personalpolitikens mål. Revisorerna menar att avvägningen mellan verksamhet och personalpolitiska mål och innebörden i viktiga begrepp som effektivitet och saklighet inte kan lämnas till myndigheterna utan central vägledning. Revisorer</w:t>
      </w:r>
      <w:r w:rsidRPr="00AD33E8">
        <w:t>na saknar no</w:t>
      </w:r>
      <w:r w:rsidRPr="00AD33E8">
        <w:t>r</w:t>
      </w:r>
      <w:r w:rsidRPr="00AD33E8">
        <w:t>mer eller uppföljningskriterier som, inom ramen för den  arbetsgivarpolitiska delegeringen, ger det stöd till myndigheterna som remissinstanserna efterfr</w:t>
      </w:r>
      <w:r w:rsidRPr="00AD33E8">
        <w:t>å</w:t>
      </w:r>
      <w:r w:rsidRPr="00AD33E8">
        <w:t xml:space="preserve">gar. </w:t>
      </w:r>
    </w:p>
    <w:p w:rsidR="007B7A21" w:rsidRPr="00AD33E8" w:rsidRDefault="007B7A21">
      <w:pPr>
        <w:pStyle w:val="Normaltindrag"/>
      </w:pPr>
      <w:r w:rsidRPr="00AD33E8">
        <w:t>Arbetsgivarverkets uppfattning att regeringen i alla avseenden kan styra via regleringsbrev och myndighetschefer och att Arbetsgivarverket kan fylla alla luckor i arbetsgivarpolitikens utformning delas inte av revisorerna. Rev</w:t>
      </w:r>
      <w:r w:rsidRPr="00AD33E8">
        <w:t>i</w:t>
      </w:r>
      <w:r w:rsidRPr="00AD33E8">
        <w:t>sorerna hänvisar till vad som sagts i avsnitt 2.1 ovan om brister i den arbet</w:t>
      </w:r>
      <w:r w:rsidRPr="00AD33E8">
        <w:t>s</w:t>
      </w:r>
      <w:r w:rsidRPr="00AD33E8">
        <w:t>givarpolitiska delegeringen</w:t>
      </w:r>
      <w:r w:rsidRPr="00AD33E8">
        <w:rPr>
          <w:rStyle w:val="Fotnotsreferens"/>
        </w:rPr>
        <w:footnoteReference w:id="9"/>
      </w:r>
      <w:r w:rsidRPr="00AD33E8">
        <w:t>. Remissinstanserna har också en annan uppfat</w:t>
      </w:r>
      <w:r w:rsidRPr="00AD33E8">
        <w:t>t</w:t>
      </w:r>
      <w:r w:rsidRPr="00AD33E8">
        <w:t>ning än Arbetsgivarverket om behovet av preciseringar från regeringens sida.</w:t>
      </w:r>
    </w:p>
    <w:p w:rsidR="007B7A21" w:rsidRPr="00AD33E8" w:rsidRDefault="007B7A21">
      <w:pPr>
        <w:pStyle w:val="Normaltindrag"/>
      </w:pPr>
      <w:r w:rsidRPr="00AD33E8">
        <w:t>RSV uppmärksammar de små myndigheternas situation och efterlyser n</w:t>
      </w:r>
      <w:r w:rsidRPr="00AD33E8">
        <w:t>å</w:t>
      </w:r>
      <w:r w:rsidRPr="00AD33E8">
        <w:t>got statligt organ som kan bistå dessa i personalpolitiska frågor. Revisorerna delar RSV:s synpunkter och anser att regeringen särskilt ska beakta dessa i den precisering av den arbetsgivarpolitiska delegeringen som revisorerna föreslår att regeringen ska genomföra.</w:t>
      </w:r>
    </w:p>
    <w:p w:rsidR="007B7A21" w:rsidRPr="00AD33E8" w:rsidRDefault="007B7A21">
      <w:pPr>
        <w:pStyle w:val="Rubrik2"/>
      </w:pPr>
      <w:bookmarkStart w:id="43" w:name="_Toc18376981"/>
      <w:bookmarkStart w:id="44" w:name="_Toc21425246"/>
      <w:r w:rsidRPr="00AD33E8">
        <w:t>Tydligare chefskap och redovisning</w:t>
      </w:r>
      <w:bookmarkEnd w:id="43"/>
      <w:bookmarkEnd w:id="44"/>
    </w:p>
    <w:p w:rsidR="007B7A21" w:rsidRPr="00AD33E8" w:rsidRDefault="007B7A21">
      <w:pPr>
        <w:pStyle w:val="RubrikUtanNr3"/>
      </w:pPr>
      <w:bookmarkStart w:id="45" w:name="_Toc18376982"/>
      <w:bookmarkStart w:id="46" w:name="_Toc21420427"/>
      <w:bookmarkStart w:id="47" w:name="_Toc21425247"/>
      <w:r w:rsidRPr="00AD33E8">
        <w:t>Rapporten</w:t>
      </w:r>
      <w:bookmarkEnd w:id="45"/>
      <w:bookmarkEnd w:id="46"/>
      <w:bookmarkEnd w:id="47"/>
    </w:p>
    <w:p w:rsidR="007B7A21" w:rsidRPr="00AD33E8" w:rsidRDefault="007B7A21">
      <w:r w:rsidRPr="00AD33E8">
        <w:t>I rapporten konstateras att det finns brister i det statliga chefskapet. Det är fråga om brister i tydlighet, saklighet och lyhördhet. Tydligheten är, enligt rapporten, viktig ur flera perspektiv. Det gäller tydlighet mot medarbetare, tydliga motiveringar för olika åtgärder och tydlighet uppåt i hierarkin för att ge beslutande instanser realistiska och rättvisande bilder av verksamheten och dess villkor. Bedömningen i rapporten är att både personalpolitiska program och existerande regelverk väl uttrycker v</w:t>
      </w:r>
      <w:r w:rsidRPr="00AD33E8">
        <w:t>ärdet av tydlighet, sakli</w:t>
      </w:r>
      <w:r w:rsidRPr="00AD33E8">
        <w:t>g</w:t>
      </w:r>
      <w:r w:rsidRPr="00AD33E8">
        <w:t>het eller lyhördhet. Det är vid efterlevnaden av ifråga</w:t>
      </w:r>
      <w:r w:rsidRPr="00AD33E8">
        <w:softHyphen/>
        <w:t>varande bestämmelser i regeringsformen och verksförord</w:t>
      </w:r>
      <w:r w:rsidRPr="00AD33E8">
        <w:softHyphen/>
        <w:t>ningen som det i flera fall brister. Kravet i förvaltningslagen på motivering av beslut bör enligt rapporten också gälla vid personalpolitiska beslut och åtgärder. Vidare bör regeringen pröva mö</w:t>
      </w:r>
      <w:r w:rsidRPr="00AD33E8">
        <w:t>j</w:t>
      </w:r>
      <w:r w:rsidRPr="00AD33E8">
        <w:t>ligheten att myn</w:t>
      </w:r>
      <w:r w:rsidRPr="00AD33E8">
        <w:softHyphen/>
        <w:t>digheterna i sina budgetunderlag ska redovisa och motivera större plane</w:t>
      </w:r>
      <w:r w:rsidRPr="00AD33E8">
        <w:softHyphen/>
        <w:t>rade om</w:t>
      </w:r>
      <w:r w:rsidRPr="00AD33E8">
        <w:softHyphen/>
        <w:t>ställ</w:t>
      </w:r>
      <w:r w:rsidRPr="00AD33E8">
        <w:softHyphen/>
        <w:t>ningar samt kalkyler och kostnadskonsekvenser för dessa.</w:t>
      </w:r>
    </w:p>
    <w:p w:rsidR="007B7A21" w:rsidRPr="00AD33E8" w:rsidRDefault="007B7A21">
      <w:pPr>
        <w:pStyle w:val="RubrikUtanNr3"/>
      </w:pPr>
      <w:bookmarkStart w:id="48" w:name="_Toc18376983"/>
      <w:bookmarkStart w:id="49" w:name="_Toc21420428"/>
      <w:bookmarkStart w:id="50" w:name="_Toc21425248"/>
      <w:r w:rsidRPr="00AD33E8">
        <w:t>Remissinstanserna</w:t>
      </w:r>
      <w:bookmarkEnd w:id="48"/>
      <w:bookmarkEnd w:id="49"/>
      <w:bookmarkEnd w:id="50"/>
    </w:p>
    <w:p w:rsidR="007B7A21" w:rsidRPr="00AD33E8" w:rsidRDefault="007B7A21">
      <w:pPr>
        <w:rPr>
          <w:i/>
        </w:rPr>
      </w:pPr>
      <w:r w:rsidRPr="00AD33E8">
        <w:rPr>
          <w:i/>
        </w:rPr>
        <w:t>Myndigheter som berördes av fallstudierna</w:t>
      </w:r>
    </w:p>
    <w:p w:rsidR="007B7A21" w:rsidRPr="00AD33E8" w:rsidRDefault="007B7A21">
      <w:r w:rsidRPr="00AD33E8">
        <w:t xml:space="preserve">Enligt </w:t>
      </w:r>
      <w:r w:rsidRPr="00AD33E8">
        <w:rPr>
          <w:i/>
        </w:rPr>
        <w:t>Riksförsäkringsverket (RFV)</w:t>
      </w:r>
      <w:r w:rsidRPr="00AD33E8">
        <w:t xml:space="preserve"> behövs ett förtydligande vad gäller  rapportens förslag om att personalpolitiska beslut och åtgärder ska motiveras i enlighet med förvaltningslagens krav. Enigt förvaltningslagen ska en my</w:t>
      </w:r>
      <w:r w:rsidRPr="00AD33E8">
        <w:t>n</w:t>
      </w:r>
      <w:r w:rsidRPr="00AD33E8">
        <w:t>dighet motivera beslut i ärenden som avser myndighetsutövning mot enskild. Skälen får utelämnas helt eller delvis om beslutet rör tjänstetillsättning eller betygssättning. RFV har svårt att avgöra om rapportens förslag avser att kraven också bör gälla sådana beslut. Man uppfattar det vidare som</w:t>
      </w:r>
      <w:r w:rsidRPr="00AD33E8">
        <w:t xml:space="preserve"> oklart om revisorerna anser att kraven även bör omfatta beslut som inte avser m</w:t>
      </w:r>
      <w:r w:rsidRPr="00AD33E8">
        <w:t>y</w:t>
      </w:r>
      <w:r w:rsidRPr="00AD33E8">
        <w:t xml:space="preserve">dighetsutövning mot enskild. I båda fallen krävs enligt RFV en grundlig utredning eftersom det handlar om avsteg från gamla principer. </w:t>
      </w:r>
      <w:r w:rsidRPr="00AD33E8">
        <w:rPr>
          <w:i/>
        </w:rPr>
        <w:t>Uppsala läns allmänna försäkringskassa</w:t>
      </w:r>
      <w:r w:rsidRPr="00AD33E8">
        <w:t xml:space="preserve"> delar revisorernas synpunkter om att det finns behov av utveckling av ledarskapet på olika nivåer.</w:t>
      </w:r>
    </w:p>
    <w:p w:rsidR="007B7A21" w:rsidRPr="00AD33E8" w:rsidRDefault="007B7A21">
      <w:pPr>
        <w:pStyle w:val="Normaltindrag"/>
      </w:pPr>
      <w:r w:rsidRPr="00AD33E8">
        <w:rPr>
          <w:i/>
        </w:rPr>
        <w:t xml:space="preserve">Riksskatteverket (RSV) </w:t>
      </w:r>
      <w:r w:rsidRPr="00AD33E8">
        <w:t>tar upp frågan om rekrytering och befordran på saklig grund. Man påpekar att den ändrade balansen mellan förtjänst och skicklighet har föranlett RSV att tillsammans med andra koncernmyndigh</w:t>
      </w:r>
      <w:r w:rsidRPr="00AD33E8">
        <w:t>e</w:t>
      </w:r>
      <w:r w:rsidRPr="00AD33E8">
        <w:t>ter göra en hemställan till regeringen om att överklagandeinstitutet bör a</w:t>
      </w:r>
      <w:r w:rsidRPr="00AD33E8">
        <w:t>v</w:t>
      </w:r>
      <w:r w:rsidRPr="00AD33E8">
        <w:t xml:space="preserve">skaffas. </w:t>
      </w:r>
      <w:r w:rsidRPr="00AD33E8">
        <w:rPr>
          <w:i/>
        </w:rPr>
        <w:t xml:space="preserve">Skattemyndigheten i Västerås </w:t>
      </w:r>
      <w:r w:rsidRPr="00AD33E8">
        <w:t xml:space="preserve">instämmer i RSV:s synpunkter. </w:t>
      </w:r>
      <w:r w:rsidRPr="00AD33E8">
        <w:rPr>
          <w:i/>
        </w:rPr>
        <w:t>Ska</w:t>
      </w:r>
      <w:r w:rsidRPr="00AD33E8">
        <w:rPr>
          <w:i/>
        </w:rPr>
        <w:t>t</w:t>
      </w:r>
      <w:r w:rsidRPr="00AD33E8">
        <w:rPr>
          <w:i/>
        </w:rPr>
        <w:t>temyndigheten i Västra Götaland</w:t>
      </w:r>
      <w:r w:rsidRPr="00AD33E8">
        <w:t xml:space="preserve"> instämmer också i dessa men tar också upp rapportens synpunkter på chefskapet i staten. Man konstaterar att det sann</w:t>
      </w:r>
      <w:r w:rsidRPr="00AD33E8">
        <w:t>o</w:t>
      </w:r>
      <w:r w:rsidRPr="00AD33E8">
        <w:t>likt finns bra ledarförsör</w:t>
      </w:r>
      <w:r w:rsidRPr="00AD33E8">
        <w:t>jningsplaner på flera håll inom statsförvaltningen, men att dessa goda exempel bör spridas. Myndigheten föreslår att KKR får i uppdrag att kartlägga befintliga ledarförsörjningsplaner och att sprida goda exempel.</w:t>
      </w:r>
    </w:p>
    <w:p w:rsidR="007B7A21" w:rsidRPr="00AD33E8" w:rsidRDefault="007B7A21">
      <w:pPr>
        <w:pStyle w:val="Normaltindrag"/>
      </w:pPr>
      <w:r w:rsidRPr="00AD33E8">
        <w:rPr>
          <w:i/>
        </w:rPr>
        <w:t xml:space="preserve">Arbetsmarknadsstyrelsen (AMS) </w:t>
      </w:r>
      <w:r w:rsidRPr="00AD33E8">
        <w:t>anser att det finns stora värden i att på övergripande statlig nivå arbeta med att utveckla det statliga chef-/ledarskapet. Men det konkreta utvecklingsarbetet bör enligt AMS göras vid varje myndighet eller i samarbete mellan myndigheter.</w:t>
      </w:r>
    </w:p>
    <w:p w:rsidR="007B7A21" w:rsidRPr="00AD33E8" w:rsidRDefault="007B7A21">
      <w:pPr>
        <w:pStyle w:val="R4"/>
      </w:pPr>
      <w:r w:rsidRPr="00AD33E8">
        <w:t>Övriga myndigheter</w:t>
      </w:r>
    </w:p>
    <w:p w:rsidR="007B7A21" w:rsidRPr="00AD33E8" w:rsidRDefault="007B7A21">
      <w:r w:rsidRPr="00AD33E8">
        <w:rPr>
          <w:i/>
        </w:rPr>
        <w:t xml:space="preserve">Statens kvalitets- och kompetensråd (KKR) </w:t>
      </w:r>
      <w:r w:rsidRPr="00AD33E8">
        <w:t>avvisar förslaget om att förval</w:t>
      </w:r>
      <w:r w:rsidRPr="00AD33E8">
        <w:t>t</w:t>
      </w:r>
      <w:r w:rsidRPr="00AD33E8">
        <w:t>ningslagens bestämmelser om beslutsmotiveringar ska göras tillämpliga på de frågor som diskuteras i rapporten. Förvaltningslagen tar sikte på förhå</w:t>
      </w:r>
      <w:r w:rsidRPr="00AD33E8">
        <w:t>l</w:t>
      </w:r>
      <w:r w:rsidRPr="00AD33E8">
        <w:t>landen allmänhet–myndigheter medan anställningsbeslut uttryckligen är undantagna från lagens motiveringskrav. En ändring av dessa förhållanden måste enligt KKR bygga på betydligt mera långtgående analyser än vad som görs i rapporten. KKR avvisar också förslaget om att myndigheterna skall redovisa och motivera större planerade omst</w:t>
      </w:r>
      <w:r w:rsidRPr="00AD33E8">
        <w:t>ällningar i budgetunderlagen. Det är enligt KKR myndighetschefens ansvar att se till att verksamheten bedrivs författningsenligt och effektivt. Under hänvisning till att dessa frågor kan behandlas i budgetdialogen regering–myndighet anser KKR att några ytterligare generella förskri</w:t>
      </w:r>
      <w:r w:rsidRPr="00AD33E8">
        <w:t>f</w:t>
      </w:r>
      <w:r w:rsidRPr="00AD33E8">
        <w:t>ter inte behövs.</w:t>
      </w:r>
    </w:p>
    <w:p w:rsidR="007B7A21" w:rsidRPr="00AD33E8" w:rsidRDefault="007B7A21">
      <w:pPr>
        <w:pStyle w:val="Normaltindrag"/>
      </w:pPr>
      <w:r w:rsidRPr="00AD33E8">
        <w:rPr>
          <w:i/>
        </w:rPr>
        <w:t>Ekonomistyrningsverket (ESV)</w:t>
      </w:r>
      <w:r w:rsidRPr="00AD33E8">
        <w:t xml:space="preserve"> anser förslaget i rapporten om att viktiga personalpolitiska konsekvenser ska redovisas i myndigheternas budgetu</w:t>
      </w:r>
      <w:r w:rsidRPr="00AD33E8">
        <w:t>n</w:t>
      </w:r>
      <w:r w:rsidRPr="00AD33E8">
        <w:t>derlag som särskilt viktigt.</w:t>
      </w:r>
    </w:p>
    <w:p w:rsidR="007B7A21" w:rsidRPr="00AD33E8" w:rsidRDefault="007B7A21">
      <w:pPr>
        <w:pStyle w:val="Normaltindrag"/>
      </w:pPr>
      <w:r w:rsidRPr="00AD33E8">
        <w:rPr>
          <w:i/>
        </w:rPr>
        <w:t>Arbetsgivarverket</w:t>
      </w:r>
      <w:r w:rsidRPr="00AD33E8">
        <w:t xml:space="preserve"> finner inga skäl att utvidga eller ytterligare detaljstyra den årliga budgetdialogen. Risken för en onödigt resurskrävande administr</w:t>
      </w:r>
      <w:r w:rsidRPr="00AD33E8">
        <w:t>a</w:t>
      </w:r>
      <w:r w:rsidRPr="00AD33E8">
        <w:t>tion är enligt Arbetsgivarverket för stor i förhållande till den nytta som gen</w:t>
      </w:r>
      <w:r w:rsidRPr="00AD33E8">
        <w:t>e</w:t>
      </w:r>
      <w:r w:rsidRPr="00AD33E8">
        <w:t>rellt utvidgade rapporteringskrav skulle kunna medföra.</w:t>
      </w:r>
    </w:p>
    <w:p w:rsidR="007B7A21" w:rsidRPr="00AD33E8" w:rsidRDefault="007B7A21">
      <w:pPr>
        <w:pStyle w:val="Normaltindrag"/>
      </w:pPr>
      <w:r w:rsidRPr="00AD33E8">
        <w:rPr>
          <w:i/>
        </w:rPr>
        <w:t>Arbetsmiljöverket</w:t>
      </w:r>
      <w:r w:rsidRPr="00AD33E8">
        <w:t xml:space="preserve"> anser det vara värdefullt att det statliga chefskapet lyfts fram. Eftersom kraven på chefer i staten har ökat är det enligt Arbetsmilj</w:t>
      </w:r>
      <w:r w:rsidRPr="00AD33E8">
        <w:t>ö</w:t>
      </w:r>
      <w:r w:rsidRPr="00AD33E8">
        <w:t>verket angeläget att utveckla och stödja chefer. Verket är dock tveksamt till rapportens krav på motiveringar till personalpolitiska beslut enligt förval</w:t>
      </w:r>
      <w:r w:rsidRPr="00AD33E8">
        <w:t>t</w:t>
      </w:r>
      <w:r w:rsidRPr="00AD33E8">
        <w:t>ningslagen. Personalpolitiska beslut och åtgärder är enligt verket i de flesta fall inte av den karaktären att de kan anses vara myndighetsutövning. Man efterlyser precis</w:t>
      </w:r>
      <w:r w:rsidRPr="00AD33E8">
        <w:t>e</w:t>
      </w:r>
      <w:r w:rsidRPr="00AD33E8">
        <w:t>ringar av vilka beslut som i så fall avses.</w:t>
      </w:r>
    </w:p>
    <w:p w:rsidR="007B7A21" w:rsidRPr="00AD33E8" w:rsidRDefault="007B7A21">
      <w:pPr>
        <w:pStyle w:val="R4"/>
      </w:pPr>
      <w:r w:rsidRPr="00AD33E8">
        <w:t>Facklig</w:t>
      </w:r>
      <w:r w:rsidRPr="00AD33E8">
        <w:t>a organisationer</w:t>
      </w:r>
    </w:p>
    <w:p w:rsidR="007B7A21" w:rsidRPr="00AD33E8" w:rsidRDefault="007B7A21">
      <w:r w:rsidRPr="00AD33E8">
        <w:t>Statstjänstemannaförbundet (ST) anser att kravet på saklighet och tydlighet vid chefstillsättning i rapporten inte bara är en fråga som rör myndigheternas internt tillsatta chefer. Det största ansvaret för ett gott ledarskap och fullfö</w:t>
      </w:r>
      <w:r w:rsidRPr="00AD33E8">
        <w:t>l</w:t>
      </w:r>
      <w:r w:rsidRPr="00AD33E8">
        <w:t>jande av förvaltningspolitikens avsikter har enligt förbundet regeringen vid sitt val av och utveckling för myndighetscheferna. Dessa personer är enligt förbundet inte bara nyckelpersoner för regeringen utan också för de anstäl</w:t>
      </w:r>
      <w:r w:rsidRPr="00AD33E8">
        <w:t>l</w:t>
      </w:r>
      <w:r w:rsidRPr="00AD33E8">
        <w:t>da.</w:t>
      </w:r>
    </w:p>
    <w:p w:rsidR="007B7A21" w:rsidRPr="00AD33E8" w:rsidRDefault="007B7A21">
      <w:pPr>
        <w:pStyle w:val="RubrikUtanNr3"/>
      </w:pPr>
      <w:bookmarkStart w:id="51" w:name="_Toc18376984"/>
      <w:bookmarkStart w:id="52" w:name="_Toc21420429"/>
      <w:bookmarkStart w:id="53" w:name="_Toc21425249"/>
      <w:r w:rsidRPr="00AD33E8">
        <w:t>Revisorerna</w:t>
      </w:r>
      <w:bookmarkEnd w:id="51"/>
      <w:bookmarkEnd w:id="52"/>
      <w:bookmarkEnd w:id="53"/>
    </w:p>
    <w:p w:rsidR="007B7A21" w:rsidRPr="00AD33E8" w:rsidRDefault="007B7A21">
      <w:r w:rsidRPr="00AD33E8">
        <w:t xml:space="preserve">Revisorerna anser liksom flera remissinstanser att det är viktigt att lyfta fram det </w:t>
      </w:r>
      <w:r w:rsidRPr="00AD33E8">
        <w:rPr>
          <w:i/>
        </w:rPr>
        <w:t>statliga chefskapet</w:t>
      </w:r>
      <w:r w:rsidRPr="00AD33E8">
        <w:t xml:space="preserve"> på alla nivåer i statsförvaltningen. Regeringen har satt i gång flera aktiviteter för myndighetschefer och överdirektörer. KKR har en särskild utbildning för ledning och chefskap som bl.a. är inriktat på kvinnliga chefer. Arbetsgivarverket bedriver också myndighetsanpassad chefsutbil</w:t>
      </w:r>
      <w:r w:rsidRPr="00AD33E8">
        <w:t>d</w:t>
      </w:r>
      <w:r w:rsidRPr="00AD33E8">
        <w:t>ning.  Enligt revisorerna är det viktigt att regeringen i dessa chefsaktiviteter uppmärksammar kraven på tydlighet, saklighet och lyhördhet såsom de m</w:t>
      </w:r>
      <w:r w:rsidRPr="00AD33E8">
        <w:t>o</w:t>
      </w:r>
      <w:r w:rsidRPr="00AD33E8">
        <w:t>tiverats i rappo</w:t>
      </w:r>
      <w:r w:rsidRPr="00AD33E8">
        <w:t>r</w:t>
      </w:r>
      <w:r w:rsidRPr="00AD33E8">
        <w:t>ten.</w:t>
      </w:r>
    </w:p>
    <w:p w:rsidR="007B7A21" w:rsidRPr="00AD33E8" w:rsidRDefault="007B7A21">
      <w:pPr>
        <w:pStyle w:val="Normaltindrag"/>
      </w:pPr>
      <w:r w:rsidRPr="00AD33E8">
        <w:t xml:space="preserve">Förslaget i rapporten om </w:t>
      </w:r>
      <w:r w:rsidRPr="00AD33E8">
        <w:rPr>
          <w:i/>
        </w:rPr>
        <w:t>motiveringar enligt förvaltningslagen vid pers</w:t>
      </w:r>
      <w:r w:rsidRPr="00AD33E8">
        <w:rPr>
          <w:i/>
        </w:rPr>
        <w:t>o</w:t>
      </w:r>
      <w:r w:rsidRPr="00AD33E8">
        <w:rPr>
          <w:i/>
        </w:rPr>
        <w:t>nalpolitiska</w:t>
      </w:r>
      <w:r w:rsidRPr="00AD33E8">
        <w:t xml:space="preserve"> beslut avvisas av de flesta remissinstanser. Revisorerna håller med remissinstanserna att det återstår frågor att reda ut även om rapportens krav på motiveringar inte avsåg normala anställningsbeslut. Revisorerna lämnar därför inget förslag i denna fråga.</w:t>
      </w:r>
    </w:p>
    <w:p w:rsidR="007B7A21" w:rsidRPr="00AD33E8" w:rsidRDefault="007B7A21">
      <w:pPr>
        <w:pStyle w:val="Normaltindrag"/>
      </w:pPr>
      <w:r w:rsidRPr="00AD33E8">
        <w:t xml:space="preserve">Revisorerna vidhåller sin uppfattning från rapporten med  krav på </w:t>
      </w:r>
      <w:r w:rsidRPr="00AD33E8">
        <w:rPr>
          <w:i/>
        </w:rPr>
        <w:t>redovi</w:t>
      </w:r>
      <w:r w:rsidRPr="00AD33E8">
        <w:rPr>
          <w:i/>
        </w:rPr>
        <w:t>s</w:t>
      </w:r>
      <w:r w:rsidRPr="00AD33E8">
        <w:rPr>
          <w:i/>
        </w:rPr>
        <w:t>ning av personalpolitiska konsekvenser  i myndigheternas budgetunderlag</w:t>
      </w:r>
      <w:r w:rsidRPr="00AD33E8">
        <w:t>. Detta gäller redovisning av personalpolitiska konsekvenser och motivering till större planerade omställningar inom myndigheten. Revisorerna delar inte Arbetsgivarverkets uppfattning att detta skulle innebära någon större resur</w:t>
      </w:r>
      <w:r w:rsidRPr="00AD33E8">
        <w:t>s</w:t>
      </w:r>
      <w:r w:rsidRPr="00AD33E8">
        <w:t>krävande extra administration eftersom alla förslag om t.ex. organisation</w:t>
      </w:r>
      <w:r w:rsidRPr="00AD33E8">
        <w:t>s</w:t>
      </w:r>
      <w:r w:rsidRPr="00AD33E8">
        <w:t>förändringar måste bygga på ett gediget underlag. Att kräva en redovisning också av de personalpolitiska konsekvenserna ger regerin</w:t>
      </w:r>
      <w:r w:rsidRPr="00AD33E8">
        <w:t>gen ett bättre b</w:t>
      </w:r>
      <w:r w:rsidRPr="00AD33E8">
        <w:t>e</w:t>
      </w:r>
      <w:r w:rsidRPr="00AD33E8">
        <w:t>slutsunderlag enligt revisorerna. Så skulle t.ex. inf</w:t>
      </w:r>
      <w:r w:rsidRPr="00AD33E8">
        <w:t>ö</w:t>
      </w:r>
      <w:r w:rsidRPr="00AD33E8">
        <w:t>randet av 24-timmarsmyndigheten, som tagits upp i avsnitt 2.2 ovan, enligt revisorerna troligen bli mera effektivt och mindre kostsamt om kravet på redovisning av personalpolitiska konsekvenser redan fu</w:t>
      </w:r>
      <w:r w:rsidRPr="00AD33E8">
        <w:t>n</w:t>
      </w:r>
      <w:r w:rsidRPr="00AD33E8">
        <w:t>nits.</w:t>
      </w:r>
    </w:p>
    <w:p w:rsidR="007B7A21" w:rsidRPr="00AD33E8" w:rsidRDefault="007B7A21">
      <w:pPr>
        <w:pStyle w:val="Rubrik2"/>
      </w:pPr>
      <w:bookmarkStart w:id="54" w:name="_Toc18376985"/>
      <w:bookmarkStart w:id="55" w:name="_Toc21425250"/>
      <w:r w:rsidRPr="00AD33E8">
        <w:t>Verksamhetsanpassning av uppföljningen</w:t>
      </w:r>
      <w:bookmarkEnd w:id="54"/>
      <w:bookmarkEnd w:id="55"/>
    </w:p>
    <w:p w:rsidR="007B7A21" w:rsidRPr="00AD33E8" w:rsidRDefault="007B7A21">
      <w:pPr>
        <w:pStyle w:val="RubrikUtanNr3"/>
      </w:pPr>
      <w:bookmarkStart w:id="56" w:name="_Toc18376986"/>
      <w:bookmarkStart w:id="57" w:name="_Toc21420431"/>
      <w:bookmarkStart w:id="58" w:name="_Toc21425251"/>
      <w:r w:rsidRPr="00AD33E8">
        <w:t>Rapporten</w:t>
      </w:r>
      <w:bookmarkEnd w:id="56"/>
      <w:bookmarkEnd w:id="57"/>
      <w:bookmarkEnd w:id="58"/>
    </w:p>
    <w:p w:rsidR="007B7A21" w:rsidRPr="00AD33E8" w:rsidRDefault="007B7A21">
      <w:r w:rsidRPr="00AD33E8">
        <w:t>Rege</w:t>
      </w:r>
      <w:r w:rsidRPr="00AD33E8">
        <w:softHyphen/>
        <w:t>ringens uppföljning av personalpolitiken kan utvecklas ytterligare. Den arbetsgivarpolitiska uppföljningen bör enligt rapporten vidgas och fördjupas. Nu görs den separat från myndighete</w:t>
      </w:r>
      <w:r w:rsidRPr="00AD33E8">
        <w:t>r</w:t>
      </w:r>
      <w:r w:rsidRPr="00AD33E8">
        <w:t>nas ekonomiska redovisning. Bedöm</w:t>
      </w:r>
      <w:r w:rsidRPr="00AD33E8">
        <w:softHyphen/>
        <w:t>ningen i rapporten är att olika nyckeltal, för bl.a. verksamhet, resultat, pers</w:t>
      </w:r>
      <w:r w:rsidRPr="00AD33E8">
        <w:t>o</w:t>
      </w:r>
      <w:r w:rsidRPr="00AD33E8">
        <w:t>nal, ekonomi eller hälsa, bör redo</w:t>
      </w:r>
      <w:r w:rsidRPr="00AD33E8">
        <w:softHyphen/>
        <w:t>visas och analyseras samlat myndig</w:t>
      </w:r>
      <w:r w:rsidRPr="00AD33E8">
        <w:softHyphen/>
        <w:t>hets</w:t>
      </w:r>
      <w:r w:rsidRPr="00AD33E8">
        <w:softHyphen/>
        <w:t>vis. Det bör ske i myndigheternas resultat</w:t>
      </w:r>
      <w:r w:rsidRPr="00AD33E8">
        <w:softHyphen/>
        <w:t>redo</w:t>
      </w:r>
      <w:r w:rsidRPr="00AD33E8">
        <w:softHyphen/>
        <w:t>vis</w:t>
      </w:r>
      <w:r w:rsidRPr="00AD33E8">
        <w:softHyphen/>
        <w:t>ningar.</w:t>
      </w:r>
    </w:p>
    <w:p w:rsidR="007B7A21" w:rsidRPr="00AD33E8" w:rsidRDefault="007B7A21">
      <w:pPr>
        <w:pStyle w:val="Normaltindrag"/>
      </w:pPr>
      <w:r w:rsidRPr="00AD33E8">
        <w:t>Myndigheternas årsredovisningar bör ligga till grund för personalpolitisk up</w:t>
      </w:r>
      <w:r w:rsidRPr="00AD33E8">
        <w:t>pföljning på övergripande nivå enligt rapporten. Regeringen bör uppmär</w:t>
      </w:r>
      <w:r w:rsidRPr="00AD33E8">
        <w:t>k</w:t>
      </w:r>
      <w:r w:rsidRPr="00AD33E8">
        <w:t>samma och systematisera de tendenser som kan utläsas ur årsredovisninga</w:t>
      </w:r>
      <w:r w:rsidRPr="00AD33E8">
        <w:t>r</w:t>
      </w:r>
      <w:r w:rsidRPr="00AD33E8">
        <w:t>na. Den framtida redovisningen av den statliga personalpolitiken bör inn</w:t>
      </w:r>
      <w:r w:rsidRPr="00AD33E8">
        <w:t>e</w:t>
      </w:r>
      <w:r w:rsidRPr="00AD33E8">
        <w:t>hålla mer av kvalitativa mått där eventuella skillnader mellan myndigheter bör lyftas fram. Försiktighet krävs enligt rapporten vid redovisning av e</w:t>
      </w:r>
      <w:r w:rsidRPr="00AD33E8">
        <w:t>n</w:t>
      </w:r>
      <w:r w:rsidRPr="00AD33E8">
        <w:t>skilda kvantitativa nyckeltal. I flera fall är de mått som i dag redovisas, t.ex. om personalrörligheten,  inte lämpade att aggregera till den stat</w:t>
      </w:r>
      <w:r w:rsidRPr="00AD33E8">
        <w:t xml:space="preserve">liga nivån som helhet. </w:t>
      </w:r>
    </w:p>
    <w:p w:rsidR="007B7A21" w:rsidRPr="00AD33E8" w:rsidRDefault="007B7A21">
      <w:pPr>
        <w:pStyle w:val="RubrikUtanNr3"/>
      </w:pPr>
      <w:bookmarkStart w:id="59" w:name="_Toc18376987"/>
      <w:bookmarkStart w:id="60" w:name="_Toc21420432"/>
      <w:bookmarkStart w:id="61" w:name="_Toc21425252"/>
      <w:r w:rsidRPr="00AD33E8">
        <w:t>Remissinstanserna</w:t>
      </w:r>
      <w:bookmarkEnd w:id="59"/>
      <w:bookmarkEnd w:id="60"/>
      <w:bookmarkEnd w:id="61"/>
    </w:p>
    <w:p w:rsidR="007B7A21" w:rsidRPr="00AD33E8" w:rsidRDefault="007B7A21">
      <w:pPr>
        <w:rPr>
          <w:i/>
        </w:rPr>
      </w:pPr>
      <w:r w:rsidRPr="00AD33E8">
        <w:rPr>
          <w:i/>
        </w:rPr>
        <w:t>Myndigheter som berördes av fallstudierna</w:t>
      </w:r>
    </w:p>
    <w:p w:rsidR="007B7A21" w:rsidRPr="00AD33E8" w:rsidRDefault="007B7A21">
      <w:r w:rsidRPr="00AD33E8">
        <w:rPr>
          <w:i/>
        </w:rPr>
        <w:t>Riksförsäkringsverket (RFV)</w:t>
      </w:r>
      <w:r w:rsidRPr="00AD33E8">
        <w:t xml:space="preserve"> håller med vad som sägs i rapporten om värdet av att redovisa nyckeltal inom personalområdet vid sidan av ekonomired</w:t>
      </w:r>
      <w:r w:rsidRPr="00AD33E8">
        <w:t>o</w:t>
      </w:r>
      <w:r w:rsidRPr="00AD33E8">
        <w:t xml:space="preserve">visningen. Det kan dock enligt RFV vara svårt att jämföra vissa värden som inte är exakta och en del nyckeltal kan bli svåra att tolka. </w:t>
      </w:r>
      <w:r w:rsidRPr="00AD33E8">
        <w:rPr>
          <w:i/>
        </w:rPr>
        <w:t>Uppsala läns fö</w:t>
      </w:r>
      <w:r w:rsidRPr="00AD33E8">
        <w:rPr>
          <w:i/>
        </w:rPr>
        <w:t>r</w:t>
      </w:r>
      <w:r w:rsidRPr="00AD33E8">
        <w:rPr>
          <w:i/>
        </w:rPr>
        <w:t xml:space="preserve">säkringskassa </w:t>
      </w:r>
      <w:r w:rsidRPr="00AD33E8">
        <w:t>stöder rapportens krav på verksamhetsanpassad redovisning av personalpolitiken och kravet på mera kvalitativa än kvantitativa mått. Kassan är övertygad om att en utökad uppföljning med bättre kvalitativa metoder kommer att ge en</w:t>
      </w:r>
      <w:r w:rsidRPr="00AD33E8">
        <w:t xml:space="preserve"> tydligare och mera nyanserad bild av hur myndigheterna bedriver sin verksamhet. Kassan efterlyser dock en tydligare analys av ko</w:t>
      </w:r>
      <w:r w:rsidRPr="00AD33E8">
        <w:t>n</w:t>
      </w:r>
      <w:r w:rsidRPr="00AD33E8">
        <w:t>sekvenserna av resursbristen för möjligheterna att bedriva en offensiv pers</w:t>
      </w:r>
      <w:r w:rsidRPr="00AD33E8">
        <w:t>o</w:t>
      </w:r>
      <w:r w:rsidRPr="00AD33E8">
        <w:t xml:space="preserve">nalpolitik. </w:t>
      </w:r>
      <w:r w:rsidRPr="00AD33E8">
        <w:rPr>
          <w:i/>
        </w:rPr>
        <w:t>Dalarnas läns allmänna försäkringskassa</w:t>
      </w:r>
      <w:r w:rsidRPr="00AD33E8">
        <w:t xml:space="preserve"> instämmer med Up</w:t>
      </w:r>
      <w:r w:rsidRPr="00AD33E8">
        <w:t>p</w:t>
      </w:r>
      <w:r w:rsidRPr="00AD33E8">
        <w:t xml:space="preserve">sala läns försäkringskassa. Man påpekar särskilt den brist på långsiktighet och lyhördhet som präglat och präglar budgetpolitiken från statsmakternas sida när det gäller förvaltningsanslaget till socialförsäkringsadministrationen. </w:t>
      </w:r>
      <w:r w:rsidRPr="00AD33E8">
        <w:rPr>
          <w:i/>
        </w:rPr>
        <w:t>Försäk</w:t>
      </w:r>
      <w:r w:rsidRPr="00AD33E8">
        <w:rPr>
          <w:i/>
        </w:rPr>
        <w:t>ringskasseförbundet</w:t>
      </w:r>
      <w:r w:rsidRPr="00AD33E8">
        <w:t xml:space="preserve"> påpekar att genom att medelstilldelningen ko</w:t>
      </w:r>
      <w:r w:rsidRPr="00AD33E8">
        <w:t>m</w:t>
      </w:r>
      <w:r w:rsidRPr="00AD33E8">
        <w:t>mer först i nära anslutning till det budgetår det avser försvåras möjligheterna att bedriva en aktiv och långsiktig personalpolitik.</w:t>
      </w:r>
    </w:p>
    <w:p w:rsidR="007B7A21" w:rsidRPr="00AD33E8" w:rsidRDefault="007B7A21">
      <w:pPr>
        <w:pStyle w:val="Normaltindrag"/>
      </w:pPr>
      <w:r w:rsidRPr="00AD33E8">
        <w:rPr>
          <w:i/>
        </w:rPr>
        <w:t>Riksskatteverket (RSV)</w:t>
      </w:r>
      <w:r w:rsidRPr="00AD33E8">
        <w:t xml:space="preserve"> ställer sig frågande till förslaget att kompetensfö</w:t>
      </w:r>
      <w:r w:rsidRPr="00AD33E8">
        <w:t>r</w:t>
      </w:r>
      <w:r w:rsidRPr="00AD33E8">
        <w:t>sörjningen följs upp i särskild ordning vid sidan om årsredovisning och bu</w:t>
      </w:r>
      <w:r w:rsidRPr="00AD33E8">
        <w:t>d</w:t>
      </w:r>
      <w:r w:rsidRPr="00AD33E8">
        <w:t>getunderlag. RSV förordar i stället att en samordning sker genom att såväl verksamhetsresultat  som kompetensförsörjning redovisas samlat i årsred</w:t>
      </w:r>
      <w:r w:rsidRPr="00AD33E8">
        <w:t>o</w:t>
      </w:r>
      <w:r w:rsidRPr="00AD33E8">
        <w:t>visningen. Man påpekar att det inte finns någon myndighet som har till up</w:t>
      </w:r>
      <w:r w:rsidRPr="00AD33E8">
        <w:t>p</w:t>
      </w:r>
      <w:r w:rsidRPr="00AD33E8">
        <w:t>gift att på bredden ägna sig åt den personalpolitiska uppföljningen och förse regeringen med erforderliga beslutsunderlag. RSV anser att en ändring i detta avseend</w:t>
      </w:r>
      <w:r w:rsidRPr="00AD33E8">
        <w:t xml:space="preserve">e bör övervägas, inte minst mot bakgrund av rapportens slutsatser kring dagens förhållanden. </w:t>
      </w:r>
      <w:r w:rsidRPr="00AD33E8">
        <w:rPr>
          <w:i/>
        </w:rPr>
        <w:t>Skattemyndigheten i Västerås</w:t>
      </w:r>
      <w:r w:rsidRPr="00AD33E8">
        <w:t xml:space="preserve"> konstaterar att uppföljning blir en viktig del i arbetet med att utveckla den statliga persona</w:t>
      </w:r>
      <w:r w:rsidRPr="00AD33E8">
        <w:t>l</w:t>
      </w:r>
      <w:r w:rsidRPr="00AD33E8">
        <w:t>politiken. Man stöder rapportens förslag om en samlad redovisning för r</w:t>
      </w:r>
      <w:r w:rsidRPr="00AD33E8">
        <w:t>e</w:t>
      </w:r>
      <w:r w:rsidRPr="00AD33E8">
        <w:t>spektive myndighet av verksamhet, personal och ekonomi. Skattemyndigh</w:t>
      </w:r>
      <w:r w:rsidRPr="00AD33E8">
        <w:t>e</w:t>
      </w:r>
      <w:r w:rsidRPr="00AD33E8">
        <w:t xml:space="preserve">ten anser vidare att det finns ett stort värde med ett statligt personalbokslut. </w:t>
      </w:r>
      <w:r w:rsidRPr="00AD33E8">
        <w:rPr>
          <w:i/>
        </w:rPr>
        <w:t>Skattemyndigheten i Västra Götaland</w:t>
      </w:r>
      <w:r w:rsidRPr="00AD33E8">
        <w:t xml:space="preserve"> anger att det är hög tid för statlig</w:t>
      </w:r>
      <w:r w:rsidRPr="00AD33E8">
        <w:t>a personalbokslut och påpekar att en hel del åtgärder redan satts igång med detta syfte, bl.a det kommande förslaget om obligatorisk redovisning av sjuktalen i årsredovisningarna. Skattemyndigheten delar rapportens bedö</w:t>
      </w:r>
      <w:r w:rsidRPr="00AD33E8">
        <w:t>m</w:t>
      </w:r>
      <w:r w:rsidRPr="00AD33E8">
        <w:t>ning och menar att det nu är viktigt att regeringen fastställer den lägsta nivån för myndigheternas persona</w:t>
      </w:r>
      <w:r w:rsidRPr="00AD33E8">
        <w:t>l</w:t>
      </w:r>
      <w:r w:rsidRPr="00AD33E8">
        <w:t>politiska redovisning.</w:t>
      </w:r>
    </w:p>
    <w:p w:rsidR="007B7A21" w:rsidRPr="00AD33E8" w:rsidRDefault="007B7A21">
      <w:pPr>
        <w:pStyle w:val="Normaltindrag"/>
      </w:pPr>
      <w:r w:rsidRPr="00AD33E8">
        <w:rPr>
          <w:i/>
        </w:rPr>
        <w:t>Arbetsmarknadsstyrelsen (AMS)</w:t>
      </w:r>
      <w:r w:rsidRPr="00AD33E8">
        <w:t xml:space="preserve"> instämmer i rapportens bedömning att olika nyckeltal bör redovisas och analyseras myndighetsvis och att detta ska ske i myndigheternas resultatredovi</w:t>
      </w:r>
      <w:r w:rsidRPr="00AD33E8">
        <w:t>s</w:t>
      </w:r>
      <w:r w:rsidRPr="00AD33E8">
        <w:t xml:space="preserve">ningar. </w:t>
      </w:r>
    </w:p>
    <w:p w:rsidR="007B7A21" w:rsidRPr="00AD33E8" w:rsidRDefault="007B7A21">
      <w:pPr>
        <w:pStyle w:val="R4"/>
      </w:pPr>
      <w:r w:rsidRPr="00AD33E8">
        <w:t>Övriga myndigheter</w:t>
      </w:r>
    </w:p>
    <w:p w:rsidR="007B7A21" w:rsidRPr="00AD33E8" w:rsidRDefault="007B7A21">
      <w:r w:rsidRPr="00AD33E8">
        <w:t xml:space="preserve">Enligt </w:t>
      </w:r>
      <w:r w:rsidRPr="00AD33E8">
        <w:rPr>
          <w:i/>
        </w:rPr>
        <w:t xml:space="preserve">Statskontoret </w:t>
      </w:r>
      <w:r w:rsidRPr="00AD33E8">
        <w:t>bör uppföljningen utvecklas till ett instrument för r</w:t>
      </w:r>
      <w:r w:rsidRPr="00AD33E8">
        <w:t>e</w:t>
      </w:r>
      <w:r w:rsidRPr="00AD33E8">
        <w:t>geringen att uttrycka sina grundläggande värden inom personalpolitiken och ge myndigheterna övergripande vägledning för deras personalpolitiska arb</w:t>
      </w:r>
      <w:r w:rsidRPr="00AD33E8">
        <w:t>e</w:t>
      </w:r>
      <w:r w:rsidRPr="00AD33E8">
        <w:t>te. Uppföljningen bör enligt Statskontoret som revisorerna anför i rapporten omfatta kvantitativ och kvalitativ information samt vara integrerad i övrig återrapportering till regeringen. Statskontoret instämmer med revisorerna att förutsättningar behöver skapas för dels för en samlad redovisning</w:t>
      </w:r>
      <w:r w:rsidRPr="00AD33E8">
        <w:t xml:space="preserve"> av statens personalpolitik, dels för den personalpolitiska jämförelsen (bench-marking) mellan myndigheter. Man delar också revisorernas uppfattning att man bör hushålla med antalet kvantitativa nyckeltal. Som exempel på kvalitativ i</w:t>
      </w:r>
      <w:r w:rsidRPr="00AD33E8">
        <w:t>n</w:t>
      </w:r>
      <w:r w:rsidRPr="00AD33E8">
        <w:t>formation anger Statskontoret myndigheternas arbete med kompetensu</w:t>
      </w:r>
      <w:r w:rsidRPr="00AD33E8">
        <w:t>t</w:t>
      </w:r>
      <w:r w:rsidRPr="00AD33E8">
        <w:t>veckling och kompetensfö</w:t>
      </w:r>
      <w:r w:rsidRPr="00AD33E8">
        <w:t>r</w:t>
      </w:r>
      <w:r w:rsidRPr="00AD33E8">
        <w:t>sörjning.</w:t>
      </w:r>
    </w:p>
    <w:p w:rsidR="007B7A21" w:rsidRPr="00AD33E8" w:rsidRDefault="007B7A21">
      <w:pPr>
        <w:pStyle w:val="Normaltindrag"/>
      </w:pPr>
      <w:r w:rsidRPr="00AD33E8">
        <w:rPr>
          <w:i/>
        </w:rPr>
        <w:t>Statistiska centralbyrån (SCB)</w:t>
      </w:r>
      <w:r w:rsidRPr="00AD33E8">
        <w:t xml:space="preserve"> anser att revisorernas förslag om en samlad myndighetsred</w:t>
      </w:r>
      <w:r w:rsidRPr="00AD33E8">
        <w:t>o</w:t>
      </w:r>
      <w:r w:rsidRPr="00AD33E8">
        <w:t>visning av ekonomi och personalpolitik är väl avvägd.</w:t>
      </w:r>
    </w:p>
    <w:p w:rsidR="007B7A21" w:rsidRPr="00AD33E8" w:rsidRDefault="007B7A21">
      <w:pPr>
        <w:pStyle w:val="Normaltindrag"/>
      </w:pPr>
      <w:r w:rsidRPr="00AD33E8">
        <w:rPr>
          <w:i/>
        </w:rPr>
        <w:t xml:space="preserve">Statens kvalitets- och kompetensråd (KKR) </w:t>
      </w:r>
      <w:r w:rsidRPr="00AD33E8">
        <w:t>har inget att erinra  mot att den redovisning av kompetensförsörjning m.m. som nu lämnas i särskild ordning i stället lämnas i årsredovisningen. Man kan också enligt KKR överväga en mera systematisk uppföljning.</w:t>
      </w:r>
    </w:p>
    <w:p w:rsidR="007B7A21" w:rsidRPr="00AD33E8" w:rsidRDefault="007B7A21">
      <w:pPr>
        <w:pStyle w:val="Normaltindrag"/>
      </w:pPr>
      <w:r w:rsidRPr="00AD33E8">
        <w:rPr>
          <w:i/>
        </w:rPr>
        <w:t xml:space="preserve">Handikappombudsmannen (HO) </w:t>
      </w:r>
      <w:r w:rsidRPr="00AD33E8">
        <w:t>stöder revisorernas förslag men påpekar att statliga myndigheter har skilda förutsättningar att analysera och följa upp personalpolitiken. Små myndigheter som HO har exempelvis begränsade administrativa resurser. HO anser det därför vara viktigt att regeringen när man formulerar nya krav på redovisning och uppföljning beaktar myndigh</w:t>
      </w:r>
      <w:r w:rsidRPr="00AD33E8">
        <w:t>e</w:t>
      </w:r>
      <w:r w:rsidRPr="00AD33E8">
        <w:t xml:space="preserve">ternas skilda förutsättningar. </w:t>
      </w:r>
    </w:p>
    <w:p w:rsidR="007B7A21" w:rsidRPr="00AD33E8" w:rsidRDefault="007B7A21">
      <w:pPr>
        <w:pStyle w:val="Normaltindrag"/>
      </w:pPr>
      <w:r w:rsidRPr="00AD33E8">
        <w:rPr>
          <w:i/>
        </w:rPr>
        <w:t>Ekonomistyrningsverket (ESV)</w:t>
      </w:r>
      <w:r w:rsidRPr="00AD33E8">
        <w:t xml:space="preserve"> anser att det finns ett behov att tydliggöra personalfrågornas koppling till budgetpolitiken och därmed till statsmakte</w:t>
      </w:r>
      <w:r w:rsidRPr="00AD33E8">
        <w:t>r</w:t>
      </w:r>
      <w:r w:rsidRPr="00AD33E8">
        <w:t>nas möjligheter att genomföra politiska beslut. Uppföljningen av persona</w:t>
      </w:r>
      <w:r w:rsidRPr="00AD33E8">
        <w:t>l</w:t>
      </w:r>
      <w:r w:rsidRPr="00AD33E8">
        <w:t>politiken bör enligt ESV förbättras genom vidgad och fördjupad analys i myndigheternas resultatredovisningar och anpassas till respektive verksa</w:t>
      </w:r>
      <w:r w:rsidRPr="00AD33E8">
        <w:t>m</w:t>
      </w:r>
      <w:r w:rsidRPr="00AD33E8">
        <w:t>het. ESV anger att rapportens belysning av de gångna årens statliga pers</w:t>
      </w:r>
      <w:r w:rsidRPr="00AD33E8">
        <w:t>o</w:t>
      </w:r>
      <w:r w:rsidRPr="00AD33E8">
        <w:t>nalpolitik leder till slutsatsen att snabbt föränderliga planeringsförutsättnin</w:t>
      </w:r>
      <w:r w:rsidRPr="00AD33E8">
        <w:t>g</w:t>
      </w:r>
      <w:r w:rsidRPr="00AD33E8">
        <w:t>ar försvårar för per</w:t>
      </w:r>
      <w:r w:rsidRPr="00AD33E8">
        <w:t>sonalpolitiken att fungera tillfredsställande i nedskä</w:t>
      </w:r>
      <w:r w:rsidRPr="00AD33E8">
        <w:t>r</w:t>
      </w:r>
      <w:r w:rsidRPr="00AD33E8">
        <w:t>ningssituationer.</w:t>
      </w:r>
    </w:p>
    <w:p w:rsidR="007B7A21" w:rsidRPr="00AD33E8" w:rsidRDefault="007B7A21">
      <w:pPr>
        <w:pStyle w:val="Normaltindrag"/>
      </w:pPr>
      <w:r w:rsidRPr="00AD33E8">
        <w:rPr>
          <w:i/>
        </w:rPr>
        <w:t>Arbetsgivarverket</w:t>
      </w:r>
      <w:r w:rsidRPr="00AD33E8">
        <w:t xml:space="preserve"> ser uppföljning som en fördjupad problemorienterad d</w:t>
      </w:r>
      <w:r w:rsidRPr="00AD33E8">
        <w:t>i</w:t>
      </w:r>
      <w:r w:rsidRPr="00AD33E8">
        <w:t>alog mellan myndigheten och ansvarigt departement. Man anger att denna dialog inte bör leda till ytterligare sifferexercis. Eftersom underlaget för uppföljningen rör frågor som är föremål för kollektivavtalsförhandlingar bör uppgifterna enligt Arbetsgivarverket vara av begränsad omfattning och ha</w:t>
      </w:r>
      <w:r w:rsidRPr="00AD33E8">
        <w:t>n</w:t>
      </w:r>
      <w:r w:rsidRPr="00AD33E8">
        <w:t>teras med varsamhet för att inte störa förhandlingarna.</w:t>
      </w:r>
    </w:p>
    <w:p w:rsidR="007B7A21" w:rsidRPr="00AD33E8" w:rsidRDefault="007B7A21">
      <w:pPr>
        <w:pStyle w:val="Normaltindrag"/>
      </w:pPr>
      <w:r w:rsidRPr="00AD33E8">
        <w:rPr>
          <w:i/>
        </w:rPr>
        <w:t>Arbetsmiljöverket</w:t>
      </w:r>
      <w:r w:rsidRPr="00AD33E8">
        <w:t xml:space="preserve"> delar revisorernas konstaterande att personalpolitiken kan utvecklas genom bättre uppföljning. Det är då viktigt enligt verket att uppföljningsinstrumenten är gemensamma för det statliga området, t.ex. i form av viss sjukfrånvarostatistik. Man instämmer i kravet på en myndi</w:t>
      </w:r>
      <w:r w:rsidRPr="00AD33E8">
        <w:t>g</w:t>
      </w:r>
      <w:r w:rsidRPr="00AD33E8">
        <w:t>hetsvis samlad redovisning av ekonomi, personal, resultat och arbetstillfred</w:t>
      </w:r>
      <w:r w:rsidRPr="00AD33E8">
        <w:t>s</w:t>
      </w:r>
      <w:r w:rsidRPr="00AD33E8">
        <w:t>ställe</w:t>
      </w:r>
      <w:r w:rsidRPr="00AD33E8">
        <w:t>l</w:t>
      </w:r>
      <w:r w:rsidRPr="00AD33E8">
        <w:t>se.</w:t>
      </w:r>
    </w:p>
    <w:p w:rsidR="007B7A21" w:rsidRPr="00AD33E8" w:rsidRDefault="007B7A21">
      <w:pPr>
        <w:pStyle w:val="R4"/>
      </w:pPr>
      <w:r w:rsidRPr="00AD33E8">
        <w:t>Fackliga organisationer</w:t>
      </w:r>
    </w:p>
    <w:p w:rsidR="007B7A21" w:rsidRPr="00AD33E8" w:rsidRDefault="007B7A21">
      <w:r w:rsidRPr="00AD33E8">
        <w:t>Statstjänstemannaförbundet (ST) anser att de personalredovisningar myndi</w:t>
      </w:r>
      <w:r w:rsidRPr="00AD33E8">
        <w:t>g</w:t>
      </w:r>
      <w:r w:rsidRPr="00AD33E8">
        <w:t>heterna lämnar till regeringen bör byggas ut med utvecklade personalekon</w:t>
      </w:r>
      <w:r w:rsidRPr="00AD33E8">
        <w:t>o</w:t>
      </w:r>
      <w:r w:rsidRPr="00AD33E8">
        <w:t>miska redovisningar. I dessa ska ingå uppgifter om hälso- och sjukläget, resultat av personalenkäter, behov av kompetensutveckling, personalförsör</w:t>
      </w:r>
      <w:r w:rsidRPr="00AD33E8">
        <w:t>j</w:t>
      </w:r>
      <w:r w:rsidRPr="00AD33E8">
        <w:t xml:space="preserve">ningsläget samt vidtagna och planerade åtgärder för att komma till rätta med eventuella brister. </w:t>
      </w:r>
    </w:p>
    <w:p w:rsidR="007B7A21" w:rsidRPr="00AD33E8" w:rsidRDefault="007B7A21">
      <w:pPr>
        <w:pStyle w:val="RubrikUtanNr3"/>
      </w:pPr>
      <w:bookmarkStart w:id="62" w:name="_Toc18376988"/>
      <w:bookmarkStart w:id="63" w:name="_Toc21420433"/>
      <w:bookmarkStart w:id="64" w:name="_Toc21425253"/>
      <w:r w:rsidRPr="00AD33E8">
        <w:t>Revisorerna</w:t>
      </w:r>
      <w:bookmarkEnd w:id="62"/>
      <w:bookmarkEnd w:id="63"/>
      <w:bookmarkEnd w:id="64"/>
    </w:p>
    <w:p w:rsidR="007B7A21" w:rsidRPr="00AD33E8" w:rsidRDefault="007B7A21">
      <w:r w:rsidRPr="00AD33E8">
        <w:t>Revisorerna vidhåller sin uppfattning från rapporten att det behövs både en mera samlad och verksamhetsanpassad uppföljning  och redovisning för den statliga personalpolitiken. Remissinstanserna håller också med om detta även om man i en del fall pekar på vissa frågor eller problem som behöver up</w:t>
      </w:r>
      <w:r w:rsidRPr="00AD33E8">
        <w:t>p</w:t>
      </w:r>
      <w:r w:rsidRPr="00AD33E8">
        <w:t>märksammas särskilt. Dagens system med uppföljning enligt särskilt årliga regeringsbeslut skilt från resultatredovisning är inte tillfredsställande enligt revisorerna. Orsaken är att systemet skapar  en viss ryckighet i och osäkerhet  om t.ex. vilka variabler myndigheterna ska redovisa. Samtidigt faller viktiga frågor som t.ex. de små myndigheternas situation och de ökande kraven på kvalitativa redovisningar delvis bort. Revisorerna anser att det behövs mera kontinuitet i verksamhetsuppföljningarna och ans</w:t>
      </w:r>
      <w:r w:rsidRPr="00AD33E8">
        <w:t>er att RSV:s förslag om en särskild myndighet som ska ägna sig åt uppföljning och ge regeringen erfo</w:t>
      </w:r>
      <w:r w:rsidRPr="00AD33E8">
        <w:t>r</w:t>
      </w:r>
      <w:r w:rsidRPr="00AD33E8">
        <w:t>derliga beslutsunderlag är väl värt att överväga. Revisorerna  hänvisar också till att Arbetsgivarpolitikutredningen</w:t>
      </w:r>
      <w:r w:rsidRPr="00AD33E8">
        <w:rPr>
          <w:rStyle w:val="Fotnotsreferens"/>
        </w:rPr>
        <w:footnoteReference w:id="10"/>
      </w:r>
      <w:r w:rsidRPr="00AD33E8">
        <w:t xml:space="preserve"> är kritisk till dagens uppföljningss</w:t>
      </w:r>
      <w:r w:rsidRPr="00AD33E8">
        <w:t>y</w:t>
      </w:r>
      <w:r w:rsidRPr="00AD33E8">
        <w:t>stem. Utredningen tar också upp frågan om behovet av en ny stabsmyndighet till regeringen som svar på  de ökande kraven på uppföljnings-, utvärderings- och utredningsinsatser inom området. Revisorerna anser, liksom de flesta remissinstanser,  att uppföljningen av personalpolitiken bör vidgas, fördjupas och verksamhetsanpassas genom redovisning i myndigheternas årsredovi</w:t>
      </w:r>
      <w:r w:rsidRPr="00AD33E8">
        <w:t>s</w:t>
      </w:r>
      <w:r w:rsidRPr="00AD33E8">
        <w:t>ningar</w:t>
      </w:r>
      <w:r w:rsidRPr="00AD33E8">
        <w:rPr>
          <w:rStyle w:val="Fotnotsreferens"/>
        </w:rPr>
        <w:footnoteReference w:id="11"/>
      </w:r>
      <w:r w:rsidRPr="00AD33E8">
        <w:t xml:space="preserve">. </w:t>
      </w:r>
    </w:p>
    <w:p w:rsidR="007B7A21" w:rsidRPr="00AD33E8" w:rsidRDefault="007B7A21">
      <w:pPr>
        <w:pStyle w:val="Normaltindrag"/>
      </w:pPr>
      <w:r w:rsidRPr="00AD33E8">
        <w:t xml:space="preserve">Flera remissinstanser efterlyser en analys av </w:t>
      </w:r>
      <w:r w:rsidRPr="00AD33E8">
        <w:rPr>
          <w:i/>
        </w:rPr>
        <w:t xml:space="preserve">personalfrågornas koppling till budgetpolitiken </w:t>
      </w:r>
      <w:r w:rsidRPr="00AD33E8">
        <w:t>och därmed till statsmakternas möjligheter att leva upp till de personalpolitiska målen. Revisorerna kan inte se att man kan ändra på dagens medelstilldelning med ettåriga budgetbeslut i riksdagen. Samtidigt är det enligt revisorerna uppenbart att ryckighet och hastiga omprioriteringar i  medelstilldelningen gör det svårt för myndigheterna att bedriva en långsiktig personalpolitik. Revisorerna vill i detta sammanhang peka på nyare fors</w:t>
      </w:r>
      <w:r w:rsidRPr="00AD33E8">
        <w:t>k</w:t>
      </w:r>
      <w:r w:rsidRPr="00AD33E8">
        <w:t>ning som visar att effek</w:t>
      </w:r>
      <w:r w:rsidRPr="00AD33E8">
        <w:t>tiv offentlig verksamhet blir alltmera beroende av de anställdas motivation,  sociala kapital och nätverk och att dessa tillgångar är lätta att rasera men svåra att bygga upp</w:t>
      </w:r>
      <w:r w:rsidRPr="00AD33E8">
        <w:rPr>
          <w:rStyle w:val="Fotnotsreferens"/>
        </w:rPr>
        <w:footnoteReference w:id="12"/>
      </w:r>
      <w:r w:rsidRPr="00AD33E8">
        <w:t>. En ny stabsmyndighet till rege</w:t>
      </w:r>
      <w:r w:rsidRPr="00AD33E8">
        <w:t>r</w:t>
      </w:r>
      <w:r w:rsidRPr="00AD33E8">
        <w:t>ingen inom personalpolitikens område skulle kunna ge regeringen bättre underlag som på sikt minskar ryckigheten i bu</w:t>
      </w:r>
      <w:r w:rsidRPr="00AD33E8">
        <w:t>d</w:t>
      </w:r>
      <w:r w:rsidRPr="00AD33E8">
        <w:t>getpolitiken.</w:t>
      </w:r>
    </w:p>
    <w:p w:rsidR="007B7A21" w:rsidRPr="00AD33E8" w:rsidRDefault="007B7A21">
      <w:pPr>
        <w:pStyle w:val="Rubrik2"/>
      </w:pPr>
      <w:bookmarkStart w:id="65" w:name="_Toc18376989"/>
      <w:bookmarkStart w:id="66" w:name="_Toc21425254"/>
      <w:r w:rsidRPr="00AD33E8">
        <w:t>Identifikation av risksituationer</w:t>
      </w:r>
      <w:bookmarkEnd w:id="65"/>
      <w:bookmarkEnd w:id="66"/>
    </w:p>
    <w:p w:rsidR="007B7A21" w:rsidRPr="00AD33E8" w:rsidRDefault="007B7A21">
      <w:bookmarkStart w:id="67" w:name="_Toc18376990"/>
      <w:r w:rsidRPr="00AD33E8">
        <w:t>Rapporten</w:t>
      </w:r>
      <w:bookmarkEnd w:id="67"/>
    </w:p>
    <w:p w:rsidR="007B7A21" w:rsidRPr="00AD33E8" w:rsidRDefault="007B7A21">
      <w:r w:rsidRPr="00AD33E8">
        <w:t>Enligt rapporten finns det särskilda risksituationer i personal</w:t>
      </w:r>
      <w:r w:rsidRPr="00AD33E8">
        <w:softHyphen/>
        <w:t>politiken där regeringen bör identifiera risker och situationer för tidiga åtgärder. Dessa kan variera över tiden och mellan verksamheter. Det kan vara en omorganisation som inte varit tillräckligt väl förberedd eller motiverad. Det kan vara chefs</w:t>
      </w:r>
      <w:r w:rsidRPr="00AD33E8">
        <w:softHyphen/>
        <w:t>tillsätt</w:t>
      </w:r>
      <w:r w:rsidRPr="00AD33E8">
        <w:softHyphen/>
        <w:t>ningar som inte fungerat. Det kan vara informella hierarkier som ger interna spänningar eller t.o.m. mobbningssituationer. Det kan vara besp</w:t>
      </w:r>
      <w:r w:rsidRPr="00AD33E8">
        <w:t>a</w:t>
      </w:r>
      <w:r w:rsidRPr="00AD33E8">
        <w:t>ringsprogram som byggt på fela</w:t>
      </w:r>
      <w:r w:rsidRPr="00AD33E8">
        <w:t>k</w:t>
      </w:r>
      <w:r w:rsidRPr="00AD33E8">
        <w:t>tiga föreställningar om t.ex. ratio</w:t>
      </w:r>
      <w:r w:rsidRPr="00AD33E8">
        <w:softHyphen/>
        <w:t>na</w:t>
      </w:r>
      <w:r w:rsidRPr="00AD33E8">
        <w:softHyphen/>
        <w:t>lise</w:t>
      </w:r>
      <w:r w:rsidRPr="00AD33E8">
        <w:softHyphen/>
        <w:t xml:space="preserve">ringspotentialen. </w:t>
      </w:r>
    </w:p>
    <w:p w:rsidR="007B7A21" w:rsidRPr="00AD33E8" w:rsidRDefault="007B7A21">
      <w:pPr>
        <w:pStyle w:val="Normaltindrag"/>
      </w:pPr>
      <w:r w:rsidRPr="00AD33E8">
        <w:t>Ofta finns det enli</w:t>
      </w:r>
      <w:r w:rsidRPr="00AD33E8">
        <w:t>gt rapporten samband mellan sådana omständigheter och den sjukskrivning som kan rela</w:t>
      </w:r>
      <w:r w:rsidRPr="00AD33E8">
        <w:softHyphen/>
        <w:t>te</w:t>
      </w:r>
      <w:r w:rsidRPr="00AD33E8">
        <w:softHyphen/>
        <w:t>ras till arbetssituationen. Ett ökat antal sjukskrivna på en arbetsplats är dock en sen signal i en lång och komplicerad process. Det finns ofta indikationer eller reaktioner som i ett betydligt tidig</w:t>
      </w:r>
      <w:r w:rsidRPr="00AD33E8">
        <w:t>a</w:t>
      </w:r>
      <w:r w:rsidRPr="00AD33E8">
        <w:t>re skeende kunnat motivera insatser.</w:t>
      </w:r>
    </w:p>
    <w:p w:rsidR="007B7A21" w:rsidRPr="00AD33E8" w:rsidRDefault="007B7A21">
      <w:pPr>
        <w:pStyle w:val="RubrikUtanNr3"/>
      </w:pPr>
      <w:bookmarkStart w:id="68" w:name="_Toc18376991"/>
      <w:bookmarkStart w:id="69" w:name="_Toc21420435"/>
      <w:bookmarkStart w:id="70" w:name="_Toc21425255"/>
      <w:r w:rsidRPr="00AD33E8">
        <w:t>Remissinstanserna</w:t>
      </w:r>
      <w:bookmarkEnd w:id="68"/>
      <w:bookmarkEnd w:id="69"/>
      <w:bookmarkEnd w:id="70"/>
    </w:p>
    <w:p w:rsidR="007B7A21" w:rsidRPr="00AD33E8" w:rsidRDefault="007B7A21">
      <w:r w:rsidRPr="00AD33E8">
        <w:t>Myndigheter som berördes av fallstudierna</w:t>
      </w:r>
    </w:p>
    <w:p w:rsidR="007B7A21" w:rsidRPr="00AD33E8" w:rsidRDefault="007B7A21">
      <w:r w:rsidRPr="00AD33E8">
        <w:rPr>
          <w:i/>
        </w:rPr>
        <w:t>Arbetsmarknadsstyrelsen (AMS)</w:t>
      </w:r>
      <w:r w:rsidRPr="00AD33E8">
        <w:t xml:space="preserve"> anser att myndigheterna själva bör ta ansv</w:t>
      </w:r>
      <w:r w:rsidRPr="00AD33E8">
        <w:t>a</w:t>
      </w:r>
      <w:r w:rsidRPr="00AD33E8">
        <w:t>ret för att identifiera risksituationer och att uppföljningen av arbetet bör redovisas i de nyckeltal som nämnts i avsnitt 2.5 ovan.</w:t>
      </w:r>
    </w:p>
    <w:p w:rsidR="007B7A21" w:rsidRPr="00AD33E8" w:rsidRDefault="007B7A21">
      <w:pPr>
        <w:pStyle w:val="R4"/>
      </w:pPr>
      <w:r w:rsidRPr="00AD33E8">
        <w:t>Övriga myndigheter</w:t>
      </w:r>
    </w:p>
    <w:p w:rsidR="007B7A21" w:rsidRPr="00AD33E8" w:rsidRDefault="007B7A21">
      <w:r w:rsidRPr="00AD33E8">
        <w:rPr>
          <w:i/>
        </w:rPr>
        <w:t xml:space="preserve">Statens kvalitets- och kompetensråd (KKR) </w:t>
      </w:r>
      <w:r w:rsidRPr="00AD33E8">
        <w:t>vill i detta sammanhang peka på de i många fall ambitiösa återkommande arbetsmiljöundersökningar som myndigheterna genomför för att fånga upp frågor som bör uppmärksammas och åtgärdas. KKR anser att det därutöver i första hand är intressant att an</w:t>
      </w:r>
      <w:r w:rsidRPr="00AD33E8">
        <w:t>a</w:t>
      </w:r>
      <w:r w:rsidRPr="00AD33E8">
        <w:t>lysera om det finns tillräcklig forskning kring sambanden mellan olika ris</w:t>
      </w:r>
      <w:r w:rsidRPr="00AD33E8">
        <w:t>k</w:t>
      </w:r>
      <w:r w:rsidRPr="00AD33E8">
        <w:t>situati</w:t>
      </w:r>
      <w:r w:rsidRPr="00AD33E8">
        <w:t>o</w:t>
      </w:r>
      <w:r w:rsidRPr="00AD33E8">
        <w:t>ner och effekter av att vidta tidiga åtgärder.</w:t>
      </w:r>
    </w:p>
    <w:p w:rsidR="007B7A21" w:rsidRPr="00AD33E8" w:rsidRDefault="007B7A21">
      <w:pPr>
        <w:pStyle w:val="Normaltindrag"/>
      </w:pPr>
      <w:r w:rsidRPr="00AD33E8">
        <w:rPr>
          <w:i/>
        </w:rPr>
        <w:t>Arbetsgivarverket</w:t>
      </w:r>
      <w:r w:rsidRPr="00AD33E8">
        <w:t xml:space="preserve"> anser inte att det finns något behov av systemförän</w:t>
      </w:r>
      <w:r w:rsidRPr="00AD33E8">
        <w:t>d</w:t>
      </w:r>
      <w:r w:rsidRPr="00AD33E8">
        <w:t>ringar för att identifiera risksituationer. Regeringen har enligt verket redan i dag möjlighet att påverka genom myndighetsvisa uppdrag genom att ställa återrapporteringskrav och genom att utnyttja makten att tillsätta och avsätta myndighetschefer.</w:t>
      </w:r>
    </w:p>
    <w:p w:rsidR="007B7A21" w:rsidRPr="00AD33E8" w:rsidRDefault="007B7A21">
      <w:pPr>
        <w:pStyle w:val="Normaltindrag"/>
      </w:pPr>
      <w:r w:rsidRPr="00AD33E8">
        <w:rPr>
          <w:i/>
        </w:rPr>
        <w:t>Arbetsmiljöverket</w:t>
      </w:r>
      <w:r w:rsidRPr="00AD33E8">
        <w:t xml:space="preserve"> vill i detta sammanhang peka på problemet med att mycket stora grupper av statliga anställda kommer att avgå med pension under de närmaste tio åren. Det innebär ökad konkurrens om arbetskraften, vilket i sin tur enligt verket ställer krav på ett systematiskt arbete med ko</w:t>
      </w:r>
      <w:r w:rsidRPr="00AD33E8">
        <w:t>m</w:t>
      </w:r>
      <w:r w:rsidRPr="00AD33E8">
        <w:t>petensförsörjningsfrågor. För att driva på anser Arbetsmiljöverket att det är viktigt att följa upp myndigheternas planer och åtgärder i detta avseende.</w:t>
      </w:r>
    </w:p>
    <w:p w:rsidR="007B7A21" w:rsidRPr="00AD33E8" w:rsidRDefault="007B7A21">
      <w:pPr>
        <w:pStyle w:val="RubrikUtanNr3"/>
      </w:pPr>
      <w:bookmarkStart w:id="71" w:name="_Toc18376992"/>
      <w:bookmarkStart w:id="72" w:name="_Toc21420436"/>
      <w:bookmarkStart w:id="73" w:name="_Toc21425256"/>
      <w:r w:rsidRPr="00AD33E8">
        <w:t>Revisorerna</w:t>
      </w:r>
      <w:bookmarkEnd w:id="71"/>
      <w:bookmarkEnd w:id="72"/>
      <w:bookmarkEnd w:id="73"/>
    </w:p>
    <w:p w:rsidR="007B7A21" w:rsidRPr="00AD33E8" w:rsidRDefault="007B7A21">
      <w:pPr>
        <w:rPr>
          <w:snapToGrid w:val="0"/>
        </w:rPr>
      </w:pPr>
      <w:r w:rsidRPr="00AD33E8">
        <w:rPr>
          <w:snapToGrid w:val="0"/>
        </w:rPr>
        <w:t>Arbetet med att identifiera risksituationer bör enligt revisorerna ingå i den förbättrade uppföl</w:t>
      </w:r>
      <w:r w:rsidRPr="00AD33E8">
        <w:rPr>
          <w:snapToGrid w:val="0"/>
        </w:rPr>
        <w:t>j</w:t>
      </w:r>
      <w:r w:rsidRPr="00AD33E8">
        <w:rPr>
          <w:snapToGrid w:val="0"/>
        </w:rPr>
        <w:t>ning som föreslås under avsnitt 2.5 ovan.</w:t>
      </w:r>
    </w:p>
    <w:p w:rsidR="007B7A21" w:rsidRPr="00AD33E8" w:rsidRDefault="007B7A21">
      <w:pPr>
        <w:pStyle w:val="Rubrik1"/>
      </w:pPr>
      <w:bookmarkStart w:id="74" w:name="_Toc1286282"/>
      <w:bookmarkStart w:id="75" w:name="_Toc18376993"/>
      <w:bookmarkStart w:id="76" w:name="_Toc21425257"/>
      <w:r w:rsidRPr="00AD33E8">
        <w:t>Revisorernas förslag</w:t>
      </w:r>
      <w:bookmarkEnd w:id="74"/>
      <w:bookmarkEnd w:id="75"/>
      <w:bookmarkEnd w:id="76"/>
    </w:p>
    <w:p w:rsidR="007B7A21" w:rsidRPr="00AD33E8" w:rsidRDefault="007B7A21">
      <w:r w:rsidRPr="00AD33E8">
        <w:t>Med hänvisning till de motiveringar som framförts under revisorernas öve</w:t>
      </w:r>
      <w:r w:rsidRPr="00AD33E8">
        <w:t>r</w:t>
      </w:r>
      <w:r w:rsidRPr="00AD33E8">
        <w:t>väganden föreslår Riksdagens revisorer att riksdagen fattar följande beslut.</w:t>
      </w:r>
    </w:p>
    <w:p w:rsidR="007B7A21" w:rsidRPr="00AD33E8" w:rsidRDefault="007B7A21">
      <w:pPr>
        <w:pStyle w:val="R3"/>
        <w:numPr>
          <w:ilvl w:val="0"/>
          <w:numId w:val="11"/>
        </w:numPr>
      </w:pPr>
      <w:r w:rsidRPr="00AD33E8">
        <w:t>Precisering av den arbetsgivarpolitiska delegeringen</w:t>
      </w:r>
    </w:p>
    <w:p w:rsidR="007B7A21" w:rsidRPr="00AD33E8" w:rsidRDefault="007B7A21">
      <w:r w:rsidRPr="00AD33E8">
        <w:t>Riksdagen tillkännager för regeringen som sin mening att regeringen precis</w:t>
      </w:r>
      <w:r w:rsidRPr="00AD33E8">
        <w:t>e</w:t>
      </w:r>
      <w:r w:rsidRPr="00AD33E8">
        <w:t>rar och konkretiserar den arbetsgivarpolitiska delegeringen (avsnitt 2.3).</w:t>
      </w:r>
    </w:p>
    <w:p w:rsidR="007B7A21" w:rsidRPr="00AD33E8" w:rsidRDefault="007B7A21">
      <w:pPr>
        <w:pStyle w:val="R3"/>
        <w:numPr>
          <w:ilvl w:val="0"/>
          <w:numId w:val="11"/>
        </w:numPr>
      </w:pPr>
      <w:r w:rsidRPr="00AD33E8">
        <w:t>Tydligare chefskap och redovisning</w:t>
      </w:r>
    </w:p>
    <w:p w:rsidR="007B7A21" w:rsidRPr="00AD33E8" w:rsidRDefault="007B7A21">
      <w:r w:rsidRPr="00AD33E8">
        <w:t>Riksdagen tillkännager för regeringen som sin mening att regeringen i sitt arbete med det statliga chefskapet uppmärksammar kravet på saklighet och tydlighet och att regeringen begär en redovisning av personalpolitiska kons</w:t>
      </w:r>
      <w:r w:rsidRPr="00AD33E8">
        <w:t>e</w:t>
      </w:r>
      <w:r w:rsidRPr="00AD33E8">
        <w:t>kvenser i myndigheternas budgetunderlag (avsnitt 2.4).</w:t>
      </w:r>
    </w:p>
    <w:p w:rsidR="007B7A21" w:rsidRPr="00AD33E8" w:rsidRDefault="007B7A21">
      <w:pPr>
        <w:pStyle w:val="R3"/>
        <w:numPr>
          <w:ilvl w:val="0"/>
          <w:numId w:val="11"/>
        </w:numPr>
      </w:pPr>
      <w:r w:rsidRPr="00AD33E8">
        <w:t>Verksamhetsanpassning av uppföljningen</w:t>
      </w:r>
    </w:p>
    <w:p w:rsidR="007B7A21" w:rsidRPr="00AD33E8" w:rsidRDefault="007B7A21">
      <w:r w:rsidRPr="00AD33E8">
        <w:t>Riksdagen tillkännager för regeringen som sin mening att regeringen ser över dagens system för uppföljning av personalpolitiken och därvid särskilt bea</w:t>
      </w:r>
      <w:r w:rsidRPr="00AD33E8">
        <w:t>k</w:t>
      </w:r>
      <w:r w:rsidRPr="00AD33E8">
        <w:t>tar de små myndigheternas situation, hantering av risksituationer och öve</w:t>
      </w:r>
      <w:r w:rsidRPr="00AD33E8">
        <w:t>r</w:t>
      </w:r>
      <w:r w:rsidRPr="00AD33E8">
        <w:t xml:space="preserve">väger behovet av en särskild stabsmyndighet (avsnitt 2.5). </w:t>
      </w:r>
    </w:p>
    <w:p w:rsidR="007B7A21" w:rsidRPr="00AD33E8" w:rsidRDefault="007B7A21">
      <w:pPr>
        <w:pStyle w:val="Normaltindrag"/>
      </w:pPr>
    </w:p>
    <w:p w:rsidR="007B7A21" w:rsidRPr="00AD33E8" w:rsidRDefault="007B7A21">
      <w:r w:rsidRPr="00AD33E8">
        <w:t xml:space="preserve">Detta ärende har avgjorts av revisorerna i plenum. I beslutet har deltagit revisorerna </w:t>
      </w:r>
      <w:r w:rsidRPr="00AD33E8">
        <w:rPr>
          <w:snapToGrid w:val="0"/>
          <w:lang w:eastAsia="sv-SE"/>
        </w:rPr>
        <w:t>Ingemar Josefsson (s), Anders G Högmark (m), Per Rosengren (v), Bengt Silfverstrand (s), Anita Jönsson (s), Kenneth Lantz (kd), Margit Gennser (m), Hans Stenberg (s), Karl-Gösta Svenson (m), Ann-Marie Fage</w:t>
      </w:r>
      <w:r w:rsidRPr="00AD33E8">
        <w:rPr>
          <w:snapToGrid w:val="0"/>
          <w:lang w:eastAsia="sv-SE"/>
        </w:rPr>
        <w:t>r</w:t>
      </w:r>
      <w:r w:rsidRPr="00AD33E8">
        <w:rPr>
          <w:snapToGrid w:val="0"/>
          <w:lang w:eastAsia="sv-SE"/>
        </w:rPr>
        <w:t>ström (s), Marie Engström (v) och Conny Ö</w:t>
      </w:r>
      <w:r w:rsidRPr="00AD33E8">
        <w:rPr>
          <w:snapToGrid w:val="0"/>
          <w:lang w:eastAsia="sv-SE"/>
        </w:rPr>
        <w:t>h</w:t>
      </w:r>
      <w:r w:rsidRPr="00AD33E8">
        <w:rPr>
          <w:snapToGrid w:val="0"/>
          <w:lang w:eastAsia="sv-SE"/>
        </w:rPr>
        <w:t>man (s).</w:t>
      </w:r>
    </w:p>
    <w:p w:rsidR="007B7A21" w:rsidRPr="00AD33E8" w:rsidRDefault="007B7A21">
      <w:r w:rsidRPr="00AD33E8">
        <w:t>Vid ärendets slutliga handläggning har vidare närvarit kanslichefen Åke Dahlberg och  utre</w:t>
      </w:r>
      <w:r w:rsidRPr="00AD33E8">
        <w:t>d</w:t>
      </w:r>
      <w:r w:rsidRPr="00AD33E8">
        <w:t>ningschefen Stig Tegle.</w:t>
      </w:r>
    </w:p>
    <w:p w:rsidR="007B7A21" w:rsidRPr="00AD33E8" w:rsidRDefault="007B7A21">
      <w:pPr>
        <w:spacing w:before="240"/>
      </w:pPr>
      <w:r w:rsidRPr="00AD33E8">
        <w:t>Stockholm den 10 oktober 2002</w:t>
      </w:r>
    </w:p>
    <w:p w:rsidR="007B7A21" w:rsidRPr="00AD33E8" w:rsidRDefault="007B7A21">
      <w:r w:rsidRPr="00AD33E8">
        <w:t>På Riksdagens revisorers vägnar</w:t>
      </w:r>
    </w:p>
    <w:p w:rsidR="007B7A21" w:rsidRPr="00AD33E8" w:rsidRDefault="007B7A21">
      <w:pPr>
        <w:pStyle w:val="Normaltindrag"/>
        <w:ind w:firstLine="0"/>
      </w:pPr>
    </w:p>
    <w:p w:rsidR="007B7A21" w:rsidRPr="00AD33E8" w:rsidRDefault="007B7A21">
      <w:pPr>
        <w:rPr>
          <w:i/>
          <w:sz w:val="22"/>
        </w:rPr>
      </w:pPr>
    </w:p>
    <w:p w:rsidR="007B7A21" w:rsidRPr="00AD33E8" w:rsidRDefault="007B7A21">
      <w:pPr>
        <w:spacing w:before="0"/>
        <w:rPr>
          <w:i/>
          <w:sz w:val="22"/>
        </w:rPr>
      </w:pPr>
      <w:r w:rsidRPr="00AD33E8">
        <w:rPr>
          <w:i/>
          <w:sz w:val="22"/>
        </w:rPr>
        <w:t>Ingemar Josefsson</w:t>
      </w:r>
    </w:p>
    <w:p w:rsidR="007B7A21" w:rsidRPr="00AD33E8" w:rsidRDefault="007B7A21">
      <w:pPr>
        <w:pStyle w:val="Normaltindrag"/>
        <w:rPr>
          <w:i/>
          <w:sz w:val="22"/>
        </w:rPr>
      </w:pPr>
    </w:p>
    <w:p w:rsidR="007B7A21" w:rsidRPr="00AD33E8" w:rsidRDefault="007B7A21">
      <w:pPr>
        <w:pStyle w:val="Normaltindrag"/>
        <w:ind w:firstLine="0"/>
        <w:rPr>
          <w:i/>
          <w:sz w:val="22"/>
        </w:rPr>
      </w:pPr>
      <w:r w:rsidRPr="00AD33E8">
        <w:rPr>
          <w:i/>
          <w:sz w:val="22"/>
        </w:rPr>
        <w:tab/>
      </w:r>
      <w:r w:rsidRPr="00AD33E8">
        <w:rPr>
          <w:i/>
          <w:sz w:val="22"/>
        </w:rPr>
        <w:tab/>
      </w:r>
      <w:r w:rsidRPr="00AD33E8">
        <w:rPr>
          <w:i/>
          <w:sz w:val="22"/>
        </w:rPr>
        <w:tab/>
        <w:t>Stig Tegle</w:t>
      </w:r>
    </w:p>
    <w:p w:rsidR="007B7A21" w:rsidRPr="00AD33E8" w:rsidRDefault="007B7A21">
      <w:pPr>
        <w:pStyle w:val="Normaltindrag"/>
        <w:jc w:val="left"/>
        <w:sectPr w:rsidR="00000000" w:rsidRPr="00AD33E8">
          <w:headerReference w:type="default" r:id="rId8"/>
          <w:footerReference w:type="default" r:id="rId9"/>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AD33E8">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7B7A21" w:rsidRPr="00AD33E8" w:rsidRDefault="007B7A21">
            <w:pPr>
              <w:pStyle w:val="HuvudRubrik"/>
            </w:pPr>
            <w:r w:rsidRPr="00AD33E8">
              <w:t xml:space="preserve">Rapport </w:t>
            </w:r>
            <w:bookmarkStart w:id="77" w:name="BetänkandeNr"/>
            <w:bookmarkEnd w:id="77"/>
            <w:r w:rsidRPr="00AD33E8">
              <w:t>2001/02: 12</w:t>
            </w:r>
          </w:p>
        </w:tc>
        <w:tc>
          <w:tcPr>
            <w:tcW w:w="2126" w:type="dxa"/>
            <w:gridSpan w:val="2"/>
            <w:tcBorders>
              <w:bottom w:val="single" w:sz="6" w:space="0" w:color="auto"/>
            </w:tcBorders>
          </w:tcPr>
          <w:p w:rsidR="007B7A21" w:rsidRPr="00AD33E8" w:rsidRDefault="00AD33E8">
            <w:pPr>
              <w:spacing w:before="0" w:line="240" w:lineRule="auto"/>
              <w:jc w:val="center"/>
            </w:pPr>
            <w:r w:rsidRPr="00AD33E8">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AD33E8">
        <w:tblPrEx>
          <w:tblCellMar>
            <w:top w:w="0" w:type="dxa"/>
            <w:bottom w:w="0" w:type="dxa"/>
          </w:tblCellMar>
        </w:tblPrEx>
        <w:trPr>
          <w:gridAfter w:val="1"/>
          <w:wAfter w:w="851" w:type="dxa"/>
          <w:cantSplit/>
          <w:trHeight w:hRule="exact" w:val="660"/>
        </w:trPr>
        <w:tc>
          <w:tcPr>
            <w:tcW w:w="3012" w:type="dxa"/>
          </w:tcPr>
          <w:p w:rsidR="007B7A21" w:rsidRPr="00AD33E8" w:rsidRDefault="007B7A21">
            <w:pPr>
              <w:pStyle w:val="StatusSida1"/>
            </w:pPr>
          </w:p>
        </w:tc>
        <w:tc>
          <w:tcPr>
            <w:tcW w:w="2445" w:type="dxa"/>
            <w:gridSpan w:val="2"/>
          </w:tcPr>
          <w:p w:rsidR="007B7A21" w:rsidRPr="00AD33E8" w:rsidRDefault="007B7A21">
            <w:pPr>
              <w:pStyle w:val="UtskriftsdatumSida1"/>
              <w:rPr>
                <w:b/>
                <w:sz w:val="28"/>
              </w:rPr>
            </w:pPr>
          </w:p>
        </w:tc>
        <w:tc>
          <w:tcPr>
            <w:tcW w:w="992" w:type="dxa"/>
          </w:tcPr>
          <w:p w:rsidR="007B7A21" w:rsidRPr="00AD33E8" w:rsidRDefault="007B7A21"/>
        </w:tc>
      </w:tr>
      <w:tr w:rsidR="00000000" w:rsidRPr="00AD33E8">
        <w:tblPrEx>
          <w:tblCellMar>
            <w:top w:w="0" w:type="dxa"/>
            <w:bottom w:w="0" w:type="dxa"/>
          </w:tblCellMar>
        </w:tblPrEx>
        <w:trPr>
          <w:gridAfter w:val="1"/>
          <w:wAfter w:w="851" w:type="dxa"/>
          <w:cantSplit/>
        </w:trPr>
        <w:tc>
          <w:tcPr>
            <w:tcW w:w="6449" w:type="dxa"/>
            <w:gridSpan w:val="4"/>
          </w:tcPr>
          <w:p w:rsidR="007B7A21" w:rsidRPr="00AD33E8" w:rsidRDefault="007B7A21">
            <w:pPr>
              <w:spacing w:before="240"/>
            </w:pPr>
          </w:p>
        </w:tc>
      </w:tr>
      <w:tr w:rsidR="00000000" w:rsidRPr="00AD33E8">
        <w:tblPrEx>
          <w:tblCellMar>
            <w:top w:w="0" w:type="dxa"/>
            <w:bottom w:w="0" w:type="dxa"/>
          </w:tblCellMar>
        </w:tblPrEx>
        <w:trPr>
          <w:gridAfter w:val="1"/>
          <w:wAfter w:w="851" w:type="dxa"/>
          <w:cantSplit/>
          <w:trHeight w:val="6000"/>
        </w:trPr>
        <w:tc>
          <w:tcPr>
            <w:tcW w:w="6449" w:type="dxa"/>
            <w:gridSpan w:val="4"/>
          </w:tcPr>
          <w:p w:rsidR="007B7A21" w:rsidRPr="00AD33E8" w:rsidRDefault="007B7A21">
            <w:pPr>
              <w:pStyle w:val="RubrikFrstaSida"/>
              <w:ind w:left="0" w:firstLine="0"/>
            </w:pPr>
            <w:bookmarkStart w:id="78" w:name="Mittenrubrik"/>
            <w:bookmarkEnd w:id="78"/>
            <w:r w:rsidRPr="00AD33E8">
              <w:t>Statens personalpolitik</w:t>
            </w:r>
          </w:p>
          <w:p w:rsidR="007B7A21" w:rsidRPr="00AD33E8" w:rsidRDefault="007B7A21">
            <w:r w:rsidRPr="00AD33E8">
              <w:t>En uppföljning av 1985 års personalpolitiska beslut</w:t>
            </w:r>
          </w:p>
        </w:tc>
      </w:tr>
      <w:tr w:rsidR="00000000" w:rsidRPr="00AD33E8">
        <w:tblPrEx>
          <w:tblCellMar>
            <w:top w:w="0" w:type="dxa"/>
            <w:bottom w:w="0" w:type="dxa"/>
          </w:tblCellMar>
        </w:tblPrEx>
        <w:trPr>
          <w:cantSplit/>
          <w:trHeight w:val="480"/>
        </w:trPr>
        <w:tc>
          <w:tcPr>
            <w:tcW w:w="7300" w:type="dxa"/>
            <w:gridSpan w:val="5"/>
          </w:tcPr>
          <w:p w:rsidR="007B7A21" w:rsidRPr="00AD33E8" w:rsidRDefault="007B7A21">
            <w:pPr>
              <w:pStyle w:val="Sidfot"/>
              <w:spacing w:before="1560" w:line="240" w:lineRule="auto"/>
              <w:jc w:val="left"/>
              <w:rPr>
                <w:rFonts w:ascii="GillSans Light" w:hAnsi="GillSans Light"/>
                <w:caps/>
                <w:spacing w:val="10"/>
                <w:sz w:val="17"/>
              </w:rPr>
            </w:pPr>
            <w:r w:rsidRPr="00AD33E8">
              <w:rPr>
                <w:rFonts w:ascii="GillSans Light" w:hAnsi="GillSans Light"/>
                <w:caps/>
                <w:spacing w:val="10"/>
                <w:sz w:val="17"/>
              </w:rPr>
              <w:t>Riksdagens revisorer · 100 12 STOCKHOLM · TEL 08-786 40 00 · fax 08-786 61 88</w:t>
            </w:r>
          </w:p>
          <w:p w:rsidR="007B7A21" w:rsidRPr="00AD33E8" w:rsidRDefault="007B7A21">
            <w:pPr>
              <w:spacing w:before="0" w:line="240" w:lineRule="auto"/>
              <w:rPr>
                <w:rFonts w:ascii="GillSans Light" w:hAnsi="GillSans Light"/>
                <w:spacing w:val="10"/>
                <w:sz w:val="20"/>
              </w:rPr>
            </w:pPr>
            <w:r w:rsidRPr="00AD33E8">
              <w:t>www.riksdagen.se/rr</w:t>
            </w:r>
          </w:p>
        </w:tc>
      </w:tr>
    </w:tbl>
    <w:p w:rsidR="007B7A21" w:rsidRPr="00AD33E8" w:rsidRDefault="007B7A21">
      <w:pPr>
        <w:pStyle w:val="Rubrik1-Utannumrering"/>
        <w:sectPr w:rsidR="00000000" w:rsidRPr="00AD33E8">
          <w:headerReference w:type="default" r:id="rId11"/>
          <w:footerReference w:type="default" r:id="rId12"/>
          <w:type w:val="oddPage"/>
          <w:pgSz w:w="11906" w:h="16838" w:code="9"/>
          <w:pgMar w:top="567" w:right="4876" w:bottom="4508" w:left="1134" w:header="227" w:footer="227" w:gutter="0"/>
          <w:cols w:space="720"/>
        </w:sectPr>
      </w:pPr>
    </w:p>
    <w:p w:rsidR="007B7A21" w:rsidRPr="00AD33E8" w:rsidRDefault="007B7A21">
      <w:pPr>
        <w:pStyle w:val="Rubrik1-Utannumrering"/>
      </w:pPr>
      <w:bookmarkStart w:id="80" w:name="_Toc21425258"/>
      <w:r w:rsidRPr="00AD33E8">
        <w:t>Förord</w:t>
      </w:r>
      <w:bookmarkEnd w:id="80"/>
    </w:p>
    <w:p w:rsidR="007B7A21" w:rsidRPr="00AD33E8" w:rsidRDefault="007B7A21">
      <w:r w:rsidRPr="00AD33E8">
        <w:t>Riksdagens revisorer har på eget initiativ granskat genomförande och g</w:t>
      </w:r>
      <w:r w:rsidRPr="00AD33E8">
        <w:t>e</w:t>
      </w:r>
      <w:r w:rsidRPr="00AD33E8">
        <w:t>nomslag av 1985 års personalpolitiska beslut. Granskningens utgångs</w:t>
      </w:r>
      <w:r w:rsidRPr="00AD33E8">
        <w:softHyphen/>
        <w:t xml:space="preserve">punkter är dels bestämmelsen i regeringsformen om en statlig förvaltning på saklig grund, dels riksdagens beslut att personalpolitiken ska vara ett medel för förnyelse av den statliga verksamheten. </w:t>
      </w:r>
    </w:p>
    <w:p w:rsidR="007B7A21" w:rsidRPr="00AD33E8" w:rsidRDefault="007B7A21">
      <w:pPr>
        <w:pStyle w:val="Normaltindrag"/>
      </w:pPr>
      <w:r w:rsidRPr="00AD33E8">
        <w:t>Granskningen har beretts av revisorerna i tredje avdelningen. I avdelnin</w:t>
      </w:r>
      <w:r w:rsidRPr="00AD33E8">
        <w:t>g</w:t>
      </w:r>
      <w:r w:rsidRPr="00AD33E8">
        <w:t>en ingår Anders G Högmark (m) ordförande, Anita Jönsson (s) vice ordf</w:t>
      </w:r>
      <w:r w:rsidRPr="00AD33E8">
        <w:t>ö</w:t>
      </w:r>
      <w:r w:rsidRPr="00AD33E8">
        <w:t>rande, Kenneth Lantz (kd), Marie Engström (v), Ingvar Eriksson (m), Conny Öhman (s), Ann-Kristine Johansson (s) Ann-Marie Fagerström (s).</w:t>
      </w:r>
    </w:p>
    <w:p w:rsidR="007B7A21" w:rsidRPr="00AD33E8" w:rsidRDefault="007B7A21">
      <w:pPr>
        <w:pStyle w:val="Normaltindrag"/>
      </w:pPr>
      <w:r w:rsidRPr="00AD33E8">
        <w:t>Inom revisorernas kansli har revisionsdirektören Nils Eklund u</w:t>
      </w:r>
      <w:r w:rsidRPr="00AD33E8">
        <w:t>t</w:t>
      </w:r>
      <w:r w:rsidRPr="00AD33E8">
        <w:t>fört utred</w:t>
      </w:r>
      <w:r w:rsidRPr="00AD33E8">
        <w:softHyphen/>
        <w:t>ningsarbetet. Kanslichefen Åke Dahlberg och utredningschefen Stig Tegle har också medverkat i granskningen.</w:t>
      </w:r>
    </w:p>
    <w:p w:rsidR="007B7A21" w:rsidRPr="00AD33E8" w:rsidRDefault="007B7A21">
      <w:pPr>
        <w:pStyle w:val="Normaltindrag"/>
      </w:pPr>
      <w:r w:rsidRPr="00AD33E8">
        <w:t>Beslut om rapporten har fattats av revisorerna i plenum den 21 mars 2002. Rapporten sänds nu ut på remiss. Revisorernas slutgiltiga ställningstagande och förslag kommer därefter att utformas i en skr</w:t>
      </w:r>
      <w:r w:rsidRPr="00AD33E8">
        <w:t>i</w:t>
      </w:r>
      <w:r w:rsidRPr="00AD33E8">
        <w:t>velse till riksdagen.</w:t>
      </w:r>
    </w:p>
    <w:p w:rsidR="007B7A21" w:rsidRPr="00AD33E8" w:rsidRDefault="007B7A21"/>
    <w:p w:rsidR="007B7A21" w:rsidRPr="00AD33E8" w:rsidRDefault="007B7A21">
      <w:pPr>
        <w:pStyle w:val="Rubrik1-Utannumrering"/>
        <w:sectPr w:rsidR="00000000" w:rsidRPr="00AD33E8">
          <w:type w:val="oddPage"/>
          <w:pgSz w:w="11906" w:h="16838" w:code="9"/>
          <w:pgMar w:top="567" w:right="4876" w:bottom="4508" w:left="1134" w:header="227" w:footer="227" w:gutter="0"/>
          <w:cols w:space="720"/>
        </w:sectPr>
      </w:pPr>
    </w:p>
    <w:p w:rsidR="007B7A21" w:rsidRPr="00AD33E8" w:rsidRDefault="007B7A21">
      <w:pPr>
        <w:pStyle w:val="Rubrik1-Utannumrering"/>
      </w:pPr>
      <w:bookmarkStart w:id="81" w:name="_Toc21425259"/>
      <w:r w:rsidRPr="00AD33E8">
        <w:t>Sammanfattning</w:t>
      </w:r>
      <w:bookmarkEnd w:id="81"/>
    </w:p>
    <w:p w:rsidR="007B7A21" w:rsidRPr="00AD33E8" w:rsidRDefault="007B7A21">
      <w:r w:rsidRPr="00AD33E8">
        <w:t>Granskningen utgår från det personalpolitiska beslut som riksdagen fattade år 1985. Personalpolitiken skulle därmed i högre grad än tidigare bli ett medel för förändring och effektivisering av den statliga verksamheten. Personalp</w:t>
      </w:r>
      <w:r w:rsidRPr="00AD33E8">
        <w:t>o</w:t>
      </w:r>
      <w:r w:rsidRPr="00AD33E8">
        <w:t>litiken skulle också präglas av den offentliga sektorns ideal om demokrati, rättvisa, rättssäkerhet och opartiskhet. Anställningstryggheten hade också en framskj</w:t>
      </w:r>
      <w:r w:rsidRPr="00AD33E8">
        <w:t>u</w:t>
      </w:r>
      <w:r w:rsidRPr="00AD33E8">
        <w:t>ten plats.</w:t>
      </w:r>
    </w:p>
    <w:p w:rsidR="007B7A21" w:rsidRPr="00AD33E8" w:rsidRDefault="007B7A21">
      <w:pPr>
        <w:pStyle w:val="Normaltindrag"/>
      </w:pPr>
      <w:r w:rsidRPr="00AD33E8">
        <w:t>Granskningens syfte är att bedöma genomförandet av 1985 års persona</w:t>
      </w:r>
      <w:r w:rsidRPr="00AD33E8">
        <w:t>l</w:t>
      </w:r>
      <w:r w:rsidRPr="00AD33E8">
        <w:t>politiska beslut. I vilken mån har uppsatta mål nåtts? Hur har olika persona</w:t>
      </w:r>
      <w:r w:rsidRPr="00AD33E8">
        <w:t>l</w:t>
      </w:r>
      <w:r w:rsidRPr="00AD33E8">
        <w:t xml:space="preserve">politiska medel fungerat i praktiken? Hur har regeringsformens bestämmelse om saklighet i den statliga förvaltningen tillämpats när personalpolitiken utvecklats? </w:t>
      </w:r>
    </w:p>
    <w:p w:rsidR="007B7A21" w:rsidRPr="00AD33E8" w:rsidRDefault="007B7A21">
      <w:pPr>
        <w:pStyle w:val="Normaltindrag"/>
      </w:pPr>
      <w:r w:rsidRPr="00AD33E8">
        <w:t>Undersökningen har genomförts i fyra delar. Statens personalpolitiska principers utveckling och reglering har kartlagts i ett drygt 15-årigt perspe</w:t>
      </w:r>
      <w:r w:rsidRPr="00AD33E8">
        <w:t>k</w:t>
      </w:r>
      <w:r w:rsidRPr="00AD33E8">
        <w:t>tiv. Utfallet av statens personalpolitik, som den kan redovisas med nyckeltal eller statistik, har följts och ana</w:t>
      </w:r>
      <w:r w:rsidRPr="00AD33E8">
        <w:softHyphen/>
        <w:t>ly</w:t>
      </w:r>
      <w:r w:rsidRPr="00AD33E8">
        <w:softHyphen/>
        <w:t>se</w:t>
      </w:r>
      <w:r w:rsidRPr="00AD33E8">
        <w:softHyphen/>
        <w:t>rats. Slutsatserna i olika utredningar som handlar om personalpolitik, organisation och ekonomi</w:t>
      </w:r>
      <w:r w:rsidRPr="00AD33E8">
        <w:softHyphen/>
        <w:t>administra</w:t>
      </w:r>
      <w:r w:rsidRPr="00AD33E8">
        <w:softHyphen/>
        <w:t>tion samt förvaltningspolitik har studerats. Fallstudier har genomförts inom Arbet</w:t>
      </w:r>
      <w:r w:rsidRPr="00AD33E8">
        <w:t>s</w:t>
      </w:r>
      <w:r w:rsidRPr="00AD33E8">
        <w:t>marknadsverket, polisen, skatteförvaltningen och de allmänna försäkring</w:t>
      </w:r>
      <w:r w:rsidRPr="00AD33E8">
        <w:t>s</w:t>
      </w:r>
      <w:r w:rsidRPr="00AD33E8">
        <w:t>kasso</w:t>
      </w:r>
      <w:r w:rsidRPr="00AD33E8">
        <w:t>r</w:t>
      </w:r>
      <w:r w:rsidRPr="00AD33E8">
        <w:t xml:space="preserve">na. </w:t>
      </w:r>
    </w:p>
    <w:p w:rsidR="007B7A21" w:rsidRPr="00AD33E8" w:rsidRDefault="007B7A21">
      <w:pPr>
        <w:pStyle w:val="Normaltindrag"/>
      </w:pPr>
      <w:r w:rsidRPr="00AD33E8">
        <w:t>Utgångspunkt för granskningen är de grundläggande bestämmelserna i r</w:t>
      </w:r>
      <w:r w:rsidRPr="00AD33E8">
        <w:t>e</w:t>
      </w:r>
      <w:r w:rsidRPr="00AD33E8">
        <w:t>geringsformens första kapitel om det svenska statsskickets grunder. Den offentliga makten utövas under lagarna, vilka stiftas av riksdagen som också bestämmer hur statens medel ska användas. Förvaltningsmyndigheter som fullgör uppgifter inom den offentliga förvaltningen ska iaktta saklighet och opa</w:t>
      </w:r>
      <w:r w:rsidRPr="00AD33E8">
        <w:t>r</w:t>
      </w:r>
      <w:r w:rsidRPr="00AD33E8">
        <w:t xml:space="preserve">tiskhet och  riksdagen ska granska rikets styrelse och förvaltning. </w:t>
      </w:r>
    </w:p>
    <w:p w:rsidR="007B7A21" w:rsidRPr="00AD33E8" w:rsidRDefault="007B7A21">
      <w:pPr>
        <w:pStyle w:val="Normaltindrag"/>
        <w:rPr>
          <w:snapToGrid w:val="0"/>
        </w:rPr>
      </w:pPr>
      <w:r w:rsidRPr="00AD33E8">
        <w:rPr>
          <w:snapToGrid w:val="0"/>
        </w:rPr>
        <w:t>Personalpolitik är ett vitt begrepp. En beskrivning av begreppet som a</w:t>
      </w:r>
      <w:r w:rsidRPr="00AD33E8">
        <w:rPr>
          <w:snapToGrid w:val="0"/>
        </w:rPr>
        <w:t>n</w:t>
      </w:r>
      <w:r w:rsidRPr="00AD33E8">
        <w:rPr>
          <w:snapToGrid w:val="0"/>
        </w:rPr>
        <w:t>vänts under ärendets gång är: ”Perso</w:t>
      </w:r>
      <w:r w:rsidRPr="00AD33E8">
        <w:rPr>
          <w:snapToGrid w:val="0"/>
        </w:rPr>
        <w:softHyphen/>
        <w:t>nalpolitik i staten är värderingar, normer eller åtgärder som syftar till att rekrytera, leda, behålla, utveckla och a</w:t>
      </w:r>
      <w:r w:rsidRPr="00AD33E8">
        <w:rPr>
          <w:snapToGrid w:val="0"/>
        </w:rPr>
        <w:t>v</w:t>
      </w:r>
      <w:r w:rsidRPr="00AD33E8">
        <w:rPr>
          <w:snapToGrid w:val="0"/>
        </w:rPr>
        <w:t>veckla statliga tjänstemän så att riksdagens beslut kan genomföras så bra som möjligt samt att relationerna mellan de anställda och den statliga arbetsgiv</w:t>
      </w:r>
      <w:r w:rsidRPr="00AD33E8">
        <w:rPr>
          <w:snapToGrid w:val="0"/>
        </w:rPr>
        <w:t>a</w:t>
      </w:r>
      <w:r w:rsidRPr="00AD33E8">
        <w:rPr>
          <w:snapToGrid w:val="0"/>
        </w:rPr>
        <w:t>ren regleras och hålls tydliga.” Personalpolitiken är vidare en del av förval</w:t>
      </w:r>
      <w:r w:rsidRPr="00AD33E8">
        <w:rPr>
          <w:snapToGrid w:val="0"/>
        </w:rPr>
        <w:t>t</w:t>
      </w:r>
      <w:r w:rsidRPr="00AD33E8">
        <w:rPr>
          <w:snapToGrid w:val="0"/>
        </w:rPr>
        <w:t>ningspolitiken, med nära koppling till budgetpolitiken. I granskningen påv</w:t>
      </w:r>
      <w:r w:rsidRPr="00AD33E8">
        <w:rPr>
          <w:snapToGrid w:val="0"/>
        </w:rPr>
        <w:t>i</w:t>
      </w:r>
      <w:r w:rsidRPr="00AD33E8">
        <w:rPr>
          <w:snapToGrid w:val="0"/>
        </w:rPr>
        <w:t>sas olika samband mellan personalpolitik och bu</w:t>
      </w:r>
      <w:r w:rsidRPr="00AD33E8">
        <w:rPr>
          <w:snapToGrid w:val="0"/>
        </w:rPr>
        <w:t>dgetpolitik. Däremot gran</w:t>
      </w:r>
      <w:r w:rsidRPr="00AD33E8">
        <w:rPr>
          <w:snapToGrid w:val="0"/>
        </w:rPr>
        <w:t>s</w:t>
      </w:r>
      <w:r w:rsidRPr="00AD33E8">
        <w:rPr>
          <w:snapToGrid w:val="0"/>
        </w:rPr>
        <w:t>kas inte budgetpolitiken. Den ses här som en given förutsättning för pers</w:t>
      </w:r>
      <w:r w:rsidRPr="00AD33E8">
        <w:rPr>
          <w:snapToGrid w:val="0"/>
        </w:rPr>
        <w:t>o</w:t>
      </w:r>
      <w:r w:rsidRPr="00AD33E8">
        <w:rPr>
          <w:snapToGrid w:val="0"/>
        </w:rPr>
        <w:t>nalpolit</w:t>
      </w:r>
      <w:r w:rsidRPr="00AD33E8">
        <w:rPr>
          <w:snapToGrid w:val="0"/>
        </w:rPr>
        <w:t>i</w:t>
      </w:r>
      <w:r w:rsidRPr="00AD33E8">
        <w:rPr>
          <w:snapToGrid w:val="0"/>
        </w:rPr>
        <w:t>ken.</w:t>
      </w:r>
    </w:p>
    <w:p w:rsidR="007B7A21" w:rsidRPr="00AD33E8" w:rsidRDefault="007B7A21">
      <w:pPr>
        <w:pStyle w:val="Rubrik2-Utannumrering"/>
      </w:pPr>
      <w:bookmarkStart w:id="82" w:name="_Toc536843105"/>
      <w:bookmarkStart w:id="83" w:name="_Toc3887347"/>
      <w:bookmarkStart w:id="84" w:name="_Toc21425260"/>
      <w:r w:rsidRPr="00AD33E8">
        <w:t>Den statliga personalpolitikens måluppfyllelse har varierat</w:t>
      </w:r>
      <w:bookmarkEnd w:id="82"/>
      <w:bookmarkEnd w:id="83"/>
      <w:bookmarkEnd w:id="84"/>
      <w:r w:rsidRPr="00AD33E8">
        <w:t xml:space="preserve"> </w:t>
      </w:r>
    </w:p>
    <w:p w:rsidR="007B7A21" w:rsidRPr="00AD33E8" w:rsidRDefault="007B7A21">
      <w:r w:rsidRPr="00AD33E8">
        <w:t>Personalpolitikens förändringsförmåga har utvecklats. Den har fungerat som ett stöd för budgetpolitikens uppstramning i sa</w:t>
      </w:r>
      <w:r w:rsidRPr="00AD33E8">
        <w:t>m</w:t>
      </w:r>
      <w:r w:rsidRPr="00AD33E8">
        <w:t>band med den stats</w:t>
      </w:r>
      <w:r w:rsidRPr="00AD33E8">
        <w:softHyphen/>
        <w:t>finan</w:t>
      </w:r>
      <w:r w:rsidRPr="00AD33E8">
        <w:softHyphen/>
        <w:t>siella krisen under 1990-talet. De neddragningar i den statliga sektorn som då bedömdes nödvändiga kunde genomföras under personalpolitiskt, i stort sett, försvarbara former.</w:t>
      </w:r>
    </w:p>
    <w:p w:rsidR="007B7A21" w:rsidRPr="00AD33E8" w:rsidRDefault="007B7A21">
      <w:pPr>
        <w:pStyle w:val="Normaltindrag"/>
      </w:pPr>
      <w:r w:rsidRPr="00AD33E8">
        <w:t>Frågan om statens personalpolitik har bidragit till den offentliga sektorns effektivisering kan inte entydigt besvaras. Uppföljningar som kan ge rätt</w:t>
      </w:r>
      <w:r w:rsidRPr="00AD33E8">
        <w:softHyphen/>
        <w:t>visan</w:t>
      </w:r>
      <w:r w:rsidRPr="00AD33E8">
        <w:softHyphen/>
        <w:t>de bilder av den statliga förvaltningens resultat saknas fortfarande. De indikatorer som revisorerna studerat ger delvis motsägelsefulla intryck. Mö</w:t>
      </w:r>
      <w:r w:rsidRPr="00AD33E8">
        <w:t>j</w:t>
      </w:r>
      <w:r w:rsidRPr="00AD33E8">
        <w:t>ligheter till förenklade förvaltningsprocesser har utnyttjas på många håll. Genomloppstider har kortats, om än inte för alla ärendetyper eller verksam</w:t>
      </w:r>
      <w:r w:rsidRPr="00AD33E8">
        <w:softHyphen/>
        <w:t>heter. Samtidigt har genomgripande och kost</w:t>
      </w:r>
      <w:r w:rsidRPr="00AD33E8">
        <w:softHyphen/>
        <w:t>nads</w:t>
      </w:r>
      <w:r w:rsidRPr="00AD33E8">
        <w:softHyphen/>
        <w:t>krävande omorganisationer genomförts, med osäkra eller ibland negativa resultat som ibland krävt nya korrigerande omorganisationer. Nya arbetsmetoder och de</w:t>
      </w:r>
      <w:r w:rsidRPr="00AD33E8">
        <w:t>n tekniska utveck</w:t>
      </w:r>
      <w:r w:rsidRPr="00AD33E8">
        <w:softHyphen/>
        <w:t>lingen har gett förutsättningar för effektivare arbete och ökad kvalitet i form av t.ex. ökad tillgänglighet. Den fulla potentialen har på grund av bl.a. min</w:t>
      </w:r>
      <w:r w:rsidRPr="00AD33E8">
        <w:t>s</w:t>
      </w:r>
      <w:r w:rsidRPr="00AD33E8">
        <w:t>kad bemanning eller olika fördröjningar ännu inte kunnat tas till vara. Up</w:t>
      </w:r>
      <w:r w:rsidRPr="00AD33E8">
        <w:t>p</w:t>
      </w:r>
      <w:r w:rsidRPr="00AD33E8">
        <w:t>gifter tyder på att resultatutvecklingen, för såväl verk</w:t>
      </w:r>
      <w:r w:rsidRPr="00AD33E8">
        <w:softHyphen/>
        <w:t>sam</w:t>
      </w:r>
      <w:r w:rsidRPr="00AD33E8">
        <w:softHyphen/>
        <w:t>heternas prestati</w:t>
      </w:r>
      <w:r w:rsidRPr="00AD33E8">
        <w:t>o</w:t>
      </w:r>
      <w:r w:rsidRPr="00AD33E8">
        <w:t>ner som mätbara effekter, var negativ under några år vid mitten av 1990-talet. Det finns också motsatta bedömningar där tjänstemän vittnar om stol</w:t>
      </w:r>
      <w:r w:rsidRPr="00AD33E8">
        <w:t>t</w:t>
      </w:r>
      <w:r w:rsidRPr="00AD33E8">
        <w:t>het över att ha bidragit till att h</w:t>
      </w:r>
      <w:r w:rsidRPr="00AD33E8">
        <w:t>ålla verksamheten på en acceptabel nivå. En ökad frekvens av sjukskrivningar har, åtminstone till viss del, kopplats till ökad arbetsbelastning till följd av minskad bema</w:t>
      </w:r>
      <w:r w:rsidRPr="00AD33E8">
        <w:t>n</w:t>
      </w:r>
      <w:r w:rsidRPr="00AD33E8">
        <w:t xml:space="preserve">ning. </w:t>
      </w:r>
    </w:p>
    <w:p w:rsidR="007B7A21" w:rsidRPr="00AD33E8" w:rsidRDefault="007B7A21">
      <w:pPr>
        <w:pStyle w:val="Normaltindrag"/>
      </w:pPr>
      <w:r w:rsidRPr="00AD33E8">
        <w:t>För personalpolitikens huvuduppgift att långsiktigt bemanna den statliga förvaltningen med kompetent och solidarisk personal finns två resultat. Pe</w:t>
      </w:r>
      <w:r w:rsidRPr="00AD33E8">
        <w:t>r</w:t>
      </w:r>
      <w:r w:rsidRPr="00AD33E8">
        <w:t>sonalens bidrag till budget</w:t>
      </w:r>
      <w:r w:rsidRPr="00AD33E8">
        <w:softHyphen/>
        <w:t>saneringen på 1990-talet och den därefter inledda återhämtningen ger ett bra betyg för den statliga personalpolitiken. Staten har förmått rekrytera personal som klarat av att lösa sina uppgifter under press</w:t>
      </w:r>
      <w:r w:rsidRPr="00AD33E8">
        <w:t>a</w:t>
      </w:r>
      <w:r w:rsidRPr="00AD33E8">
        <w:t>de omständigheter. Frågor finns dock om den långsiktiga hållbarheten i personalförsörjningen. Rekryteringen minskade under krisåren på 90-talet. Det har varit svårt att såväl rekrytera som behålla yngre arbetskraft. Samt</w:t>
      </w:r>
      <w:r w:rsidRPr="00AD33E8">
        <w:t>i</w:t>
      </w:r>
      <w:r w:rsidRPr="00AD33E8">
        <w:t>digt står statsförvaltningen inför omfattande pen</w:t>
      </w:r>
      <w:r w:rsidRPr="00AD33E8">
        <w:softHyphen/>
        <w:t>sions</w:t>
      </w:r>
      <w:r w:rsidRPr="00AD33E8">
        <w:softHyphen/>
      </w:r>
      <w:r w:rsidRPr="00AD33E8">
        <w:softHyphen/>
        <w:t>avgångar som kräver tillskott av personal.</w:t>
      </w:r>
    </w:p>
    <w:p w:rsidR="007B7A21" w:rsidRPr="00AD33E8" w:rsidRDefault="007B7A21">
      <w:pPr>
        <w:pStyle w:val="Normaltindrag"/>
      </w:pPr>
      <w:r w:rsidRPr="00AD33E8">
        <w:t>Uppföljningen inom personalpolitiken har hittills haft en schablon</w:t>
      </w:r>
      <w:r w:rsidRPr="00AD33E8">
        <w:softHyphen/>
        <w:t>mäs</w:t>
      </w:r>
      <w:r w:rsidRPr="00AD33E8">
        <w:softHyphen/>
        <w:t>sig inriktning. Den har varit inriktad på kvantitativa nyckeltal och statistik, t.ex. om personalrörlighet, produktivitet, arbetstidsplanering, där bakomliggande för</w:t>
      </w:r>
      <w:r w:rsidRPr="00AD33E8">
        <w:softHyphen/>
        <w:t>kla</w:t>
      </w:r>
      <w:r w:rsidRPr="00AD33E8">
        <w:softHyphen/>
        <w:t>ringar vare sig fått tillräckligt utrymme eller analys. Därtill görs rege</w:t>
      </w:r>
      <w:r w:rsidRPr="00AD33E8">
        <w:t>r</w:t>
      </w:r>
      <w:r w:rsidRPr="00AD33E8">
        <w:t>ingens arbetsgivarpolitiska uppföljning i särskild ordning, skild från myndi</w:t>
      </w:r>
      <w:r w:rsidRPr="00AD33E8">
        <w:t>g</w:t>
      </w:r>
      <w:r w:rsidRPr="00AD33E8">
        <w:t>heternas övriga verksamhets- och resultatredovisning. Uppföljningen har också schablonmässigt utgått från att den arbetsgivarpolitiska delege</w:t>
      </w:r>
      <w:r w:rsidRPr="00AD33E8">
        <w:softHyphen/>
        <w:t>ringen inneburit att enskilda inslag i myndi</w:t>
      </w:r>
      <w:r w:rsidRPr="00AD33E8">
        <w:t>gheternas personalpolitik inte behöver omfattas av riksdagens, i regeringsformen angivna, gransknings</w:t>
      </w:r>
      <w:r w:rsidRPr="00AD33E8">
        <w:softHyphen/>
        <w:t>an</w:t>
      </w:r>
      <w:r w:rsidRPr="00AD33E8">
        <w:softHyphen/>
        <w:t>svar. Vid personalpolitikens praktiska ti</w:t>
      </w:r>
      <w:r w:rsidRPr="00AD33E8">
        <w:t>l</w:t>
      </w:r>
      <w:r w:rsidRPr="00AD33E8">
        <w:t>lämpning saknas i flera fall tydl</w:t>
      </w:r>
      <w:r w:rsidRPr="00AD33E8">
        <w:softHyphen/>
        <w:t>iga motive</w:t>
      </w:r>
      <w:r w:rsidRPr="00AD33E8">
        <w:softHyphen/>
        <w:t>ringar där enskilda b</w:t>
      </w:r>
      <w:r w:rsidRPr="00AD33E8">
        <w:t>e</w:t>
      </w:r>
      <w:r w:rsidRPr="00AD33E8">
        <w:t>sluts sakliga grund klart framgår.</w:t>
      </w:r>
    </w:p>
    <w:p w:rsidR="007B7A21" w:rsidRPr="00AD33E8" w:rsidRDefault="007B7A21">
      <w:pPr>
        <w:pStyle w:val="Rubrik2-Utannumrering"/>
      </w:pPr>
      <w:bookmarkStart w:id="85" w:name="_Toc536843106"/>
      <w:bookmarkStart w:id="86" w:name="_Toc3887348"/>
      <w:bookmarkStart w:id="87" w:name="_Toc21425261"/>
      <w:r w:rsidRPr="00AD33E8">
        <w:t>Ett långsiktigt perspektiv</w:t>
      </w:r>
      <w:bookmarkEnd w:id="85"/>
      <w:bookmarkEnd w:id="86"/>
      <w:bookmarkEnd w:id="87"/>
    </w:p>
    <w:p w:rsidR="007B7A21" w:rsidRPr="00AD33E8" w:rsidRDefault="007B7A21">
      <w:r w:rsidRPr="00AD33E8">
        <w:t>De drygt femton år som har förflutit sedan det personalpolitiska beslutet år 1985 har varit omvälvande för den statliga förvaltningen och dess personal. Detta har naturligen påverkat personalpolitikens tillämpning och utveckling. Tre olika faser, av olika karaktär, kan grovt sett urskiljas.</w:t>
      </w:r>
    </w:p>
    <w:p w:rsidR="007B7A21" w:rsidRPr="00AD33E8" w:rsidRDefault="007B7A21">
      <w:pPr>
        <w:pStyle w:val="Normaltindrag"/>
      </w:pPr>
      <w:r w:rsidRPr="00AD33E8">
        <w:t>Den första perioden, från 1985 till 1991/92 kännetecknades av imple</w:t>
      </w:r>
      <w:r w:rsidRPr="00AD33E8">
        <w:softHyphen/>
        <w:t>mentering och prövning av olika modeller. Det fanns då fortfarande resurser för utvecklingsprojektet. Personalpolitiskt satsade man i hög grad på olika former av ledarskapsutveckling. Fortfarande vägde förtjänstkriteriet tungt i befordringar.</w:t>
      </w:r>
    </w:p>
    <w:p w:rsidR="007B7A21" w:rsidRPr="00AD33E8" w:rsidRDefault="007B7A21">
      <w:pPr>
        <w:pStyle w:val="Normaltindrag"/>
      </w:pPr>
      <w:r w:rsidRPr="00AD33E8">
        <w:t>Budgetåren 1991/92 till 1998 präglades i hög grad av uppgiften att få ko</w:t>
      </w:r>
      <w:r w:rsidRPr="00AD33E8">
        <w:t>n</w:t>
      </w:r>
      <w:r w:rsidRPr="00AD33E8">
        <w:t>troll över den statliga sektorns kostnader. Många utvecklingsprojekt avsta</w:t>
      </w:r>
      <w:r w:rsidRPr="00AD33E8">
        <w:t>n</w:t>
      </w:r>
      <w:r w:rsidRPr="00AD33E8">
        <w:t>nade. Budgetfrågor trädde fram före verksamhetsfrågor. Personalpolitiken hade en dubbelroll, dels fick myndigheterna för besparingarnas skull dra ned på personal, dels var det personalen som höll verksamheten och resultaten uppe. De ökade kraven på verksamheterna medförde att ledarskapsutvec</w:t>
      </w:r>
      <w:r w:rsidRPr="00AD33E8">
        <w:t>k</w:t>
      </w:r>
      <w:r w:rsidRPr="00AD33E8">
        <w:t>lingen bytte spår. Skickligheten knuten till resultat-, personal-, verksamhets- och bud</w:t>
      </w:r>
      <w:r w:rsidRPr="00AD33E8">
        <w:softHyphen/>
        <w:t>get</w:t>
      </w:r>
      <w:r w:rsidRPr="00AD33E8">
        <w:softHyphen/>
        <w:t>ansvar började slå igenom.</w:t>
      </w:r>
    </w:p>
    <w:p w:rsidR="007B7A21" w:rsidRPr="00AD33E8" w:rsidRDefault="007B7A21">
      <w:pPr>
        <w:pStyle w:val="Normaltindrag"/>
      </w:pPr>
      <w:r w:rsidRPr="00AD33E8">
        <w:t>Åren efter 1998 kännetec</w:t>
      </w:r>
      <w:r w:rsidRPr="00AD33E8">
        <w:t>knas av en återhämtning där utvec</w:t>
      </w:r>
      <w:r w:rsidRPr="00AD33E8">
        <w:t>k</w:t>
      </w:r>
      <w:r w:rsidRPr="00AD33E8">
        <w:t>lingen av per</w:t>
      </w:r>
      <w:r w:rsidRPr="00AD33E8">
        <w:softHyphen/>
        <w:t>sonalfrågor sker på nya grunder. Erfarenheterna från krisåren ger persona</w:t>
      </w:r>
      <w:r w:rsidRPr="00AD33E8">
        <w:t>l</w:t>
      </w:r>
      <w:r w:rsidRPr="00AD33E8">
        <w:t>politiken en annan in</w:t>
      </w:r>
      <w:r w:rsidRPr="00AD33E8">
        <w:softHyphen/>
        <w:t>rikt</w:t>
      </w:r>
      <w:r w:rsidRPr="00AD33E8">
        <w:softHyphen/>
        <w:t>ning än den som prövades tio år tidigare. Ledare och personal ses inte längre som två olika kategorier. I ledarskapet har den statl</w:t>
      </w:r>
      <w:r w:rsidRPr="00AD33E8">
        <w:t>i</w:t>
      </w:r>
      <w:r w:rsidRPr="00AD33E8">
        <w:t>ga ämbets- och tjänstemannarollen fått ny aktualitet. Personalen har genom en långtgående delegering fått ansvaret för resultat och verksamhet tydli</w:t>
      </w:r>
      <w:r w:rsidRPr="00AD33E8">
        <w:t>g</w:t>
      </w:r>
      <w:r w:rsidRPr="00AD33E8">
        <w:t>gjort. Samtidigt finns svåra uppgifter att lösa. En omfattande nyrekrytering behöv</w:t>
      </w:r>
      <w:r w:rsidRPr="00AD33E8">
        <w:t>s. En sjukfrånvaro som, delvis men i okänd utsträckning, kan knytas till en ökad arbetsbelastning växer. Många statliga tjänstemän upplever att de</w:t>
      </w:r>
      <w:r w:rsidRPr="00AD33E8">
        <w:softHyphen/>
        <w:t>ras arbete och yrkeskunna</w:t>
      </w:r>
      <w:r w:rsidRPr="00AD33E8">
        <w:t>n</w:t>
      </w:r>
      <w:r w:rsidRPr="00AD33E8">
        <w:t>de inte värderas tillräckligt högt.</w:t>
      </w:r>
    </w:p>
    <w:p w:rsidR="007B7A21" w:rsidRPr="00AD33E8" w:rsidRDefault="007B7A21">
      <w:pPr>
        <w:pStyle w:val="Rubrik2-Utannumrering"/>
      </w:pPr>
      <w:bookmarkStart w:id="88" w:name="_Toc536843107"/>
      <w:bookmarkStart w:id="89" w:name="_Toc3887349"/>
      <w:bookmarkStart w:id="90" w:name="_Toc21425262"/>
      <w:r w:rsidRPr="00AD33E8">
        <w:t>Slutsatser och förslag</w:t>
      </w:r>
      <w:bookmarkEnd w:id="88"/>
      <w:bookmarkEnd w:id="89"/>
      <w:bookmarkEnd w:id="90"/>
    </w:p>
    <w:p w:rsidR="007B7A21" w:rsidRPr="00AD33E8" w:rsidRDefault="007B7A21">
      <w:pPr>
        <w:pStyle w:val="Normaltindrag"/>
        <w:ind w:firstLine="0"/>
        <w:rPr>
          <w:snapToGrid w:val="0"/>
        </w:rPr>
      </w:pPr>
      <w:r w:rsidRPr="00AD33E8">
        <w:rPr>
          <w:snapToGrid w:val="0"/>
        </w:rPr>
        <w:t>Revisorerna anser att regeringen bör förtydliga den statliga pe</w:t>
      </w:r>
      <w:r w:rsidRPr="00AD33E8">
        <w:rPr>
          <w:snapToGrid w:val="0"/>
        </w:rPr>
        <w:t>r</w:t>
      </w:r>
      <w:r w:rsidRPr="00AD33E8">
        <w:rPr>
          <w:snapToGrid w:val="0"/>
        </w:rPr>
        <w:softHyphen/>
        <w:t>so</w:t>
      </w:r>
      <w:r w:rsidRPr="00AD33E8">
        <w:rPr>
          <w:snapToGrid w:val="0"/>
        </w:rPr>
        <w:softHyphen/>
        <w:t>nal</w:t>
      </w:r>
      <w:r w:rsidRPr="00AD33E8">
        <w:rPr>
          <w:snapToGrid w:val="0"/>
        </w:rPr>
        <w:softHyphen/>
        <w:t>politikens innehåll. I granskningen delas personalpolitiken in i två kate</w:t>
      </w:r>
      <w:r w:rsidRPr="00AD33E8">
        <w:rPr>
          <w:snapToGrid w:val="0"/>
        </w:rPr>
        <w:softHyphen/>
        <w:t>gorier - arbet</w:t>
      </w:r>
      <w:r w:rsidRPr="00AD33E8">
        <w:rPr>
          <w:snapToGrid w:val="0"/>
        </w:rPr>
        <w:softHyphen/>
        <w:t>s</w:t>
      </w:r>
      <w:r w:rsidRPr="00AD33E8">
        <w:rPr>
          <w:snapToGrid w:val="0"/>
        </w:rPr>
        <w:softHyphen/>
      </w:r>
      <w:r w:rsidRPr="00AD33E8">
        <w:rPr>
          <w:snapToGrid w:val="0"/>
        </w:rPr>
        <w:softHyphen/>
        <w:t>ledningspolitik och arbetsgivarpolitik. Dessa två kategorier kan även ses i ett externt och ett internt perspektiv. Arbets</w:t>
      </w:r>
      <w:r w:rsidRPr="00AD33E8">
        <w:rPr>
          <w:snapToGrid w:val="0"/>
        </w:rPr>
        <w:softHyphen/>
        <w:t>ledning gäller frågor om hur medborgarna skall få en statlig tjänst utförd på bästa sätt. Arbetsgivarfrågor rör interna relationer i den statliga förvaltningen.</w:t>
      </w:r>
    </w:p>
    <w:p w:rsidR="007B7A21" w:rsidRPr="00AD33E8" w:rsidRDefault="007B7A21">
      <w:pPr>
        <w:pStyle w:val="Normaltindrag"/>
        <w:rPr>
          <w:snapToGrid w:val="0"/>
        </w:rPr>
      </w:pPr>
      <w:r w:rsidRPr="00AD33E8">
        <w:rPr>
          <w:snapToGrid w:val="0"/>
        </w:rPr>
        <w:t xml:space="preserve"> Den arbetsgivarpolitiska delegeringen har varit en viktig förutsättning för den statliga personal</w:t>
      </w:r>
      <w:r w:rsidRPr="00AD33E8">
        <w:rPr>
          <w:snapToGrid w:val="0"/>
        </w:rPr>
        <w:softHyphen/>
        <w:t>politiken och den statliga verksamhetens förnyelse. Den är dock inte den enda eller huvudsakliga förutsättningen. Enligt revisorerna bör den arbetsgivarpolitiska delege</w:t>
      </w:r>
      <w:r w:rsidRPr="00AD33E8">
        <w:rPr>
          <w:snapToGrid w:val="0"/>
        </w:rPr>
        <w:softHyphen/>
        <w:t xml:space="preserve">ringen fortsätta att utvecklas samtidigt som dess innebörd behöver preciseras. </w:t>
      </w:r>
      <w:r w:rsidRPr="00AD33E8">
        <w:t xml:space="preserve">Revisorerna anser samtidigt att </w:t>
      </w:r>
      <w:r w:rsidRPr="00AD33E8">
        <w:rPr>
          <w:snapToGrid w:val="0"/>
        </w:rPr>
        <w:t>en personalpolitik i staten som i alltför hög grad inriktas på arbets</w:t>
      </w:r>
      <w:r w:rsidRPr="00AD33E8">
        <w:rPr>
          <w:snapToGrid w:val="0"/>
        </w:rPr>
        <w:softHyphen/>
        <w:t>givar</w:t>
      </w:r>
      <w:r w:rsidRPr="00AD33E8">
        <w:rPr>
          <w:snapToGrid w:val="0"/>
        </w:rPr>
        <w:softHyphen/>
        <w:t>rollen bortser från andra centrala delar av personalpolitiken.</w:t>
      </w:r>
    </w:p>
    <w:p w:rsidR="007B7A21" w:rsidRPr="00AD33E8" w:rsidRDefault="007B7A21">
      <w:pPr>
        <w:pStyle w:val="Normaltindrag"/>
      </w:pPr>
      <w:r w:rsidRPr="00AD33E8">
        <w:t>Granskningen visar att det finns brister i det statliga chefskapet. Det är fr</w:t>
      </w:r>
      <w:r w:rsidRPr="00AD33E8">
        <w:t>å</w:t>
      </w:r>
      <w:r w:rsidRPr="00AD33E8">
        <w:t>ga om brister i tydlighet, saklighet och lyhördhet. Tydligheten är enligt rev</w:t>
      </w:r>
      <w:r w:rsidRPr="00AD33E8">
        <w:t>i</w:t>
      </w:r>
      <w:r w:rsidRPr="00AD33E8">
        <w:t>sorernas mening viktig. Revisorernas bedömning är att både personalpoliti</w:t>
      </w:r>
      <w:r w:rsidRPr="00AD33E8">
        <w:t>s</w:t>
      </w:r>
      <w:r w:rsidRPr="00AD33E8">
        <w:t>ka program och existerande regelverk väl uttrycker värdet av tydlighet, sa</w:t>
      </w:r>
      <w:r w:rsidRPr="00AD33E8">
        <w:t>k</w:t>
      </w:r>
      <w:r w:rsidRPr="00AD33E8">
        <w:t>lighet eller lyhördhet. Det är vid efterlevnaden av ifråga</w:t>
      </w:r>
      <w:r w:rsidRPr="00AD33E8">
        <w:softHyphen/>
        <w:t>varande bestämme</w:t>
      </w:r>
      <w:r w:rsidRPr="00AD33E8">
        <w:t>l</w:t>
      </w:r>
      <w:r w:rsidRPr="00AD33E8">
        <w:t>ser i regeringsformen och verksförord</w:t>
      </w:r>
      <w:r w:rsidRPr="00AD33E8">
        <w:softHyphen/>
        <w:t xml:space="preserve">ningen som det finns brister. Kravet i förvaltningslagen på motivering av beslut bör enligt revisorerna också gälla vid personalpolitiska beslut och åtgärder. </w:t>
      </w:r>
    </w:p>
    <w:p w:rsidR="007B7A21" w:rsidRPr="00AD33E8" w:rsidRDefault="007B7A21">
      <w:pPr>
        <w:pStyle w:val="Normaltindrag"/>
      </w:pPr>
      <w:r w:rsidRPr="00AD33E8">
        <w:t>Revisorern</w:t>
      </w:r>
      <w:r w:rsidRPr="00AD33E8">
        <w:t>a har slutligen funnit att det finns särskilda situationer i pers</w:t>
      </w:r>
      <w:r w:rsidRPr="00AD33E8">
        <w:t>o</w:t>
      </w:r>
      <w:r w:rsidRPr="00AD33E8">
        <w:t>nal</w:t>
      </w:r>
      <w:r w:rsidRPr="00AD33E8">
        <w:softHyphen/>
        <w:t xml:space="preserve">politiken där regeringen bör identifiera risker för att kunna vidta tidiga åtgärder. </w:t>
      </w:r>
    </w:p>
    <w:p w:rsidR="007B7A21" w:rsidRPr="00AD33E8" w:rsidRDefault="007B7A21">
      <w:pPr>
        <w:pStyle w:val="Rubrik1"/>
        <w:numPr>
          <w:ilvl w:val="0"/>
          <w:numId w:val="101"/>
        </w:numPr>
      </w:pPr>
      <w:r w:rsidRPr="00AD33E8">
        <w:br w:type="page"/>
      </w:r>
      <w:bookmarkStart w:id="91" w:name="_Toc522593235"/>
      <w:bookmarkStart w:id="92" w:name="_Toc3887350"/>
      <w:bookmarkStart w:id="93" w:name="_Toc21425263"/>
      <w:r w:rsidRPr="00AD33E8">
        <w:t>Granskningens bakgrund och inriktning</w:t>
      </w:r>
      <w:bookmarkEnd w:id="91"/>
      <w:bookmarkEnd w:id="92"/>
      <w:bookmarkEnd w:id="93"/>
    </w:p>
    <w:p w:rsidR="007B7A21" w:rsidRPr="00AD33E8" w:rsidRDefault="007B7A21">
      <w:pPr>
        <w:pStyle w:val="Rubrik2"/>
      </w:pPr>
      <w:bookmarkStart w:id="94" w:name="_Toc522593236"/>
      <w:bookmarkStart w:id="95" w:name="_Toc3887351"/>
      <w:bookmarkStart w:id="96" w:name="_Toc21425264"/>
      <w:r w:rsidRPr="00AD33E8">
        <w:t>Bakgrund</w:t>
      </w:r>
      <w:bookmarkEnd w:id="94"/>
      <w:bookmarkEnd w:id="95"/>
      <w:bookmarkEnd w:id="96"/>
    </w:p>
    <w:p w:rsidR="007B7A21" w:rsidRPr="00AD33E8" w:rsidRDefault="007B7A21">
      <w:r w:rsidRPr="00AD33E8">
        <w:t>År 1985 fattade riksdagen beslut om den statliga personalpolitiken (prop. 1984/85:219, AU 1985/86:6, rskr. 48). Personalpolitiken skulle tydligare än tidigare vara ett instrument för att förnya den offentliga sektorn. Personalp</w:t>
      </w:r>
      <w:r w:rsidRPr="00AD33E8">
        <w:t>o</w:t>
      </w:r>
      <w:r w:rsidRPr="00AD33E8">
        <w:t>litiken skulle avpassas efter skilda förutsättningar och situationer för olika myndigheter. I propositionen skrevs: ”Det leder till att vi måste ompröva möjligheterna att i alla detaljer utforma personalpolitiken som en politik, gemensam för hela statsförvaltningen.” Så skulle t.ex. den reglerade befor</w:t>
      </w:r>
      <w:r w:rsidRPr="00AD33E8">
        <w:t>d</w:t>
      </w:r>
      <w:r w:rsidRPr="00AD33E8">
        <w:t>ringsgången avvecklas. En decentralisering och avreglering av statliga pe</w:t>
      </w:r>
      <w:r w:rsidRPr="00AD33E8">
        <w:t>r</w:t>
      </w:r>
      <w:r w:rsidRPr="00AD33E8">
        <w:t>sonal- och arbetsgivarfrågor inleddes. Personalpolitiken skulle i stället ledas dels med grund</w:t>
      </w:r>
      <w:r w:rsidRPr="00AD33E8">
        <w:softHyphen/>
        <w:t xml:space="preserve">läggande principer för inriktning och </w:t>
      </w:r>
      <w:r w:rsidRPr="00AD33E8">
        <w:t xml:space="preserve">utförande, dels med uppföljning av genomförande och resultat. </w:t>
      </w:r>
      <w:bookmarkStart w:id="97" w:name="_Toc522593237"/>
    </w:p>
    <w:p w:rsidR="007B7A21" w:rsidRPr="00AD33E8" w:rsidRDefault="007B7A21">
      <w:pPr>
        <w:pStyle w:val="Rubrik2"/>
      </w:pPr>
      <w:bookmarkStart w:id="98" w:name="_Toc3887352"/>
      <w:bookmarkStart w:id="99" w:name="_Toc21425265"/>
      <w:r w:rsidRPr="00AD33E8">
        <w:t>Problem</w:t>
      </w:r>
      <w:bookmarkEnd w:id="97"/>
      <w:bookmarkEnd w:id="98"/>
      <w:bookmarkEnd w:id="99"/>
    </w:p>
    <w:p w:rsidR="007B7A21" w:rsidRPr="00AD33E8" w:rsidRDefault="007B7A21">
      <w:r w:rsidRPr="00AD33E8">
        <w:t>Det har visat sig svårt att få kunskap om den statliga förvaltningspolitikens utfall. Det innefattar även personalfrågor. Revisorerna har under 1990-talet uppmärksammat förhållandet i flera granskningar med personalpolitisk a</w:t>
      </w:r>
      <w:r w:rsidRPr="00AD33E8">
        <w:t>n</w:t>
      </w:r>
      <w:r w:rsidRPr="00AD33E8">
        <w:t xml:space="preserve">knytning. </w:t>
      </w:r>
    </w:p>
    <w:p w:rsidR="007B7A21" w:rsidRPr="00AD33E8" w:rsidRDefault="007B7A21">
      <w:pPr>
        <w:pStyle w:val="Normaltindrag"/>
      </w:pPr>
      <w:r w:rsidRPr="00AD33E8">
        <w:t xml:space="preserve">I </w:t>
      </w:r>
      <w:r w:rsidRPr="00AD33E8">
        <w:rPr>
          <w:b/>
        </w:rPr>
        <w:t>Att ändra statsförvaltningen</w:t>
      </w:r>
      <w:r w:rsidRPr="00AD33E8">
        <w:t xml:space="preserve"> (Rapport 1991/92:12, skrivelse 1992/93:RR3) behandlas beslutssituationer där uppföljningar av befintlig verksamhet behövs. Det är t.ex. vid fastställande av motiv för omorganis</w:t>
      </w:r>
      <w:r w:rsidRPr="00AD33E8">
        <w:t>a</w:t>
      </w:r>
      <w:r w:rsidRPr="00AD33E8">
        <w:t>tioner eller vid bedömning av konsekvenser för verksamhet, personal och resurshushållning av planerade reformer eller omställningar. Man behövde samla och analysera erfarenheter av förändringar i statens organisation eller verksamhet</w:t>
      </w:r>
      <w:r w:rsidRPr="00AD33E8">
        <w:t>s</w:t>
      </w:r>
      <w:r w:rsidRPr="00AD33E8">
        <w:t xml:space="preserve">former. </w:t>
      </w:r>
    </w:p>
    <w:p w:rsidR="007B7A21" w:rsidRPr="00AD33E8" w:rsidRDefault="007B7A21">
      <w:pPr>
        <w:pStyle w:val="Normaltindrag"/>
      </w:pPr>
      <w:r w:rsidRPr="00AD33E8">
        <w:t xml:space="preserve">I </w:t>
      </w:r>
      <w:r w:rsidRPr="00AD33E8">
        <w:rPr>
          <w:b/>
        </w:rPr>
        <w:t>Den statliga personalpolitiken</w:t>
      </w:r>
      <w:r w:rsidRPr="00AD33E8">
        <w:t xml:space="preserve"> (1995/96:RR7, Rapport 1994/95:12) f</w:t>
      </w:r>
      <w:r w:rsidRPr="00AD33E8">
        <w:t>ö</w:t>
      </w:r>
      <w:r w:rsidRPr="00AD33E8">
        <w:t>reslog revisorerna bl.a. bättre uppföljningar och utvärderingar. Det finns ett samband mellan målformulering och uppföljning. Revisorerna skrev: ”För att regeringen och dess kansli skall kunna följa upp och kvalitativt bedöma hur myndigheterna använder sina personalresurser och hur personalkostnaderna utvecklas i relation till verksamhetsresultaten behövs tydligt formulerade mål för den statliga personalpolitiken.”(1995/96:RR7, s. 2).</w:t>
      </w:r>
    </w:p>
    <w:p w:rsidR="007B7A21" w:rsidRPr="00AD33E8" w:rsidRDefault="007B7A21">
      <w:pPr>
        <w:pStyle w:val="Normaltindrag"/>
      </w:pPr>
      <w:r w:rsidRPr="00AD33E8">
        <w:t>Reviso</w:t>
      </w:r>
      <w:r w:rsidRPr="00AD33E8">
        <w:t xml:space="preserve">rerna efterlyste i </w:t>
      </w:r>
      <w:r w:rsidRPr="00AD33E8">
        <w:rPr>
          <w:b/>
        </w:rPr>
        <w:t>Myndigheternas lönekostnader</w:t>
      </w:r>
      <w:r w:rsidRPr="00AD33E8">
        <w:t xml:space="preserve"> (1998/99RR10, Rapport 1998/99:5) en analys av hur löneutvecklingen bidrar till myndigh</w:t>
      </w:r>
      <w:r w:rsidRPr="00AD33E8">
        <w:t>e</w:t>
      </w:r>
      <w:r w:rsidRPr="00AD33E8">
        <w:t>ternas resultat. Rådande uppföljning av lönekostnads</w:t>
      </w:r>
      <w:r w:rsidRPr="00AD33E8">
        <w:softHyphen/>
        <w:t>utvecklingen uppfyllde inte riksdagens krav på dels koppling mellan uppnådda resultat och föresla</w:t>
      </w:r>
      <w:r w:rsidRPr="00AD33E8">
        <w:t>g</w:t>
      </w:r>
      <w:r w:rsidRPr="00AD33E8">
        <w:t>na anslag, dels tydligare och bättre redovisade anslagsb</w:t>
      </w:r>
      <w:r w:rsidRPr="00AD33E8">
        <w:t>e</w:t>
      </w:r>
      <w:r w:rsidRPr="00AD33E8">
        <w:t xml:space="preserve">räkningar. </w:t>
      </w:r>
      <w:bookmarkStart w:id="100" w:name="_Toc522593238"/>
    </w:p>
    <w:p w:rsidR="007B7A21" w:rsidRPr="00AD33E8" w:rsidRDefault="007B7A21">
      <w:pPr>
        <w:pStyle w:val="Rubrik3"/>
      </w:pPr>
      <w:bookmarkStart w:id="101" w:name="_Toc3887353"/>
      <w:bookmarkStart w:id="102" w:name="_Toc21425266"/>
      <w:r w:rsidRPr="00AD33E8">
        <w:t>Problemdiskussion</w:t>
      </w:r>
      <w:bookmarkEnd w:id="100"/>
      <w:bookmarkEnd w:id="101"/>
      <w:bookmarkEnd w:id="102"/>
    </w:p>
    <w:p w:rsidR="007B7A21" w:rsidRPr="00AD33E8" w:rsidRDefault="007B7A21">
      <w:r w:rsidRPr="00AD33E8">
        <w:t>Att bestämma effekter av förvaltningspolitiska åtgärder är inte enkelt. På kort sikt är det oftast svårt. Det beror bl.a. på att många reformer eller andra sta</w:t>
      </w:r>
      <w:r w:rsidRPr="00AD33E8">
        <w:t>t</w:t>
      </w:r>
      <w:r w:rsidRPr="00AD33E8">
        <w:t>liga beslut är av långsiktig karaktär. Det är vidare besvärligt att i komplexa orsakssamband isolera verkan av enskilda faktorer. Samtidigt är redovisnin</w:t>
      </w:r>
      <w:r w:rsidRPr="00AD33E8">
        <w:t>g</w:t>
      </w:r>
      <w:r w:rsidRPr="00AD33E8">
        <w:t>en och analysen av resultat en förutsättning för decentralisering av den statl</w:t>
      </w:r>
      <w:r w:rsidRPr="00AD33E8">
        <w:t>i</w:t>
      </w:r>
      <w:r w:rsidRPr="00AD33E8">
        <w:t>ga förvaltningen. Det är i den processen statliga verksamheters verkställande av fattade beslut ska säkerställas. Statsmakternas krav på utveckling av m</w:t>
      </w:r>
      <w:r w:rsidRPr="00AD33E8">
        <w:t>e</w:t>
      </w:r>
      <w:r w:rsidRPr="00AD33E8">
        <w:t>toder för uppföljningar och utvärderingar har varit legio sedan slutet av 1960-talet. Krav som skärpts efterhand. Uppföljning</w:t>
      </w:r>
      <w:r w:rsidRPr="00AD33E8">
        <w:t>arna och utvärderingarna har också ökat till antal, till avsatta resurser och till antal sysse</w:t>
      </w:r>
      <w:r w:rsidRPr="00AD33E8">
        <w:t>l</w:t>
      </w:r>
      <w:r w:rsidRPr="00AD33E8">
        <w:t xml:space="preserve">satta. </w:t>
      </w:r>
    </w:p>
    <w:p w:rsidR="007B7A21" w:rsidRPr="00AD33E8" w:rsidRDefault="007B7A21">
      <w:pPr>
        <w:pStyle w:val="Normaltindrag"/>
      </w:pPr>
      <w:r w:rsidRPr="00AD33E8">
        <w:t>Svårigheter att koppla resultat till insatta resurser är således delvis av m</w:t>
      </w:r>
      <w:r w:rsidRPr="00AD33E8">
        <w:t>e</w:t>
      </w:r>
      <w:r w:rsidRPr="00AD33E8">
        <w:t>todisk art. I ett längre perspektiv om 15 år bör dock denna förmåga ha kunnat utvecklas. En viktig fråga för granskningen är hur metoderna för bedömning av olika personalpolitiska åtgä</w:t>
      </w:r>
      <w:r w:rsidRPr="00AD33E8">
        <w:t>r</w:t>
      </w:r>
      <w:r w:rsidRPr="00AD33E8">
        <w:t xml:space="preserve">ders eller reformers verkan har utvecklats. </w:t>
      </w:r>
      <w:bookmarkStart w:id="103" w:name="_Toc522593239"/>
    </w:p>
    <w:p w:rsidR="007B7A21" w:rsidRPr="00AD33E8" w:rsidRDefault="007B7A21">
      <w:pPr>
        <w:pStyle w:val="Rubrik2"/>
      </w:pPr>
      <w:bookmarkStart w:id="104" w:name="_Toc3887354"/>
      <w:bookmarkStart w:id="105" w:name="_Toc21425267"/>
      <w:r w:rsidRPr="00AD33E8">
        <w:t>Inriktning</w:t>
      </w:r>
      <w:bookmarkEnd w:id="103"/>
      <w:bookmarkEnd w:id="104"/>
      <w:bookmarkEnd w:id="105"/>
    </w:p>
    <w:p w:rsidR="007B7A21" w:rsidRPr="00AD33E8" w:rsidRDefault="007B7A21">
      <w:r w:rsidRPr="00AD33E8">
        <w:t>Granskningens syfte är att bedöma genomförandet av 1985 års personalpol</w:t>
      </w:r>
      <w:r w:rsidRPr="00AD33E8">
        <w:t>i</w:t>
      </w:r>
      <w:r w:rsidRPr="00AD33E8">
        <w:t>tiska beslut. I vilken mån har uppsatta mål nåtts? Hur har olika personalpol</w:t>
      </w:r>
      <w:r w:rsidRPr="00AD33E8">
        <w:t>i</w:t>
      </w:r>
      <w:r w:rsidRPr="00AD33E8">
        <w:t>tiska medel fungerat i praktiken? Hur har regeringsformens bestäm</w:t>
      </w:r>
      <w:r w:rsidRPr="00AD33E8">
        <w:softHyphen/>
        <w:t>melse om saklighet i den statliga förvaltningen tillämpats när perso</w:t>
      </w:r>
      <w:r w:rsidRPr="00AD33E8">
        <w:softHyphen/>
        <w:t>nal</w:t>
      </w:r>
      <w:r w:rsidRPr="00AD33E8">
        <w:softHyphen/>
        <w:t>politiken u</w:t>
      </w:r>
      <w:r w:rsidRPr="00AD33E8">
        <w:t>t</w:t>
      </w:r>
      <w:r w:rsidRPr="00AD33E8">
        <w:t>vecklats?</w:t>
      </w:r>
    </w:p>
    <w:p w:rsidR="007B7A21" w:rsidRPr="00AD33E8" w:rsidRDefault="007B7A21">
      <w:pPr>
        <w:pStyle w:val="Normaltindrag"/>
      </w:pPr>
      <w:r w:rsidRPr="00AD33E8">
        <w:t>Undersökningen genomförs i fyra delar. En genomgång görs av det pers</w:t>
      </w:r>
      <w:r w:rsidRPr="00AD33E8">
        <w:t>o</w:t>
      </w:r>
      <w:r w:rsidRPr="00AD33E8">
        <w:t>nalpolitiska regelverket. Statens personalpolitik kartläggs och ana</w:t>
      </w:r>
      <w:r w:rsidRPr="00AD33E8">
        <w:softHyphen/>
        <w:t>lyse</w:t>
      </w:r>
      <w:r w:rsidRPr="00AD33E8">
        <w:softHyphen/>
        <w:t>ras med avseende på planering, kostnader och uppföljning. Personal</w:t>
      </w:r>
      <w:r w:rsidRPr="00AD33E8">
        <w:softHyphen/>
        <w:t>politikens genomförande belyses med fallstudier inom polisväsendet, skatteförvaltnin</w:t>
      </w:r>
      <w:r w:rsidRPr="00AD33E8">
        <w:t>g</w:t>
      </w:r>
      <w:r w:rsidRPr="00AD33E8">
        <w:t>en, Arbetsmarknadsverket och socialförsäkringsadministrationen. En red</w:t>
      </w:r>
      <w:r w:rsidRPr="00AD33E8">
        <w:t>o</w:t>
      </w:r>
      <w:r w:rsidRPr="00AD33E8">
        <w:t>visning av bedömningar och erfarenheter av personalpolitisk uppföljning görs.</w:t>
      </w:r>
    </w:p>
    <w:p w:rsidR="007B7A21" w:rsidRPr="00AD33E8" w:rsidRDefault="007B7A21">
      <w:pPr>
        <w:pStyle w:val="Normaltindrag"/>
        <w:numPr>
          <w:ilvl w:val="0"/>
          <w:numId w:val="16"/>
        </w:numPr>
      </w:pPr>
      <w:r w:rsidRPr="00AD33E8">
        <w:t>I den första delen är syftet att kartlägga hur den svenska statens pers</w:t>
      </w:r>
      <w:r w:rsidRPr="00AD33E8">
        <w:t>o</w:t>
      </w:r>
      <w:r w:rsidRPr="00AD33E8">
        <w:t>nalpolitiska principer har utvecklats och reglerats i samband med den arbetsgivarpolitiska delegeringen. Det gäller att precisera vilka frågor delegeringen avser. I vilken mån har myndighetschefen fått nya uppgi</w:t>
      </w:r>
      <w:r w:rsidRPr="00AD33E8">
        <w:t>f</w:t>
      </w:r>
      <w:r w:rsidRPr="00AD33E8">
        <w:t>ter? I vilken mån har personalens självständighet förändrats? Hur har uppföljning</w:t>
      </w:r>
      <w:r w:rsidRPr="00AD33E8">
        <w:t>s</w:t>
      </w:r>
      <w:r w:rsidRPr="00AD33E8">
        <w:t>uppgiften formulerats?</w:t>
      </w:r>
    </w:p>
    <w:p w:rsidR="007B7A21" w:rsidRPr="00AD33E8" w:rsidRDefault="007B7A21">
      <w:pPr>
        <w:pStyle w:val="Normaltindrag"/>
        <w:numPr>
          <w:ilvl w:val="0"/>
          <w:numId w:val="16"/>
        </w:numPr>
      </w:pPr>
      <w:r w:rsidRPr="00AD33E8">
        <w:t>I den andra delen ska utfallet av statens personalpolitik kartläggas och ana</w:t>
      </w:r>
      <w:r w:rsidRPr="00AD33E8">
        <w:softHyphen/>
        <w:t>ly</w:t>
      </w:r>
      <w:r w:rsidRPr="00AD33E8">
        <w:softHyphen/>
        <w:t>se</w:t>
      </w:r>
      <w:r w:rsidRPr="00AD33E8">
        <w:softHyphen/>
        <w:t>ras. Syftet är att skapa en helhetsbild; t.ex. vilka nyckeltal har använts, hur ska uppmätta förändringar tolkas. Det gäller bl.a. persona</w:t>
      </w:r>
      <w:r w:rsidRPr="00AD33E8">
        <w:t>l</w:t>
      </w:r>
      <w:r w:rsidRPr="00AD33E8">
        <w:t>omsättning, kompetensutvec</w:t>
      </w:r>
      <w:r w:rsidRPr="00AD33E8">
        <w:t>k</w:t>
      </w:r>
      <w:r w:rsidRPr="00AD33E8">
        <w:t>ling eller pen</w:t>
      </w:r>
      <w:r w:rsidRPr="00AD33E8">
        <w:softHyphen/>
        <w:t>sions</w:t>
      </w:r>
      <w:r w:rsidRPr="00AD33E8">
        <w:softHyphen/>
        <w:t>kost</w:t>
      </w:r>
      <w:r w:rsidRPr="00AD33E8">
        <w:softHyphen/>
        <w:t xml:space="preserve">nader. </w:t>
      </w:r>
    </w:p>
    <w:p w:rsidR="007B7A21" w:rsidRPr="00AD33E8" w:rsidRDefault="007B7A21">
      <w:pPr>
        <w:pStyle w:val="Normaltindrag"/>
        <w:numPr>
          <w:ilvl w:val="0"/>
          <w:numId w:val="16"/>
        </w:numPr>
      </w:pPr>
      <w:r w:rsidRPr="00AD33E8">
        <w:t>I den tredje delen analyseras ett antal utredningar som handlar om pe</w:t>
      </w:r>
      <w:r w:rsidRPr="00AD33E8">
        <w:t>r</w:t>
      </w:r>
      <w:r w:rsidRPr="00AD33E8">
        <w:t>sonalpolitik, organisation och ekonomiadministration samt förvaltning</w:t>
      </w:r>
      <w:r w:rsidRPr="00AD33E8">
        <w:t>s</w:t>
      </w:r>
      <w:r w:rsidRPr="00AD33E8">
        <w:t>politik. Syftet är att identifiera de frågor som uppmärksammats och di</w:t>
      </w:r>
      <w:r w:rsidRPr="00AD33E8">
        <w:t>s</w:t>
      </w:r>
      <w:r w:rsidRPr="00AD33E8">
        <w:t xml:space="preserve">kuterats. </w:t>
      </w:r>
    </w:p>
    <w:p w:rsidR="007B7A21" w:rsidRPr="00AD33E8" w:rsidRDefault="007B7A21">
      <w:pPr>
        <w:pStyle w:val="Normaltindrag"/>
        <w:numPr>
          <w:ilvl w:val="0"/>
          <w:numId w:val="16"/>
        </w:numPr>
      </w:pPr>
      <w:r w:rsidRPr="00AD33E8">
        <w:t>I den fjärde delen redovisas fallstudier inom polis- och skatteväsen, Arbetsmarknadsverket och socialförsäkringsadministrationen. Syftet är att följa upp förhållandet mellan olika per</w:t>
      </w:r>
      <w:r w:rsidRPr="00AD33E8">
        <w:softHyphen/>
        <w:t>sonalpolitiska åtgärder och de slutliga resultaten och effekterna i samhället. Vilka mer eller mindre outtalade eller preciserade mål har använts? Hur har myndigheten ko</w:t>
      </w:r>
      <w:r w:rsidRPr="00AD33E8">
        <w:t>m</w:t>
      </w:r>
      <w:r w:rsidRPr="00AD33E8">
        <w:t>mit fram till dessa? Hur har målen fungerat för att vägleda utveckling och förnyelse av verksamheten?</w:t>
      </w:r>
    </w:p>
    <w:p w:rsidR="007B7A21" w:rsidRPr="00AD33E8" w:rsidRDefault="007B7A21">
      <w:pPr>
        <w:pStyle w:val="Rubrik1"/>
      </w:pPr>
      <w:r w:rsidRPr="00AD33E8">
        <w:br w:type="page"/>
      </w:r>
      <w:bookmarkStart w:id="106" w:name="_Toc3887355"/>
      <w:bookmarkStart w:id="107" w:name="_Toc21425268"/>
      <w:r w:rsidRPr="00AD33E8">
        <w:t>Personalpolitiska reformer från 1985</w:t>
      </w:r>
      <w:bookmarkEnd w:id="106"/>
      <w:bookmarkEnd w:id="107"/>
    </w:p>
    <w:p w:rsidR="007B7A21" w:rsidRPr="00AD33E8" w:rsidRDefault="007B7A21">
      <w:pPr>
        <w:pBdr>
          <w:top w:val="single" w:sz="4" w:space="1" w:color="auto"/>
          <w:left w:val="single" w:sz="4" w:space="4" w:color="auto"/>
          <w:bottom w:val="single" w:sz="4" w:space="1" w:color="auto"/>
          <w:right w:val="single" w:sz="4" w:space="4" w:color="auto"/>
        </w:pBdr>
      </w:pPr>
      <w:r w:rsidRPr="00AD33E8">
        <w:rPr>
          <w:b/>
        </w:rPr>
        <w:t>Sammanfattning</w:t>
      </w:r>
      <w:r w:rsidRPr="00AD33E8">
        <w:t>: Den statliga personalpolitiken tar sin utgångspunkt i regeringsformens regler om att personalen skall iakttaga saklighet och opa</w:t>
      </w:r>
      <w:r w:rsidRPr="00AD33E8">
        <w:t>r</w:t>
      </w:r>
      <w:r w:rsidRPr="00AD33E8">
        <w:t>tiskhet. Sedan 1985 har den statliga personalpolitiken som ett led i effektiv</w:t>
      </w:r>
      <w:r w:rsidRPr="00AD33E8">
        <w:t>i</w:t>
      </w:r>
      <w:r w:rsidRPr="00AD33E8">
        <w:t>seringen av den offentliga verksamheten avreglerats och decentraliserats till myndigheterna. Begreppet ”tjänst” har ersatts med ”anställning” och ”personalpolitik” med ”arbetsgivarpolitik”.</w:t>
      </w:r>
    </w:p>
    <w:p w:rsidR="007B7A21" w:rsidRPr="00AD33E8" w:rsidRDefault="007B7A21">
      <w:pPr>
        <w:pStyle w:val="Rubrik2"/>
      </w:pPr>
      <w:bookmarkStart w:id="108" w:name="_Toc3887356"/>
      <w:bookmarkStart w:id="109" w:name="_Toc21425269"/>
      <w:r w:rsidRPr="00AD33E8">
        <w:t>Den konstitutionella grunden</w:t>
      </w:r>
      <w:bookmarkEnd w:id="108"/>
      <w:bookmarkEnd w:id="109"/>
    </w:p>
    <w:p w:rsidR="007B7A21" w:rsidRPr="00AD33E8" w:rsidRDefault="007B7A21">
      <w:r w:rsidRPr="00AD33E8">
        <w:t>Samhällets uppgift är att hålla en så omfattande tjänsteorganisation att man kan ta emot alla medborgare och erbjuda dem samma goda kvalitet på tjän</w:t>
      </w:r>
      <w:r w:rsidRPr="00AD33E8">
        <w:t>s</w:t>
      </w:r>
      <w:r w:rsidRPr="00AD33E8">
        <w:t>terna. Kvaliteten i den statliga verksamheten är direkt beroende av person</w:t>
      </w:r>
      <w:r w:rsidRPr="00AD33E8">
        <w:t>a</w:t>
      </w:r>
      <w:r w:rsidRPr="00AD33E8">
        <w:t>lens dug</w:t>
      </w:r>
      <w:r w:rsidRPr="00AD33E8">
        <w:softHyphen/>
        <w:t>lighet och engagemang. Det var två utgångspunkter när regeringen vid mitten av 1980-talet presenterade sina planer på reformeringen av den statliga personalpolitiken (</w:t>
      </w:r>
      <w:r w:rsidRPr="00AD33E8">
        <w:rPr>
          <w:sz w:val="18"/>
        </w:rPr>
        <w:t xml:space="preserve">skr.1984/85:202 Den offentliga sektorns förnyelse och </w:t>
      </w:r>
      <w:r w:rsidRPr="00AD33E8">
        <w:t>prop.1984/85:219 Om den statliga personalpolitiken). Därmed anknöt man till en sedan länge väl förankrad syn på svensk förvaltning. I en han</w:t>
      </w:r>
      <w:r w:rsidRPr="00AD33E8">
        <w:t>d</w:t>
      </w:r>
      <w:r w:rsidRPr="00AD33E8">
        <w:t>bok i konsten att re</w:t>
      </w:r>
      <w:r w:rsidRPr="00AD33E8">
        <w:softHyphen/>
        <w:t>gera från åren kring 1350 skrevs att ”Konung</w:t>
      </w:r>
      <w:r w:rsidRPr="00AD33E8">
        <w:t>en skulle ha rättfärdiga och dygderika sys</w:t>
      </w:r>
      <w:r w:rsidRPr="00AD33E8">
        <w:softHyphen/>
        <w:t>s</w:t>
      </w:r>
      <w:r w:rsidRPr="00AD33E8">
        <w:softHyphen/>
      </w:r>
      <w:r w:rsidRPr="00AD33E8">
        <w:softHyphen/>
        <w:t>lo</w:t>
      </w:r>
      <w:r w:rsidRPr="00AD33E8">
        <w:softHyphen/>
        <w:t xml:space="preserve">män i varje syssla.” </w:t>
      </w:r>
    </w:p>
    <w:p w:rsidR="007B7A21" w:rsidRPr="00AD33E8" w:rsidRDefault="007B7A21">
      <w:pPr>
        <w:pStyle w:val="Normaltindrag"/>
      </w:pPr>
      <w:r w:rsidRPr="00AD33E8">
        <w:t>Spåren från den svenska statliga personalpolitiken går tillbaka mer än 1000 år. Det första kända exemplet är</w:t>
      </w:r>
      <w:bookmarkStart w:id="110" w:name="_Toc506353221"/>
      <w:r w:rsidRPr="00AD33E8">
        <w:t xml:space="preserve"> ledungen</w:t>
      </w:r>
      <w:bookmarkEnd w:id="110"/>
      <w:r w:rsidRPr="00AD33E8">
        <w:t xml:space="preserve"> som var ett sätt för kungarna i Svealandskapen att organisera och genomföra sjökrig. Med ledung menas såväl härnadståget till sjöss som de skyldigheter bönderna hade i samband med detta. Uppgifterna var att underhålla och utrusta skepp, personligen deltaga och bemanna skeppen samt sammanskjuta skeppsprovianten. Den administrativa indelningen av Svealandskapen med hundraden och attungar gjordes för att jämnt fördela ledungsskyldigheten. Ledungsskyldigheten reglerades i landskapslagarna. Deltagandet</w:t>
      </w:r>
      <w:r w:rsidRPr="00AD33E8">
        <w:t xml:space="preserve"> följde en enkel turordningspri</w:t>
      </w:r>
      <w:r w:rsidRPr="00AD33E8">
        <w:t>n</w:t>
      </w:r>
      <w:r w:rsidRPr="00AD33E8">
        <w:t xml:space="preserve">cip: ”Den skall fara som är äldst till färd”. </w:t>
      </w:r>
    </w:p>
    <w:p w:rsidR="007B7A21" w:rsidRPr="00AD33E8" w:rsidRDefault="007B7A21">
      <w:pPr>
        <w:pStyle w:val="Normaltindrag"/>
      </w:pPr>
      <w:r w:rsidRPr="00AD33E8">
        <w:t>Kvalitet i svenska statsförvaltning är i första hand att verksamheten utövas under lagarna. Att land skall med lag byggas skrevs i Upplandslagen år 1296. Krav på laglig förvaltning och normmässighet fanns i regeringsformen från 1809. Bestämmelserna åte</w:t>
      </w:r>
      <w:r w:rsidRPr="00AD33E8">
        <w:t>r</w:t>
      </w:r>
      <w:r w:rsidRPr="00AD33E8">
        <w:t xml:space="preserve">kom i den regeringsform som antogs år 1974. </w:t>
      </w:r>
    </w:p>
    <w:p w:rsidR="007B7A21" w:rsidRPr="00AD33E8" w:rsidRDefault="007B7A21">
      <w:pPr>
        <w:pStyle w:val="Normaltindrag"/>
      </w:pPr>
      <w:r w:rsidRPr="00AD33E8">
        <w:t>År 1965 antog riksdagen en ny statstjänstemannalag som bl.a. gav statligt anställda tjänstemän samma rättigheter att förhandla om kollektivavtal och att tillgripa stridsåtgärder som övriga arbetstagare (SFS 1965:274). I lagen reglerades också tjänstemännens åligganden. De skulle följa instruktion, arbetsordning och andra allmänna bestämmelser om arbetet. Tjänsteman skulle lämna biträde som förman bestämde. I propositionen utvecklades bestämmelsen med avseende på</w:t>
      </w:r>
      <w:r w:rsidRPr="00AD33E8">
        <w:t xml:space="preserve"> krav som uppstod vid omdispositioner i verksamheten. JO hade därvid i ett yttrande betonat krav på saklig grund vid omställningar: ”Omdispositioner som icke är sakligt motiverade får emelle</w:t>
      </w:r>
      <w:r w:rsidRPr="00AD33E8">
        <w:t>r</w:t>
      </w:r>
      <w:r w:rsidRPr="00AD33E8">
        <w:t>tid icke förekomma” (prop 1965:60). Bestämmelser om saklig grund återkom när statstjänstemannalagen år 1976 ersattes med lagen om offentlig anstäl</w:t>
      </w:r>
      <w:r w:rsidRPr="00AD33E8">
        <w:t>l</w:t>
      </w:r>
      <w:r w:rsidRPr="00AD33E8">
        <w:t>ning (1976:600).</w:t>
      </w:r>
    </w:p>
    <w:p w:rsidR="007B7A21" w:rsidRPr="00AD33E8" w:rsidRDefault="007B7A21">
      <w:pPr>
        <w:pStyle w:val="Normaltindrag"/>
      </w:pPr>
      <w:r w:rsidRPr="00AD33E8">
        <w:t>I kapitlet kartläggs den lagstiftning som ska reglera och styra den statliga personalpolitiken. Syf</w:t>
      </w:r>
      <w:r w:rsidRPr="00AD33E8">
        <w:softHyphen/>
        <w:t>tet är att identifiera den statliga personalpolitikens bestånds</w:t>
      </w:r>
      <w:r w:rsidRPr="00AD33E8">
        <w:softHyphen/>
        <w:t>delar. Det ska ge underlag för bedömningar av den statliga persona</w:t>
      </w:r>
      <w:r w:rsidRPr="00AD33E8">
        <w:t>l</w:t>
      </w:r>
      <w:r w:rsidRPr="00AD33E8">
        <w:t>polit</w:t>
      </w:r>
      <w:r w:rsidRPr="00AD33E8">
        <w:t>i</w:t>
      </w:r>
      <w:r w:rsidRPr="00AD33E8">
        <w:t xml:space="preserve">kens utveckling. </w:t>
      </w:r>
    </w:p>
    <w:p w:rsidR="007B7A21" w:rsidRPr="00AD33E8" w:rsidRDefault="007B7A21">
      <w:pPr>
        <w:pStyle w:val="Rubrik4-Utannumrering"/>
      </w:pPr>
      <w:bookmarkStart w:id="111" w:name="_Toc3887357"/>
      <w:bookmarkStart w:id="112" w:name="_Toc21425270"/>
      <w:r w:rsidRPr="00AD33E8">
        <w:t>Regeringsformen</w:t>
      </w:r>
      <w:bookmarkEnd w:id="111"/>
      <w:bookmarkEnd w:id="112"/>
    </w:p>
    <w:p w:rsidR="007B7A21" w:rsidRPr="00AD33E8" w:rsidRDefault="007B7A21">
      <w:r w:rsidRPr="00AD33E8">
        <w:t>I revisionen är synen på personalpolitiken bred. Granskningen genomförs med utgångspunkt i regeringsformen. Redan i den inledande paragrafen i första kapitlet finns en bestämmelse med betydelse för samtliga anställda i statens tjänst: ”Den offentliga makten utövas under lagarna.” I konstitution</w:t>
      </w:r>
      <w:r w:rsidRPr="00AD33E8">
        <w:t>s</w:t>
      </w:r>
      <w:r w:rsidRPr="00AD33E8">
        <w:t>utskottets betänkande över den s.k. verksledningspropositionen  (prop. 1986/87:99, KU 1986/87:29) framhåller utskottet att redan denna paragraf lägger en viktig begränsning i regeringens rätt att meddela direktiv till fö</w:t>
      </w:r>
      <w:r w:rsidRPr="00AD33E8">
        <w:t>r</w:t>
      </w:r>
      <w:r w:rsidRPr="00AD33E8">
        <w:t>valtningsmyndigheterna. Här visas hur statstjänstemännens arbetsuppgifter bestäms, genom lag. Fortsatt och närmare reglering och vägledning ges i förordningar, instruktioner eller regleringsbrev. Polisens arbete regleras t.ex. i polislagen. I högskolelagen skrivs att staten som huvudman sk</w:t>
      </w:r>
      <w:r w:rsidRPr="00AD33E8">
        <w:t>a anordna högskolor för utbildning som vilar på vetenskaplig eller konstnärlig grund samt på beprövad erfarenhet. Riksrevisionsverket ska granska myndighete</w:t>
      </w:r>
      <w:r w:rsidRPr="00AD33E8">
        <w:t>r</w:t>
      </w:r>
      <w:r w:rsidRPr="00AD33E8">
        <w:t>nas årsredovisningar i enhetlighet med god revisionssed. För handhavandet av den statliga socialförsäkringen utnyttjar staten tjänster från de fristående allmänna försäkringskassorna. I dessa senare exempel är det med lagens legitimering av kunnande och tradition inom ett särskilt området som en del av arbetsledningen görs. Staten bejakar i dessa fall s</w:t>
      </w:r>
      <w:r w:rsidRPr="00AD33E8">
        <w:t>kickligheten och han</w:t>
      </w:r>
      <w:r w:rsidRPr="00AD33E8">
        <w:t>t</w:t>
      </w:r>
      <w:r w:rsidRPr="00AD33E8">
        <w:t>verket i en specifik professionell tradition och tar denna i sin tjänst. Det innebär inte att staten gör avkall på sitt bestämmande. I t.ex. högskolelagen reglerar riksdagen en prioriteringsfråga, ett ställningstagande av arbetsleda</w:t>
      </w:r>
      <w:r w:rsidRPr="00AD33E8">
        <w:t>n</w:t>
      </w:r>
      <w:r w:rsidRPr="00AD33E8">
        <w:t>de karaktär. Om kvalitet i hög</w:t>
      </w:r>
      <w:r w:rsidRPr="00AD33E8">
        <w:softHyphen/>
      </w:r>
      <w:r w:rsidRPr="00AD33E8">
        <w:softHyphen/>
        <w:t>skolornas undervisning kommer i konflikt med kvantitet, dvs. överväganden om dimensionering, ska regering och högskolor välja kvalit</w:t>
      </w:r>
      <w:r w:rsidRPr="00AD33E8">
        <w:t>e</w:t>
      </w:r>
      <w:r w:rsidRPr="00AD33E8">
        <w:t xml:space="preserve">t. </w:t>
      </w:r>
    </w:p>
    <w:p w:rsidR="007B7A21" w:rsidRPr="00AD33E8" w:rsidRDefault="007B7A21">
      <w:pPr>
        <w:pStyle w:val="Normaltindrag"/>
      </w:pPr>
      <w:r w:rsidRPr="00AD33E8">
        <w:t>I regeringsformens första kapitel finns också regler om hur den statliga personalens arbe</w:t>
      </w:r>
      <w:r w:rsidRPr="00AD33E8">
        <w:t>te ska bedrivas. De som utför uppgifter inom den offentliga förvaltningen ska i sin verksamhet iakttaga saklighet och opartiskhet (RF 1 kap. 9 §). Denna bestämmelse gavs en utförlig precisering i förarbetena  genom en hänvisning till ett yttrande från JO. Normmässigt statskick skulle värnas genom att förvaltningen i sin verksamhet iakttoge ”saklighet och opar</w:t>
      </w:r>
      <w:r w:rsidRPr="00AD33E8">
        <w:softHyphen/>
        <w:t>tiskhet samt handla fritt från godtycke” (prop. 1973:90, s. 235). B</w:t>
      </w:r>
      <w:r w:rsidRPr="00AD33E8">
        <w:t>e</w:t>
      </w:r>
      <w:r w:rsidRPr="00AD33E8">
        <w:t>stämmelsen har gamla anor, den går tillbaka till landskapslagarnas konung</w:t>
      </w:r>
      <w:r w:rsidRPr="00AD33E8">
        <w:t>a</w:t>
      </w:r>
      <w:r w:rsidRPr="00AD33E8">
        <w:t>ed. I äl</w:t>
      </w:r>
      <w:r w:rsidRPr="00AD33E8">
        <w:t>dre Västgötalagen kopplad till bestämmelsen: ”Svear äga att välja och vräka konung.”</w:t>
      </w:r>
    </w:p>
    <w:p w:rsidR="007B7A21" w:rsidRPr="00AD33E8" w:rsidRDefault="007B7A21">
      <w:pPr>
        <w:pStyle w:val="Normaltindrag"/>
      </w:pPr>
      <w:r w:rsidRPr="00AD33E8">
        <w:t>I kapitel 9 som reglerar finansmakten anges att statens medel inte får a</w:t>
      </w:r>
      <w:r w:rsidRPr="00AD33E8">
        <w:t>n</w:t>
      </w:r>
      <w:r w:rsidRPr="00AD33E8">
        <w:t>vändas på annat sätt än vad riksdagen har bestämt (RF 9kap. 2§). Bestä</w:t>
      </w:r>
      <w:r w:rsidRPr="00AD33E8">
        <w:t>m</w:t>
      </w:r>
      <w:r w:rsidRPr="00AD33E8">
        <w:t>melsen preciseras i anslagsförordningen (1996:1189). Ett anslag är en av riksdagen anvisad belopp som regeringen tilldelat en myndighet för ett b</w:t>
      </w:r>
      <w:r w:rsidRPr="00AD33E8">
        <w:t>e</w:t>
      </w:r>
      <w:r w:rsidRPr="00AD33E8">
        <w:t>stämt ändamål. Således tydliggörs avsikten med och inriktningen av en ver</w:t>
      </w:r>
      <w:r w:rsidRPr="00AD33E8">
        <w:t>k</w:t>
      </w:r>
      <w:r w:rsidRPr="00AD33E8">
        <w:t>samhet när ett anslag beviljas av riksdagen. Redan i riksdagsbehandlingen av myndigheternas anslag finns inslag av arbetsledande karaktär och verksa</w:t>
      </w:r>
      <w:r w:rsidRPr="00AD33E8">
        <w:t>m</w:t>
      </w:r>
      <w:r w:rsidRPr="00AD33E8">
        <w:t xml:space="preserve">hetspåverkan. </w:t>
      </w:r>
    </w:p>
    <w:p w:rsidR="007B7A21" w:rsidRPr="00AD33E8" w:rsidRDefault="007B7A21">
      <w:pPr>
        <w:pStyle w:val="Normaltindrag"/>
      </w:pPr>
      <w:r w:rsidRPr="00AD33E8">
        <w:t>I elfte kapitlet i regeringsformen behandlas bl.a. den s</w:t>
      </w:r>
      <w:r w:rsidRPr="00AD33E8">
        <w:t>tatliga förvaltningen. Där finns regeln om självständighet i ärendehandläggningen. I 7 § stadgas att ingen myndighet, ej heller riksdagen eller kommuns beslutande organ, får bestämma hur förvaltningsmyndighet ska i särskilt fall besluta i ärende som rör myn</w:t>
      </w:r>
      <w:r w:rsidRPr="00AD33E8">
        <w:softHyphen/>
        <w:t>dighets</w:t>
      </w:r>
      <w:r w:rsidRPr="00AD33E8">
        <w:softHyphen/>
        <w:t>ut</w:t>
      </w:r>
      <w:r w:rsidRPr="00AD33E8">
        <w:softHyphen/>
        <w:t>öv</w:t>
      </w:r>
      <w:r w:rsidRPr="00AD33E8">
        <w:softHyphen/>
        <w:t>ning mot enskild eller mot kommun eller som rör ti</w:t>
      </w:r>
      <w:r w:rsidRPr="00AD33E8">
        <w:t>l</w:t>
      </w:r>
      <w:r w:rsidRPr="00AD33E8">
        <w:t xml:space="preserve">lämpning av lag. </w:t>
      </w:r>
    </w:p>
    <w:p w:rsidR="007B7A21" w:rsidRPr="00AD33E8" w:rsidRDefault="007B7A21">
      <w:pPr>
        <w:pStyle w:val="Normaltindrag"/>
      </w:pPr>
      <w:r w:rsidRPr="00AD33E8">
        <w:t>I elfte kapitlet finns även de mer direkta personalpolitiskt riktade bestä</w:t>
      </w:r>
      <w:r w:rsidRPr="00AD33E8">
        <w:t>m</w:t>
      </w:r>
      <w:r w:rsidRPr="00AD33E8">
        <w:t>melserna om tillsättning av statlig tjänst. Det ska ske på sakliga grunder, dvs. förtjänst och skicklighet. Bestämmelsen fanns i 1809 års regeringsform med lydelsen: ”Konungen fäste, vid alla befordringar, avseende endast å de s</w:t>
      </w:r>
      <w:r w:rsidRPr="00AD33E8">
        <w:t>ö</w:t>
      </w:r>
      <w:r w:rsidRPr="00AD33E8">
        <w:t>kandes förtjänst och skicklighet men icke på deras börd.” Beslut om till</w:t>
      </w:r>
      <w:r w:rsidRPr="00AD33E8">
        <w:softHyphen/>
        <w:t>sätt</w:t>
      </w:r>
      <w:r w:rsidRPr="00AD33E8">
        <w:softHyphen/>
        <w:t>ning av tjänst vid förvaltnings</w:t>
      </w:r>
      <w:r w:rsidRPr="00AD33E8">
        <w:softHyphen/>
        <w:t>myndighet som lyder under regeringen tas av regeringen eller av myndighet som regeringen bestämmer (RF 11 kap. 9 §). Denna bestämmelse återkommer sedan i lagen (1994:260) o</w:t>
      </w:r>
      <w:r w:rsidRPr="00AD33E8">
        <w:t>m offentlig a</w:t>
      </w:r>
      <w:r w:rsidRPr="00AD33E8">
        <w:t>n</w:t>
      </w:r>
      <w:r w:rsidRPr="00AD33E8">
        <w:t>ställning (LOA).</w:t>
      </w:r>
    </w:p>
    <w:p w:rsidR="007B7A21" w:rsidRPr="00AD33E8" w:rsidRDefault="007B7A21">
      <w:pPr>
        <w:pStyle w:val="Normaltindrag"/>
      </w:pPr>
      <w:r w:rsidRPr="00AD33E8">
        <w:t>Regeringsformens krav på statsförvaltningen är saklighet och normmä</w:t>
      </w:r>
      <w:r w:rsidRPr="00AD33E8">
        <w:t>s</w:t>
      </w:r>
      <w:r w:rsidRPr="00AD33E8">
        <w:t>sighet. De reformer som beslutas ska genomföras med väl underbyggda me</w:t>
      </w:r>
      <w:r w:rsidRPr="00AD33E8">
        <w:softHyphen/>
        <w:t>to</w:t>
      </w:r>
      <w:r w:rsidRPr="00AD33E8">
        <w:softHyphen/>
        <w:t>der och med konsekvens.</w:t>
      </w:r>
    </w:p>
    <w:p w:rsidR="007B7A21" w:rsidRPr="00AD33E8" w:rsidRDefault="007B7A21">
      <w:pPr>
        <w:pStyle w:val="Rubrik2"/>
      </w:pPr>
      <w:bookmarkStart w:id="113" w:name="_Toc522593242"/>
      <w:bookmarkStart w:id="114" w:name="_Toc3887358"/>
      <w:bookmarkStart w:id="115" w:name="_Toc21425271"/>
      <w:r w:rsidRPr="00AD33E8">
        <w:t>Den personalpolitiska reform</w:t>
      </w:r>
      <w:bookmarkEnd w:id="113"/>
      <w:r w:rsidRPr="00AD33E8">
        <w:t>en 1985</w:t>
      </w:r>
      <w:bookmarkEnd w:id="114"/>
      <w:bookmarkEnd w:id="115"/>
      <w:r w:rsidRPr="00AD33E8">
        <w:t xml:space="preserve"> </w:t>
      </w:r>
    </w:p>
    <w:p w:rsidR="007B7A21" w:rsidRPr="00AD33E8" w:rsidRDefault="007B7A21">
      <w:r w:rsidRPr="00AD33E8">
        <w:t>Riksdagen beslutade år 1985 att den statliga personalpolitiken i ökad u</w:t>
      </w:r>
      <w:r w:rsidRPr="00AD33E8">
        <w:t>t</w:t>
      </w:r>
      <w:r w:rsidRPr="00AD33E8">
        <w:t>sträckning skulle vara ett instrument i den pågående förnyelsen av den statl</w:t>
      </w:r>
      <w:r w:rsidRPr="00AD33E8">
        <w:t>i</w:t>
      </w:r>
      <w:r w:rsidRPr="00AD33E8">
        <w:t>ga verksamheten (prop. 1984/85:219, AU 1985/86:6, rskr. 48). Det var ett steg i en långsiktig effektivisering av svensk statsförvaltning som hade inletts ca 20 år tidigare med initiativen till s.k. programbu</w:t>
      </w:r>
      <w:r w:rsidRPr="00AD33E8">
        <w:t>d</w:t>
      </w:r>
      <w:r w:rsidRPr="00AD33E8">
        <w:t>getering.</w:t>
      </w:r>
    </w:p>
    <w:p w:rsidR="007B7A21" w:rsidRPr="00AD33E8" w:rsidRDefault="007B7A21">
      <w:pPr>
        <w:pStyle w:val="Normaltindrag"/>
      </w:pPr>
      <w:r w:rsidRPr="00AD33E8">
        <w:t>Ett antal motiv och argument för statsförvaltningens förnyelse hade til</w:t>
      </w:r>
      <w:r w:rsidRPr="00AD33E8">
        <w:t>l</w:t>
      </w:r>
      <w:r w:rsidRPr="00AD33E8">
        <w:t>kommit vid mitten av 1980-talet. Ett argument anknöt till frågor om finansi</w:t>
      </w:r>
      <w:r w:rsidRPr="00AD33E8">
        <w:t>e</w:t>
      </w:r>
      <w:r w:rsidRPr="00AD33E8">
        <w:t>ringen av den offentliga sektorn. År 1985 mot</w:t>
      </w:r>
      <w:r w:rsidRPr="00AD33E8">
        <w:softHyphen/>
        <w:t>svarade de offentliga utgifterna närmare 60 % av BNP. Det fanns en po</w:t>
      </w:r>
      <w:r w:rsidRPr="00AD33E8">
        <w:softHyphen/>
        <w:t>litisk enighet om att ett ”utgiftstak” började nås. Nya reformer eller åta</w:t>
      </w:r>
      <w:r w:rsidRPr="00AD33E8">
        <w:softHyphen/>
        <w:t>gan</w:t>
      </w:r>
      <w:r w:rsidRPr="00AD33E8">
        <w:softHyphen/>
        <w:t>den måste finansieras genom ompri</w:t>
      </w:r>
      <w:r w:rsidRPr="00AD33E8">
        <w:t>o</w:t>
      </w:r>
      <w:r w:rsidRPr="00AD33E8">
        <w:t>riteringar eller rationa</w:t>
      </w:r>
      <w:r w:rsidRPr="00AD33E8">
        <w:softHyphen/>
        <w:t>liseringar i befintlig verksamhet. Utrymme fanns, enligt regeringen, inte längre för att som tidigare utveckla och förnya statliga verksamheter genom nyanställnin</w:t>
      </w:r>
      <w:r w:rsidRPr="00AD33E8">
        <w:t>g</w:t>
      </w:r>
      <w:r w:rsidRPr="00AD33E8">
        <w:t xml:space="preserve">ar. </w:t>
      </w:r>
    </w:p>
    <w:p w:rsidR="007B7A21" w:rsidRPr="00AD33E8" w:rsidRDefault="007B7A21">
      <w:pPr>
        <w:pStyle w:val="Normaltindrag"/>
      </w:pPr>
      <w:r w:rsidRPr="00AD33E8">
        <w:t xml:space="preserve">Den statliga </w:t>
      </w:r>
      <w:r w:rsidRPr="00AD33E8">
        <w:t>sektorns tillväxt, ökade storlek och omfattning innebar ökad komplexitet. Det bedömdes minska överskådligheten vilket ansågs medföra risker för att statsmakternas beslut inte ge</w:t>
      </w:r>
      <w:r w:rsidRPr="00AD33E8">
        <w:softHyphen/>
        <w:t>nom</w:t>
      </w:r>
      <w:r w:rsidRPr="00AD33E8">
        <w:softHyphen/>
      </w:r>
      <w:r w:rsidRPr="00AD33E8">
        <w:softHyphen/>
        <w:t>fördes på de sätt som avsetts. Man talade ibland om förval</w:t>
      </w:r>
      <w:r w:rsidRPr="00AD33E8">
        <w:t>t</w:t>
      </w:r>
      <w:r w:rsidRPr="00AD33E8">
        <w:t xml:space="preserve">ningens svårstyrbarhet. </w:t>
      </w:r>
    </w:p>
    <w:p w:rsidR="007B7A21" w:rsidRPr="00AD33E8" w:rsidRDefault="007B7A21">
      <w:pPr>
        <w:pStyle w:val="Normaltindrag"/>
      </w:pPr>
      <w:r w:rsidRPr="00AD33E8">
        <w:t>En annan bakgrund var ett antal reformer under framför allt 1970-talet. De innehöll s.k. ramlagstiftning där styrningen genom föreskrifter hade decen</w:t>
      </w:r>
      <w:r w:rsidRPr="00AD33E8">
        <w:t>t</w:t>
      </w:r>
      <w:r w:rsidRPr="00AD33E8">
        <w:t>raliserats till centrala för</w:t>
      </w:r>
      <w:r w:rsidRPr="00AD33E8">
        <w:softHyphen/>
        <w:t>valt</w:t>
      </w:r>
      <w:r w:rsidRPr="00AD33E8">
        <w:softHyphen/>
        <w:t>nings</w:t>
      </w:r>
      <w:r w:rsidRPr="00AD33E8">
        <w:softHyphen/>
        <w:t>myndigheter. Det fanns farhågor för att politiska beslut ändrade innehållet i förvaltningsprocessen.</w:t>
      </w:r>
    </w:p>
    <w:p w:rsidR="007B7A21" w:rsidRPr="00AD33E8" w:rsidRDefault="007B7A21">
      <w:pPr>
        <w:pStyle w:val="Normaltindrag"/>
      </w:pPr>
      <w:r w:rsidRPr="00AD33E8">
        <w:t>Avreglering och decentralisering av ansvar och beslut var det centrala i de personal- och förvaltningspolitiska reformerna vid mitten och slutet av 1980-talet. Statsmakterna angav ramar och riktning samt anslog resurser. Förutom per</w:t>
      </w:r>
      <w:r w:rsidRPr="00AD33E8">
        <w:softHyphen/>
        <w:t>sonal</w:t>
      </w:r>
      <w:r w:rsidRPr="00AD33E8">
        <w:softHyphen/>
        <w:t>frå</w:t>
      </w:r>
      <w:r w:rsidRPr="00AD33E8">
        <w:softHyphen/>
        <w:t>gor inneslöts även verksamhetens organisering och genomförande samt friare användning av förvaltningsanslaget. Rambudgetering infördes. Den friare dispositionen av ett antal statliga förvaltnings</w:t>
      </w:r>
      <w:r w:rsidRPr="00AD33E8">
        <w:softHyphen/>
        <w:t>poli</w:t>
      </w:r>
      <w:r w:rsidRPr="00AD33E8">
        <w:softHyphen/>
        <w:t>tiska styrmedel syftade till att man i statsförvaltningen genom verksamhets</w:t>
      </w:r>
      <w:r w:rsidRPr="00AD33E8">
        <w:softHyphen/>
        <w:t>anpassning skulle nå bättre resultat. Myndigheterna ålades ett ökat ansvar för att driva ver</w:t>
      </w:r>
      <w:r w:rsidRPr="00AD33E8">
        <w:t>k</w:t>
      </w:r>
      <w:r w:rsidRPr="00AD33E8">
        <w:t>samheten efter egen besluts</w:t>
      </w:r>
      <w:r w:rsidRPr="00AD33E8">
        <w:softHyphen/>
        <w:t>kompetens.</w:t>
      </w:r>
    </w:p>
    <w:p w:rsidR="007B7A21" w:rsidRPr="00AD33E8" w:rsidRDefault="007B7A21">
      <w:pPr>
        <w:pStyle w:val="Normaltindrag"/>
      </w:pPr>
      <w:r w:rsidRPr="00AD33E8">
        <w:t>I konstitutionsutskottets ställningstagande till den s.k. verksledningsprop</w:t>
      </w:r>
      <w:r w:rsidRPr="00AD33E8">
        <w:t>o</w:t>
      </w:r>
      <w:r w:rsidRPr="00AD33E8">
        <w:t>sitionen (prop. 1986/87:99, KU1986/87:29) beskrevs reformernas inriktning mot delegering på följande sätt: ”Enligt utskottet bör ökade befogenheter för myndigheterna när det gäller den egna organisationen leda till att de snabbare kan anpassa sig till förändringar i omvärlden och därmed bättre fullgöra sina up</w:t>
      </w:r>
      <w:r w:rsidRPr="00AD33E8">
        <w:t>p</w:t>
      </w:r>
      <w:r w:rsidRPr="00AD33E8">
        <w:t xml:space="preserve">gifter.” </w:t>
      </w:r>
    </w:p>
    <w:p w:rsidR="007B7A21" w:rsidRPr="00AD33E8" w:rsidRDefault="007B7A21">
      <w:pPr>
        <w:pStyle w:val="Rubrik3"/>
      </w:pPr>
      <w:bookmarkStart w:id="116" w:name="_Toc21425272"/>
      <w:r w:rsidRPr="00AD33E8">
        <w:t>Innehållet i 1985 års personalpolitiska beslut</w:t>
      </w:r>
      <w:bookmarkEnd w:id="116"/>
    </w:p>
    <w:p w:rsidR="007B7A21" w:rsidRPr="00AD33E8" w:rsidRDefault="007B7A21">
      <w:pPr>
        <w:pStyle w:val="Rubrik4-Utannumrering"/>
      </w:pPr>
      <w:bookmarkStart w:id="117" w:name="_Toc522593246"/>
      <w:bookmarkStart w:id="118" w:name="_Toc3887360"/>
      <w:bookmarkStart w:id="119" w:name="_Toc21425273"/>
      <w:r w:rsidRPr="00AD33E8">
        <w:t>Avstannande expansion</w:t>
      </w:r>
      <w:bookmarkEnd w:id="118"/>
      <w:bookmarkEnd w:id="119"/>
    </w:p>
    <w:p w:rsidR="007B7A21" w:rsidRPr="00AD33E8" w:rsidRDefault="007B7A21">
      <w:r w:rsidRPr="00AD33E8">
        <w:t>Önskemålet om den statliga verksamhetens avtagande resursutrymme lyftes ofta fram när förnyelseprogrammen presenterades. Från förvaltningsutre</w:t>
      </w:r>
      <w:r w:rsidRPr="00AD33E8">
        <w:t>d</w:t>
      </w:r>
      <w:r w:rsidRPr="00AD33E8">
        <w:t>ningens betänkanden  (SOU 1979:61 och SOU 1983:39) och framåt bedö</w:t>
      </w:r>
      <w:r w:rsidRPr="00AD33E8">
        <w:t>m</w:t>
      </w:r>
      <w:r w:rsidRPr="00AD33E8">
        <w:t>des myndigheternas möjligheter till ökade re</w:t>
      </w:r>
      <w:r w:rsidRPr="00AD33E8">
        <w:softHyphen/>
        <w:t>surser som begränsade. För statliga myndigheter var och är personalen en do</w:t>
      </w:r>
      <w:r w:rsidRPr="00AD33E8">
        <w:softHyphen/>
        <w:t>mi</w:t>
      </w:r>
      <w:r w:rsidRPr="00AD33E8">
        <w:softHyphen/>
        <w:t>ne</w:t>
      </w:r>
      <w:r w:rsidRPr="00AD33E8">
        <w:softHyphen/>
        <w:t>rande resurs. Mellan 75 och 80 % av myndigheternas totala kostnader utgjordes under 1970-talet av personalkostnader. Endast i undantagsfall kunde man i framtiden räkna med att nya tjänster inrättades. Befintlig personal var därför utgångspunkten när nya krav på verksamheter aktualiserades. Det var personalens utveck</w:t>
      </w:r>
      <w:r w:rsidRPr="00AD33E8">
        <w:t>ling</w:t>
      </w:r>
      <w:r w:rsidRPr="00AD33E8">
        <w:t>s</w:t>
      </w:r>
      <w:r w:rsidRPr="00AD33E8">
        <w:t>möjligheter som var resursen i det framtida bemanningsperspektivet, något som skulle beaktas och tillvaratas. Personalens utveckling borde därför pl</w:t>
      </w:r>
      <w:r w:rsidRPr="00AD33E8">
        <w:t>a</w:t>
      </w:r>
      <w:r w:rsidRPr="00AD33E8">
        <w:t>neras så att förändrade förutsättningar för myndigheterna kunde mö</w:t>
      </w:r>
      <w:r w:rsidRPr="00AD33E8">
        <w:softHyphen/>
        <w:t>tas med pers</w:t>
      </w:r>
      <w:r w:rsidRPr="00AD33E8">
        <w:t>o</w:t>
      </w:r>
      <w:r w:rsidRPr="00AD33E8">
        <w:t>nal som hade kompetens för detta. Myndigheternas personal</w:t>
      </w:r>
      <w:r w:rsidRPr="00AD33E8">
        <w:softHyphen/>
        <w:t>administration skulle inriktas på att vidga personalens möjligheter att utföra nya arbetsuppgifter. Ökningen av antalet statligt anställda skulle brytas, den statliga bemanningen skulle min</w:t>
      </w:r>
      <w:r w:rsidRPr="00AD33E8">
        <w:t>s</w:t>
      </w:r>
      <w:r w:rsidRPr="00AD33E8">
        <w:t>ka.</w:t>
      </w:r>
    </w:p>
    <w:p w:rsidR="007B7A21" w:rsidRPr="00AD33E8" w:rsidRDefault="007B7A21">
      <w:pPr>
        <w:pStyle w:val="Rubrik4-Utannumrering"/>
      </w:pPr>
      <w:bookmarkStart w:id="120" w:name="_Toc3887361"/>
      <w:bookmarkStart w:id="121" w:name="_Toc21425274"/>
      <w:r w:rsidRPr="00AD33E8">
        <w:t>Förändringsberedskap och ö</w:t>
      </w:r>
      <w:r w:rsidRPr="00AD33E8">
        <w:t>kad rörlighet</w:t>
      </w:r>
      <w:bookmarkEnd w:id="117"/>
      <w:bookmarkEnd w:id="120"/>
      <w:bookmarkEnd w:id="121"/>
    </w:p>
    <w:p w:rsidR="007B7A21" w:rsidRPr="00AD33E8" w:rsidRDefault="007B7A21">
      <w:r w:rsidRPr="00AD33E8">
        <w:t>En personalpolitik med hög beredskap för förändringar var en framträdande tanke i det personalpolitiska beslutet i riksdagen våren 1985 (prop. 1984/85:219, AU 1985/86:6, rskr. 48). Olika satsningar för att öka rörligh</w:t>
      </w:r>
      <w:r w:rsidRPr="00AD33E8">
        <w:t>e</w:t>
      </w:r>
      <w:r w:rsidRPr="00AD33E8">
        <w:t>ten var enligt föredragande statsråd nödvändigt. Förvaltningsutredningen (SOU 1979:61) redovisade en uppgift om att den genomsnittliga persona</w:t>
      </w:r>
      <w:r w:rsidRPr="00AD33E8">
        <w:t>l</w:t>
      </w:r>
      <w:r w:rsidRPr="00AD33E8">
        <w:t>omsättningen i staten hade varit cirka 10 procent under 1970-talet. Förval</w:t>
      </w:r>
      <w:r w:rsidRPr="00AD33E8">
        <w:t>t</w:t>
      </w:r>
      <w:r w:rsidRPr="00AD33E8">
        <w:t>ningsutredningen förespråkade dock inte, i sitt betänkande från 1979, en allmänt ökad personalrörlighet. Denna måste kunna variera efter behov. Med en ökad rörlighet kunde också extra kostnader komma eftersom utbildning och omskolning befarades bli kostsamma. Vidare kunde alltför omfattande r</w:t>
      </w:r>
      <w:r w:rsidRPr="00AD33E8">
        <w:t>örlighet göra att det blev svårt för myndigheterna att utföra sina arbetsup</w:t>
      </w:r>
      <w:r w:rsidRPr="00AD33E8">
        <w:t>p</w:t>
      </w:r>
      <w:r w:rsidRPr="00AD33E8">
        <w:t>gifter.</w:t>
      </w:r>
    </w:p>
    <w:p w:rsidR="007B7A21" w:rsidRPr="00AD33E8" w:rsidRDefault="007B7A21">
      <w:pPr>
        <w:pStyle w:val="Normaltindrag"/>
      </w:pPr>
      <w:r w:rsidRPr="00AD33E8">
        <w:t>Personalrörligheten sågs i två perspektiv – utveckling och a</w:t>
      </w:r>
      <w:r w:rsidRPr="00AD33E8">
        <w:t>v</w:t>
      </w:r>
      <w:r w:rsidRPr="00AD33E8">
        <w:t>veckling. Av</w:t>
      </w:r>
      <w:r w:rsidRPr="00AD33E8">
        <w:softHyphen/>
        <w:t>veckling av personal kunde bli aktuell vid akuta personalöverskott till följd av verksamhetsförändringar. Det var då viktigt att trygghetsaspekten beva</w:t>
      </w:r>
      <w:r w:rsidRPr="00AD33E8">
        <w:softHyphen/>
        <w:t>ka</w:t>
      </w:r>
      <w:r w:rsidRPr="00AD33E8">
        <w:softHyphen/>
        <w:t>des. Det år 1984 slutna tryg</w:t>
      </w:r>
      <w:r w:rsidRPr="00AD33E8">
        <w:t>g</w:t>
      </w:r>
      <w:r w:rsidRPr="00AD33E8">
        <w:t>hetsavtalet ansågs kunna bidra till smidiga lös</w:t>
      </w:r>
      <w:r w:rsidRPr="00AD33E8">
        <w:softHyphen/>
        <w:t>ningar. Det gällde samtidigt att balansera detta arbetstagarintresse med ver</w:t>
      </w:r>
      <w:r w:rsidRPr="00AD33E8">
        <w:t>k</w:t>
      </w:r>
      <w:r w:rsidRPr="00AD33E8">
        <w:t>sa</w:t>
      </w:r>
      <w:r w:rsidRPr="00AD33E8">
        <w:t>m</w:t>
      </w:r>
      <w:r w:rsidRPr="00AD33E8">
        <w:t>hetsintressets föreställda behov av snabba åtgärder.</w:t>
      </w:r>
    </w:p>
    <w:p w:rsidR="007B7A21" w:rsidRPr="00AD33E8" w:rsidRDefault="007B7A21">
      <w:pPr>
        <w:pStyle w:val="Normaltindrag"/>
      </w:pPr>
      <w:r w:rsidRPr="00AD33E8">
        <w:t>Personalrörlighet för utveckling kunde ses på flera sätt. Ett sätt var u</w:t>
      </w:r>
      <w:r w:rsidRPr="00AD33E8">
        <w:t>t</w:t>
      </w:r>
      <w:r w:rsidRPr="00AD33E8">
        <w:t>veckling genom ökat utbyte. Arbetsgivarverket (SAV) fick tillsammans med de statsanställdas huvudorganisationer uppgiften att se över de bestämmelser som påverkade rörligheten inom och mellan statliga myn</w:t>
      </w:r>
      <w:r w:rsidRPr="00AD33E8">
        <w:softHyphen/>
        <w:t>digheter samt me</w:t>
      </w:r>
      <w:r w:rsidRPr="00AD33E8">
        <w:t>l</w:t>
      </w:r>
      <w:r w:rsidRPr="00AD33E8">
        <w:t>lan statsförvaltningen och sektorer på arbets</w:t>
      </w:r>
      <w:r w:rsidRPr="00AD33E8">
        <w:softHyphen/>
        <w:t>mark</w:t>
      </w:r>
      <w:r w:rsidRPr="00AD33E8">
        <w:softHyphen/>
        <w:t>na</w:t>
      </w:r>
      <w:r w:rsidRPr="00AD33E8">
        <w:softHyphen/>
        <w:t>den. Statens arbetsmar</w:t>
      </w:r>
      <w:r w:rsidRPr="00AD33E8">
        <w:t>k</w:t>
      </w:r>
      <w:r w:rsidRPr="00AD33E8">
        <w:t>nadsnämnd (SAMN) borde utreda och praktiskt förbereda utbytestjänstg</w:t>
      </w:r>
      <w:r w:rsidRPr="00AD33E8">
        <w:t>ö</w:t>
      </w:r>
      <w:r w:rsidRPr="00AD33E8">
        <w:t>ringen mellan statliga myndigheter.</w:t>
      </w:r>
    </w:p>
    <w:p w:rsidR="007B7A21" w:rsidRPr="00AD33E8" w:rsidRDefault="007B7A21">
      <w:pPr>
        <w:pStyle w:val="Normaltindrag"/>
      </w:pPr>
      <w:r w:rsidRPr="00AD33E8">
        <w:t>Personalrörligheten kunde också ses i perspektivet av beredskap för ko</w:t>
      </w:r>
      <w:r w:rsidRPr="00AD33E8">
        <w:t>m</w:t>
      </w:r>
      <w:r w:rsidRPr="00AD33E8">
        <w:t>petensutveckling för nya eller utvecklade arbetsuppgifter. Att bemanna en tjänst är ett långsiktigt åtagande för en myndighet. Hur personalens kunsk</w:t>
      </w:r>
      <w:r w:rsidRPr="00AD33E8">
        <w:t>a</w:t>
      </w:r>
      <w:r w:rsidRPr="00AD33E8">
        <w:t>per och erfarenheter tas till vara hos myndigheterna sågs vid det personalp</w:t>
      </w:r>
      <w:r w:rsidRPr="00AD33E8">
        <w:t>o</w:t>
      </w:r>
      <w:r w:rsidRPr="00AD33E8">
        <w:t>litiska beslutet som avgörande för effektiviteten i verksamheten. Den borde kunna öka genom att personalens kompetens utvecklades i syfte att unde</w:t>
      </w:r>
      <w:r w:rsidRPr="00AD33E8">
        <w:t>r</w:t>
      </w:r>
      <w:r w:rsidRPr="00AD33E8">
        <w:t>lätta anpassning till nya uppgifter och förhållanden. Därmed skulle myndi</w:t>
      </w:r>
      <w:r w:rsidRPr="00AD33E8">
        <w:t>g</w:t>
      </w:r>
      <w:r w:rsidRPr="00AD33E8">
        <w:t>heternas förmåga att klara en omställning till nya verksamheter f</w:t>
      </w:r>
      <w:r w:rsidRPr="00AD33E8">
        <w:t xml:space="preserve">örbättras. </w:t>
      </w:r>
    </w:p>
    <w:p w:rsidR="007B7A21" w:rsidRPr="00AD33E8" w:rsidRDefault="007B7A21">
      <w:pPr>
        <w:pStyle w:val="Normaltindrag"/>
      </w:pPr>
      <w:r w:rsidRPr="00AD33E8">
        <w:t>Utredningar som SAMN och Statens institut för personalutveckling (SIPU) gjort visade att de aktuella utvecklings- och rör</w:t>
      </w:r>
      <w:r w:rsidRPr="00AD33E8">
        <w:softHyphen/>
        <w:t>lig</w:t>
      </w:r>
      <w:r w:rsidRPr="00AD33E8">
        <w:softHyphen/>
      </w:r>
      <w:r w:rsidRPr="00AD33E8">
        <w:softHyphen/>
      </w:r>
      <w:r w:rsidRPr="00AD33E8">
        <w:softHyphen/>
        <w:t>hetsfrågorna ofta var regl</w:t>
      </w:r>
      <w:r w:rsidRPr="00AD33E8">
        <w:t>e</w:t>
      </w:r>
      <w:r w:rsidRPr="00AD33E8">
        <w:t>rade i avtal. I avtalsrörelsen på den statliga sidan år 1984 drevs ett partsg</w:t>
      </w:r>
      <w:r w:rsidRPr="00AD33E8">
        <w:t>e</w:t>
      </w:r>
      <w:r w:rsidRPr="00AD33E8">
        <w:t>mensamt projekt för att studera per</w:t>
      </w:r>
      <w:r w:rsidRPr="00AD33E8">
        <w:softHyphen/>
        <w:t>so</w:t>
      </w:r>
      <w:r w:rsidRPr="00AD33E8">
        <w:softHyphen/>
        <w:t>nal</w:t>
      </w:r>
      <w:r w:rsidRPr="00AD33E8">
        <w:softHyphen/>
        <w:t>för</w:t>
      </w:r>
      <w:r w:rsidRPr="00AD33E8">
        <w:softHyphen/>
        <w:t>sörj</w:t>
      </w:r>
      <w:r w:rsidRPr="00AD33E8">
        <w:softHyphen/>
        <w:t>ningssituationen. När studiens resultat förelåg skulle SAV enligt rege</w:t>
      </w:r>
      <w:r w:rsidRPr="00AD33E8">
        <w:softHyphen/>
        <w:t>ringens intentioner ta upp förhandlin</w:t>
      </w:r>
      <w:r w:rsidRPr="00AD33E8">
        <w:t>g</w:t>
      </w:r>
      <w:r w:rsidRPr="00AD33E8">
        <w:t>ar för bättre möjlighet till rörlighet och ut</w:t>
      </w:r>
      <w:r w:rsidRPr="00AD33E8">
        <w:softHyphen/>
        <w:t xml:space="preserve">veckling. </w:t>
      </w:r>
    </w:p>
    <w:p w:rsidR="007B7A21" w:rsidRPr="00AD33E8" w:rsidRDefault="007B7A21">
      <w:pPr>
        <w:pStyle w:val="Rubrik4-Utannumrering"/>
      </w:pPr>
      <w:bookmarkStart w:id="122" w:name="_Toc522593247"/>
      <w:bookmarkStart w:id="123" w:name="_Toc3887362"/>
      <w:bookmarkStart w:id="124" w:name="_Toc21425275"/>
      <w:r w:rsidRPr="00AD33E8">
        <w:t>Lönefrågorna</w:t>
      </w:r>
      <w:bookmarkEnd w:id="122"/>
      <w:bookmarkEnd w:id="123"/>
      <w:bookmarkEnd w:id="124"/>
    </w:p>
    <w:p w:rsidR="007B7A21" w:rsidRPr="00AD33E8" w:rsidRDefault="007B7A21">
      <w:r w:rsidRPr="00AD33E8">
        <w:t>I den personalpolitiska propositionen föreslog regeringen en ny lönepolitisk ordning och inrikt</w:t>
      </w:r>
      <w:r w:rsidRPr="00AD33E8">
        <w:softHyphen/>
        <w:t>ning inom staten. Lönepolitik och lönesystem skulle mö</w:t>
      </w:r>
      <w:r w:rsidRPr="00AD33E8">
        <w:t>j</w:t>
      </w:r>
      <w:r w:rsidRPr="00AD33E8">
        <w:t>liggöra att löneutveckling och löneskillnader var förenade med en samhäll</w:t>
      </w:r>
      <w:r w:rsidRPr="00AD33E8">
        <w:t>s</w:t>
      </w:r>
      <w:r w:rsidRPr="00AD33E8">
        <w:t>ekonomisk balans. Statens företrädare skulle som part företräda verksa</w:t>
      </w:r>
      <w:r w:rsidRPr="00AD33E8">
        <w:t>m</w:t>
      </w:r>
      <w:r w:rsidRPr="00AD33E8">
        <w:t>hetsintresset och eftersträva en ändamålsenlig personalförsörjning. Den statliga lönebildningen skulle främja flexi</w:t>
      </w:r>
      <w:r w:rsidRPr="00AD33E8">
        <w:softHyphen/>
      </w:r>
      <w:r w:rsidRPr="00AD33E8">
        <w:softHyphen/>
        <w:t>bi</w:t>
      </w:r>
      <w:r w:rsidRPr="00AD33E8">
        <w:softHyphen/>
        <w:t>litet, decentralisering och deleg</w:t>
      </w:r>
      <w:r w:rsidRPr="00AD33E8">
        <w:t>e</w:t>
      </w:r>
      <w:r w:rsidRPr="00AD33E8">
        <w:t>ring. Slutligen skulle lönesättningen prä</w:t>
      </w:r>
      <w:r w:rsidRPr="00AD33E8">
        <w:softHyphen/>
        <w:t>glas av demokratisk rättvis förde</w:t>
      </w:r>
      <w:r w:rsidRPr="00AD33E8">
        <w:t>l</w:t>
      </w:r>
      <w:r w:rsidRPr="00AD33E8">
        <w:t>ning.</w:t>
      </w:r>
    </w:p>
    <w:p w:rsidR="007B7A21" w:rsidRPr="00AD33E8" w:rsidRDefault="007B7A21">
      <w:pPr>
        <w:pStyle w:val="Rubrik4-Utannumrering"/>
      </w:pPr>
      <w:bookmarkStart w:id="125" w:name="_Toc522593248"/>
      <w:bookmarkStart w:id="126" w:name="_Toc3887363"/>
      <w:bookmarkStart w:id="127" w:name="_Toc21425276"/>
      <w:r w:rsidRPr="00AD33E8">
        <w:t>Rekrytering och befordran på saklig grund: förtjänst och skicklighet</w:t>
      </w:r>
      <w:bookmarkEnd w:id="125"/>
      <w:bookmarkEnd w:id="126"/>
      <w:bookmarkEnd w:id="127"/>
    </w:p>
    <w:p w:rsidR="007B7A21" w:rsidRPr="00AD33E8" w:rsidRDefault="007B7A21">
      <w:r w:rsidRPr="00AD33E8">
        <w:t>Stor omsorg skulle ägnas förberedelserna i samband med rekrytering. Det var fråga om överväganden i flera steg. Noggranna bedömningar borde göras av behovet av att återbesätta vakanta tjänster. Det gällde t.ex. tjänstens arbetsi</w:t>
      </w:r>
      <w:r w:rsidRPr="00AD33E8">
        <w:t>n</w:t>
      </w:r>
      <w:r w:rsidRPr="00AD33E8">
        <w:t>nehåll och krav på tjänstens innehavare. Därefter skulle i rekryteringsproce</w:t>
      </w:r>
      <w:r w:rsidRPr="00AD33E8">
        <w:t>s</w:t>
      </w:r>
      <w:r w:rsidRPr="00AD33E8">
        <w:t>sen så många urvalsinstrument som möjligt och lämpligt användas. Syftet med de utökade procedurerna var att åstadkomma säkra urval.</w:t>
      </w:r>
    </w:p>
    <w:p w:rsidR="007B7A21" w:rsidRPr="00AD33E8" w:rsidRDefault="007B7A21">
      <w:pPr>
        <w:pStyle w:val="Normaltindrag"/>
      </w:pPr>
      <w:r w:rsidRPr="00AD33E8">
        <w:t>Frågan om värdering av kvalifikationer vid tillsättning av statliga tjänster var, enligt regeringens argumentation i propositionen, viktig från både pri</w:t>
      </w:r>
      <w:r w:rsidRPr="00AD33E8">
        <w:t>n</w:t>
      </w:r>
      <w:r w:rsidRPr="00AD33E8">
        <w:t>cipiell och praktisk synpunkt. Som framgick ovan föreskrev regeringsformen att endast förtjänst och skicklighet skulle vägas in. Detta motiverades av statsnyttan. Det finns ett allmänt intresse av att statliga funktioner utövas av personer som är bäst skickade för uppgifterna. Vid värderingen av en söka</w:t>
      </w:r>
      <w:r w:rsidRPr="00AD33E8">
        <w:t>n</w:t>
      </w:r>
      <w:r w:rsidRPr="00AD33E8">
        <w:t xml:space="preserve">des </w:t>
      </w:r>
      <w:r w:rsidRPr="00AD33E8">
        <w:rPr>
          <w:i/>
        </w:rPr>
        <w:t>förtjänst</w:t>
      </w:r>
      <w:r w:rsidRPr="00AD33E8">
        <w:t xml:space="preserve"> menas betydelsen av tidigare yrkesverksamhet, även om denna inte var direkt relevant för den aktuella befattningen. Till </w:t>
      </w:r>
      <w:r w:rsidRPr="00AD33E8">
        <w:rPr>
          <w:i/>
        </w:rPr>
        <w:t>skickligheten</w:t>
      </w:r>
      <w:r w:rsidRPr="00AD33E8">
        <w:t xml:space="preserve"> hä</w:t>
      </w:r>
      <w:r w:rsidRPr="00AD33E8">
        <w:t>n</w:t>
      </w:r>
      <w:r w:rsidRPr="00AD33E8">
        <w:t xml:space="preserve">fördes faktorer som teoretisk och praktisk utbildning </w:t>
      </w:r>
      <w:r w:rsidRPr="00AD33E8">
        <w:t>samt personliga ege</w:t>
      </w:r>
      <w:r w:rsidRPr="00AD33E8">
        <w:t>n</w:t>
      </w:r>
      <w:r w:rsidRPr="00AD33E8">
        <w:t>skaper som bl.a. prestationsförmåga, ledaregenskaper, yrkesskicklighet eller samarbetsförmåga. Vidare kunde kunskaper och erfarenheter från andra anställningar, offen</w:t>
      </w:r>
      <w:r w:rsidRPr="00AD33E8">
        <w:t>t</w:t>
      </w:r>
      <w:r w:rsidRPr="00AD33E8">
        <w:t>liga eller privata, räknas in.</w:t>
      </w:r>
    </w:p>
    <w:p w:rsidR="007B7A21" w:rsidRPr="00AD33E8" w:rsidRDefault="007B7A21">
      <w:pPr>
        <w:pStyle w:val="Normaltindrag"/>
      </w:pPr>
      <w:r w:rsidRPr="00AD33E8">
        <w:t>Den ändrade balansen mellan förtjänst och skicklighet innebar att skickli</w:t>
      </w:r>
      <w:r w:rsidRPr="00AD33E8">
        <w:t>g</w:t>
      </w:r>
      <w:r w:rsidRPr="00AD33E8">
        <w:t>heten skulle väga tyngre.  Därvid fanns det enligt regeringen tre huvudsyften. Det första var att effektiviteten skulle främjas om meritvärderingen koppl</w:t>
      </w:r>
      <w:r w:rsidRPr="00AD33E8">
        <w:t>a</w:t>
      </w:r>
      <w:r w:rsidRPr="00AD33E8">
        <w:t>des till den aktuella tjänstens krav. För det andra skulle rörligheten underlä</w:t>
      </w:r>
      <w:r w:rsidRPr="00AD33E8">
        <w:t>t</w:t>
      </w:r>
      <w:r w:rsidRPr="00AD33E8">
        <w:t>tas om tjänster inom olika sektorer jämställdes. För det tredje borde han</w:t>
      </w:r>
      <w:r w:rsidRPr="00AD33E8">
        <w:t>d</w:t>
      </w:r>
      <w:r w:rsidRPr="00AD33E8">
        <w:t>läggningen av tillsättningsärenden kunna rationaliseras.</w:t>
      </w:r>
    </w:p>
    <w:p w:rsidR="007B7A21" w:rsidRPr="00AD33E8" w:rsidRDefault="007B7A21">
      <w:pPr>
        <w:pStyle w:val="Normaltindrag"/>
      </w:pPr>
      <w:r w:rsidRPr="00AD33E8">
        <w:t>Det fanns, enligt regeringen, två problem med förtjänstkriteriet. Det var till stor del mekaniskt, det var antalet tjänsteår som låg i botten på be</w:t>
      </w:r>
      <w:r w:rsidRPr="00AD33E8">
        <w:t>dömninga</w:t>
      </w:r>
      <w:r w:rsidRPr="00AD33E8">
        <w:t>r</w:t>
      </w:r>
      <w:r w:rsidRPr="00AD33E8">
        <w:t>na. Det var också stora variationer mellan myndigheter när beräkningarna gjordes. En del myndigheter rä</w:t>
      </w:r>
      <w:r w:rsidRPr="00AD33E8">
        <w:t>k</w:t>
      </w:r>
      <w:r w:rsidRPr="00AD33E8">
        <w:t>nade t.ex. endast in statliga anställningar.</w:t>
      </w:r>
    </w:p>
    <w:p w:rsidR="007B7A21" w:rsidRPr="00AD33E8" w:rsidRDefault="007B7A21">
      <w:pPr>
        <w:pStyle w:val="Rubrik4-Utannumrering"/>
      </w:pPr>
      <w:bookmarkStart w:id="128" w:name="_Toc522593249"/>
      <w:bookmarkStart w:id="129" w:name="_Toc3887364"/>
      <w:bookmarkStart w:id="130" w:name="_Toc21425277"/>
      <w:r w:rsidRPr="00AD33E8">
        <w:t>Decentralisering och förenkling</w:t>
      </w:r>
      <w:bookmarkEnd w:id="128"/>
      <w:bookmarkEnd w:id="129"/>
      <w:bookmarkEnd w:id="130"/>
      <w:r w:rsidRPr="00AD33E8">
        <w:t xml:space="preserve"> </w:t>
      </w:r>
    </w:p>
    <w:p w:rsidR="007B7A21" w:rsidRPr="00AD33E8" w:rsidRDefault="007B7A21">
      <w:r w:rsidRPr="00AD33E8">
        <w:t>Personalfrågorna skulle, enligt det personalpolitiska beslutet, mer än tidigare de</w:t>
      </w:r>
      <w:r w:rsidRPr="00AD33E8">
        <w:softHyphen/>
        <w:t>centraliseras. Arbetsgivaruppgifterna skulle ytterligare fördelas till my</w:t>
      </w:r>
      <w:r w:rsidRPr="00AD33E8">
        <w:t>n</w:t>
      </w:r>
      <w:r w:rsidRPr="00AD33E8">
        <w:t>dig</w:t>
      </w:r>
      <w:r w:rsidRPr="00AD33E8">
        <w:softHyphen/>
        <w:t>heterna. Takten skulle bestämmas av parternas beredskap att fullgöra det därav följande mandatet.</w:t>
      </w:r>
    </w:p>
    <w:p w:rsidR="007B7A21" w:rsidRPr="00AD33E8" w:rsidRDefault="007B7A21">
      <w:pPr>
        <w:pStyle w:val="Normaltindrag"/>
      </w:pPr>
      <w:r w:rsidRPr="00AD33E8">
        <w:t>De olika personalsystemen skulle förenklas. Indelningen i olika tjänstet</w:t>
      </w:r>
      <w:r w:rsidRPr="00AD33E8">
        <w:t>y</w:t>
      </w:r>
      <w:r w:rsidRPr="00AD33E8">
        <w:t>per, -grader och -klas</w:t>
      </w:r>
      <w:r w:rsidRPr="00AD33E8">
        <w:softHyphen/>
        <w:t xml:space="preserve">ser skulle avskaffas. </w:t>
      </w:r>
    </w:p>
    <w:p w:rsidR="007B7A21" w:rsidRPr="00AD33E8" w:rsidRDefault="007B7A21">
      <w:pPr>
        <w:pStyle w:val="Normaltindrag"/>
      </w:pPr>
      <w:r w:rsidRPr="00AD33E8">
        <w:t>Myndigheterna skulle ges ökade befogenheter att inom givna ekonomiska ramar inrätta och tillsätta tjänster.</w:t>
      </w:r>
    </w:p>
    <w:p w:rsidR="007B7A21" w:rsidRPr="00AD33E8" w:rsidRDefault="007B7A21">
      <w:pPr>
        <w:pStyle w:val="Rubrik4-Utannumrering"/>
      </w:pPr>
      <w:r w:rsidRPr="00AD33E8">
        <w:t xml:space="preserve"> </w:t>
      </w:r>
      <w:bookmarkStart w:id="131" w:name="_Toc3887365"/>
      <w:bookmarkStart w:id="132" w:name="_Toc21425278"/>
      <w:r w:rsidRPr="00AD33E8">
        <w:t>Statlig personalpolitik i ett process och resultatperspektiv</w:t>
      </w:r>
      <w:bookmarkEnd w:id="131"/>
      <w:bookmarkEnd w:id="132"/>
      <w:r w:rsidRPr="00AD33E8">
        <w:t xml:space="preserve"> </w:t>
      </w:r>
    </w:p>
    <w:p w:rsidR="007B7A21" w:rsidRPr="00AD33E8" w:rsidRDefault="007B7A21">
      <w:r w:rsidRPr="00AD33E8">
        <w:t>Med det personalpolitiska beslutet sätts den statliga personalpolitiken i ett helhetsperspektiv. Före 1985 års beslut kan man tala om två perspektiv på statens personalpolitik, dels det förvaltningsmässiga där lagbundenhet och sakligheten var central. Dels arbetsgivar- och arbetstagarperspektivet där  roller, rättigheter samt ansvar tydliggjordes. Det som tillkom år 1985 var att dessa två delar mer uttalat kompletterades med ett produktionsperspe</w:t>
      </w:r>
      <w:r w:rsidRPr="00AD33E8">
        <w:t>ktiv. Detta process- och resultatperspektiv var därtill den överordnade helheten efter vilken personalpolitiken därefter, som ett instrument, skulle regleras och utvecklas.</w:t>
      </w:r>
    </w:p>
    <w:p w:rsidR="007B7A21" w:rsidRPr="00AD33E8" w:rsidRDefault="007B7A21">
      <w:pPr>
        <w:pStyle w:val="Rubrik3"/>
      </w:pPr>
      <w:bookmarkStart w:id="133" w:name="_Toc522593250"/>
      <w:bookmarkStart w:id="134" w:name="_Toc3887366"/>
      <w:bookmarkStart w:id="135" w:name="_Toc21425279"/>
      <w:r w:rsidRPr="00AD33E8">
        <w:t xml:space="preserve">Den </w:t>
      </w:r>
      <w:bookmarkEnd w:id="133"/>
      <w:r w:rsidRPr="00AD33E8">
        <w:t>förvaltningspolitiska förnyelsen</w:t>
      </w:r>
      <w:bookmarkEnd w:id="134"/>
      <w:bookmarkEnd w:id="135"/>
    </w:p>
    <w:p w:rsidR="007B7A21" w:rsidRPr="00AD33E8" w:rsidRDefault="007B7A21">
      <w:r w:rsidRPr="00AD33E8">
        <w:t>Det personalpolitiska beslutet och förnyelseprogrammet började genomföras under åren 1986 till 1989. Ett moment var en förändring av verks</w:t>
      </w:r>
      <w:r w:rsidRPr="00AD33E8">
        <w:softHyphen/>
        <w:t>stad</w:t>
      </w:r>
      <w:r w:rsidRPr="00AD33E8">
        <w:softHyphen/>
        <w:t>gan. Kungl. Maj:ts allmänna verksstadga (1965:600) var en generell inst</w:t>
      </w:r>
      <w:r w:rsidRPr="00AD33E8">
        <w:softHyphen/>
        <w:t>ruk</w:t>
      </w:r>
      <w:r w:rsidRPr="00AD33E8">
        <w:softHyphen/>
        <w:t>tion för de statliga myndighete</w:t>
      </w:r>
      <w:r w:rsidRPr="00AD33E8">
        <w:t>r</w:t>
      </w:r>
      <w:r w:rsidRPr="00AD33E8">
        <w:t>na. Den ersattes den 1 januari 1988 av en verks</w:t>
      </w:r>
      <w:r w:rsidRPr="00AD33E8">
        <w:softHyphen/>
        <w:t>för</w:t>
      </w:r>
      <w:r w:rsidRPr="00AD33E8">
        <w:softHyphen/>
        <w:t>ordning (SFS 1987:1100). Det var i denna nya förordning personal- och förvaltningspolitiken fick sin sammanfattande form. Här fanns också en bestämning av vad som skulle karakterisera en myndighets personalpolitik. Enligt 9 § i förordningen skulle myndighetens chef se till att personalpolit</w:t>
      </w:r>
      <w:r w:rsidRPr="00AD33E8">
        <w:t>i</w:t>
      </w:r>
      <w:r w:rsidRPr="00AD33E8">
        <w:t>ken motsvarar de krav som ställs på verksamheten. I pe</w:t>
      </w:r>
      <w:r w:rsidRPr="00AD33E8">
        <w:t>rsonalpolitiken ingick vidare en strävan efter jämställdhet mellan kvinnor och män. Chefen skulle försöka skapa goda arbetsförhållanden och ta till vara och utveckla de a</w:t>
      </w:r>
      <w:r w:rsidRPr="00AD33E8">
        <w:t>n</w:t>
      </w:r>
      <w:r w:rsidRPr="00AD33E8">
        <w:t>ställdas kunskaper, färdigheter och erfarenheter samt fördela arbetsuppgi</w:t>
      </w:r>
      <w:r w:rsidRPr="00AD33E8">
        <w:t>f</w:t>
      </w:r>
      <w:r w:rsidRPr="00AD33E8">
        <w:t xml:space="preserve">terna inom myndigheten så, att var och en får uppgifter som är avpassade för denne. Slutligen skulle chefen se till att de anställda är väl förtrogna med målen för myndighetens verksamhet. </w:t>
      </w:r>
    </w:p>
    <w:p w:rsidR="007B7A21" w:rsidRPr="00AD33E8" w:rsidRDefault="007B7A21">
      <w:pPr>
        <w:pStyle w:val="Rubrik4-Utannumrering"/>
      </w:pPr>
      <w:bookmarkStart w:id="136" w:name="_Toc522593252"/>
      <w:bookmarkStart w:id="137" w:name="_Toc3887367"/>
      <w:bookmarkStart w:id="138" w:name="_Toc21425280"/>
      <w:r w:rsidRPr="00AD33E8">
        <w:t>Förvaltningsutredningen</w:t>
      </w:r>
      <w:bookmarkEnd w:id="136"/>
      <w:r w:rsidRPr="00AD33E8">
        <w:t xml:space="preserve"> och</w:t>
      </w:r>
      <w:bookmarkStart w:id="139" w:name="_Toc522593253"/>
      <w:r w:rsidRPr="00AD33E8">
        <w:t xml:space="preserve"> Verksledningskommittén</w:t>
      </w:r>
      <w:bookmarkEnd w:id="137"/>
      <w:bookmarkEnd w:id="138"/>
      <w:bookmarkEnd w:id="139"/>
    </w:p>
    <w:p w:rsidR="007B7A21" w:rsidRPr="00AD33E8" w:rsidRDefault="007B7A21">
      <w:r w:rsidRPr="00AD33E8">
        <w:t>Den nya styrningen utvecklades från två utredningar. Förvaltningsutrednin</w:t>
      </w:r>
      <w:r w:rsidRPr="00AD33E8">
        <w:t>g</w:t>
      </w:r>
      <w:r w:rsidRPr="00AD33E8">
        <w:t>en som rapporterade i två betänkanden, Förnyelse genom omprövning (SOU 1979:61) och Politisk styrning – administrativ självständighet (SOU 1983:39) samt Verksledningskommittén som avlämnade betänkandet R</w:t>
      </w:r>
      <w:r w:rsidRPr="00AD33E8">
        <w:t>e</w:t>
      </w:r>
      <w:r w:rsidRPr="00AD33E8">
        <w:t xml:space="preserve">geringen, myndigheterna och myndigheternas ledning (SOU 1985:40). </w:t>
      </w:r>
    </w:p>
    <w:p w:rsidR="007B7A21" w:rsidRPr="00AD33E8" w:rsidRDefault="007B7A21">
      <w:pPr>
        <w:pStyle w:val="Normaltindrag"/>
      </w:pPr>
      <w:r w:rsidRPr="00AD33E8">
        <w:t>Det var i förvaltningsutredningen som den ännu levande föreställningen om  maktdelningen i den svenska författningen ifrågasattes. Enligt utre</w:t>
      </w:r>
      <w:r w:rsidRPr="00AD33E8">
        <w:t>d</w:t>
      </w:r>
      <w:r w:rsidRPr="00AD33E8">
        <w:t>ningens analys innebar den nya regeringsformen en renodlad folksuveränitet i Sverige. Se ovan avsnitt 2.1. Det som sedan 1634 års regeringsform kall</w:t>
      </w:r>
      <w:r w:rsidRPr="00AD33E8">
        <w:t>a</w:t>
      </w:r>
      <w:r w:rsidRPr="00AD33E8">
        <w:t>des den strikta tudelningens princip, åtskillnad mellan politik och förval</w:t>
      </w:r>
      <w:r w:rsidRPr="00AD33E8">
        <w:t>t</w:t>
      </w:r>
      <w:r w:rsidRPr="00AD33E8">
        <w:t>ning, preciserades. Förvaltningsmyndigheterna var självständiga organisati</w:t>
      </w:r>
      <w:r w:rsidRPr="00AD33E8">
        <w:t>o</w:t>
      </w:r>
      <w:r w:rsidRPr="00AD33E8">
        <w:t>ner men underordnade regeringen. Utredningen ansåg dock att implement</w:t>
      </w:r>
      <w:r w:rsidRPr="00AD33E8">
        <w:t>e</w:t>
      </w:r>
      <w:r w:rsidRPr="00AD33E8">
        <w:t>ringen av nya RF inte varit tydlig på den punkten. Detta kunde leda till åte</w:t>
      </w:r>
      <w:r w:rsidRPr="00AD33E8">
        <w:t>r</w:t>
      </w:r>
      <w:r w:rsidRPr="00AD33E8">
        <w:t>hållsamhet och otydlighet i regeringens styrning. Det kunde också</w:t>
      </w:r>
      <w:r w:rsidRPr="00AD33E8">
        <w:t xml:space="preserve"> medföra att myndigheterna eller dess ledningar utvecklade egna perspektiv med ko</w:t>
      </w:r>
      <w:r w:rsidRPr="00AD33E8">
        <w:t>n</w:t>
      </w:r>
      <w:r w:rsidRPr="00AD33E8">
        <w:t xml:space="preserve">stitutionella argument. </w:t>
      </w:r>
    </w:p>
    <w:p w:rsidR="007B7A21" w:rsidRPr="00AD33E8" w:rsidRDefault="007B7A21">
      <w:pPr>
        <w:pStyle w:val="Normaltindrag"/>
      </w:pPr>
      <w:r w:rsidRPr="00AD33E8">
        <w:t>Förvaltningsutredningen uppehöll sig även vid frågan om delegering och decentralisering. Man menade att förhållandet att regeringen överlåter bef</w:t>
      </w:r>
      <w:r w:rsidRPr="00AD33E8">
        <w:t>o</w:t>
      </w:r>
      <w:r w:rsidRPr="00AD33E8">
        <w:t>genheter till förvaltningsmyndigheterna inte inskränkte dess konstitutionella ansvar inför riksdagen.</w:t>
      </w:r>
    </w:p>
    <w:p w:rsidR="007B7A21" w:rsidRPr="00AD33E8" w:rsidRDefault="007B7A21">
      <w:pPr>
        <w:pStyle w:val="Normaltindrag"/>
      </w:pPr>
      <w:r w:rsidRPr="00AD33E8">
        <w:t>Förvaltningsutredningen ansåg vidare att det inte fanns något allmänt fö</w:t>
      </w:r>
      <w:r w:rsidRPr="00AD33E8">
        <w:t>r</w:t>
      </w:r>
      <w:r w:rsidRPr="00AD33E8">
        <w:t>bud mot ministerstyre i RF. Den inskränkning som fanns avsåg myndighet</w:t>
      </w:r>
      <w:r w:rsidRPr="00AD33E8">
        <w:t>s</w:t>
      </w:r>
      <w:r w:rsidRPr="00AD33E8">
        <w:t>utövning mot enskild eller tillämpning av lag. Ett statsråds informella och indirekta påverkan genom frågor eller uttalanden var fullt förenlig med fö</w:t>
      </w:r>
      <w:r w:rsidRPr="00AD33E8">
        <w:t>r</w:t>
      </w:r>
      <w:r w:rsidRPr="00AD33E8">
        <w:t>fattningen. Regeringen utvecklade detta synsätt och denna tolkning i prop</w:t>
      </w:r>
      <w:r w:rsidRPr="00AD33E8">
        <w:t>o</w:t>
      </w:r>
      <w:r w:rsidRPr="00AD33E8">
        <w:t>sitionen. Man borde utnyttja de möjligheter som fanns för att öka effektiv</w:t>
      </w:r>
      <w:r w:rsidRPr="00AD33E8">
        <w:t>i</w:t>
      </w:r>
      <w:r w:rsidRPr="00AD33E8">
        <w:t>teten i verksa</w:t>
      </w:r>
      <w:r w:rsidRPr="00AD33E8">
        <w:t>m</w:t>
      </w:r>
      <w:r w:rsidRPr="00AD33E8">
        <w:t xml:space="preserve">heten. </w:t>
      </w:r>
    </w:p>
    <w:p w:rsidR="007B7A21" w:rsidRPr="00AD33E8" w:rsidRDefault="007B7A21">
      <w:pPr>
        <w:pStyle w:val="Normaltindrag"/>
      </w:pPr>
      <w:r w:rsidRPr="00AD33E8">
        <w:t>Betänkandet Regeringen, myndigheterna och myndigheternas ledning l</w:t>
      </w:r>
      <w:r w:rsidRPr="00AD33E8">
        <w:t>a</w:t>
      </w:r>
      <w:r w:rsidRPr="00AD33E8">
        <w:t>des av den s.k. Verksledningskomittén. Den ställde sig bakom förvaltning</w:t>
      </w:r>
      <w:r w:rsidRPr="00AD33E8">
        <w:t>s</w:t>
      </w:r>
      <w:r w:rsidRPr="00AD33E8">
        <w:t>utredningens syn angående regeringens styrning av myndigheterna. Där behandlades även frågan om förvaltningens styrbarhet. Förvaltningen och dess tjänstemän hade rört sig från traditionell ämbetsutövning till uppgifter som omfattade även produktion, service och omfördelning. De enskilda tjänstemännen fick större möjlighet att skapa politikens innehåll. Ett exempel på hur problemet upplevdes var hur olika besparingsbeting hade genomför</w:t>
      </w:r>
      <w:r w:rsidRPr="00AD33E8">
        <w:t>ts. Antingen fördelades nedskärningar likformigt över verksamheten eller så gjordes prioriteringar som i gru</w:t>
      </w:r>
      <w:r w:rsidRPr="00AD33E8">
        <w:t>n</w:t>
      </w:r>
      <w:r w:rsidRPr="00AD33E8">
        <w:t>den var politiska på myndighetsnivå.</w:t>
      </w:r>
    </w:p>
    <w:p w:rsidR="007B7A21" w:rsidRPr="00AD33E8" w:rsidRDefault="007B7A21">
      <w:pPr>
        <w:pStyle w:val="Normaltindrag"/>
      </w:pPr>
      <w:r w:rsidRPr="00AD33E8">
        <w:t>Med tydligare mål skulle statsmakterna, enligt kommittén, återföra ”beslutskompetens till den politiska nivån”. Utredningen utvecklade därvid i praktiken principen om den s.k. tudelningen i den svenska statliga förval</w:t>
      </w:r>
      <w:r w:rsidRPr="00AD33E8">
        <w:t>t</w:t>
      </w:r>
      <w:r w:rsidRPr="00AD33E8">
        <w:t>ningen. Regeringen skulle bli tydligare och precisare i sina krav på verk</w:t>
      </w:r>
      <w:r w:rsidRPr="00AD33E8">
        <w:softHyphen/>
        <w:t>samheten. Krav borde ställas på att verksamheterna skulle redovisas bättre och med större inriktning på resultat. Beslutsunderlagen borde väsentligen förbättras. Myndigheterna skulle få större frihet att utforma detaljerna i ver</w:t>
      </w:r>
      <w:r w:rsidRPr="00AD33E8">
        <w:t>k</w:t>
      </w:r>
      <w:r w:rsidRPr="00AD33E8">
        <w:t xml:space="preserve">samheten. Smidighet och effektivitet samt verksamhetsanpassning skulle eftersträvas. Ökad långsiktighet efterfrågades därvid, bl.a. aktualiserades en modell med treåriga budgetramar. </w:t>
      </w:r>
    </w:p>
    <w:p w:rsidR="007B7A21" w:rsidRPr="00AD33E8" w:rsidRDefault="007B7A21">
      <w:pPr>
        <w:pStyle w:val="Normaltindrag"/>
      </w:pPr>
      <w:r w:rsidRPr="00AD33E8">
        <w:t>Organisationen av verken</w:t>
      </w:r>
      <w:r w:rsidRPr="00AD33E8">
        <w:t>s ledningar, t.ex. relationerna mellan chef och styrelse, utreddes. Kommittén diskuterade olika modeller för verksstyrelse</w:t>
      </w:r>
      <w:r w:rsidRPr="00AD33E8">
        <w:t>r</w:t>
      </w:r>
      <w:r w:rsidRPr="00AD33E8">
        <w:t>nas uppgifter, roll och ansvar. I en reservation varnade riksdagsmannen och statsvetaren Daniel Tharschys för förenklade kopplingar till styrelser i akti</w:t>
      </w:r>
      <w:r w:rsidRPr="00AD33E8">
        <w:t>e</w:t>
      </w:r>
      <w:r w:rsidRPr="00AD33E8">
        <w:t>bolag med kommersiell verksamhet. I reservationen betonades den statliga personalens betydelse. I ett modernt samhälle är, enligt Tharschys, ofrå</w:t>
      </w:r>
      <w:r w:rsidRPr="00AD33E8">
        <w:t>n</w:t>
      </w:r>
      <w:r w:rsidRPr="00AD33E8">
        <w:t>komligt att kunskapsutvecklingen sker inom den professionella expertisen inom olika områd</w:t>
      </w:r>
      <w:r w:rsidRPr="00AD33E8">
        <w:t>en. Inom den offentliga sektorn var det runt myndigheter och deras verksamhet som nya idéer och metoder kunde utvecklas. Tha</w:t>
      </w:r>
      <w:r w:rsidRPr="00AD33E8">
        <w:t>r</w:t>
      </w:r>
      <w:r w:rsidRPr="00AD33E8">
        <w:t>schys hänvisade till den moderna förvaltningsforskningen som identifierade betydelsen av lärande organisationer. Mot den bakgrunden pläderade Tha</w:t>
      </w:r>
      <w:r w:rsidRPr="00AD33E8">
        <w:t>r</w:t>
      </w:r>
      <w:r w:rsidRPr="00AD33E8">
        <w:t>schys för en dubbel roll för politikerna i myndigheternas styrelser. Den vikt</w:t>
      </w:r>
      <w:r w:rsidRPr="00AD33E8">
        <w:t>i</w:t>
      </w:r>
      <w:r w:rsidRPr="00AD33E8">
        <w:t xml:space="preserve">gaste uppgiften för lekmän i verkens styrelser skulle inte vara att förmedla politiska intentioner ”uppifrån och ned”. I stället var uppgiften primärt att delta i </w:t>
      </w:r>
      <w:r w:rsidRPr="00AD33E8">
        <w:t>de erfarenhetsvinster och i den kunskapsutveckling som sker och därifrån förmedla impulser till den politiska nivån. Tharschys preciserade styrningens dubbla dialogkaraktär: ”God styrning förutsätter både kunskaper och styrmedel – och det är kna</w:t>
      </w:r>
      <w:r w:rsidRPr="00AD33E8">
        <w:t>p</w:t>
      </w:r>
      <w:r w:rsidRPr="00AD33E8">
        <w:t>past styrmedel som saknas.”</w:t>
      </w:r>
    </w:p>
    <w:p w:rsidR="007B7A21" w:rsidRPr="00AD33E8" w:rsidRDefault="007B7A21">
      <w:pPr>
        <w:pStyle w:val="Rubrik4-Utannumrering"/>
      </w:pPr>
      <w:bookmarkStart w:id="140" w:name="_Toc522593254"/>
      <w:bookmarkStart w:id="141" w:name="_Toc3887368"/>
      <w:bookmarkStart w:id="142" w:name="_Toc21425281"/>
      <w:r w:rsidRPr="00AD33E8">
        <w:t>Verksledningsbeslutet</w:t>
      </w:r>
      <w:bookmarkEnd w:id="140"/>
      <w:r w:rsidRPr="00AD33E8">
        <w:t xml:space="preserve"> och d</w:t>
      </w:r>
      <w:bookmarkStart w:id="143" w:name="_Toc522593255"/>
      <w:r w:rsidRPr="00AD33E8">
        <w:t>en nya verksförordningen</w:t>
      </w:r>
      <w:bookmarkEnd w:id="141"/>
      <w:bookmarkEnd w:id="142"/>
      <w:bookmarkEnd w:id="143"/>
    </w:p>
    <w:p w:rsidR="007B7A21" w:rsidRPr="00AD33E8" w:rsidRDefault="007B7A21">
      <w:r w:rsidRPr="00AD33E8">
        <w:t>I det s.k. verksledningsbeslutet (prop. 1986/87:99, KU 29, rskr. 226) antas den nya modellen för styrningen. Regeringen sammanfattade därvid sin syn på behoven av effektivare styrning av myndigheterna. De brister som ansågs finnas, och som uppmärksammats av Förvaltningsutredningen och Verksle</w:t>
      </w:r>
      <w:r w:rsidRPr="00AD33E8">
        <w:t>d</w:t>
      </w:r>
      <w:r w:rsidRPr="00AD33E8">
        <w:t>ningskommittén, kunde hänföras till den offentliga sektorns tillväxt, i stru</w:t>
      </w:r>
      <w:r w:rsidRPr="00AD33E8">
        <w:t>k</w:t>
      </w:r>
      <w:r w:rsidRPr="00AD33E8">
        <w:t>turella brister samt oklara roller för olika förvaltningsnivåer samt en inte ändamålsenlig ansvars- och befogenhetsfördelning mellan olika beslutande instanser.</w:t>
      </w:r>
    </w:p>
    <w:p w:rsidR="007B7A21" w:rsidRPr="00AD33E8" w:rsidRDefault="007B7A21">
      <w:pPr>
        <w:pStyle w:val="Normaltindrag"/>
      </w:pPr>
      <w:r w:rsidRPr="00AD33E8">
        <w:t>Enligt beslutet skulle riksdagens styrning av myndigheterna avse verksa</w:t>
      </w:r>
      <w:r w:rsidRPr="00AD33E8">
        <w:t>m</w:t>
      </w:r>
      <w:r w:rsidRPr="00AD33E8">
        <w:t>hetens huvudinriktning, medan myndigheterna skulle få ökad frihet att u</w:t>
      </w:r>
      <w:r w:rsidRPr="00AD33E8">
        <w:t>t</w:t>
      </w:r>
      <w:r w:rsidRPr="00AD33E8">
        <w:t>forma verksamheten. Samtidigt skulle regeringen ställa preciserade krav på myndigheterna. Myndigheterna skulle ges större frihet vid verksamhetens utövande. Myndigheterna gavs en vidgad rätt att utforma sin organisation. Samtidigt skulle deras resultat mer systematiskt följas upp och analyseras. Särskild uppmärksamhet skulle ägnas produktivitetsfrågor. Ansvarsfrågorna skulle göras tydligare. Det gällde bl.a. för hur arbetsgivarrollen u</w:t>
      </w:r>
      <w:r w:rsidRPr="00AD33E8">
        <w:t xml:space="preserve">tövades. </w:t>
      </w:r>
    </w:p>
    <w:p w:rsidR="007B7A21" w:rsidRPr="00AD33E8" w:rsidRDefault="007B7A21">
      <w:pPr>
        <w:pStyle w:val="Normaltindrag"/>
      </w:pPr>
      <w:r w:rsidRPr="00AD33E8">
        <w:t>Med verksledningsbeslutet konfirmeras förvaltningsutredningens bedö</w:t>
      </w:r>
      <w:r w:rsidRPr="00AD33E8">
        <w:t>m</w:t>
      </w:r>
      <w:r w:rsidRPr="00AD33E8">
        <w:t>ning av regeringens rätt att styra förvaltningen även genom s.k. informella kontakter. Regeringen ansåg i propositionen att dessa borde öka. Ett viktigt skäl därtill var de förändringar av den statliga förvaltningen som skulle genomföras. Inte minst det fortlöpande behovet av rationalisering, omprior</w:t>
      </w:r>
      <w:r w:rsidRPr="00AD33E8">
        <w:t>i</w:t>
      </w:r>
      <w:r w:rsidRPr="00AD33E8">
        <w:t>tering och omprövning medförde att kontakterna på informell bas, mellan regering och myndigheter, behövde hållas levande och vidareutvecklas. De informella kon</w:t>
      </w:r>
      <w:r w:rsidRPr="00AD33E8">
        <w:softHyphen/>
        <w:t>takterna var även betydelsefulla för att ge reger</w:t>
      </w:r>
      <w:r w:rsidRPr="00AD33E8">
        <w:t xml:space="preserve">ingen kunskap och synpunkter om och på myndigheternas verksamhet. </w:t>
      </w:r>
    </w:p>
    <w:p w:rsidR="007B7A21" w:rsidRPr="00AD33E8" w:rsidRDefault="007B7A21">
      <w:pPr>
        <w:pStyle w:val="Normaltindrag"/>
      </w:pPr>
      <w:r w:rsidRPr="00AD33E8">
        <w:t>Det är också med verksledningsbeslutet som resultatstyrningen introduc</w:t>
      </w:r>
      <w:r w:rsidRPr="00AD33E8">
        <w:t>e</w:t>
      </w:r>
      <w:r w:rsidRPr="00AD33E8">
        <w:t>ras som begrepp i statsförvaltningen. Riksdagen och regeringen skulle tydl</w:t>
      </w:r>
      <w:r w:rsidRPr="00AD33E8">
        <w:t>i</w:t>
      </w:r>
      <w:r w:rsidRPr="00AD33E8">
        <w:t>gare än tidigare ange vad som förväntades av myndigheterna. Preciseringen skulle ske med fokus på resultat. Detaljregleringen skulle minska.</w:t>
      </w:r>
    </w:p>
    <w:p w:rsidR="007B7A21" w:rsidRPr="00AD33E8" w:rsidRDefault="007B7A21">
      <w:pPr>
        <w:pStyle w:val="Normaltindrag"/>
      </w:pPr>
      <w:r w:rsidRPr="00AD33E8">
        <w:t>En sammanfattning av verksledningsbeslutet är att regeringens styrning över myndigheterna slogs fast. Det är regeringen som ska vara verkens le</w:t>
      </w:r>
      <w:r w:rsidRPr="00AD33E8">
        <w:t>d</w:t>
      </w:r>
      <w:r w:rsidRPr="00AD33E8">
        <w:t>ning, ledningsformerna kan dock variera. I propositionen behandlas myndi</w:t>
      </w:r>
      <w:r w:rsidRPr="00AD33E8">
        <w:t>g</w:t>
      </w:r>
      <w:r w:rsidRPr="00AD33E8">
        <w:t>heterna som kollektiv. Det är myndigheten som ansvarar för verksamheten och dess resultat. När det gäller verksledningarna behandlas i propositionen form-, rekryterings- och utvec</w:t>
      </w:r>
      <w:r w:rsidRPr="00AD33E8">
        <w:t>k</w:t>
      </w:r>
      <w:r w:rsidRPr="00AD33E8">
        <w:t xml:space="preserve">lingsfrågor.  </w:t>
      </w:r>
    </w:p>
    <w:p w:rsidR="007B7A21" w:rsidRPr="00AD33E8" w:rsidRDefault="007B7A21">
      <w:pPr>
        <w:pStyle w:val="Normaltindrag"/>
      </w:pPr>
      <w:r w:rsidRPr="00AD33E8">
        <w:t xml:space="preserve">Den nya verksförordningen innehöll en hel del förändringar i förhållande till verksstadgan. </w:t>
      </w:r>
    </w:p>
    <w:p w:rsidR="007B7A21" w:rsidRPr="00AD33E8" w:rsidRDefault="007B7A21">
      <w:pPr>
        <w:pStyle w:val="Normaltindrag"/>
      </w:pPr>
      <w:r w:rsidRPr="00AD33E8">
        <w:t>För det första ändrades myndighetens ställning. Delegeringen förtydlig</w:t>
      </w:r>
      <w:r w:rsidRPr="00AD33E8">
        <w:t>a</w:t>
      </w:r>
      <w:r w:rsidRPr="00AD33E8">
        <w:t>des. Rollen som verkställande subjekt betonades. Verksstadgan hade inle</w:t>
      </w:r>
      <w:r w:rsidRPr="00AD33E8">
        <w:t>d</w:t>
      </w:r>
      <w:r w:rsidRPr="00AD33E8">
        <w:t>ningsvis en föreskrift om myndighetens uppgift. Denna var av stabskaraktär. Myndigheten skull inom sitt verksamhetsområde ”med uppmärksamhet följa förhållandena” inom landet. Myndigheten skulle vidtaga eller hos regeringen föreslå de författningsändringar eller andra åtgärder som ansågs påkallade eller i övrigt lämpliga. Denna bestämmelse försvann i den nya förordningen. I stället infördes en bestämmelse som, inom ett annat område, mar</w:t>
      </w:r>
      <w:r w:rsidRPr="00AD33E8">
        <w:t>kerade myndighetens självständighet. Inom sitt verksamhetsområde ska myndigh</w:t>
      </w:r>
      <w:r w:rsidRPr="00AD33E8">
        <w:t>e</w:t>
      </w:r>
      <w:r w:rsidRPr="00AD33E8">
        <w:t>ten företräda staten vid domstol.</w:t>
      </w:r>
    </w:p>
    <w:p w:rsidR="007B7A21" w:rsidRPr="00AD33E8" w:rsidRDefault="007B7A21">
      <w:pPr>
        <w:pStyle w:val="Normaltindrag"/>
      </w:pPr>
      <w:r w:rsidRPr="00AD33E8">
        <w:t>En andra ändring var att myndighetschefens ställning marker</w:t>
      </w:r>
      <w:r w:rsidRPr="00AD33E8">
        <w:t>a</w:t>
      </w:r>
      <w:r w:rsidRPr="00AD33E8">
        <w:t>des. I verks</w:t>
      </w:r>
      <w:r w:rsidRPr="00AD33E8">
        <w:softHyphen/>
        <w:t>stadgan var det myndighetens verksamhet som reglerades. I verksförordnin</w:t>
      </w:r>
      <w:r w:rsidRPr="00AD33E8">
        <w:t>g</w:t>
      </w:r>
      <w:r w:rsidRPr="00AD33E8">
        <w:t>en anges chefens ansvar och ställning: ”Myndigheten leds av en chef. (...) Myndighetens chef ansvarar för myndighetens verksamhet.” I verksstadgan hade chefen en mer stödjande roll och ansvaret var delat: ”För fullgörandet av myndighetens uppgifter är dess chef ansvarig i första hand. Han skall tillse att personalen fullgör sina åligganden med nit och noggran</w:t>
      </w:r>
      <w:r w:rsidRPr="00AD33E8">
        <w:t>n</w:t>
      </w:r>
      <w:r w:rsidRPr="00AD33E8">
        <w:t xml:space="preserve">het.” </w:t>
      </w:r>
    </w:p>
    <w:p w:rsidR="007B7A21" w:rsidRPr="00AD33E8" w:rsidRDefault="007B7A21">
      <w:pPr>
        <w:pStyle w:val="Normaltindrag"/>
      </w:pPr>
      <w:r w:rsidRPr="00AD33E8">
        <w:t xml:space="preserve">En tredje ändring avsåg benämningen av de kriterier som </w:t>
      </w:r>
      <w:r w:rsidRPr="00AD33E8">
        <w:t>skulle styra ver</w:t>
      </w:r>
      <w:r w:rsidRPr="00AD33E8">
        <w:t>k</w:t>
      </w:r>
      <w:r w:rsidRPr="00AD33E8">
        <w:t>samheten. Med verksstadgans ord skulle verksamheten bedrivas så enkelt, snabbt och ekonomiskt som var möjligt utan att säkerheten eftersattes. Sä</w:t>
      </w:r>
      <w:r w:rsidRPr="00AD33E8">
        <w:t>r</w:t>
      </w:r>
      <w:r w:rsidRPr="00AD33E8">
        <w:t>skild uppmärksamhet skulle ägnas åt arbetets rationalisering. I verksföror</w:t>
      </w:r>
      <w:r w:rsidRPr="00AD33E8">
        <w:t>d</w:t>
      </w:r>
      <w:r w:rsidRPr="00AD33E8">
        <w:t>ningen är motsvarande text på en mer allmän nivå. Myndighetens chef ska se till att verksamheten bedrivs författningsenligt och effektivt. Även här har su</w:t>
      </w:r>
      <w:r w:rsidRPr="00AD33E8">
        <w:t>b</w:t>
      </w:r>
      <w:r w:rsidRPr="00AD33E8">
        <w:t xml:space="preserve">jektet ändrats; från verksstadgans </w:t>
      </w:r>
      <w:r w:rsidRPr="00AD33E8">
        <w:rPr>
          <w:i/>
        </w:rPr>
        <w:t>verksamhet</w:t>
      </w:r>
      <w:r w:rsidRPr="00AD33E8">
        <w:t xml:space="preserve"> till förordningens </w:t>
      </w:r>
      <w:r w:rsidRPr="00AD33E8">
        <w:rPr>
          <w:i/>
        </w:rPr>
        <w:t>chef</w:t>
      </w:r>
      <w:r w:rsidRPr="00AD33E8">
        <w:t>.</w:t>
      </w:r>
    </w:p>
    <w:p w:rsidR="007B7A21" w:rsidRPr="00AD33E8" w:rsidRDefault="007B7A21">
      <w:pPr>
        <w:pStyle w:val="Normaltindrag"/>
      </w:pPr>
      <w:r w:rsidRPr="00AD33E8">
        <w:t>För det fjärde tillkom myndighetschefens arbetsg</w:t>
      </w:r>
      <w:r w:rsidRPr="00AD33E8">
        <w:t>ivaransvar i verksföror</w:t>
      </w:r>
      <w:r w:rsidRPr="00AD33E8">
        <w:t>d</w:t>
      </w:r>
      <w:r w:rsidRPr="00AD33E8">
        <w:t>ningen.</w:t>
      </w:r>
    </w:p>
    <w:p w:rsidR="007B7A21" w:rsidRPr="00AD33E8" w:rsidRDefault="007B7A21">
      <w:pPr>
        <w:pStyle w:val="Normaltindrag"/>
      </w:pPr>
      <w:r w:rsidRPr="00AD33E8">
        <w:t>För det femte, myndighetschefens arbetsuppgifter avreglerades i flera a</w:t>
      </w:r>
      <w:r w:rsidRPr="00AD33E8">
        <w:t>v</w:t>
      </w:r>
      <w:r w:rsidRPr="00AD33E8">
        <w:t>seenden. Ett antal konkreta åtaganden försvann. Bland annat försvann en bestämmelse i verksstadgan om att chefen skulle avsätta tid för ”mottagning av allmä</w:t>
      </w:r>
      <w:r w:rsidRPr="00AD33E8">
        <w:t>n</w:t>
      </w:r>
      <w:r w:rsidRPr="00AD33E8">
        <w:t>heten”.</w:t>
      </w:r>
    </w:p>
    <w:p w:rsidR="007B7A21" w:rsidRPr="00AD33E8" w:rsidRDefault="007B7A21">
      <w:pPr>
        <w:pStyle w:val="Rubrik3"/>
      </w:pPr>
      <w:bookmarkStart w:id="144" w:name="_Toc522593256"/>
      <w:bookmarkStart w:id="145" w:name="_Toc3887369"/>
      <w:bookmarkStart w:id="146" w:name="_Toc21425282"/>
      <w:r w:rsidRPr="00AD33E8">
        <w:t>Personalfrågorna och resultatstyrningen</w:t>
      </w:r>
      <w:bookmarkEnd w:id="144"/>
      <w:bookmarkEnd w:id="145"/>
      <w:bookmarkEnd w:id="146"/>
    </w:p>
    <w:p w:rsidR="007B7A21" w:rsidRPr="00AD33E8" w:rsidRDefault="007B7A21">
      <w:r w:rsidRPr="00AD33E8">
        <w:t>Personalpolitikens utformning i det inledande förändringsarbetet i skiftet mellan 1980- och 90-talet samordnades med utvecklingen av ny och effekt</w:t>
      </w:r>
      <w:r w:rsidRPr="00AD33E8">
        <w:t>i</w:t>
      </w:r>
      <w:r w:rsidRPr="00AD33E8">
        <w:t>vare budgetprocess. Avregleringen av personalfrågorna innefattades i en förändrad styrfilosofi hos statsmakterna. Avsikten var dock inte en försvagad styrning, utan en effektivare. För frågor som avsåg t.ex. myndigheternas organisation och personal eller ärendenas handläggning innebar det en min</w:t>
      </w:r>
      <w:r w:rsidRPr="00AD33E8">
        <w:t>s</w:t>
      </w:r>
      <w:r w:rsidRPr="00AD33E8">
        <w:t>kad direkt styrning. Regeringen skulle styra mer i efterhand. Med utgång</w:t>
      </w:r>
      <w:r w:rsidRPr="00AD33E8">
        <w:t>s</w:t>
      </w:r>
      <w:r w:rsidRPr="00AD33E8">
        <w:t>punkt i en ändamålsenlig redovisning av resultat, som orienterades mot avv</w:t>
      </w:r>
      <w:r w:rsidRPr="00AD33E8">
        <w:t>i</w:t>
      </w:r>
      <w:r w:rsidRPr="00AD33E8">
        <w:t>kelser, skulle regeringen verka genom att reagera. Problem eller i</w:t>
      </w:r>
      <w:r w:rsidRPr="00AD33E8">
        <w:t>cke up</w:t>
      </w:r>
      <w:r w:rsidRPr="00AD33E8">
        <w:t>p</w:t>
      </w:r>
      <w:r w:rsidRPr="00AD33E8">
        <w:t>nådda mål skulle fokuseras. Styrstrategien skulle, tillämpad och genomförd, möjliggöra en rationalisering och koncentration i statsmakternas ledning av förvaltningen. Det var bl.a. genom uppföljning i efterhand av vad respektive verksamhet åsta</w:t>
      </w:r>
      <w:r w:rsidRPr="00AD33E8">
        <w:t>d</w:t>
      </w:r>
      <w:r w:rsidRPr="00AD33E8">
        <w:t xml:space="preserve">kommit som styrningen skulle ske. </w:t>
      </w:r>
    </w:p>
    <w:p w:rsidR="007B7A21" w:rsidRPr="00AD33E8" w:rsidRDefault="007B7A21">
      <w:pPr>
        <w:pStyle w:val="Normaltindrag"/>
      </w:pPr>
      <w:r w:rsidRPr="00AD33E8">
        <w:t>Modellen för detta kom att kallas resultatorienterad styrning och var en u</w:t>
      </w:r>
      <w:r w:rsidRPr="00AD33E8">
        <w:t>t</w:t>
      </w:r>
      <w:r w:rsidRPr="00AD33E8">
        <w:t>veckling av den målstyrning som lanserats med programbudgeteringen i slutet av 1960-talet. Resultatstyrningen beskrevs i kompletteringspropositi</w:t>
      </w:r>
      <w:r w:rsidRPr="00AD33E8">
        <w:t>o</w:t>
      </w:r>
      <w:r w:rsidRPr="00AD33E8">
        <w:t>nen från 1988 (prop. 1987/88:150, bilaga 1) som en utveckling från den ursprungliga målstyrningen. En grundtanke i programbudgeteringen var att konkreta mål som kunde följas upp skulle härledas från de övergripande politiska målen. Eller omvänt; de politiska målen skulle steg för steg, nivå för nivå i en hierarki brytas ned så att de blev möjliga att såväl operati</w:t>
      </w:r>
      <w:r w:rsidRPr="00AD33E8">
        <w:t>onal</w:t>
      </w:r>
      <w:r w:rsidRPr="00AD33E8">
        <w:t>i</w:t>
      </w:r>
      <w:r w:rsidRPr="00AD33E8">
        <w:t>sera som mäta och följa upp. Erfarenheterna från försöken med programbu</w:t>
      </w:r>
      <w:r w:rsidRPr="00AD33E8">
        <w:t>d</w:t>
      </w:r>
      <w:r w:rsidRPr="00AD33E8">
        <w:t>getering hade emellertid visat att denna hantering innebar svårigheter av olika slag. Politiska mål visade sig kunna vara motstridiga och därmed svåra att mekaniskt bryta ned. Detta var för många politikområden och verksa</w:t>
      </w:r>
      <w:r w:rsidRPr="00AD33E8">
        <w:t>m</w:t>
      </w:r>
      <w:r w:rsidRPr="00AD33E8">
        <w:t>heter oundvikligt och i några fall snarast önskvärt. Övergripande mål kan t.ex. uttrycka värderingar och långsiktiga färdriktningar som ska tillämpas strategiskt och inte omedelbart omsättas i mätbara, tid</w:t>
      </w:r>
      <w:r w:rsidRPr="00AD33E8">
        <w:t>s</w:t>
      </w:r>
      <w:r w:rsidRPr="00AD33E8">
        <w:t>anpassa</w:t>
      </w:r>
      <w:r w:rsidRPr="00AD33E8">
        <w:t>de etapper.</w:t>
      </w:r>
    </w:p>
    <w:p w:rsidR="007B7A21" w:rsidRPr="00AD33E8" w:rsidRDefault="007B7A21">
      <w:pPr>
        <w:pStyle w:val="Normaltindrag"/>
      </w:pPr>
      <w:r w:rsidRPr="00AD33E8">
        <w:t>Med resultatstyrningen, så som den skisserades i kompletteringspropos</w:t>
      </w:r>
      <w:r w:rsidRPr="00AD33E8">
        <w:t>i</w:t>
      </w:r>
      <w:r w:rsidRPr="00AD33E8">
        <w:t>tionen 1988, skulle exercisen med mekanisk nedbrytning av mål tonas ned. I stället skulle utvecklingen av verksamhetens resultat följas. Kopplingen till målen skulle ske i ett andra steg. Detta steg skulle vara en s.k. resultatanalys där myndighetens prestationer och effekter bedömdes i förhållande till m</w:t>
      </w:r>
      <w:r w:rsidRPr="00AD33E8">
        <w:t>å</w:t>
      </w:r>
      <w:r w:rsidRPr="00AD33E8">
        <w:t>len. I analysen skulle både externa och interna förutsättningar och restrikti</w:t>
      </w:r>
      <w:r w:rsidRPr="00AD33E8">
        <w:t>o</w:t>
      </w:r>
      <w:r w:rsidRPr="00AD33E8">
        <w:t>ner vägas in. Därefter skulle resultatet i förhållande till övergripande mål bedömas. Operativa mål för nästa period skulle fo</w:t>
      </w:r>
      <w:r w:rsidRPr="00AD33E8">
        <w:t>rmuleras i termer av resu</w:t>
      </w:r>
      <w:r w:rsidRPr="00AD33E8">
        <w:t>l</w:t>
      </w:r>
      <w:r w:rsidRPr="00AD33E8">
        <w:t>tatförbättring snarare än i grad av uppfyllelse av övergripande mål. Det skulle därmed finnas ett logiskt samband mellan mål, resultat och uppföl</w:t>
      </w:r>
      <w:r w:rsidRPr="00AD33E8">
        <w:t>j</w:t>
      </w:r>
      <w:r w:rsidRPr="00AD33E8">
        <w:t>ning. Det var genom uppföljningen av reella resultat som användbara mål kunde formul</w:t>
      </w:r>
      <w:r w:rsidRPr="00AD33E8">
        <w:t>e</w:t>
      </w:r>
      <w:r w:rsidRPr="00AD33E8">
        <w:t>ras.</w:t>
      </w:r>
    </w:p>
    <w:p w:rsidR="007B7A21" w:rsidRPr="00AD33E8" w:rsidRDefault="007B7A21">
      <w:pPr>
        <w:pStyle w:val="Rubrik4-Utannumrering"/>
      </w:pPr>
      <w:bookmarkStart w:id="147" w:name="_Toc21425283"/>
      <w:r w:rsidRPr="00AD33E8">
        <w:t>Personalfrågorna i 1989 års kompletteringsproposition</w:t>
      </w:r>
      <w:bookmarkEnd w:id="147"/>
    </w:p>
    <w:p w:rsidR="007B7A21" w:rsidRPr="00AD33E8" w:rsidRDefault="007B7A21">
      <w:r w:rsidRPr="00AD33E8">
        <w:t>Oavsett hur mål- och resultatstyrningen i praktiken kom att utformas fick den konsekvenser för den statliga personalen och på personalpolitiken. Tjänst</w:t>
      </w:r>
      <w:r w:rsidRPr="00AD33E8">
        <w:t>e</w:t>
      </w:r>
      <w:r w:rsidRPr="00AD33E8">
        <w:t>utövningen skulle mätas, registreras och bedömas när verksamhetens prest</w:t>
      </w:r>
      <w:r w:rsidRPr="00AD33E8">
        <w:t>a</w:t>
      </w:r>
      <w:r w:rsidRPr="00AD33E8">
        <w:t>tioner följdes upp. Behov av kompetensutveckling skulle fokuseras. Arbet</w:t>
      </w:r>
      <w:r w:rsidRPr="00AD33E8">
        <w:t>s</w:t>
      </w:r>
      <w:r w:rsidRPr="00AD33E8">
        <w:t xml:space="preserve">uppgifterna utökades därmed, marginellt eller i större omfattning. Eventuellt kopplades uppföljningen av medarbetarnas insatser till löneutvecklingen. Den individanpassade lönesättningen avsåg just detta. </w:t>
      </w:r>
    </w:p>
    <w:p w:rsidR="007B7A21" w:rsidRPr="00AD33E8" w:rsidRDefault="007B7A21">
      <w:pPr>
        <w:pStyle w:val="Normaltindrag"/>
      </w:pPr>
      <w:r w:rsidRPr="00AD33E8">
        <w:t>I kompletteringspropositionen 1989 (prop. 1989/89:150) betonades pers</w:t>
      </w:r>
      <w:r w:rsidRPr="00AD33E8">
        <w:t>o</w:t>
      </w:r>
      <w:r w:rsidRPr="00AD33E8">
        <w:t>nalfrågornas vikt vid förnyelsen av den statliga verksamheten. Utgång</w:t>
      </w:r>
      <w:r w:rsidRPr="00AD33E8">
        <w:t>s</w:t>
      </w:r>
      <w:r w:rsidRPr="00AD33E8">
        <w:t>punkten var ansvaret för resursernas användning. Ett dåligt resursutnyttjande riskerade att medföra ett minskat förtroende hos medborgarna. Därefter gjordes en koppling till arbetsuppgifternas utformning och genomförande. Regeringen utvecklade här det synsätt som Daniel Tharschys givit i Verk</w:t>
      </w:r>
      <w:r w:rsidRPr="00AD33E8">
        <w:t>s</w:t>
      </w:r>
      <w:r w:rsidRPr="00AD33E8">
        <w:t>ledningskommitténs arbete. Decentralisering och delegering behövdes för att de direkt verksamma på ett område vanligen är de bäst skickade att avgö</w:t>
      </w:r>
      <w:r w:rsidRPr="00AD33E8">
        <w:t>ra hur uppgifterna ska lösas. I stora organisationer är det svårt, skrev regerin</w:t>
      </w:r>
      <w:r w:rsidRPr="00AD33E8">
        <w:t>g</w:t>
      </w:r>
      <w:r w:rsidRPr="00AD33E8">
        <w:t>en, att få till stånd flexibilitet och anpassning till medborgarnas krav. Det är den personal som direkt möter medborgarna som ser möjligheterna att fö</w:t>
      </w:r>
      <w:r w:rsidRPr="00AD33E8">
        <w:t>r</w:t>
      </w:r>
      <w:r w:rsidRPr="00AD33E8">
        <w:t>bättra den löpande verksamheten. Delegeringen av ansvar och befogenheter skulle göra att personalens kompetens och initiativförmåga bättre skulle tas till vara.</w:t>
      </w:r>
    </w:p>
    <w:p w:rsidR="007B7A21" w:rsidRPr="00AD33E8" w:rsidRDefault="007B7A21">
      <w:pPr>
        <w:pStyle w:val="Normaltindrag"/>
      </w:pPr>
      <w:r w:rsidRPr="00AD33E8">
        <w:t>Personalpolitiken är, fortsatte regeringen, av stor betydelse i arbetet med att förnya den offentliga sektorn. Utveckl</w:t>
      </w:r>
      <w:r w:rsidRPr="00AD33E8">
        <w:t>ing och goda arbetsresultat måste uppmuntras. Personalpolitiken var också viktig för möjligheterna att rekryt</w:t>
      </w:r>
      <w:r w:rsidRPr="00AD33E8">
        <w:t>e</w:t>
      </w:r>
      <w:r w:rsidRPr="00AD33E8">
        <w:t>ra och behålla personal. Arbetsuppgifterna inom offentlig sektor, även staten, är i stor utsträckning kvalificerade. För framtiden skulle konkurrensen om välu</w:t>
      </w:r>
      <w:r w:rsidRPr="00AD33E8">
        <w:t>t</w:t>
      </w:r>
      <w:r w:rsidRPr="00AD33E8">
        <w:t>bildad personal   öka.</w:t>
      </w:r>
    </w:p>
    <w:p w:rsidR="007B7A21" w:rsidRPr="00AD33E8" w:rsidRDefault="007B7A21">
      <w:pPr>
        <w:pStyle w:val="Rubrik2"/>
      </w:pPr>
      <w:bookmarkStart w:id="148" w:name="_Toc522593257"/>
      <w:bookmarkStart w:id="149" w:name="_Toc3887371"/>
      <w:bookmarkStart w:id="150" w:name="_Toc21425284"/>
      <w:r w:rsidRPr="00AD33E8">
        <w:t>Personalreformer under 199</w:t>
      </w:r>
      <w:bookmarkEnd w:id="148"/>
      <w:r w:rsidRPr="00AD33E8">
        <w:t>0-talet</w:t>
      </w:r>
      <w:bookmarkEnd w:id="149"/>
      <w:bookmarkEnd w:id="150"/>
    </w:p>
    <w:p w:rsidR="007B7A21" w:rsidRPr="00AD33E8" w:rsidRDefault="007B7A21">
      <w:r w:rsidRPr="00AD33E8">
        <w:t>År 1994 reformerades personalpolitiken ytterligare. Inga stora korrigeringar genomfördes. Utvecklingen mot avreglering och decentralisering fortsatte. Ambitionerna att skapa förhållanden som liknade dem på den privata sidan markerades.</w:t>
      </w:r>
    </w:p>
    <w:p w:rsidR="007B7A21" w:rsidRPr="00AD33E8" w:rsidRDefault="007B7A21">
      <w:pPr>
        <w:pStyle w:val="Rubrik3"/>
      </w:pPr>
      <w:bookmarkStart w:id="151" w:name="_Toc522593258"/>
      <w:bookmarkStart w:id="152" w:name="_Toc3887372"/>
      <w:bookmarkStart w:id="153" w:name="_Toc21425285"/>
      <w:r w:rsidRPr="00AD33E8">
        <w:t>Det nya arbetsgivarverket</w:t>
      </w:r>
      <w:bookmarkEnd w:id="151"/>
      <w:bookmarkEnd w:id="152"/>
      <w:bookmarkEnd w:id="153"/>
    </w:p>
    <w:p w:rsidR="007B7A21" w:rsidRPr="00AD33E8" w:rsidRDefault="007B7A21">
      <w:r w:rsidRPr="00AD33E8">
        <w:t>Arbetsgivarverket (AgV) fick sin nuvarande form år 1994. Då ersattes den tidigare myndigheten Statens Arbetsgivarverk (SAV). Verket har ett tudelat ansvar. Det ska dels vara förvaltnings</w:t>
      </w:r>
      <w:r w:rsidRPr="00AD33E8">
        <w:softHyphen/>
        <w:t>myndig</w:t>
      </w:r>
      <w:r w:rsidRPr="00AD33E8">
        <w:softHyphen/>
        <w:t>het för statliga arbetsgivar</w:t>
      </w:r>
      <w:r w:rsidRPr="00AD33E8">
        <w:softHyphen/>
        <w:t>frågor, dels vara arbetsgivarorganisation för de statliga myndig</w:t>
      </w:r>
      <w:r w:rsidRPr="00AD33E8">
        <w:softHyphen/>
        <w:t>he</w:t>
      </w:r>
      <w:r w:rsidRPr="00AD33E8">
        <w:softHyphen/>
        <w:t xml:space="preserve">terna och vissa andra </w:t>
      </w:r>
      <w:r w:rsidRPr="00AD33E8">
        <w:softHyphen/>
        <w:t xml:space="preserve"> med anknytning till det statliga området. Arbetsgivar</w:t>
      </w:r>
      <w:r w:rsidRPr="00AD33E8">
        <w:softHyphen/>
        <w:t>verket har därmed getts en för statsförvaltningen unik organisatorisk struktur. Avsikten är att det ska vara uppbyggt efter samma modell som a</w:t>
      </w:r>
      <w:r w:rsidRPr="00AD33E8">
        <w:t>r</w:t>
      </w:r>
      <w:r w:rsidRPr="00AD33E8">
        <w:t>betsgivar</w:t>
      </w:r>
      <w:r w:rsidRPr="00AD33E8">
        <w:softHyphen/>
        <w:t>organi</w:t>
      </w:r>
      <w:r w:rsidRPr="00AD33E8">
        <w:softHyphen/>
        <w:t>sa</w:t>
      </w:r>
      <w:r w:rsidRPr="00AD33E8">
        <w:softHyphen/>
        <w:t>tioner i näringslivet. De statliga myndigheterna benämns i Arbetsgivar</w:t>
      </w:r>
      <w:r w:rsidRPr="00AD33E8">
        <w:softHyphen/>
        <w:t>ver</w:t>
      </w:r>
      <w:r w:rsidRPr="00AD33E8">
        <w:softHyphen/>
        <w:t>kets stadgar som medlemmar, även om medlemskapet är obligatoriskt. Det finns även medlemmar</w:t>
      </w:r>
      <w:r w:rsidRPr="00AD33E8">
        <w:t xml:space="preserve"> som frivilligt valt att ansluta sig. Vid utgången av år 1999 hade Arbetsgivarverket 277 medlemmar, varav 18 tillhörde kate</w:t>
      </w:r>
      <w:r w:rsidRPr="00AD33E8">
        <w:softHyphen/>
        <w:t>gorin icke-obliga</w:t>
      </w:r>
      <w:r w:rsidRPr="00AD33E8">
        <w:softHyphen/>
        <w:t>to</w:t>
      </w:r>
      <w:r w:rsidRPr="00AD33E8">
        <w:softHyphen/>
        <w:t>ri</w:t>
      </w:r>
      <w:r w:rsidRPr="00AD33E8">
        <w:softHyphen/>
        <w:t>ska. Bland de obligatoriska medlemmarna finns de all</w:t>
      </w:r>
      <w:r w:rsidRPr="00AD33E8">
        <w:softHyphen/>
        <w:t>män</w:t>
      </w:r>
      <w:r w:rsidRPr="00AD33E8">
        <w:softHyphen/>
        <w:t>na försäkring</w:t>
      </w:r>
      <w:r w:rsidRPr="00AD33E8">
        <w:t>s</w:t>
      </w:r>
      <w:r w:rsidRPr="00AD33E8">
        <w:t>kassorna.</w:t>
      </w:r>
    </w:p>
    <w:p w:rsidR="007B7A21" w:rsidRPr="00AD33E8" w:rsidRDefault="007B7A21">
      <w:pPr>
        <w:pStyle w:val="Normaltindrag"/>
      </w:pPr>
      <w:r w:rsidRPr="00AD33E8">
        <w:t>Arbetsgivarverket leds av ett kollegium med 80 företrädare för med</w:t>
      </w:r>
      <w:r w:rsidRPr="00AD33E8">
        <w:softHyphen/>
        <w:t>lem</w:t>
      </w:r>
      <w:r w:rsidRPr="00AD33E8">
        <w:softHyphen/>
        <w:t>marna, i regel myndighetscheferna. Kollegiet beslutar i övergripande och prin</w:t>
      </w:r>
      <w:r w:rsidRPr="00AD33E8">
        <w:softHyphen/>
        <w:t>cipiella frågor samt utser verkets styrelse, som leder verksamheten och anställer generaldirektören. Instruktionen för Arbetsgivarverket ger styrelsen en starkare ställning än vad som normalt gäller för andra myndigheter, bl.a. är verket undantaget från delar av verksförordningen med innebörden att det är styrelsen, inte generaldirektören, som formellt ansvarar för myndighetens verksamhet. Regeringen utövar sin utnämningsmakt</w:t>
      </w:r>
      <w:r w:rsidRPr="00AD33E8">
        <w:t xml:space="preserve"> genom att utse före</w:t>
      </w:r>
      <w:r w:rsidRPr="00AD33E8">
        <w:softHyphen/>
        <w:t>trä</w:t>
      </w:r>
      <w:r w:rsidRPr="00AD33E8">
        <w:softHyphen/>
        <w:t>darna i kollegiet, på förslag från de myndigheter m.fl. som är medlemmar. I instruktionen för Arbetsgivarve</w:t>
      </w:r>
      <w:r w:rsidRPr="00AD33E8">
        <w:t>r</w:t>
      </w:r>
      <w:r w:rsidRPr="00AD33E8">
        <w:t>ket anges att verket har fyra funktioner.</w:t>
      </w:r>
    </w:p>
    <w:p w:rsidR="007B7A21" w:rsidRPr="00AD33E8" w:rsidRDefault="007B7A21">
      <w:pPr>
        <w:pStyle w:val="Normaltindrag"/>
      </w:pPr>
      <w:r w:rsidRPr="00AD33E8">
        <w:t>För det första ska verket som arbetsgivarorganisation utveckla och sa</w:t>
      </w:r>
      <w:r w:rsidRPr="00AD33E8">
        <w:t>m</w:t>
      </w:r>
      <w:r w:rsidRPr="00AD33E8">
        <w:t>ordna den statliga arbetsgivarpolitiken. Detta sker i form av en s.k. arbetsg</w:t>
      </w:r>
      <w:r w:rsidRPr="00AD33E8">
        <w:t>i</w:t>
      </w:r>
      <w:r w:rsidRPr="00AD33E8">
        <w:t>varsamverkan, vars främsta inslag är sektors- och delegationsmöten mellan företrädare för medlemmarna. Vid dessa möten diskuteras erfarenheter i arbetsgivarpolitiska frågor. Syftet är att utveckla en samlad syn på arbetsg</w:t>
      </w:r>
      <w:r w:rsidRPr="00AD33E8">
        <w:t>i</w:t>
      </w:r>
      <w:r w:rsidRPr="00AD33E8">
        <w:t>varpolitiska frågor i den statliga sektorn och därmed balansera det geme</w:t>
      </w:r>
      <w:r w:rsidRPr="00AD33E8">
        <w:t>n</w:t>
      </w:r>
      <w:r w:rsidRPr="00AD33E8">
        <w:t>samma statliga arbetsgivarintresset med medlemmarnas behov av lokalt utformade lösningar. Arbetsgivarsamverkan omfattar också samråd med a</w:t>
      </w:r>
      <w:r w:rsidRPr="00AD33E8">
        <w:t>ndra arbetsgivarorganisationer, bl.a. inför avtalsrörelser, samt en omvärld</w:t>
      </w:r>
      <w:r w:rsidRPr="00AD33E8">
        <w:t>s</w:t>
      </w:r>
      <w:r w:rsidRPr="00AD33E8">
        <w:t xml:space="preserve">bevakning som en service till medlemmarna. </w:t>
      </w:r>
    </w:p>
    <w:p w:rsidR="007B7A21" w:rsidRPr="00AD33E8" w:rsidRDefault="007B7A21">
      <w:pPr>
        <w:pStyle w:val="Normaltindrag"/>
      </w:pPr>
      <w:r w:rsidRPr="00AD33E8">
        <w:t xml:space="preserve">För det andra är verket central förhandlingspart som på myndigheternas uppdrag bedriver förhandlingsarbete på den centrala nivån och företräder dem i arbetstvister. I denna roll ingår även att följa upp de lokala avtal som sluts av medlemmarna, att sammanställa statistik över bl.a. löneutveckling på det statliga området samt att företräda medlemmarna i partssammansatta organ. </w:t>
      </w:r>
    </w:p>
    <w:p w:rsidR="007B7A21" w:rsidRPr="00AD33E8" w:rsidRDefault="007B7A21">
      <w:pPr>
        <w:pStyle w:val="Normaltindrag"/>
      </w:pPr>
      <w:r w:rsidRPr="00AD33E8">
        <w:t>För det tredje ska verket svara för stöd och rådgivning till medlemmarna i deras arbetsgivarroll. Arbetsgivarverket bistår myn</w:t>
      </w:r>
      <w:r w:rsidRPr="00AD33E8">
        <w:softHyphen/>
        <w:t>digheter vid lokal fö</w:t>
      </w:r>
      <w:r w:rsidRPr="00AD33E8">
        <w:t>r</w:t>
      </w:r>
      <w:r w:rsidRPr="00AD33E8">
        <w:t>handling eller ger experthjälp vid tolkning av lagar och avtal. Vidare bedr</w:t>
      </w:r>
      <w:r w:rsidRPr="00AD33E8">
        <w:t>i</w:t>
      </w:r>
      <w:r w:rsidRPr="00AD33E8">
        <w:t>ver verket en viss utbildnings- och seminarie</w:t>
      </w:r>
      <w:r w:rsidRPr="00AD33E8">
        <w:softHyphen/>
        <w:t>verk</w:t>
      </w:r>
      <w:r w:rsidRPr="00AD33E8">
        <w:softHyphen/>
        <w:t xml:space="preserve">samhet. </w:t>
      </w:r>
    </w:p>
    <w:p w:rsidR="007B7A21" w:rsidRPr="00AD33E8" w:rsidRDefault="007B7A21">
      <w:pPr>
        <w:pStyle w:val="Normaltindrag"/>
      </w:pPr>
      <w:r w:rsidRPr="00AD33E8">
        <w:t xml:space="preserve">För det fjärde ska Arbetsgivarverket vara stabsmyndighet under regeringen och ”utföra sådana stabsuppgifter som regeringen kan komma att efterfråga”. Denna funktion begränsar sig i dag till att verket levererar viss statistik över antal statsanställda, löner m.m. till regeringen. </w:t>
      </w:r>
    </w:p>
    <w:p w:rsidR="007B7A21" w:rsidRPr="00AD33E8" w:rsidRDefault="007B7A21">
      <w:pPr>
        <w:pStyle w:val="Normaltindrag"/>
      </w:pPr>
      <w:r w:rsidRPr="00AD33E8">
        <w:t>Ett bidragande skäl för delegeringen av arbetsgivaransvaret till myndig</w:t>
      </w:r>
      <w:r w:rsidRPr="00AD33E8">
        <w:softHyphen/>
        <w:t>hets</w:t>
      </w:r>
      <w:r w:rsidRPr="00AD33E8">
        <w:softHyphen/>
        <w:t>nivån var att allmänt stärka arbetsgivarrollen i samhället. Regeringen såg det angeläget att alla arbetsgivare uppträdde enat och kraftfullt för att få till stånd en lönebildning förenlig med samhällsekonomisk balans. En sådan enig arbetsgivarfront skulle underlättas om staten företräddes av en från stats</w:t>
      </w:r>
      <w:r w:rsidRPr="00AD33E8">
        <w:softHyphen/>
        <w:t>makterna fristående arbetsgivarorganisation. Det övervägdes i detta sammanhang att gå än längre och utforma den statliga arbetsgivarfunktionen som en ideell förening. Förutom vissa grundlagsmässiga i</w:t>
      </w:r>
      <w:r w:rsidRPr="00AD33E8">
        <w:t>nvändningar var ett viktigt motiv för att behålla myndighetsformen att denna garanterar att ko</w:t>
      </w:r>
      <w:r w:rsidRPr="00AD33E8">
        <w:t>n</w:t>
      </w:r>
      <w:r w:rsidRPr="00AD33E8">
        <w:t xml:space="preserve">flikträtten för statsanställda hålls kvar på central nivå. </w:t>
      </w:r>
    </w:p>
    <w:p w:rsidR="007B7A21" w:rsidRPr="00AD33E8" w:rsidRDefault="007B7A21">
      <w:pPr>
        <w:pStyle w:val="Rubrik3"/>
      </w:pPr>
      <w:bookmarkStart w:id="154" w:name="_Toc522593259"/>
      <w:bookmarkStart w:id="155" w:name="_Toc3887373"/>
      <w:bookmarkStart w:id="156" w:name="_Toc21425286"/>
      <w:r w:rsidRPr="00AD33E8">
        <w:t>Tjänsteinstitutets avveckling</w:t>
      </w:r>
      <w:bookmarkEnd w:id="154"/>
      <w:bookmarkEnd w:id="155"/>
      <w:bookmarkEnd w:id="156"/>
    </w:p>
    <w:p w:rsidR="007B7A21" w:rsidRPr="00AD33E8" w:rsidRDefault="007B7A21">
      <w:r w:rsidRPr="00AD33E8">
        <w:t>Samma år, 1994, som Arbetsgivarverket fick sin nya konstruktion och roll ändrades också lagen om offentlig anställning (LOA). Bakgrunden var en utveckling som pågått under cirka 30 år. Från att före förhandlingsrättsrefor</w:t>
      </w:r>
      <w:r w:rsidRPr="00AD33E8">
        <w:softHyphen/>
        <w:t>men år 1965 vila på offentligrättslig grund ansågs det att även statliga a</w:t>
      </w:r>
      <w:r w:rsidRPr="00AD33E8">
        <w:t>n</w:t>
      </w:r>
      <w:r w:rsidRPr="00AD33E8">
        <w:t>ställningar grun</w:t>
      </w:r>
      <w:r w:rsidRPr="00AD33E8">
        <w:softHyphen/>
        <w:t>das på civilrätten i form av enskilda anställningsavtal mellan den anställde och dennes anställningsmyndighet. En del i lagändringen handlade om institutet ”tjänst” (prop. 1993/94:65, bet. 1993/94:AU16, rskr. 1993/94:257).</w:t>
      </w:r>
    </w:p>
    <w:p w:rsidR="007B7A21" w:rsidRPr="00AD33E8" w:rsidRDefault="007B7A21">
      <w:pPr>
        <w:pStyle w:val="Normaltindrag"/>
      </w:pPr>
      <w:r w:rsidRPr="00AD33E8">
        <w:t>Ordet tjänst togs bort ur LOA och ersattes med ordet anställ</w:t>
      </w:r>
      <w:r w:rsidRPr="00AD33E8">
        <w:softHyphen/>
        <w:t>ning. Som skäl för förslaget angavs att ordet tjänst inte används inom den allmänna arbet</w:t>
      </w:r>
      <w:r w:rsidRPr="00AD33E8">
        <w:t>s</w:t>
      </w:r>
      <w:r w:rsidRPr="00AD33E8">
        <w:t>rättens område i författningarna. Där talas det i stället normalt om anstäl</w:t>
      </w:r>
      <w:r w:rsidRPr="00AD33E8">
        <w:t>l</w:t>
      </w:r>
      <w:r w:rsidRPr="00AD33E8">
        <w:t>ning.  Tjänst var däremot sedan länge ett centralt begrepp på den statliga sidan. Ordet tjänst kunde enligt regeringen ha olika betydelser. Det fanns ingen definition av betydelsen vare sig i då gällande LOA eller dess förarb</w:t>
      </w:r>
      <w:r w:rsidRPr="00AD33E8">
        <w:t>e</w:t>
      </w:r>
      <w:r w:rsidRPr="00AD33E8">
        <w:t>ten.  I LOA avsågs ofta med ordet tjänst en anställning. Begreppet kunde också avse de arbetsuppgifter som en arbetstag</w:t>
      </w:r>
      <w:r w:rsidRPr="00AD33E8">
        <w:t>are hade anställts för att utf</w:t>
      </w:r>
      <w:r w:rsidRPr="00AD33E8">
        <w:t>ö</w:t>
      </w:r>
      <w:r w:rsidRPr="00AD33E8">
        <w:t>ra. Detta var det s.k. funktionella tjänstebegreppet. Efter en genomgång som gjorts av LOA blev regeringens bedömning att ordet tjänst i de flesta fall kunde bytas ut mot ordet anställning. Som exempel angavs att ett ent</w:t>
      </w:r>
      <w:r w:rsidRPr="00AD33E8">
        <w:softHyphen/>
        <w:t>ledigande enligt dåvarande 7 kap. 4 eller 5 § LOA i 15 kap. 1 § samma lag be</w:t>
      </w:r>
      <w:r w:rsidRPr="00AD33E8">
        <w:softHyphen/>
      </w:r>
      <w:r w:rsidRPr="00AD33E8">
        <w:softHyphen/>
        <w:t>teck</w:t>
      </w:r>
      <w:r w:rsidRPr="00AD33E8">
        <w:softHyphen/>
        <w:t>nades som en fråga om anställningens upphörande. I de två fallen hade orden tjänst och anställning samma betydelse.  Även i 11 kap. 5 § regerings</w:t>
      </w:r>
      <w:r w:rsidRPr="00AD33E8">
        <w:softHyphen/>
        <w:t xml:space="preserve">formen, där det föreskrivs när </w:t>
      </w:r>
      <w:r w:rsidRPr="00AD33E8">
        <w:t>en ordinarie domare får skiljas från tjänsten, kunde enligt regeringens bedömning i propositionen ordet tjänst bytas ut mot anställning. Ett exempel på fall där ordet tjänst är detsamma som arbets</w:t>
      </w:r>
      <w:r w:rsidRPr="00AD33E8">
        <w:softHyphen/>
        <w:t>upp</w:t>
      </w:r>
      <w:r w:rsidRPr="00AD33E8">
        <w:softHyphen/>
        <w:t>gifterna var 7 kap. 5 § i dåv</w:t>
      </w:r>
      <w:r w:rsidRPr="00AD33E8">
        <w:t>a</w:t>
      </w:r>
      <w:r w:rsidRPr="00AD33E8">
        <w:t>rande LOA där det föreskrivs att en full</w:t>
      </w:r>
      <w:r w:rsidRPr="00AD33E8">
        <w:softHyphen/>
        <w:t>maktshavare kunde entledigas, om han inte kunde fullgöra sin tjänst på ett tillfredsställande sätt. Ordet tjänst kunde också avse befattningen eller arbets</w:t>
      </w:r>
      <w:r w:rsidRPr="00AD33E8">
        <w:softHyphen/>
        <w:t>ta</w:t>
      </w:r>
      <w:r w:rsidRPr="00AD33E8">
        <w:softHyphen/>
        <w:t>garens plats i organisationen. Som exempel nämnde regeringen då</w:t>
      </w:r>
      <w:r w:rsidRPr="00AD33E8">
        <w:softHyphen/>
        <w:t>va</w:t>
      </w:r>
      <w:r w:rsidRPr="00AD33E8">
        <w:softHyphen/>
        <w:t>rande kap. 7 §</w:t>
      </w:r>
      <w:r w:rsidRPr="00AD33E8">
        <w:t xml:space="preserve"> LOA om försättande i disponibilitet. En arbetstagare som för</w:t>
      </w:r>
      <w:r w:rsidRPr="00AD33E8">
        <w:softHyphen/>
        <w:t>sätts i disponibilitet skiljs från sina arbetsup</w:t>
      </w:r>
      <w:r w:rsidRPr="00AD33E8">
        <w:t>p</w:t>
      </w:r>
      <w:r w:rsidRPr="00AD33E8">
        <w:t>gifter men inte från sin an</w:t>
      </w:r>
      <w:r w:rsidRPr="00AD33E8">
        <w:softHyphen/>
        <w:t>ställ</w:t>
      </w:r>
      <w:r w:rsidRPr="00AD33E8">
        <w:softHyphen/>
        <w:t xml:space="preserve">ning. </w:t>
      </w:r>
    </w:p>
    <w:p w:rsidR="007B7A21" w:rsidRPr="00AD33E8" w:rsidRDefault="007B7A21">
      <w:pPr>
        <w:pStyle w:val="Normaltindrag"/>
      </w:pPr>
      <w:r w:rsidRPr="00AD33E8">
        <w:t>Det stod enligt regeringen klart att innebörden av ordet tjänst hade förän</w:t>
      </w:r>
      <w:r w:rsidRPr="00AD33E8">
        <w:t>d</w:t>
      </w:r>
      <w:r w:rsidRPr="00AD33E8">
        <w:t>rats allteftersom regleringen av det statliga anställningsförhållandet hade ändrats. Den statliga anställningen ansågs vid tiden för regeringens för</w:t>
      </w:r>
      <w:r w:rsidRPr="00AD33E8">
        <w:softHyphen/>
        <w:t>slag i likhet med den privata i väsentliga delar grunda sig på anställnings</w:t>
      </w:r>
      <w:r w:rsidRPr="00AD33E8">
        <w:softHyphen/>
        <w:t>avtalet. Den s.k. LOA-utredningen (SOU 1992:60) hade efter sin analys be</w:t>
      </w:r>
      <w:r w:rsidRPr="00AD33E8">
        <w:softHyphen/>
        <w:t>dömt att tjänstebegreppet inte längre fyllde någon nämnvärd funktion. Även när det t.ex. gällde att bestämma omfattningen av den anstäl</w:t>
      </w:r>
      <w:r w:rsidRPr="00AD33E8">
        <w:softHyphen/>
        <w:t>ldes arbets</w:t>
      </w:r>
      <w:r w:rsidRPr="00AD33E8">
        <w:softHyphen/>
        <w:t>skyl</w:t>
      </w:r>
      <w:r w:rsidRPr="00AD33E8">
        <w:softHyphen/>
        <w:t>dig</w:t>
      </w:r>
      <w:r w:rsidRPr="00AD33E8">
        <w:softHyphen/>
        <w:t xml:space="preserve">het ansågs begreppet i allt väsentligt ha spelat ut sin </w:t>
      </w:r>
      <w:r w:rsidRPr="00AD33E8">
        <w:t>roll.</w:t>
      </w:r>
    </w:p>
    <w:p w:rsidR="007B7A21" w:rsidRPr="00AD33E8" w:rsidRDefault="007B7A21">
      <w:pPr>
        <w:pStyle w:val="Normaltindrag"/>
      </w:pPr>
      <w:r w:rsidRPr="00AD33E8">
        <w:t>Ordet tjänst borde därför utmönstras. Enligt förslaget talades det i den nya LOA om anställning i stället för om tjänst. Ordet tjänst borde efterhand er</w:t>
      </w:r>
      <w:r w:rsidRPr="00AD33E8">
        <w:softHyphen/>
        <w:t>sät</w:t>
      </w:r>
      <w:r w:rsidRPr="00AD33E8">
        <w:softHyphen/>
        <w:t>tas även i övrig lagstiftning.</w:t>
      </w:r>
    </w:p>
    <w:p w:rsidR="007B7A21" w:rsidRPr="00AD33E8" w:rsidRDefault="007B7A21">
      <w:pPr>
        <w:pStyle w:val="Rubrik3"/>
      </w:pPr>
      <w:bookmarkStart w:id="157" w:name="_Toc522593260"/>
      <w:bookmarkStart w:id="158" w:name="_Toc3887374"/>
      <w:bookmarkStart w:id="159" w:name="_Toc21425287"/>
      <w:r w:rsidRPr="00AD33E8">
        <w:t>Begreppet personalpolitik avlägsnas från verksförordningen</w:t>
      </w:r>
      <w:bookmarkEnd w:id="157"/>
      <w:bookmarkEnd w:id="158"/>
      <w:bookmarkEnd w:id="159"/>
    </w:p>
    <w:p w:rsidR="007B7A21" w:rsidRPr="00AD33E8" w:rsidRDefault="007B7A21">
      <w:r w:rsidRPr="00AD33E8">
        <w:t>Decentraliseringen av arbetsgivarpolitiken motiverade en förändring av verksförordningen (1995:1332). Begreppet personalpolitik ersattes med ar</w:t>
      </w:r>
      <w:r w:rsidRPr="00AD33E8">
        <w:softHyphen/>
        <w:t>bets</w:t>
      </w:r>
      <w:r w:rsidRPr="00AD33E8">
        <w:softHyphen/>
        <w:t xml:space="preserve">givarpolitik. </w:t>
      </w:r>
    </w:p>
    <w:p w:rsidR="007B7A21" w:rsidRPr="00AD33E8" w:rsidRDefault="007B7A21">
      <w:pPr>
        <w:pStyle w:val="Normaltindrag"/>
      </w:pPr>
      <w:r w:rsidRPr="00AD33E8">
        <w:t>Enligt förordningen från 1987 skulle myndighetens chef se till att myndi</w:t>
      </w:r>
      <w:r w:rsidRPr="00AD33E8">
        <w:t>g</w:t>
      </w:r>
      <w:r w:rsidRPr="00AD33E8">
        <w:t>hetens personalpolitik motsvarade de krav som ställs på verksamheten. Dä</w:t>
      </w:r>
      <w:r w:rsidRPr="00AD33E8">
        <w:t>r</w:t>
      </w:r>
      <w:r w:rsidRPr="00AD33E8">
        <w:t>vid ingick i personalpolitiken en strävan efter jämställdhet mellan kvinnor och män. Chefen skulle försöka skapa goda arbetsförhållanden och ta till vara och utveckla de anställdas kunskaper, färdigheter och erfarenheter samt fördela arbetsuppgifterna inom myndigheten så, att var och en får uppgifter som är avpassade för honom. Chefen skulle se till att de anställda är väl förtrogna med målen för myndi</w:t>
      </w:r>
      <w:r w:rsidRPr="00AD33E8">
        <w:t>g</w:t>
      </w:r>
      <w:r w:rsidRPr="00AD33E8">
        <w:t xml:space="preserve">hetens verksamhet. </w:t>
      </w:r>
    </w:p>
    <w:p w:rsidR="007B7A21" w:rsidRPr="00AD33E8" w:rsidRDefault="007B7A21">
      <w:pPr>
        <w:pStyle w:val="Normaltindrag"/>
      </w:pPr>
      <w:r w:rsidRPr="00AD33E8">
        <w:t>Med bestämme</w:t>
      </w:r>
      <w:r w:rsidRPr="00AD33E8">
        <w:t xml:space="preserve">lserna från år 1995 skulle myndighetens chef ansvara för myndighetens arbetsgivarpolitik. Det innebar att företräda myndigheten som arbetsgivare och att i samverkan med andra myndighetschefer utveckla och samordna den statliga arbetsgivarpolitiken. Vidare skulle chefen se till att de anställda var väl förtrogna med målen för verksamheten samt skapa goda arbetsförhållanden och ta till vara och utveckla de anställdas kompetens och erfarenhet. </w:t>
      </w:r>
    </w:p>
    <w:p w:rsidR="007B7A21" w:rsidRPr="00AD33E8" w:rsidRDefault="007B7A21">
      <w:pPr>
        <w:pStyle w:val="Normaltindrag"/>
      </w:pPr>
      <w:r w:rsidRPr="00AD33E8">
        <w:t>Arbetsgivarpolitik som huvudbeteckning för denna del av förvaltnin</w:t>
      </w:r>
      <w:r w:rsidRPr="00AD33E8">
        <w:t>gsp</w:t>
      </w:r>
      <w:r w:rsidRPr="00AD33E8">
        <w:t>o</w:t>
      </w:r>
      <w:r w:rsidRPr="00AD33E8">
        <w:t>litiken slog även igenom i det vardagliga språkbruket.</w:t>
      </w:r>
    </w:p>
    <w:p w:rsidR="007B7A21" w:rsidRPr="00AD33E8" w:rsidRDefault="007B7A21">
      <w:pPr>
        <w:pStyle w:val="Rubrik3"/>
      </w:pPr>
      <w:bookmarkStart w:id="160" w:name="_Toc3887375"/>
      <w:bookmarkStart w:id="161" w:name="_Toc21425288"/>
      <w:r w:rsidRPr="00AD33E8">
        <w:t>Kvalitets- och kompetensrådet</w:t>
      </w:r>
      <w:bookmarkEnd w:id="160"/>
      <w:bookmarkEnd w:id="161"/>
    </w:p>
    <w:p w:rsidR="007B7A21" w:rsidRPr="00AD33E8" w:rsidRDefault="007B7A21">
      <w:r w:rsidRPr="00AD33E8">
        <w:t>Staten kvalitets- och kompetensråd inrättades den 1 januari 1999 som en stabsmyndighet åt regeringen. Rådet ersatte därvid Statens Förnyelsefond och har till uppgift att ge stöd i förvaltningspolitiskt angelägna frågor. Up</w:t>
      </w:r>
      <w:r w:rsidRPr="00AD33E8">
        <w:t>p</w:t>
      </w:r>
      <w:r w:rsidRPr="00AD33E8">
        <w:t>läggningen och inriktningen av verksamheten läggs fast i nära samarbete med avnämarna, Regeringskansliet och de statliga myndigheterna.</w:t>
      </w:r>
    </w:p>
    <w:p w:rsidR="007B7A21" w:rsidRPr="00AD33E8" w:rsidRDefault="007B7A21">
      <w:pPr>
        <w:pStyle w:val="Normaltindrag"/>
      </w:pPr>
      <w:r w:rsidRPr="00AD33E8">
        <w:t>Uppgiften är att verka för en statsförvaltning i medborgarnas tjänst. Rådet ska slå vakt om de värden som i dag ska prägla svensk statsförvaltning, s</w:t>
      </w:r>
      <w:r w:rsidRPr="00AD33E8">
        <w:t>å</w:t>
      </w:r>
      <w:r w:rsidRPr="00AD33E8">
        <w:t>som demokrati, öppenhet, rättssäkerhet och effektivitet. Rådet stöder och stimulerar arbetet med kvalitetsutveckling och kompetensförsörjning inom statsförvaltningen genom att</w:t>
      </w:r>
    </w:p>
    <w:p w:rsidR="007B7A21" w:rsidRPr="00AD33E8" w:rsidRDefault="007B7A21">
      <w:pPr>
        <w:pStyle w:val="Normaltindrag"/>
        <w:numPr>
          <w:ilvl w:val="0"/>
          <w:numId w:val="79"/>
        </w:numPr>
        <w:ind w:hanging="170"/>
      </w:pPr>
      <w:r w:rsidRPr="00AD33E8">
        <w:t>utveckla och sprida former för arbete med kvalitet inom statsförval</w:t>
      </w:r>
      <w:r w:rsidRPr="00AD33E8">
        <w:t>t</w:t>
      </w:r>
      <w:r w:rsidRPr="00AD33E8">
        <w:t>ningen,</w:t>
      </w:r>
    </w:p>
    <w:p w:rsidR="007B7A21" w:rsidRPr="00AD33E8" w:rsidRDefault="007B7A21">
      <w:pPr>
        <w:pStyle w:val="Normaltindrag"/>
        <w:numPr>
          <w:ilvl w:val="0"/>
          <w:numId w:val="79"/>
        </w:numPr>
        <w:ind w:hanging="170"/>
      </w:pPr>
      <w:r w:rsidRPr="00AD33E8">
        <w:t>initiera samverkan mellan myndigheter i frågor om kvalitet och komp</w:t>
      </w:r>
      <w:r w:rsidRPr="00AD33E8">
        <w:t>e</w:t>
      </w:r>
      <w:r w:rsidRPr="00AD33E8">
        <w:t>tens i syfte att utveckla metoder och tekniker,</w:t>
      </w:r>
    </w:p>
    <w:p w:rsidR="007B7A21" w:rsidRPr="00AD33E8" w:rsidRDefault="007B7A21">
      <w:pPr>
        <w:pStyle w:val="Normaltindrag"/>
        <w:numPr>
          <w:ilvl w:val="0"/>
          <w:numId w:val="79"/>
        </w:numPr>
        <w:ind w:hanging="170"/>
      </w:pPr>
      <w:r w:rsidRPr="00AD33E8">
        <w:t>ta fram underlag för att stödja den statliga förvaltningen i arbetet med att skaffa, utveckla och behålla rätt kompetens,</w:t>
      </w:r>
    </w:p>
    <w:p w:rsidR="007B7A21" w:rsidRPr="00AD33E8" w:rsidRDefault="007B7A21">
      <w:pPr>
        <w:pStyle w:val="Normaltindrag"/>
        <w:numPr>
          <w:ilvl w:val="0"/>
          <w:numId w:val="79"/>
        </w:numPr>
        <w:ind w:hanging="170"/>
      </w:pPr>
      <w:r w:rsidRPr="00AD33E8">
        <w:t>förmedla grundläggande förvaltningsutbildningar,</w:t>
      </w:r>
    </w:p>
    <w:p w:rsidR="007B7A21" w:rsidRPr="00AD33E8" w:rsidRDefault="007B7A21">
      <w:pPr>
        <w:pStyle w:val="Normaltindrag"/>
        <w:numPr>
          <w:ilvl w:val="0"/>
          <w:numId w:val="79"/>
        </w:numPr>
        <w:ind w:hanging="170"/>
      </w:pPr>
      <w:r w:rsidRPr="00AD33E8">
        <w:t>utveckla, stödja och förmedla utvecklingsprogram för chefer och andra personer med strategiska uppgifter,</w:t>
      </w:r>
    </w:p>
    <w:p w:rsidR="007B7A21" w:rsidRPr="00AD33E8" w:rsidRDefault="007B7A21">
      <w:pPr>
        <w:pStyle w:val="Normaltindrag"/>
        <w:numPr>
          <w:ilvl w:val="0"/>
          <w:numId w:val="79"/>
        </w:numPr>
        <w:ind w:hanging="170"/>
      </w:pPr>
      <w:r w:rsidRPr="00AD33E8">
        <w:t>uppmärksamma och förmedla statsförvaltningens krav på högskolornas reguljära utbildning,</w:t>
      </w:r>
    </w:p>
    <w:p w:rsidR="007B7A21" w:rsidRPr="00AD33E8" w:rsidRDefault="007B7A21">
      <w:pPr>
        <w:pStyle w:val="Normaltindrag"/>
        <w:numPr>
          <w:ilvl w:val="0"/>
          <w:numId w:val="79"/>
        </w:numPr>
        <w:ind w:hanging="170"/>
      </w:pPr>
      <w:r w:rsidRPr="00AD33E8">
        <w:t>stimulera forskning och utbildning om statlig verksamhet och dess b</w:t>
      </w:r>
      <w:r w:rsidRPr="00AD33E8">
        <w:t>i</w:t>
      </w:r>
      <w:r w:rsidRPr="00AD33E8">
        <w:t>drag till samhällsutvecklingen samt</w:t>
      </w:r>
    </w:p>
    <w:p w:rsidR="007B7A21" w:rsidRPr="00AD33E8" w:rsidRDefault="007B7A21">
      <w:pPr>
        <w:pStyle w:val="Normaltindrag"/>
        <w:numPr>
          <w:ilvl w:val="0"/>
          <w:numId w:val="79"/>
        </w:numPr>
        <w:ind w:hanging="170"/>
      </w:pPr>
      <w:r w:rsidRPr="00AD33E8">
        <w:t>verka för en god förvaltningskultur och etik hos de statliga myndigh</w:t>
      </w:r>
      <w:r w:rsidRPr="00AD33E8">
        <w:t>e</w:t>
      </w:r>
      <w:r w:rsidRPr="00AD33E8">
        <w:t>terna.</w:t>
      </w:r>
    </w:p>
    <w:p w:rsidR="007B7A21" w:rsidRPr="00AD33E8" w:rsidRDefault="007B7A21">
      <w:pPr>
        <w:pStyle w:val="Rubrik2"/>
      </w:pPr>
      <w:bookmarkStart w:id="162" w:name="_Toc3887376"/>
      <w:bookmarkStart w:id="163" w:name="_Toc21425289"/>
      <w:r w:rsidRPr="00AD33E8">
        <w:t>Sammanfattning</w:t>
      </w:r>
      <w:bookmarkEnd w:id="162"/>
      <w:bookmarkEnd w:id="163"/>
    </w:p>
    <w:p w:rsidR="007B7A21" w:rsidRPr="00AD33E8" w:rsidRDefault="007B7A21">
      <w:r w:rsidRPr="00AD33E8">
        <w:t>De personalpolitiska reformerna 1985 och 1994 syftade till att skapa instr</w:t>
      </w:r>
      <w:r w:rsidRPr="00AD33E8">
        <w:t>u</w:t>
      </w:r>
      <w:r w:rsidRPr="00AD33E8">
        <w:t>ment för den offentliga sektorns förnyelse och effekt</w:t>
      </w:r>
      <w:r w:rsidRPr="00AD33E8">
        <w:t>i</w:t>
      </w:r>
      <w:r w:rsidRPr="00AD33E8">
        <w:t xml:space="preserve">visering. </w:t>
      </w:r>
    </w:p>
    <w:p w:rsidR="007B7A21" w:rsidRPr="00AD33E8" w:rsidRDefault="007B7A21">
      <w:pPr>
        <w:numPr>
          <w:ilvl w:val="0"/>
          <w:numId w:val="71"/>
        </w:numPr>
      </w:pPr>
      <w:r w:rsidRPr="00AD33E8">
        <w:t>Ett första och grundläggande syfte var att den statliga verksamheten skulle effektiviseras med den nya personalpolitiken som stöd. Den sta</w:t>
      </w:r>
      <w:r w:rsidRPr="00AD33E8">
        <w:t>t</w:t>
      </w:r>
      <w:r w:rsidRPr="00AD33E8">
        <w:t>liga förvaltningens resultat skulle med an</w:t>
      </w:r>
      <w:r w:rsidRPr="00AD33E8">
        <w:t>d</w:t>
      </w:r>
      <w:r w:rsidRPr="00AD33E8">
        <w:t xml:space="preserve">ra ord förbättras. </w:t>
      </w:r>
    </w:p>
    <w:p w:rsidR="007B7A21" w:rsidRPr="00AD33E8" w:rsidRDefault="007B7A21">
      <w:pPr>
        <w:pStyle w:val="Normaltindrag"/>
        <w:numPr>
          <w:ilvl w:val="0"/>
          <w:numId w:val="71"/>
        </w:numPr>
      </w:pPr>
      <w:r w:rsidRPr="00AD33E8">
        <w:t>En andra avsikt var att utveckla personalpolitiska instrument. Det gjorde man genom att ange mål för olika medel. Det var t.ex. ändrad bema</w:t>
      </w:r>
      <w:r w:rsidRPr="00AD33E8">
        <w:t>n</w:t>
      </w:r>
      <w:r w:rsidRPr="00AD33E8">
        <w:t>ning, i högre grad rekrytering efter skicklighet, ökad rörlighet för såväl tjänstemän som chefer, utbyggd kompetensutveckling, decentraliserad och differentierad lönebildning eller program vid personalminsknin</w:t>
      </w:r>
      <w:r w:rsidRPr="00AD33E8">
        <w:t>g</w:t>
      </w:r>
      <w:r w:rsidRPr="00AD33E8">
        <w:t>ar.</w:t>
      </w:r>
    </w:p>
    <w:p w:rsidR="007B7A21" w:rsidRPr="00AD33E8" w:rsidRDefault="007B7A21">
      <w:pPr>
        <w:pStyle w:val="Normaltindrag"/>
        <w:numPr>
          <w:ilvl w:val="0"/>
          <w:numId w:val="71"/>
        </w:numPr>
      </w:pPr>
      <w:r w:rsidRPr="00AD33E8">
        <w:t>För det tredje var målet att skapa strukturer för statliga personalfrågor som ska tjäna såväl medborgarintresse som verksamhetsanpassning. D</w:t>
      </w:r>
      <w:r w:rsidRPr="00AD33E8">
        <w:t>e</w:t>
      </w:r>
      <w:r w:rsidRPr="00AD33E8">
        <w:t>centralisering och avreglering skulle kombineras med uppföljning av både uppnådda resultat och tillämpningen av regeringsformens principer om saklighet och normmässi</w:t>
      </w:r>
      <w:r w:rsidRPr="00AD33E8">
        <w:t>g</w:t>
      </w:r>
      <w:r w:rsidRPr="00AD33E8">
        <w:t>het.</w:t>
      </w:r>
    </w:p>
    <w:p w:rsidR="007B7A21" w:rsidRPr="00AD33E8" w:rsidRDefault="007B7A21">
      <w:pPr>
        <w:pStyle w:val="Rubrik1"/>
      </w:pPr>
      <w:r w:rsidRPr="00AD33E8">
        <w:br w:type="page"/>
      </w:r>
      <w:bookmarkStart w:id="164" w:name="_Toc3887377"/>
      <w:bookmarkStart w:id="165" w:name="_Toc21425290"/>
      <w:r w:rsidRPr="00AD33E8">
        <w:t>Statens personaluppföljning efter år 1985</w:t>
      </w:r>
      <w:bookmarkEnd w:id="164"/>
      <w:bookmarkEnd w:id="165"/>
    </w:p>
    <w:p w:rsidR="007B7A21" w:rsidRPr="00AD33E8" w:rsidRDefault="007B7A21">
      <w:pPr>
        <w:pBdr>
          <w:top w:val="single" w:sz="4" w:space="1" w:color="auto"/>
          <w:left w:val="single" w:sz="4" w:space="4" w:color="auto"/>
          <w:bottom w:val="single" w:sz="4" w:space="1" w:color="auto"/>
          <w:right w:val="single" w:sz="4" w:space="4" w:color="auto"/>
        </w:pBdr>
      </w:pPr>
      <w:r w:rsidRPr="00AD33E8">
        <w:rPr>
          <w:b/>
        </w:rPr>
        <w:t>Sammanfattning</w:t>
      </w:r>
      <w:r w:rsidRPr="00AD33E8">
        <w:t>: I kap 3.2 redovisas regeringens uppföljning och krav på redovisning i myndigheternas årsredovisningar med tonvikt på regeringens arbetsgivarpolitiska uppföljning sedan 1997. I de följande avsnitten redovisas olika tillgängliga uppgifter om den personalpolitiska utvecklingen vilka pekar på en relativt stabil bild under 90-talet. Flera personalpolitiska mål har dock ej nåtts och det saknas en enhetlig och systematisk redovisning av verksamhets- och resultatdata för statsfö</w:t>
      </w:r>
      <w:r w:rsidRPr="00AD33E8">
        <w:t>r</w:t>
      </w:r>
      <w:r w:rsidRPr="00AD33E8">
        <w:t>valtningen.</w:t>
      </w:r>
    </w:p>
    <w:p w:rsidR="007B7A21" w:rsidRPr="00AD33E8" w:rsidRDefault="007B7A21">
      <w:pPr>
        <w:pStyle w:val="Rubrik2"/>
      </w:pPr>
      <w:bookmarkStart w:id="166" w:name="_Toc3887378"/>
      <w:bookmarkStart w:id="167" w:name="_Toc21425291"/>
      <w:r w:rsidRPr="00AD33E8">
        <w:t>Uppföljning av reforme</w:t>
      </w:r>
      <w:r w:rsidRPr="00AD33E8">
        <w:t>ns mål</w:t>
      </w:r>
      <w:bookmarkEnd w:id="166"/>
      <w:bookmarkEnd w:id="167"/>
    </w:p>
    <w:p w:rsidR="007B7A21" w:rsidRPr="00AD33E8" w:rsidRDefault="007B7A21">
      <w:r w:rsidRPr="00AD33E8">
        <w:t>I detta kapitel följs den statliga personalpolitiska utvecklingen efter 1985 med utgångspunkt i hur ett antal personalrelaterade nyckeltal förän</w:t>
      </w:r>
      <w:r w:rsidRPr="00AD33E8">
        <w:t>d</w:t>
      </w:r>
      <w:r w:rsidRPr="00AD33E8">
        <w:t>rats.</w:t>
      </w:r>
    </w:p>
    <w:p w:rsidR="007B7A21" w:rsidRPr="00AD33E8" w:rsidRDefault="007B7A21">
      <w:pPr>
        <w:pStyle w:val="Normaltindrag"/>
      </w:pPr>
      <w:r w:rsidRPr="00AD33E8">
        <w:t>De nyckeltal som presenteras är valda för att visa  på de olika områden som ingick i den personalpolitiska reformen. Angreppssättet utgår från statsmakternas ambition vid det personalpolitiska beslutet. Den nya pers</w:t>
      </w:r>
      <w:r w:rsidRPr="00AD33E8">
        <w:t>o</w:t>
      </w:r>
      <w:r w:rsidRPr="00AD33E8">
        <w:t>nalpolitiken ska vara ett instrument för förändringar. Den statliga förval</w:t>
      </w:r>
      <w:r w:rsidRPr="00AD33E8">
        <w:t>t</w:t>
      </w:r>
      <w:r w:rsidRPr="00AD33E8">
        <w:t>ningens effektivitet ska främjas och statstjänsten ska förnyas. Hypotesen i denna del av revisionen är att om de förnyade ambitionerna förverkligas så kommer det att speglas genom en förändring av relevanta nyckeltal. Nycke</w:t>
      </w:r>
      <w:r w:rsidRPr="00AD33E8">
        <w:t>l</w:t>
      </w:r>
      <w:r w:rsidRPr="00AD33E8">
        <w:t>talen redovisas i tre grupper kopplade till mål i den personalpolitiska refo</w:t>
      </w:r>
      <w:r w:rsidRPr="00AD33E8">
        <w:t>r</w:t>
      </w:r>
      <w:r w:rsidRPr="00AD33E8">
        <w:t>men. Den första gruppen nyckeltal avser förändringar i bemanning, den andra rörlighet och omställning och den tredje kostnadsutveckling</w:t>
      </w:r>
      <w:r w:rsidRPr="00AD33E8">
        <w:t>. I geno</w:t>
      </w:r>
      <w:r w:rsidRPr="00AD33E8">
        <w:t>m</w:t>
      </w:r>
      <w:r w:rsidRPr="00AD33E8">
        <w:t>gången kommer dels nyckeltalens utveckling att redovisas, dels komment</w:t>
      </w:r>
      <w:r w:rsidRPr="00AD33E8">
        <w:t>e</w:t>
      </w:r>
      <w:r w:rsidRPr="00AD33E8">
        <w:t>ras i vilken mån utfallet speglar den avsedda förnyelsens förverkliga</w:t>
      </w:r>
      <w:r w:rsidRPr="00AD33E8">
        <w:t>n</w:t>
      </w:r>
      <w:r w:rsidRPr="00AD33E8">
        <w:t xml:space="preserve">de. </w:t>
      </w:r>
    </w:p>
    <w:p w:rsidR="007B7A21" w:rsidRPr="00AD33E8" w:rsidRDefault="007B7A21">
      <w:pPr>
        <w:pStyle w:val="Normaltindrag"/>
      </w:pPr>
      <w:r w:rsidRPr="00AD33E8">
        <w:t>Inledningsvis i kapitlet redovisas en genomgång av hur den statliga up</w:t>
      </w:r>
      <w:r w:rsidRPr="00AD33E8">
        <w:t>p</w:t>
      </w:r>
      <w:r w:rsidRPr="00AD33E8">
        <w:t>följningen av personal- och förvaltningspolitik har organ</w:t>
      </w:r>
      <w:r w:rsidRPr="00AD33E8">
        <w:t>i</w:t>
      </w:r>
      <w:r w:rsidRPr="00AD33E8">
        <w:t>serats.</w:t>
      </w:r>
    </w:p>
    <w:p w:rsidR="007B7A21" w:rsidRPr="00AD33E8" w:rsidRDefault="007B7A21">
      <w:pPr>
        <w:pStyle w:val="Rubrik2"/>
      </w:pPr>
      <w:bookmarkStart w:id="168" w:name="_Toc3887379"/>
      <w:bookmarkStart w:id="169" w:name="_Toc21425292"/>
      <w:r w:rsidRPr="00AD33E8">
        <w:t>Utveckling av uppföljningens organisation</w:t>
      </w:r>
      <w:bookmarkEnd w:id="168"/>
      <w:bookmarkEnd w:id="169"/>
    </w:p>
    <w:p w:rsidR="007B7A21" w:rsidRPr="00AD33E8" w:rsidRDefault="007B7A21">
      <w:pPr>
        <w:pStyle w:val="Rubrik3"/>
      </w:pPr>
      <w:bookmarkStart w:id="170" w:name="_Toc3887380"/>
      <w:bookmarkStart w:id="171" w:name="_Toc21425293"/>
      <w:r w:rsidRPr="00AD33E8">
        <w:t>Regeringens uppföljning i årsredovisningar</w:t>
      </w:r>
      <w:bookmarkEnd w:id="170"/>
      <w:bookmarkEnd w:id="171"/>
    </w:p>
    <w:p w:rsidR="007B7A21" w:rsidRPr="00AD33E8" w:rsidRDefault="007B7A21">
      <w:r w:rsidRPr="00AD33E8">
        <w:t>Budgetåret 1991/92 var det första verksamhetsår för vilket de statliga my</w:t>
      </w:r>
      <w:r w:rsidRPr="00AD33E8">
        <w:t>n</w:t>
      </w:r>
      <w:r w:rsidRPr="00AD33E8">
        <w:t>digheterna redovisade sina resultat i en årsredovisning ställd till regeringen. Resultaten skulle redovisas i enlighet med bestämmelser i budgetförordnin</w:t>
      </w:r>
      <w:r w:rsidRPr="00AD33E8">
        <w:t>g</w:t>
      </w:r>
      <w:r w:rsidRPr="00AD33E8">
        <w:t xml:space="preserve">en (1989:400). Enligt denna skulle redovisningen av resultatet avfattas i fyra delar. </w:t>
      </w:r>
    </w:p>
    <w:p w:rsidR="007B7A21" w:rsidRPr="00AD33E8" w:rsidRDefault="007B7A21">
      <w:pPr>
        <w:pStyle w:val="Normaltindrag"/>
        <w:numPr>
          <w:ilvl w:val="0"/>
          <w:numId w:val="53"/>
        </w:numPr>
        <w:ind w:hanging="170"/>
      </w:pPr>
      <w:r w:rsidRPr="00AD33E8">
        <w:t>Av årsredovisningen skulle framgå om väsentliga förändringar hade i</w:t>
      </w:r>
      <w:r w:rsidRPr="00AD33E8">
        <w:t>n</w:t>
      </w:r>
      <w:r w:rsidRPr="00AD33E8">
        <w:t>trä</w:t>
      </w:r>
      <w:r w:rsidRPr="00AD33E8">
        <w:t>f</w:t>
      </w:r>
      <w:r w:rsidRPr="00AD33E8">
        <w:t xml:space="preserve">fat inom myndighetens verksamhetsområde. </w:t>
      </w:r>
    </w:p>
    <w:p w:rsidR="007B7A21" w:rsidRPr="00AD33E8" w:rsidRDefault="007B7A21">
      <w:pPr>
        <w:pStyle w:val="Normaltindrag"/>
        <w:numPr>
          <w:ilvl w:val="0"/>
          <w:numId w:val="53"/>
        </w:numPr>
        <w:ind w:hanging="170"/>
      </w:pPr>
      <w:r w:rsidRPr="00AD33E8">
        <w:t xml:space="preserve">Verksamhetens resultat i förhållande till det uppdrag som regeringen hade preciserat i myndighetens regleringsbrev skulle följas upp. </w:t>
      </w:r>
    </w:p>
    <w:p w:rsidR="007B7A21" w:rsidRPr="00AD33E8" w:rsidRDefault="007B7A21">
      <w:pPr>
        <w:pStyle w:val="Normaltindrag"/>
        <w:numPr>
          <w:ilvl w:val="0"/>
          <w:numId w:val="53"/>
        </w:numPr>
        <w:ind w:hanging="170"/>
      </w:pPr>
      <w:r w:rsidRPr="00AD33E8">
        <w:t>Myndighetens prestationer med avseende på kostnader, intäkter, volym och kvalitet samt utvecklingen av myndighetens produktivitet och ver</w:t>
      </w:r>
      <w:r w:rsidRPr="00AD33E8">
        <w:t>k</w:t>
      </w:r>
      <w:r w:rsidRPr="00AD33E8">
        <w:t xml:space="preserve">samhetens mätbara effekter skulle belysas. </w:t>
      </w:r>
    </w:p>
    <w:p w:rsidR="007B7A21" w:rsidRPr="00AD33E8" w:rsidRDefault="007B7A21">
      <w:pPr>
        <w:pStyle w:val="Normaltindrag"/>
        <w:numPr>
          <w:ilvl w:val="0"/>
          <w:numId w:val="53"/>
        </w:numPr>
        <w:ind w:hanging="170"/>
      </w:pPr>
      <w:r w:rsidRPr="00AD33E8">
        <w:t>Väsentliga förändringar av organisation, personalstruktur, kompeten</w:t>
      </w:r>
      <w:r w:rsidRPr="00AD33E8">
        <w:t>s</w:t>
      </w:r>
      <w:r w:rsidRPr="00AD33E8">
        <w:t>försörjning, arbetsmiljö, lednings- och styrsystem, ADB- och kommun</w:t>
      </w:r>
      <w:r w:rsidRPr="00AD33E8">
        <w:t>i</w:t>
      </w:r>
      <w:r w:rsidRPr="00AD33E8">
        <w:t>kationssystem och regelsystem skulle anges.</w:t>
      </w:r>
    </w:p>
    <w:p w:rsidR="007B7A21" w:rsidRPr="00AD33E8" w:rsidRDefault="007B7A21">
      <w:r w:rsidRPr="00AD33E8">
        <w:t>År 1993 ersattes budgetförordningen med förordningen om myndigheters årsredovisning och anslagsframställning (1993:134). Med denna förändrades kraven på redovisningen i vissa delar. Kvar var kärnan att resultat mätt som volym, intäkter, kostnader och kvalitet skulle redovisas. Kravet på analys stärktes. Större avvikelser från verksamhetsmålen skulle förklaras. Resultatet skulle jämföras med de se</w:t>
      </w:r>
      <w:r w:rsidRPr="00AD33E8">
        <w:t>naste tre årens resultat. Samtidigt försvann kraven på redovisning av olika organisatoriska eller personella förhållanden eller aktiviteter. Kravet att lämna information om andra förhållanden av väsentlig betydelse för regeringens prövning av verksamheten kvarstod.</w:t>
      </w:r>
    </w:p>
    <w:p w:rsidR="007B7A21" w:rsidRPr="00AD33E8" w:rsidRDefault="007B7A21">
      <w:pPr>
        <w:pStyle w:val="Normaltindrag"/>
      </w:pPr>
      <w:r w:rsidRPr="00AD33E8">
        <w:t>Efter tre år ändrades kraven åter. I förordningen (1996:882) om myndi</w:t>
      </w:r>
      <w:r w:rsidRPr="00AD33E8">
        <w:t>g</w:t>
      </w:r>
      <w:r w:rsidRPr="00AD33E8">
        <w:t>heters årsredovisning m.m. fokuserades myndigheternas återrapportering på specificeringar i respektive regleringsbrev. Därmed försvann det generella kravet att redovisa myndighetens prestationer med avseende på volym, kos</w:t>
      </w:r>
      <w:r w:rsidRPr="00AD33E8">
        <w:t>t</w:t>
      </w:r>
      <w:r w:rsidRPr="00AD33E8">
        <w:t>nader och kvalitet. Detta skulle endast redovisas i de fall där inga återra</w:t>
      </w:r>
      <w:r w:rsidRPr="00AD33E8">
        <w:t>p</w:t>
      </w:r>
      <w:r w:rsidRPr="00AD33E8">
        <w:t>porteringskrav hade ställts i regleringsbrevet. Kravet på att lämna väsentlig information kvarstod.</w:t>
      </w:r>
    </w:p>
    <w:p w:rsidR="007B7A21" w:rsidRPr="00AD33E8" w:rsidRDefault="007B7A21">
      <w:pPr>
        <w:pStyle w:val="Rubrik3"/>
      </w:pPr>
      <w:bookmarkStart w:id="172" w:name="_Toc3887381"/>
      <w:bookmarkStart w:id="173" w:name="_Toc21425294"/>
      <w:r w:rsidRPr="00AD33E8">
        <w:t>Redovisningsreformen 1993</w:t>
      </w:r>
      <w:bookmarkEnd w:id="172"/>
      <w:bookmarkEnd w:id="173"/>
    </w:p>
    <w:p w:rsidR="007B7A21" w:rsidRPr="00AD33E8" w:rsidRDefault="007B7A21">
      <w:r w:rsidRPr="00AD33E8">
        <w:t>Den 1 juli 1993 genomfördes det som har kallats den största förvaltningsr</w:t>
      </w:r>
      <w:r w:rsidRPr="00AD33E8">
        <w:t>e</w:t>
      </w:r>
      <w:r w:rsidRPr="00AD33E8">
        <w:t>formen i modern tid. Det redan behandlade ramanslaget var en viktig del. Därtill infördes en ny redovisningsmodell i staten. Det var en modifierad form av den modell som användes i privata företag. Därmed möjliggjordes kostnadsmässig bokföring och utgiftsmässig anslagsavräkning. Modellen, som utvecklades av RRV, består av kontoplan och en objektplan. Här infö</w:t>
      </w:r>
      <w:r w:rsidRPr="00AD33E8">
        <w:t>r</w:t>
      </w:r>
      <w:r w:rsidRPr="00AD33E8">
        <w:t>des ett verktyg som kunde, och kan få stor betydelse för den personalpoliti</w:t>
      </w:r>
      <w:r w:rsidRPr="00AD33E8">
        <w:t>s</w:t>
      </w:r>
      <w:r w:rsidRPr="00AD33E8">
        <w:t>ka uppföljningen i staten. I redovisningen kan resultatet uttryckt i pres</w:t>
      </w:r>
      <w:r w:rsidRPr="00AD33E8">
        <w:t>tati</w:t>
      </w:r>
      <w:r w:rsidRPr="00AD33E8">
        <w:t>o</w:t>
      </w:r>
      <w:r w:rsidRPr="00AD33E8">
        <w:t>ner kopplas till resursförbrukningen, t.ex. personalkostnader och löner. Med tidsredovisning som grund kan resursutnyttjandet (kostnaderna) för en akt</w:t>
      </w:r>
      <w:r w:rsidRPr="00AD33E8">
        <w:t>i</w:t>
      </w:r>
      <w:r w:rsidRPr="00AD33E8">
        <w:t>vitet mätas. I modellen summeras aktiviteter till s.k. delprestationer och i ett senare led till slutprestationer. Med aktivitet menas i sammanhanget ”en handling eller en grupp av handlingar som syftar till en viss delprest</w:t>
      </w:r>
      <w:r w:rsidRPr="00AD33E8">
        <w:t>a</w:t>
      </w:r>
      <w:r w:rsidRPr="00AD33E8">
        <w:t xml:space="preserve">tion”. </w:t>
      </w:r>
    </w:p>
    <w:p w:rsidR="007B7A21" w:rsidRPr="00AD33E8" w:rsidRDefault="007B7A21">
      <w:pPr>
        <w:pStyle w:val="Normaltindrag"/>
      </w:pPr>
      <w:r w:rsidRPr="00AD33E8">
        <w:t xml:space="preserve">Med prestationer avses, enligt ESV, antingen de tjänster och produkter som lämnar myndigheten, slutprestationer, eller det </w:t>
      </w:r>
      <w:r w:rsidRPr="00AD33E8">
        <w:t>arbete som utförs inom myndigheten, delprestationer. En myndighets expedierade ärenden, skrivna rapporter, inspektioner, etc. är exempel på slutprestationer. Arbetet som utförs i produktionsprocessen inom myndigheten för att producera slutpr</w:t>
      </w:r>
      <w:r w:rsidRPr="00AD33E8">
        <w:t>o</w:t>
      </w:r>
      <w:r w:rsidRPr="00AD33E8">
        <w:t>dukten/tjänsten gentemot avnäm</w:t>
      </w:r>
      <w:r w:rsidRPr="00AD33E8">
        <w:t>a</w:t>
      </w:r>
      <w:r w:rsidRPr="00AD33E8">
        <w:t xml:space="preserve">ren utgör del- eller internprestationer. </w:t>
      </w:r>
    </w:p>
    <w:p w:rsidR="007B7A21" w:rsidRPr="00AD33E8" w:rsidRDefault="007B7A21">
      <w:pPr>
        <w:pStyle w:val="Rubrik3"/>
      </w:pPr>
      <w:bookmarkStart w:id="174" w:name="_Toc3887382"/>
      <w:bookmarkStart w:id="175" w:name="_Toc21425295"/>
      <w:r w:rsidRPr="00AD33E8">
        <w:t>Den arbetsgivarpolitiska uppföljningen</w:t>
      </w:r>
      <w:bookmarkEnd w:id="174"/>
      <w:bookmarkEnd w:id="175"/>
    </w:p>
    <w:p w:rsidR="007B7A21" w:rsidRPr="00AD33E8" w:rsidRDefault="007B7A21">
      <w:r w:rsidRPr="00AD33E8">
        <w:rPr>
          <w:snapToGrid w:val="0"/>
        </w:rPr>
        <w:t>Regeringens bestämmelser om systematisk uppföljning av personal-, ko</w:t>
      </w:r>
      <w:r w:rsidRPr="00AD33E8">
        <w:rPr>
          <w:snapToGrid w:val="0"/>
        </w:rPr>
        <w:t>m</w:t>
      </w:r>
      <w:r w:rsidRPr="00AD33E8">
        <w:rPr>
          <w:snapToGrid w:val="0"/>
        </w:rPr>
        <w:t>petens-, organisations-, styr- och ledningsfrågor försvann när en ny föror</w:t>
      </w:r>
      <w:r w:rsidRPr="00AD33E8">
        <w:rPr>
          <w:snapToGrid w:val="0"/>
        </w:rPr>
        <w:t>d</w:t>
      </w:r>
      <w:r w:rsidRPr="00AD33E8">
        <w:rPr>
          <w:snapToGrid w:val="0"/>
        </w:rPr>
        <w:t xml:space="preserve">ning om årsredovisning trädde i kraft år 1993. År </w:t>
      </w:r>
      <w:r w:rsidRPr="00AD33E8">
        <w:t>1997 beslöt regeringen om systematisk uppföljning av den statliga arbetsgivarpolitiken. Den regleras inte i någon förordning utan beslut</w:t>
      </w:r>
      <w:r w:rsidRPr="00AD33E8">
        <w:softHyphen/>
        <w:t>as i särskilt regeringsbeslut för varje år. Ingen normering av redovisningen sker hos Ekonomi</w:t>
      </w:r>
      <w:r w:rsidRPr="00AD33E8">
        <w:softHyphen/>
        <w:t>styrningsverket (ESV). De redovisade uppgifternas ri</w:t>
      </w:r>
      <w:r w:rsidRPr="00AD33E8">
        <w:t>k</w:t>
      </w:r>
      <w:r w:rsidRPr="00AD33E8">
        <w:t xml:space="preserve">tighet revideras inte av RRV. </w:t>
      </w:r>
    </w:p>
    <w:p w:rsidR="007B7A21" w:rsidRPr="00AD33E8" w:rsidRDefault="007B7A21">
      <w:pPr>
        <w:pStyle w:val="Normaltindrag"/>
        <w:rPr>
          <w:snapToGrid w:val="0"/>
        </w:rPr>
      </w:pPr>
      <w:r w:rsidRPr="00AD33E8">
        <w:t>Uppföljningen omfattar samtliga myndigheter som lyder under regeringen.</w:t>
      </w:r>
      <w:r w:rsidRPr="00AD33E8">
        <w:t xml:space="preserve"> Regeringen begär årligen in uppgifter från myndigheterna om deras arbetsg</w:t>
      </w:r>
      <w:r w:rsidRPr="00AD33E8">
        <w:t>i</w:t>
      </w:r>
      <w:r w:rsidRPr="00AD33E8">
        <w:t xml:space="preserve">varpolitik och de mål de har för denna. Insamlingen görs efter två linjer. Varje år ska ett antal återkommande ”fasta” nyckeltal med syftet långsiktig uppföljning redovisas. Det är t.ex. uppgifter om personalens åldersstruktur, könsfördelning, rörlighet samt lönenivåer och löneutveckling. Redovisningen ska ske dels </w:t>
      </w:r>
      <w:r w:rsidRPr="00AD33E8">
        <w:rPr>
          <w:snapToGrid w:val="0"/>
        </w:rPr>
        <w:t xml:space="preserve">per kategori av anställda, dels för myndigheten i sin helhet. </w:t>
      </w:r>
      <w:r w:rsidRPr="00AD33E8">
        <w:t xml:space="preserve">Därutöver finns en flexibel rörlig del, där uppgifter med </w:t>
      </w:r>
      <w:r w:rsidRPr="00AD33E8">
        <w:t>anknytning till dagsaktuella frågor begärs in, t.ex.  frågor om arbetsmiljö, jämställdhet eller etnisk mån</w:t>
      </w:r>
      <w:r w:rsidRPr="00AD33E8">
        <w:t>g</w:t>
      </w:r>
      <w:r w:rsidRPr="00AD33E8">
        <w:t>fald.</w:t>
      </w:r>
    </w:p>
    <w:p w:rsidR="007B7A21" w:rsidRPr="00AD33E8" w:rsidRDefault="007B7A21">
      <w:pPr>
        <w:pStyle w:val="Normaltindrag"/>
        <w:rPr>
          <w:snapToGrid w:val="0"/>
        </w:rPr>
      </w:pPr>
      <w:r w:rsidRPr="00AD33E8">
        <w:rPr>
          <w:snapToGrid w:val="0"/>
        </w:rPr>
        <w:t>Myndigheterna ska också redovisa om deras mål för kompetensförsör</w:t>
      </w:r>
      <w:r w:rsidRPr="00AD33E8">
        <w:rPr>
          <w:snapToGrid w:val="0"/>
        </w:rPr>
        <w:t>j</w:t>
      </w:r>
      <w:r w:rsidRPr="00AD33E8">
        <w:rPr>
          <w:snapToGrid w:val="0"/>
        </w:rPr>
        <w:t xml:space="preserve">ningen för </w:t>
      </w:r>
      <w:r w:rsidRPr="00AD33E8">
        <w:rPr>
          <w:rFonts w:ascii="OrigGarmndBT" w:hAnsi="OrigGarmndBT"/>
          <w:snapToGrid w:val="0"/>
        </w:rPr>
        <w:t>föregående</w:t>
      </w:r>
      <w:r w:rsidRPr="00AD33E8">
        <w:rPr>
          <w:snapToGrid w:val="0"/>
        </w:rPr>
        <w:t xml:space="preserve"> budgetår har uppnåtts. Mål för kompetensförsörjning för pågående verksamhetsår samt de två därpå följande åren ska anges. </w:t>
      </w:r>
    </w:p>
    <w:p w:rsidR="007B7A21" w:rsidRPr="00AD33E8" w:rsidRDefault="007B7A21">
      <w:pPr>
        <w:pStyle w:val="Normaltindrag"/>
      </w:pPr>
      <w:r w:rsidRPr="00AD33E8">
        <w:t>Uppgifterna sammanställs och ska enligt regeringens intentioner användas på två sätt. Uppgifterna ligger på makronivån till grund för regeringens ra</w:t>
      </w:r>
      <w:r w:rsidRPr="00AD33E8">
        <w:t>p</w:t>
      </w:r>
      <w:r w:rsidRPr="00AD33E8">
        <w:t xml:space="preserve">portering till riksdagen i årsredovisning för staten. Därtill </w:t>
      </w:r>
      <w:r w:rsidRPr="00AD33E8">
        <w:rPr>
          <w:snapToGrid w:val="0"/>
        </w:rPr>
        <w:t>sammanställs</w:t>
      </w:r>
      <w:r w:rsidRPr="00AD33E8">
        <w:t xml:space="preserve"> uppgifterna myndighetsvis och ska utgöra ett underlag för respektive my</w:t>
      </w:r>
      <w:r w:rsidRPr="00AD33E8">
        <w:t>n</w:t>
      </w:r>
      <w:r w:rsidRPr="00AD33E8">
        <w:t>dighets</w:t>
      </w:r>
      <w:r w:rsidRPr="00AD33E8">
        <w:softHyphen/>
        <w:t>hand</w:t>
      </w:r>
      <w:r w:rsidRPr="00AD33E8">
        <w:softHyphen/>
        <w:t>läggare inom Regeringskansliet. Uppgifterna avses användas i budgetdialogen, vid analysen i samband med författandet av budgetpropos</w:t>
      </w:r>
      <w:r w:rsidRPr="00AD33E8">
        <w:t>i</w:t>
      </w:r>
      <w:r w:rsidRPr="00AD33E8">
        <w:t>tionen och vid formuleringen av uppdrag i regleringsbreven. Enligt uppgift varierar graden av användning av underlagen mellan olika myndighetshan</w:t>
      </w:r>
      <w:r w:rsidRPr="00AD33E8">
        <w:t>d</w:t>
      </w:r>
      <w:r w:rsidRPr="00AD33E8">
        <w:t xml:space="preserve">läggare. </w:t>
      </w:r>
    </w:p>
    <w:p w:rsidR="007B7A21" w:rsidRPr="00AD33E8" w:rsidRDefault="007B7A21">
      <w:pPr>
        <w:pStyle w:val="Rubrik3"/>
      </w:pPr>
      <w:bookmarkStart w:id="176" w:name="_Toc3887383"/>
      <w:bookmarkStart w:id="177" w:name="_Toc21425296"/>
      <w:r w:rsidRPr="00AD33E8">
        <w:t>Kriterier för mål i regeringens handledning för regleringsbrev</w:t>
      </w:r>
      <w:bookmarkEnd w:id="176"/>
      <w:bookmarkEnd w:id="177"/>
    </w:p>
    <w:p w:rsidR="007B7A21" w:rsidRPr="00AD33E8" w:rsidRDefault="007B7A21">
      <w:r w:rsidRPr="00AD33E8">
        <w:t>Den rådande förvaltningspolitiska doktrinen i staten är mål- och resultatsty</w:t>
      </w:r>
      <w:r w:rsidRPr="00AD33E8">
        <w:t>r</w:t>
      </w:r>
      <w:r w:rsidRPr="00AD33E8">
        <w:t>ning. Mål har där en roll som administrativt styrmedel. I skriften Vad blev resultatet (RRV P 1983:2) diskuteras olika kriterier för administrativa sty</w:t>
      </w:r>
      <w:r w:rsidRPr="00AD33E8">
        <w:t>r</w:t>
      </w:r>
      <w:r w:rsidRPr="00AD33E8">
        <w:t xml:space="preserve">medel. RRV uppmärksammar därvid fyra kvaliteter som ett styrmedel ska ha. Det ska vara: </w:t>
      </w:r>
    </w:p>
    <w:p w:rsidR="007B7A21" w:rsidRPr="00AD33E8" w:rsidRDefault="007B7A21">
      <w:pPr>
        <w:pStyle w:val="Normaltindrag"/>
        <w:numPr>
          <w:ilvl w:val="0"/>
          <w:numId w:val="76"/>
        </w:numPr>
        <w:ind w:hanging="170"/>
      </w:pPr>
      <w:r w:rsidRPr="00AD33E8">
        <w:t>Enkelt, ju mer komplicerade procedurer som innefattas desto mindre träffsäkerhet i styrningen.</w:t>
      </w:r>
    </w:p>
    <w:p w:rsidR="007B7A21" w:rsidRPr="00AD33E8" w:rsidRDefault="007B7A21">
      <w:pPr>
        <w:pStyle w:val="Normaltindrag"/>
        <w:numPr>
          <w:ilvl w:val="0"/>
          <w:numId w:val="76"/>
        </w:numPr>
        <w:ind w:hanging="170"/>
      </w:pPr>
      <w:r w:rsidRPr="00AD33E8">
        <w:t>Påverka – medlet ska ha en påtaglig inverkan på de förhållanden som avses.</w:t>
      </w:r>
    </w:p>
    <w:p w:rsidR="007B7A21" w:rsidRPr="00AD33E8" w:rsidRDefault="007B7A21">
      <w:pPr>
        <w:pStyle w:val="Normaltindrag"/>
        <w:numPr>
          <w:ilvl w:val="0"/>
          <w:numId w:val="76"/>
        </w:numPr>
        <w:ind w:hanging="170"/>
      </w:pPr>
      <w:r w:rsidRPr="00AD33E8">
        <w:t xml:space="preserve">Jämförbart – åtgärden måste kunna relateras till något så att dess värde kan bedömas. </w:t>
      </w:r>
    </w:p>
    <w:p w:rsidR="007B7A21" w:rsidRPr="00AD33E8" w:rsidRDefault="007B7A21">
      <w:pPr>
        <w:pStyle w:val="Normaltindrag"/>
        <w:numPr>
          <w:ilvl w:val="0"/>
          <w:numId w:val="76"/>
        </w:numPr>
        <w:ind w:hanging="170"/>
      </w:pPr>
      <w:r w:rsidRPr="00AD33E8">
        <w:t>Acceptans – styrmedlet ska inte möta sådant motstånd i genomförand</w:t>
      </w:r>
      <w:r w:rsidRPr="00AD33E8">
        <w:t>e</w:t>
      </w:r>
      <w:r w:rsidRPr="00AD33E8">
        <w:t>miljön att åtgärden blir verkningslös eller ko</w:t>
      </w:r>
      <w:r w:rsidRPr="00AD33E8">
        <w:t>n</w:t>
      </w:r>
      <w:r w:rsidRPr="00AD33E8">
        <w:t xml:space="preserve">traproduktiv. </w:t>
      </w:r>
    </w:p>
    <w:p w:rsidR="007B7A21" w:rsidRPr="00AD33E8" w:rsidRDefault="007B7A21">
      <w:r w:rsidRPr="00AD33E8">
        <w:t>I Finansdepartementets aktuella handledning för regleringsbrev anges fem kriterier för målformulering. Det är det s.k. SMART-konceptet. Mål ska vara:</w:t>
      </w:r>
    </w:p>
    <w:p w:rsidR="007B7A21" w:rsidRPr="00AD33E8" w:rsidRDefault="007B7A21">
      <w:pPr>
        <w:pStyle w:val="Normaltindrag"/>
        <w:numPr>
          <w:ilvl w:val="0"/>
          <w:numId w:val="81"/>
        </w:numPr>
      </w:pPr>
      <w:r w:rsidRPr="00AD33E8">
        <w:t>Specifika, således verksamhets- och situationsanpassade, liksom ko</w:t>
      </w:r>
      <w:r w:rsidRPr="00AD33E8">
        <w:t>n</w:t>
      </w:r>
      <w:r w:rsidRPr="00AD33E8">
        <w:t>kreta och enkla.</w:t>
      </w:r>
    </w:p>
    <w:p w:rsidR="007B7A21" w:rsidRPr="00AD33E8" w:rsidRDefault="007B7A21">
      <w:pPr>
        <w:pStyle w:val="Normaltindrag"/>
        <w:numPr>
          <w:ilvl w:val="0"/>
          <w:numId w:val="81"/>
        </w:numPr>
      </w:pPr>
      <w:r w:rsidRPr="00AD33E8">
        <w:t>Mätbara, dvs. måluppfyllelse eller resultat ska kunna fastställas, följas upp, redovisas och helst jämföras över tid eller med andra myndigheter.</w:t>
      </w:r>
    </w:p>
    <w:p w:rsidR="007B7A21" w:rsidRPr="00AD33E8" w:rsidRDefault="007B7A21">
      <w:pPr>
        <w:pStyle w:val="Normaltindrag"/>
        <w:numPr>
          <w:ilvl w:val="0"/>
          <w:numId w:val="81"/>
        </w:numPr>
      </w:pPr>
      <w:r w:rsidRPr="00AD33E8">
        <w:t>Accepterade, dvs. väl spegla de åtaganden som riksdagen gjort för ver</w:t>
      </w:r>
      <w:r w:rsidRPr="00AD33E8">
        <w:t>k</w:t>
      </w:r>
      <w:r w:rsidRPr="00AD33E8">
        <w:t>samhetsområdet eller myndigheten och samtidigt ha hög legitimitet bland tjän</w:t>
      </w:r>
      <w:r w:rsidRPr="00AD33E8">
        <w:t>s</w:t>
      </w:r>
      <w:r w:rsidRPr="00AD33E8">
        <w:t>temännen i verksamheten.</w:t>
      </w:r>
    </w:p>
    <w:p w:rsidR="007B7A21" w:rsidRPr="00AD33E8" w:rsidRDefault="007B7A21">
      <w:pPr>
        <w:pStyle w:val="Normaltindrag"/>
        <w:numPr>
          <w:ilvl w:val="0"/>
          <w:numId w:val="81"/>
        </w:numPr>
      </w:pPr>
      <w:r w:rsidRPr="00AD33E8">
        <w:t>Realistiska, dvs. målen ska kunna nås. Även här har kriteriet dubbla betydelser. Det ska finnas en beprövad teori och teknik som kan tillä</w:t>
      </w:r>
      <w:r w:rsidRPr="00AD33E8">
        <w:t>m</w:t>
      </w:r>
      <w:r w:rsidRPr="00AD33E8">
        <w:t>pas för att målet ska nås. Det ska därtill ges reella förutsättningar, t.ex. finansiella, för verksamheten.</w:t>
      </w:r>
    </w:p>
    <w:p w:rsidR="007B7A21" w:rsidRPr="00AD33E8" w:rsidRDefault="007B7A21">
      <w:pPr>
        <w:pStyle w:val="Normaltindrag"/>
        <w:numPr>
          <w:ilvl w:val="0"/>
          <w:numId w:val="81"/>
        </w:numPr>
      </w:pPr>
      <w:r w:rsidRPr="00AD33E8">
        <w:t>Tidsatta, dvs. målen ska avse i förväg fastställda tidsperioder.</w:t>
      </w:r>
    </w:p>
    <w:p w:rsidR="007B7A21" w:rsidRPr="00AD33E8" w:rsidRDefault="007B7A21">
      <w:pPr>
        <w:pStyle w:val="Rubrik3"/>
      </w:pPr>
      <w:bookmarkStart w:id="178" w:name="_Toc3887384"/>
      <w:bookmarkStart w:id="179" w:name="_Toc21425297"/>
      <w:r w:rsidRPr="00AD33E8">
        <w:t>Regeringens bedömning av utvecklingsbehov</w:t>
      </w:r>
      <w:bookmarkEnd w:id="178"/>
      <w:bookmarkEnd w:id="179"/>
    </w:p>
    <w:p w:rsidR="007B7A21" w:rsidRPr="00AD33E8" w:rsidRDefault="007B7A21">
      <w:r w:rsidRPr="00AD33E8">
        <w:t>Finansutskottet formulerade år 1999 ett antal krav på regeringens rapport</w:t>
      </w:r>
      <w:r w:rsidRPr="00AD33E8">
        <w:t>e</w:t>
      </w:r>
      <w:r w:rsidRPr="00AD33E8">
        <w:t>ring av måluppfyllelse och resultat (1998/99 FiU:20). Grundläggande var att resultatanalysen ska vara faktabaserad och inriktad på föregående års resultat i förhållande till uppsatta mål och på uppnådda resultat. En tydlig åtskillnad ska göras mellan resultatinformation och resultatanalys å ena sidan och r</w:t>
      </w:r>
      <w:r w:rsidRPr="00AD33E8">
        <w:t>e</w:t>
      </w:r>
      <w:r w:rsidRPr="00AD33E8">
        <w:t>geringens resultatbedömning å andra sidan. Kopplingen mellan uppnådda resultat och föreslagna anslag ska förbättras samtidigt som anslagsberä</w:t>
      </w:r>
      <w:r w:rsidRPr="00AD33E8">
        <w:t>k</w:t>
      </w:r>
      <w:r w:rsidRPr="00AD33E8">
        <w:t>ningarna ska göras tydligare och redovisas för riksdagen. Mot</w:t>
      </w:r>
      <w:r w:rsidRPr="00AD33E8">
        <w:t>iven för rege</w:t>
      </w:r>
      <w:r w:rsidRPr="00AD33E8">
        <w:t>r</w:t>
      </w:r>
      <w:r w:rsidRPr="00AD33E8">
        <w:t>ingens bedömning och regeringens slutsatser ska framgå tydligt för att fö</w:t>
      </w:r>
      <w:r w:rsidRPr="00AD33E8">
        <w:t>r</w:t>
      </w:r>
      <w:r w:rsidRPr="00AD33E8">
        <w:t>bättra kopplingen mellan målup</w:t>
      </w:r>
      <w:r w:rsidRPr="00AD33E8">
        <w:t>p</w:t>
      </w:r>
      <w:r w:rsidRPr="00AD33E8">
        <w:t xml:space="preserve">fyllelse och förslag till budget. </w:t>
      </w:r>
    </w:p>
    <w:p w:rsidR="007B7A21" w:rsidRPr="00AD33E8" w:rsidRDefault="007B7A21">
      <w:pPr>
        <w:pStyle w:val="Normaltindrag"/>
        <w:rPr>
          <w:snapToGrid w:val="0"/>
          <w:lang w:eastAsia="sv-SE"/>
        </w:rPr>
      </w:pPr>
      <w:r w:rsidRPr="00AD33E8">
        <w:t xml:space="preserve">I finansplanen för år 2000 redovisade regeringen i avsnittet </w:t>
      </w:r>
      <w:r w:rsidRPr="00AD33E8">
        <w:rPr>
          <w:snapToGrid w:val="0"/>
          <w:lang w:eastAsia="sv-SE"/>
        </w:rPr>
        <w:t xml:space="preserve">Ekonomisk styrning – ett verktyg för politikens förverkligande (prop. 1999/2000:1, bilaga 1) utvecklingsbehoven för bl.a. uppföljning och resultatanalys. Den ekonomiska styrningens främsta uppgift är, skrev regeringen, att vara ett verktyg för politikens förverkligande. Därför ska den skapa förutsättningar för </w:t>
      </w:r>
    </w:p>
    <w:p w:rsidR="007B7A21" w:rsidRPr="00AD33E8" w:rsidRDefault="007B7A21">
      <w:pPr>
        <w:pStyle w:val="Normaltindrag"/>
        <w:numPr>
          <w:ilvl w:val="0"/>
          <w:numId w:val="54"/>
        </w:numPr>
        <w:ind w:left="510"/>
        <w:rPr>
          <w:snapToGrid w:val="0"/>
          <w:lang w:eastAsia="sv-SE"/>
        </w:rPr>
      </w:pPr>
      <w:r w:rsidRPr="00AD33E8">
        <w:rPr>
          <w:snapToGrid w:val="0"/>
          <w:lang w:eastAsia="sv-SE"/>
        </w:rPr>
        <w:t>god kontroll av statens finanser,</w:t>
      </w:r>
    </w:p>
    <w:p w:rsidR="007B7A21" w:rsidRPr="00AD33E8" w:rsidRDefault="007B7A21">
      <w:pPr>
        <w:pStyle w:val="Normaltindrag"/>
        <w:numPr>
          <w:ilvl w:val="0"/>
          <w:numId w:val="54"/>
        </w:numPr>
        <w:ind w:left="510"/>
        <w:rPr>
          <w:snapToGrid w:val="0"/>
          <w:lang w:eastAsia="sv-SE"/>
        </w:rPr>
      </w:pPr>
      <w:r w:rsidRPr="00AD33E8">
        <w:rPr>
          <w:snapToGrid w:val="0"/>
          <w:lang w:eastAsia="sv-SE"/>
        </w:rPr>
        <w:t>resursfördelning i enlighet med politiska prioriteringar samt</w:t>
      </w:r>
    </w:p>
    <w:p w:rsidR="007B7A21" w:rsidRPr="00AD33E8" w:rsidRDefault="007B7A21">
      <w:pPr>
        <w:pStyle w:val="Normaltindrag"/>
        <w:numPr>
          <w:ilvl w:val="0"/>
          <w:numId w:val="54"/>
        </w:numPr>
        <w:ind w:left="510"/>
        <w:rPr>
          <w:snapToGrid w:val="0"/>
          <w:lang w:eastAsia="sv-SE"/>
        </w:rPr>
      </w:pPr>
      <w:r w:rsidRPr="00AD33E8">
        <w:rPr>
          <w:snapToGrid w:val="0"/>
          <w:lang w:eastAsia="sv-SE"/>
        </w:rPr>
        <w:t>hög produktivitet och effektivitet i användandet av statens r</w:t>
      </w:r>
      <w:r w:rsidRPr="00AD33E8">
        <w:rPr>
          <w:snapToGrid w:val="0"/>
          <w:lang w:eastAsia="sv-SE"/>
        </w:rPr>
        <w:t>e</w:t>
      </w:r>
      <w:r w:rsidRPr="00AD33E8">
        <w:rPr>
          <w:snapToGrid w:val="0"/>
          <w:lang w:eastAsia="sv-SE"/>
        </w:rPr>
        <w:t>surser.</w:t>
      </w:r>
    </w:p>
    <w:p w:rsidR="007B7A21" w:rsidRPr="00AD33E8" w:rsidRDefault="007B7A21">
      <w:pPr>
        <w:rPr>
          <w:snapToGrid w:val="0"/>
          <w:lang w:eastAsia="sv-SE"/>
        </w:rPr>
      </w:pPr>
      <w:r w:rsidRPr="00AD33E8">
        <w:rPr>
          <w:snapToGrid w:val="0"/>
          <w:lang w:eastAsia="sv-SE"/>
        </w:rPr>
        <w:t>Utvecklingsarbetet ska enligt regeringen därför syfta till att bl.a. förbättra möjligh</w:t>
      </w:r>
      <w:r w:rsidRPr="00AD33E8">
        <w:rPr>
          <w:snapToGrid w:val="0"/>
          <w:lang w:eastAsia="sv-SE"/>
        </w:rPr>
        <w:t>e</w:t>
      </w:r>
      <w:r w:rsidRPr="00AD33E8">
        <w:rPr>
          <w:snapToGrid w:val="0"/>
          <w:lang w:eastAsia="sv-SE"/>
        </w:rPr>
        <w:t>terna att</w:t>
      </w:r>
    </w:p>
    <w:p w:rsidR="007B7A21" w:rsidRPr="00AD33E8" w:rsidRDefault="007B7A21">
      <w:pPr>
        <w:pStyle w:val="Normaltindrag"/>
        <w:numPr>
          <w:ilvl w:val="0"/>
          <w:numId w:val="55"/>
        </w:numPr>
        <w:ind w:left="510"/>
        <w:rPr>
          <w:snapToGrid w:val="0"/>
          <w:lang w:eastAsia="sv-SE"/>
        </w:rPr>
      </w:pPr>
      <w:r w:rsidRPr="00AD33E8">
        <w:rPr>
          <w:snapToGrid w:val="0"/>
          <w:lang w:eastAsia="sv-SE"/>
        </w:rPr>
        <w:t>utifrån statsbudgeten få en god bild av den statliga ekonomin,</w:t>
      </w:r>
    </w:p>
    <w:p w:rsidR="007B7A21" w:rsidRPr="00AD33E8" w:rsidRDefault="007B7A21">
      <w:pPr>
        <w:pStyle w:val="Normaltindrag"/>
        <w:numPr>
          <w:ilvl w:val="0"/>
          <w:numId w:val="76"/>
        </w:numPr>
        <w:ind w:hanging="170"/>
        <w:rPr>
          <w:snapToGrid w:val="0"/>
          <w:lang w:eastAsia="sv-SE"/>
        </w:rPr>
      </w:pPr>
      <w:r w:rsidRPr="00AD33E8">
        <w:rPr>
          <w:snapToGrid w:val="0"/>
          <w:lang w:eastAsia="sv-SE"/>
        </w:rPr>
        <w:t xml:space="preserve">relatera den budgeterade resursförbrukningen till fastställda mål så att </w:t>
      </w:r>
      <w:r w:rsidRPr="00AD33E8">
        <w:t>pri</w:t>
      </w:r>
      <w:r w:rsidRPr="00AD33E8">
        <w:t>o</w:t>
      </w:r>
      <w:r w:rsidRPr="00AD33E8">
        <w:t>riteringsdiskussioner</w:t>
      </w:r>
      <w:r w:rsidRPr="00AD33E8">
        <w:rPr>
          <w:snapToGrid w:val="0"/>
          <w:lang w:eastAsia="sv-SE"/>
        </w:rPr>
        <w:t xml:space="preserve"> underlättas</w:t>
      </w:r>
    </w:p>
    <w:p w:rsidR="007B7A21" w:rsidRPr="00AD33E8" w:rsidRDefault="007B7A21">
      <w:pPr>
        <w:pStyle w:val="Normaltindrag"/>
        <w:numPr>
          <w:ilvl w:val="0"/>
          <w:numId w:val="76"/>
        </w:numPr>
        <w:ind w:hanging="170"/>
        <w:rPr>
          <w:snapToGrid w:val="0"/>
          <w:lang w:eastAsia="sv-SE"/>
        </w:rPr>
      </w:pPr>
      <w:r w:rsidRPr="00AD33E8">
        <w:rPr>
          <w:snapToGrid w:val="0"/>
          <w:lang w:eastAsia="sv-SE"/>
        </w:rPr>
        <w:t xml:space="preserve">ställa </w:t>
      </w:r>
      <w:r w:rsidRPr="00AD33E8">
        <w:t>resultatet</w:t>
      </w:r>
      <w:r w:rsidRPr="00AD33E8">
        <w:rPr>
          <w:snapToGrid w:val="0"/>
          <w:lang w:eastAsia="sv-SE"/>
        </w:rPr>
        <w:t xml:space="preserve"> av en verksamhet mot de resurser som förbrukats inom verksamheten.</w:t>
      </w:r>
    </w:p>
    <w:p w:rsidR="007B7A21" w:rsidRPr="00AD33E8" w:rsidRDefault="007B7A21">
      <w:r w:rsidRPr="00AD33E8">
        <w:t>En ny förordning år 2000, förordningen (2000:605) om årsredovisning och budgetunderlag, innehöll inga nya krav för resultatredovisningen. De gen</w:t>
      </w:r>
      <w:r w:rsidRPr="00AD33E8">
        <w:t>e</w:t>
      </w:r>
      <w:r w:rsidRPr="00AD33E8">
        <w:t>rella krav som ställde resultat mot resursförbrukning och verksamhetens genomförande och förhållanden som fanns i förordningen från 1989 återi</w:t>
      </w:r>
      <w:r w:rsidRPr="00AD33E8">
        <w:t>n</w:t>
      </w:r>
      <w:r w:rsidRPr="00AD33E8">
        <w:t>fördes inte.</w:t>
      </w:r>
    </w:p>
    <w:p w:rsidR="007B7A21" w:rsidRPr="00AD33E8" w:rsidRDefault="007B7A21">
      <w:pPr>
        <w:pStyle w:val="Rubrik3"/>
      </w:pPr>
      <w:bookmarkStart w:id="180" w:name="_Toc3887385"/>
      <w:bookmarkStart w:id="181" w:name="_Toc21425298"/>
      <w:r w:rsidRPr="00AD33E8">
        <w:t>Riksdagens uppföljning</w:t>
      </w:r>
      <w:bookmarkEnd w:id="180"/>
      <w:bookmarkEnd w:id="181"/>
    </w:p>
    <w:p w:rsidR="007B7A21" w:rsidRPr="00AD33E8" w:rsidRDefault="007B7A21">
      <w:r w:rsidRPr="00AD33E8">
        <w:t>I  riksdagsstyrelsens förslag Riksdagen inför 2000-talet (2000/01:RS1) för</w:t>
      </w:r>
      <w:r w:rsidRPr="00AD33E8">
        <w:t>e</w:t>
      </w:r>
      <w:r w:rsidRPr="00AD33E8">
        <w:t>slås att riksdagen utvecklar sin uppföljning och utvärdering bl.a. inom ramen för utskottens arbete. Enligt 1 kap. 4 § regeringsformen granskar riksdagen rikets styrelse och förvaltning. Riksdagsstyrelsen konstaterade att uppföl</w:t>
      </w:r>
      <w:r w:rsidRPr="00AD33E8">
        <w:t>j</w:t>
      </w:r>
      <w:r w:rsidRPr="00AD33E8">
        <w:t>ning och utvärdering av riksdagsbeslut är att betrakta som en del i utövandet av riksdagens konstitutionella befogenheter. Uppföljnings- och utvärdering</w:t>
      </w:r>
      <w:r w:rsidRPr="00AD33E8">
        <w:t>s</w:t>
      </w:r>
      <w:r w:rsidRPr="00AD33E8">
        <w:t>arbetet utgör också en integrerad del i beredningsarbetet. I förarbetena till regeringsformen framhålls att den på ämnesindelning</w:t>
      </w:r>
      <w:r w:rsidRPr="00AD33E8">
        <w:t xml:space="preserve"> grundade utskottsorg</w:t>
      </w:r>
      <w:r w:rsidRPr="00AD33E8">
        <w:t>a</w:t>
      </w:r>
      <w:r w:rsidRPr="00AD33E8">
        <w:t>nisationen lämpar sig väl för en kontinuerlig granskning av resultatet av den statliga reformverksamheten. Konstitutionsutskottet (2000/01:KU23) delade uppfattningen att det finns ett behov av att detta ansvar blev klargjort på ett tydligare sätt än tidigare. Det borde således införas en ny bestämmelse i riksdagsordningen, 4 kap. 16 §, om att i utskottens beredning av ärenden ska ingå uppgiften att följa upp och utvärdera riksdagsbeslut inom utskottens ämnesområden.</w:t>
      </w:r>
    </w:p>
    <w:p w:rsidR="007B7A21" w:rsidRPr="00AD33E8" w:rsidRDefault="007B7A21">
      <w:pPr>
        <w:pStyle w:val="Normaltindrag"/>
      </w:pPr>
      <w:r w:rsidRPr="00AD33E8">
        <w:t>En punkt i programm</w:t>
      </w:r>
      <w:r w:rsidRPr="00AD33E8">
        <w:t>et är förbättrad verksamhetsplanering i utskottsarb</w:t>
      </w:r>
      <w:r w:rsidRPr="00AD33E8">
        <w:t>e</w:t>
      </w:r>
      <w:r w:rsidRPr="00AD33E8">
        <w:t>tet. I utskottens planering ska ingå de strategiska beslutspunkter som kan urskiljas i utskottets arbete, t.ex. när större propositioner och motionsbetä</w:t>
      </w:r>
      <w:r w:rsidRPr="00AD33E8">
        <w:t>n</w:t>
      </w:r>
      <w:r w:rsidRPr="00AD33E8">
        <w:t xml:space="preserve">kanden ska läggas fram. I utskottens verksamhetsplanering bör vidare ingå en strategi för informationsförsörjningen. En sådan strategi bygger på att utskotten själva väljer ut teman som ska vara styrande för de områden som ska väljas ut för fördjupande uppföljningar och utvärderingar. Det kan också finnas </w:t>
      </w:r>
      <w:r w:rsidRPr="00AD33E8">
        <w:t>frågor som täcker flera utskotts beredningsområden, och samarbete över utskottsgränserna kan aktualiseras. Ett mer tematiskt arbetssätt bör enligt referensgruppen prövas i utskottens och riksdagens arbete.</w:t>
      </w:r>
    </w:p>
    <w:p w:rsidR="007B7A21" w:rsidRPr="00AD33E8" w:rsidRDefault="007B7A21">
      <w:pPr>
        <w:pStyle w:val="Normaltindrag"/>
      </w:pPr>
      <w:r w:rsidRPr="00AD33E8">
        <w:t>Om inriktningen på utskottens uppföljnings- och utvärderingsarbete</w:t>
      </w:r>
      <w:r w:rsidRPr="00AD33E8">
        <w:rPr>
          <w:i/>
        </w:rPr>
        <w:t xml:space="preserve"> </w:t>
      </w:r>
      <w:r w:rsidRPr="00AD33E8">
        <w:t>anser Riksdagskommittén att utskotten måste bli mer aktiva och ta ett större ansvar för att ta initiativ till uppföljnings- och utvärderingsaktiviteter. Ledamöterna – med sina breda kontaktytor i samhället – och utskottspresidierna måste bli mer drivande när det gäller uppföljning och utvärdering av riksdagens beslut. Även tjänstemännen vid utskottskanslierna bör kunna spela en aktivare roll.</w:t>
      </w:r>
    </w:p>
    <w:p w:rsidR="007B7A21" w:rsidRPr="00AD33E8" w:rsidRDefault="007B7A21">
      <w:pPr>
        <w:pStyle w:val="Normaltindrag"/>
      </w:pPr>
      <w:r w:rsidRPr="00AD33E8">
        <w:t>En systematik med resultatinformation som återfinns i budgetpropositi</w:t>
      </w:r>
      <w:r w:rsidRPr="00AD33E8">
        <w:t>o</w:t>
      </w:r>
      <w:r w:rsidRPr="00AD33E8">
        <w:t>nen bör också tillämpas i andra propositioner. En mer enhetlig utformning av utskottsbetänkanden bör övervägas. Uppföljnings- och utvärderingsinform</w:t>
      </w:r>
      <w:r w:rsidRPr="00AD33E8">
        <w:t>a</w:t>
      </w:r>
      <w:r w:rsidRPr="00AD33E8">
        <w:t>tion bör i tillämpliga fall vara en obligatorisk del av ett utskottsbetänkande. Formerna för en fördjupad samverkan i resultatdialogen mellan riksdagsu</w:t>
      </w:r>
      <w:r w:rsidRPr="00AD33E8">
        <w:t>t</w:t>
      </w:r>
      <w:r w:rsidRPr="00AD33E8">
        <w:t>skotten och Regeringskansliet bör utvecklas ytterligare. Inom ramen för denna dialog bör tydliga krav ställas från riksdagens sida om resultatredovi</w:t>
      </w:r>
      <w:r w:rsidRPr="00AD33E8">
        <w:t>s</w:t>
      </w:r>
      <w:r w:rsidRPr="00AD33E8">
        <w:t xml:space="preserve">ningens form och innehåll. </w:t>
      </w:r>
    </w:p>
    <w:p w:rsidR="007B7A21" w:rsidRPr="00AD33E8" w:rsidRDefault="007B7A21">
      <w:pPr>
        <w:pStyle w:val="Normaltindrag"/>
      </w:pPr>
      <w:r w:rsidRPr="00AD33E8">
        <w:t>Vidare har riksdagen tagit ställn</w:t>
      </w:r>
      <w:r w:rsidRPr="00AD33E8">
        <w:t>ing till ett förslag från regeringen om att ändra utgiftsområde för ärenden om statlig personalpolitik. För att politiko</w:t>
      </w:r>
      <w:r w:rsidRPr="00AD33E8">
        <w:t>m</w:t>
      </w:r>
      <w:r w:rsidRPr="00AD33E8">
        <w:t>råde 4 Effektiv statsförvaltning ska kunna utgöra en helhet föreslår regerin</w:t>
      </w:r>
      <w:r w:rsidRPr="00AD33E8">
        <w:t>g</w:t>
      </w:r>
      <w:r w:rsidRPr="00AD33E8">
        <w:t>en att verksamheter som hör till politikområdet Effektiv statsförvaltning flyttas från utgiftsområde 14 Arbetsliv till utgiftsområde 2 Samhällsekonomi och finansförvaltning. Bakgrunden till att Arbetsgivarverket och Statens pensionsverk (SPV) redovisats under utgiftsområde 14 och verksamhetso</w:t>
      </w:r>
      <w:r w:rsidRPr="00AD33E8">
        <w:t>m</w:t>
      </w:r>
      <w:r w:rsidRPr="00AD33E8">
        <w:t>rådet Staten som arb</w:t>
      </w:r>
      <w:r w:rsidRPr="00AD33E8">
        <w:t>etsgivare</w:t>
      </w:r>
      <w:r w:rsidRPr="00AD33E8">
        <w:rPr>
          <w:i/>
        </w:rPr>
        <w:t xml:space="preserve"> </w:t>
      </w:r>
      <w:r w:rsidRPr="00AD33E8">
        <w:t>har enligt regeringen haft med utskottsbehan</w:t>
      </w:r>
      <w:r w:rsidRPr="00AD33E8">
        <w:t>d</w:t>
      </w:r>
      <w:r w:rsidRPr="00AD33E8">
        <w:t>lingen att göra. Verksamheterna har inte haft sina övergripande mål relater</w:t>
      </w:r>
      <w:r w:rsidRPr="00AD33E8">
        <w:t>a</w:t>
      </w:r>
      <w:r w:rsidRPr="00AD33E8">
        <w:t>de till utgiftsområde 14 utan till utgiftsområde 2, eftersom de är ett av flera medel för att effektiv</w:t>
      </w:r>
      <w:r w:rsidRPr="00AD33E8">
        <w:t>i</w:t>
      </w:r>
      <w:r w:rsidRPr="00AD33E8">
        <w:t xml:space="preserve">sera statsförvaltningen. </w:t>
      </w:r>
    </w:p>
    <w:p w:rsidR="007B7A21" w:rsidRPr="00AD33E8" w:rsidRDefault="007B7A21">
      <w:pPr>
        <w:pStyle w:val="Normaltindrag"/>
      </w:pPr>
      <w:r w:rsidRPr="00AD33E8">
        <w:t>Enligt konstitutionsutskottets mening (2000/01:KU23) fanns det goda skäl att föra samman de olika anslag som hör till politikområdet Effektiv statsfö</w:t>
      </w:r>
      <w:r w:rsidRPr="00AD33E8">
        <w:t>r</w:t>
      </w:r>
      <w:r w:rsidRPr="00AD33E8">
        <w:t>valtning under utgiftsområde 2. Ett var att arbetsgivarpolitiken är ett av medlen för att göra statsförvaltningen effektivare. Enligt KU fanns dock inte tillräckliga skäl att även föra över beredningen av arbetsrättsliga lagstif</w:t>
      </w:r>
      <w:r w:rsidRPr="00AD33E8">
        <w:t>t</w:t>
      </w:r>
      <w:r w:rsidRPr="00AD33E8">
        <w:t xml:space="preserve">ningsfrågor på det statliga området till finansutskottets ansvarsområde. </w:t>
      </w:r>
    </w:p>
    <w:p w:rsidR="007B7A21" w:rsidRPr="00AD33E8" w:rsidRDefault="007B7A21">
      <w:pPr>
        <w:pStyle w:val="Rubrik3"/>
      </w:pPr>
      <w:bookmarkStart w:id="182" w:name="_Toc3887386"/>
      <w:bookmarkStart w:id="183" w:name="_Toc21425299"/>
      <w:r w:rsidRPr="00AD33E8">
        <w:t>Kommentarer till uppföljningens utformning</w:t>
      </w:r>
      <w:bookmarkEnd w:id="182"/>
      <w:bookmarkEnd w:id="183"/>
    </w:p>
    <w:p w:rsidR="007B7A21" w:rsidRPr="00AD33E8" w:rsidRDefault="007B7A21">
      <w:r w:rsidRPr="00AD33E8">
        <w:t xml:space="preserve">Såväl det personalpolitiska beslutet som den förvaltningspolitiska förnyelsen innefattade ökade ambitioner och krav beträffande uppföljning. Under den efterföljande perioden har både modeller och ambitionsnivåer skiftat. Det gör att det saknas en enhetlig, systematisk, löpande och bred redovisning av verksamhets- och resultatdata för statsförvaltningen. </w:t>
      </w:r>
    </w:p>
    <w:p w:rsidR="007B7A21" w:rsidRPr="00AD33E8" w:rsidRDefault="007B7A21">
      <w:pPr>
        <w:pStyle w:val="Normaltindrag"/>
      </w:pPr>
      <w:r w:rsidRPr="00AD33E8">
        <w:t>Det har därför för denna granskning i de allra flesta fall varit svårt att få fullständiga och löpande eller jämförbara sifferuppgifter för hela den stud</w:t>
      </w:r>
      <w:r w:rsidRPr="00AD33E8">
        <w:t>e</w:t>
      </w:r>
      <w:r w:rsidRPr="00AD33E8">
        <w:t>rade perioden. Olika datakällor har olika definitioner, varför till synes ide</w:t>
      </w:r>
      <w:r w:rsidRPr="00AD33E8">
        <w:t>n</w:t>
      </w:r>
      <w:r w:rsidRPr="00AD33E8">
        <w:t>tiska uppgifter varierar. I vissa fall redovisas data insamlade och bearbetade i anslutning till olika utredningar. I flera fall har särskilda förfrågningar för denna granskning gjorts. För några uppgifter, som t.ex. antalet anställda eller utgifter för löner, har redan etablerad statistik från SCB eller RRV:s/ESV:s riksredovisning kunnat utnyttjas.</w:t>
      </w:r>
    </w:p>
    <w:p w:rsidR="007B7A21" w:rsidRPr="00AD33E8" w:rsidRDefault="007B7A21">
      <w:pPr>
        <w:pStyle w:val="Rubrik2"/>
      </w:pPr>
      <w:bookmarkStart w:id="184" w:name="_Toc3887387"/>
      <w:bookmarkStart w:id="185" w:name="_Toc21425300"/>
      <w:r w:rsidRPr="00AD33E8">
        <w:t>Den statliga bemanningen</w:t>
      </w:r>
      <w:bookmarkEnd w:id="184"/>
      <w:bookmarkEnd w:id="185"/>
    </w:p>
    <w:p w:rsidR="007B7A21" w:rsidRPr="00AD33E8" w:rsidRDefault="007B7A21">
      <w:r w:rsidRPr="00AD33E8">
        <w:t xml:space="preserve">Att inrätta och tillsätta en tjänst i staten, dvs. bemanna ett statligt åtagande är det grundläggande och ursprungliga personalpolitiska medlet. </w:t>
      </w:r>
    </w:p>
    <w:p w:rsidR="007B7A21" w:rsidRPr="00AD33E8" w:rsidRDefault="007B7A21">
      <w:pPr>
        <w:pStyle w:val="Normaltindrag"/>
      </w:pPr>
      <w:r w:rsidRPr="00AD33E8">
        <w:t>I det personalpolitiska beslutet formulerades ett övergripande mål för b</w:t>
      </w:r>
      <w:r w:rsidRPr="00AD33E8">
        <w:t>e</w:t>
      </w:r>
      <w:r w:rsidRPr="00AD33E8">
        <w:t>manningen. En förändring i bemanningsprocessen var i själva verket en kärna i den påbörjade reformen. Tidigare sattes i praktiken likhetstecken mellan förnyelse och ökad bemanning. Den personalpolitiska reformen skulle medge att såväl nya som effektivare verksamheter genomfördes med befintlig bemanning. Det gällde för staten som helhet. När det gällde lägre organisatoriska nivåer, olika myndigheter eller sektorer, kunde bemanningen såväl öka som minska beroende på antingen politisk prioritering eller effek</w:t>
      </w:r>
      <w:r w:rsidRPr="00AD33E8">
        <w:t>ti</w:t>
      </w:r>
      <w:r w:rsidRPr="00AD33E8">
        <w:softHyphen/>
        <w:t>viseringspotential. Ett förväntat utfall för bemanningen i staten är en bruten expansion för staten som helhet, medan man ska kunna se såväl ökningar som minskningar på sektors- eller myndi</w:t>
      </w:r>
      <w:r w:rsidRPr="00AD33E8">
        <w:t>g</w:t>
      </w:r>
      <w:r w:rsidRPr="00AD33E8">
        <w:t>hetsnivå.</w:t>
      </w:r>
    </w:p>
    <w:p w:rsidR="007B7A21" w:rsidRPr="00AD33E8" w:rsidRDefault="007B7A21">
      <w:pPr>
        <w:pStyle w:val="Normaltindrag"/>
      </w:pPr>
      <w:r w:rsidRPr="00AD33E8">
        <w:t>En kartläggning av bemanningen, mätt som antalet anställda inom statlig, statligt finansierad eller statligt lönereglerad verksamhet, för de senaste 20 åren visar att expansionen brutits redan före 1985 års reform. Den stora minskningen i bemanningen genomfördes från slutet av 1980-talet. Fram till år 2000 v</w:t>
      </w:r>
      <w:r w:rsidRPr="00AD33E8">
        <w:t xml:space="preserve">ar minskningen närmare 340 000 personer, tabell 1. Därtill fanns det flera förklaringar. I hög grad var det fråga om strukturförändringar från och med år 1990, t.ex.: </w:t>
      </w:r>
    </w:p>
    <w:p w:rsidR="007B7A21" w:rsidRPr="00AD33E8" w:rsidRDefault="007B7A21">
      <w:pPr>
        <w:pStyle w:val="Normaltindrag"/>
        <w:numPr>
          <w:ilvl w:val="0"/>
          <w:numId w:val="51"/>
        </w:numPr>
        <w:ind w:left="510"/>
      </w:pPr>
      <w:r w:rsidRPr="00AD33E8">
        <w:t>Kommunalisering av gymnasielärare, ca 135 000 personer, år 1991.</w:t>
      </w:r>
    </w:p>
    <w:p w:rsidR="007B7A21" w:rsidRPr="00AD33E8" w:rsidRDefault="007B7A21">
      <w:pPr>
        <w:pStyle w:val="Normaltindrag"/>
        <w:numPr>
          <w:ilvl w:val="0"/>
          <w:numId w:val="51"/>
        </w:numPr>
        <w:ind w:left="510"/>
      </w:pPr>
      <w:r w:rsidRPr="00AD33E8">
        <w:t>Bolagisering av affärsverk, ca 157 000 personer, åren 1993 och 1994.</w:t>
      </w:r>
    </w:p>
    <w:p w:rsidR="007B7A21" w:rsidRPr="00AD33E8" w:rsidRDefault="007B7A21">
      <w:pPr>
        <w:pStyle w:val="Normaltindrag"/>
        <w:numPr>
          <w:ilvl w:val="0"/>
          <w:numId w:val="51"/>
        </w:numPr>
        <w:ind w:left="510"/>
      </w:pPr>
      <w:r w:rsidRPr="00AD33E8">
        <w:t>Kyrkans skiljande från staten, 24 000 personer, år 2000.</w:t>
      </w:r>
    </w:p>
    <w:p w:rsidR="007B7A21" w:rsidRPr="00AD33E8" w:rsidRDefault="007B7A21">
      <w:pPr>
        <w:pStyle w:val="Normaltindrag"/>
        <w:numPr>
          <w:ilvl w:val="0"/>
          <w:numId w:val="51"/>
        </w:numPr>
        <w:ind w:left="510"/>
      </w:pPr>
      <w:r w:rsidRPr="00AD33E8">
        <w:t>Civil statsförvaltning och försvar, 40 000 personer, hela 1990-talet.</w:t>
      </w:r>
    </w:p>
    <w:p w:rsidR="007B7A21" w:rsidRPr="00AD33E8" w:rsidRDefault="007B7A21">
      <w:r w:rsidRPr="00AD33E8">
        <w:t>En minskning i bemanningen av affärsverken föregick bolagiseringen. Po</w:t>
      </w:r>
      <w:r w:rsidRPr="00AD33E8">
        <w:t>s</w:t>
      </w:r>
      <w:r w:rsidRPr="00AD33E8">
        <w:t>ten minskade antalet anställda med 7 000 och Televerket med 6 000 personer mellan 1990 och 1992. Det enda egentliga ”strukturella” tillskottet under perioden är övertagandet 1994 från kommuner och landsting av ungdom</w:t>
      </w:r>
      <w:r w:rsidRPr="00AD33E8">
        <w:t>s</w:t>
      </w:r>
      <w:r w:rsidRPr="00AD33E8">
        <w:t>vårdsskolor m.fl. med knappt 4 000 personer. Minskningen med 40 000 anställda sedan 1980 inom statsförvaltningen består av olika slags nedskä</w:t>
      </w:r>
      <w:r w:rsidRPr="00AD33E8">
        <w:t>r</w:t>
      </w:r>
      <w:r w:rsidRPr="00AD33E8">
        <w:t>ningar, sammanslagningar och nedläggningar av myndigheter. En stor del, 44 procent av minskningen, kan hänföras till Försvaret där 18 000 anställda lämn</w:t>
      </w:r>
      <w:r w:rsidRPr="00AD33E8">
        <w:t xml:space="preserve">at verksamheten under perioden. För den civila statsförvaltningen har minskningen i bemanningen varit 22 000 personer.  </w:t>
      </w:r>
    </w:p>
    <w:p w:rsidR="007B7A21" w:rsidRPr="00AD33E8" w:rsidRDefault="007B7A21">
      <w:pPr>
        <w:pStyle w:val="Normaltindrag"/>
      </w:pP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1"/>
        <w:gridCol w:w="1"/>
        <w:gridCol w:w="1"/>
        <w:gridCol w:w="1"/>
        <w:gridCol w:w="1"/>
        <w:gridCol w:w="1"/>
        <w:gridCol w:w="2533"/>
        <w:gridCol w:w="576"/>
        <w:gridCol w:w="576"/>
        <w:gridCol w:w="576"/>
        <w:gridCol w:w="576"/>
        <w:gridCol w:w="576"/>
        <w:gridCol w:w="536"/>
        <w:gridCol w:w="84"/>
      </w:tblGrid>
      <w:tr w:rsidR="00000000" w:rsidRPr="00AD33E8">
        <w:tblPrEx>
          <w:tblCellMar>
            <w:top w:w="0" w:type="dxa"/>
            <w:bottom w:w="0" w:type="dxa"/>
          </w:tblCellMar>
        </w:tblPrEx>
        <w:trPr>
          <w:trHeight w:val="480"/>
        </w:trPr>
        <w:tc>
          <w:tcPr>
            <w:tcW w:w="6039" w:type="dxa"/>
            <w:hMerge w:val="restart"/>
            <w:tcBorders>
              <w:bottom w:val="single" w:sz="6" w:space="0" w:color="008000"/>
            </w:tcBorders>
          </w:tcPr>
          <w:p w:rsidR="007B7A21" w:rsidRPr="00AD33E8" w:rsidRDefault="007B7A21">
            <w:pPr>
              <w:spacing w:before="0" w:line="240" w:lineRule="auto"/>
              <w:rPr>
                <w:b/>
                <w:snapToGrid w:val="0"/>
                <w:lang w:eastAsia="sv-SE"/>
              </w:rPr>
            </w:pPr>
            <w:r w:rsidRPr="00AD33E8">
              <w:rPr>
                <w:b/>
                <w:snapToGrid w:val="0"/>
                <w:lang w:eastAsia="sv-SE"/>
              </w:rPr>
              <w:t>Tabell 1: Anställda inom statsförvaltning, övrig offentlig sektor (försä</w:t>
            </w:r>
            <w:r w:rsidRPr="00AD33E8">
              <w:rPr>
                <w:b/>
                <w:snapToGrid w:val="0"/>
                <w:lang w:eastAsia="sv-SE"/>
              </w:rPr>
              <w:t>k</w:t>
            </w:r>
            <w:r w:rsidRPr="00AD33E8">
              <w:rPr>
                <w:b/>
                <w:snapToGrid w:val="0"/>
                <w:lang w:eastAsia="sv-SE"/>
              </w:rPr>
              <w:t>ringskassorna) samt statligt lönereglerad verksamhet 1980-1999, tusental, samt förändring 1980-1999.</w:t>
            </w:r>
          </w:p>
        </w:tc>
        <w:tc>
          <w:tcPr>
            <w:hMerge/>
            <w:tcBorders>
              <w:bottom w:val="single" w:sz="6" w:space="0" w:color="008000"/>
            </w:tcBorders>
          </w:tcPr>
          <w:p w:rsidR="007B7A21" w:rsidRPr="00AD33E8" w:rsidRDefault="007B7A21">
            <w:pPr>
              <w:spacing w:before="0" w:line="240" w:lineRule="auto"/>
              <w:jc w:val="right"/>
              <w:rPr>
                <w:snapToGrid w:val="0"/>
                <w:lang w:eastAsia="sv-SE"/>
              </w:rPr>
            </w:pPr>
          </w:p>
        </w:tc>
        <w:tc>
          <w:tcPr>
            <w:hMerge/>
            <w:tcBorders>
              <w:bottom w:val="single" w:sz="6" w:space="0" w:color="008000"/>
            </w:tcBorders>
          </w:tcPr>
          <w:p w:rsidR="007B7A21" w:rsidRPr="00AD33E8" w:rsidRDefault="007B7A21">
            <w:pPr>
              <w:spacing w:before="0" w:line="240" w:lineRule="auto"/>
              <w:jc w:val="right"/>
              <w:rPr>
                <w:snapToGrid w:val="0"/>
                <w:lang w:eastAsia="sv-SE"/>
              </w:rPr>
            </w:pPr>
          </w:p>
        </w:tc>
        <w:tc>
          <w:tcPr>
            <w:hMerge/>
            <w:tcBorders>
              <w:bottom w:val="single" w:sz="6" w:space="0" w:color="008000"/>
            </w:tcBorders>
          </w:tcPr>
          <w:p w:rsidR="007B7A21" w:rsidRPr="00AD33E8" w:rsidRDefault="007B7A21">
            <w:pPr>
              <w:spacing w:before="0" w:line="240" w:lineRule="auto"/>
              <w:jc w:val="right"/>
              <w:rPr>
                <w:snapToGrid w:val="0"/>
                <w:lang w:eastAsia="sv-SE"/>
              </w:rPr>
            </w:pPr>
          </w:p>
        </w:tc>
        <w:tc>
          <w:tcPr>
            <w:hMerge/>
            <w:tcBorders>
              <w:bottom w:val="single" w:sz="6" w:space="0" w:color="008000"/>
            </w:tcBorders>
          </w:tcPr>
          <w:p w:rsidR="007B7A21" w:rsidRPr="00AD33E8" w:rsidRDefault="007B7A21">
            <w:pPr>
              <w:spacing w:before="0" w:line="240" w:lineRule="auto"/>
              <w:jc w:val="right"/>
              <w:rPr>
                <w:snapToGrid w:val="0"/>
                <w:lang w:eastAsia="sv-SE"/>
              </w:rPr>
            </w:pPr>
          </w:p>
        </w:tc>
        <w:tc>
          <w:tcPr>
            <w:hMerge/>
            <w:tcBorders>
              <w:bottom w:val="single" w:sz="6" w:space="0" w:color="008000"/>
            </w:tcBorders>
          </w:tcPr>
          <w:p w:rsidR="007B7A21" w:rsidRPr="00AD33E8" w:rsidRDefault="007B7A21">
            <w:pPr>
              <w:spacing w:before="0" w:line="240" w:lineRule="auto"/>
              <w:jc w:val="right"/>
              <w:rPr>
                <w:snapToGrid w:val="0"/>
                <w:lang w:eastAsia="sv-SE"/>
              </w:rPr>
            </w:pPr>
          </w:p>
        </w:tc>
        <w:tc>
          <w:tcPr>
            <w:gridSpan w:val="8"/>
            <w:hMerge/>
            <w:tcBorders>
              <w:bottom w:val="single" w:sz="6" w:space="0" w:color="008000"/>
            </w:tcBorders>
          </w:tcPr>
          <w:p w:rsidR="007B7A21" w:rsidRPr="00AD33E8" w:rsidRDefault="007B7A21">
            <w:pPr>
              <w:spacing w:before="0" w:line="240" w:lineRule="auto"/>
              <w:jc w:val="right"/>
              <w:rPr>
                <w:snapToGrid w:val="0"/>
                <w:lang w:eastAsia="sv-SE"/>
              </w:rPr>
            </w:pPr>
          </w:p>
        </w:tc>
      </w:tr>
      <w:tr w:rsidR="00000000" w:rsidRPr="00AD33E8">
        <w:tblPrEx>
          <w:tblCellMar>
            <w:top w:w="0" w:type="dxa"/>
            <w:bottom w:w="0" w:type="dxa"/>
          </w:tblCellMar>
        </w:tblPrEx>
        <w:trPr>
          <w:gridAfter w:val="1"/>
          <w:wAfter w:w="84" w:type="dxa"/>
          <w:trHeight w:val="247"/>
        </w:trPr>
        <w:tc>
          <w:tcPr>
            <w:tcW w:w="2539" w:type="dxa"/>
            <w:gridSpan w:val="7"/>
            <w:tcBorders>
              <w:top w:val="nil"/>
            </w:tcBorders>
          </w:tcPr>
          <w:p w:rsidR="007B7A21" w:rsidRPr="00AD33E8" w:rsidRDefault="007B7A21">
            <w:pPr>
              <w:spacing w:before="0" w:line="240" w:lineRule="auto"/>
              <w:jc w:val="right"/>
              <w:rPr>
                <w:snapToGrid w:val="0"/>
                <w:lang w:eastAsia="sv-SE"/>
              </w:rPr>
            </w:pPr>
          </w:p>
        </w:tc>
        <w:tc>
          <w:tcPr>
            <w:tcW w:w="576" w:type="dxa"/>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1980</w:t>
            </w:r>
          </w:p>
        </w:tc>
        <w:tc>
          <w:tcPr>
            <w:tcW w:w="576" w:type="dxa"/>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1985</w:t>
            </w:r>
          </w:p>
        </w:tc>
        <w:tc>
          <w:tcPr>
            <w:tcW w:w="576" w:type="dxa"/>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1990</w:t>
            </w:r>
          </w:p>
        </w:tc>
        <w:tc>
          <w:tcPr>
            <w:tcW w:w="576" w:type="dxa"/>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1995</w:t>
            </w:r>
          </w:p>
        </w:tc>
        <w:tc>
          <w:tcPr>
            <w:tcW w:w="576" w:type="dxa"/>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1999</w:t>
            </w:r>
          </w:p>
        </w:tc>
        <w:tc>
          <w:tcPr>
            <w:tcW w:w="536" w:type="dxa"/>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w:t>
            </w:r>
          </w:p>
        </w:tc>
      </w:tr>
      <w:tr w:rsidR="00000000" w:rsidRPr="00AD33E8">
        <w:tblPrEx>
          <w:tblCellMar>
            <w:top w:w="0" w:type="dxa"/>
            <w:bottom w:w="0" w:type="dxa"/>
          </w:tblCellMar>
        </w:tblPrEx>
        <w:trPr>
          <w:gridAfter w:val="1"/>
          <w:wAfter w:w="84" w:type="dxa"/>
          <w:trHeight w:val="247"/>
        </w:trPr>
        <w:tc>
          <w:tcPr>
            <w:tcW w:w="2539" w:type="dxa"/>
            <w:gridSpan w:val="7"/>
          </w:tcPr>
          <w:p w:rsidR="007B7A21" w:rsidRPr="00AD33E8" w:rsidRDefault="007B7A21">
            <w:pPr>
              <w:spacing w:before="0" w:line="240" w:lineRule="auto"/>
              <w:rPr>
                <w:snapToGrid w:val="0"/>
                <w:lang w:eastAsia="sv-SE"/>
              </w:rPr>
            </w:pPr>
            <w:r w:rsidRPr="00AD33E8">
              <w:rPr>
                <w:snapToGrid w:val="0"/>
                <w:lang w:eastAsia="sv-SE"/>
              </w:rPr>
              <w:t>Civila statsförvaltningen</w:t>
            </w: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203</w:t>
            </w: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200</w:t>
            </w: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193</w:t>
            </w: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185</w:t>
            </w: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180</w:t>
            </w:r>
          </w:p>
        </w:tc>
        <w:tc>
          <w:tcPr>
            <w:tcW w:w="536" w:type="dxa"/>
          </w:tcPr>
          <w:p w:rsidR="007B7A21" w:rsidRPr="00AD33E8" w:rsidRDefault="007B7A21">
            <w:pPr>
              <w:spacing w:before="0" w:line="240" w:lineRule="auto"/>
              <w:jc w:val="right"/>
              <w:rPr>
                <w:snapToGrid w:val="0"/>
                <w:lang w:eastAsia="sv-SE"/>
              </w:rPr>
            </w:pPr>
            <w:r w:rsidRPr="00AD33E8">
              <w:rPr>
                <w:snapToGrid w:val="0"/>
                <w:lang w:eastAsia="sv-SE"/>
              </w:rPr>
              <w:t>-22</w:t>
            </w:r>
          </w:p>
        </w:tc>
      </w:tr>
      <w:tr w:rsidR="00000000" w:rsidRPr="00AD33E8">
        <w:tblPrEx>
          <w:tblCellMar>
            <w:top w:w="0" w:type="dxa"/>
            <w:bottom w:w="0" w:type="dxa"/>
          </w:tblCellMar>
        </w:tblPrEx>
        <w:trPr>
          <w:gridAfter w:val="1"/>
          <w:wAfter w:w="84" w:type="dxa"/>
          <w:trHeight w:val="300"/>
        </w:trPr>
        <w:tc>
          <w:tcPr>
            <w:tcW w:w="2539" w:type="dxa"/>
            <w:gridSpan w:val="7"/>
          </w:tcPr>
          <w:p w:rsidR="007B7A21" w:rsidRPr="00AD33E8" w:rsidRDefault="007B7A21">
            <w:pPr>
              <w:spacing w:before="0" w:line="240" w:lineRule="auto"/>
              <w:rPr>
                <w:snapToGrid w:val="0"/>
                <w:lang w:eastAsia="sv-SE"/>
              </w:rPr>
            </w:pPr>
            <w:r w:rsidRPr="00AD33E8">
              <w:rPr>
                <w:snapToGrid w:val="0"/>
                <w:lang w:eastAsia="sv-SE"/>
              </w:rPr>
              <w:t>Försvaret</w:t>
            </w: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52</w:t>
            </w: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49</w:t>
            </w: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49</w:t>
            </w: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39</w:t>
            </w: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35</w:t>
            </w:r>
          </w:p>
        </w:tc>
        <w:tc>
          <w:tcPr>
            <w:tcW w:w="536" w:type="dxa"/>
          </w:tcPr>
          <w:p w:rsidR="007B7A21" w:rsidRPr="00AD33E8" w:rsidRDefault="007B7A21">
            <w:pPr>
              <w:spacing w:before="0" w:line="240" w:lineRule="auto"/>
              <w:jc w:val="right"/>
              <w:rPr>
                <w:snapToGrid w:val="0"/>
                <w:lang w:eastAsia="sv-SE"/>
              </w:rPr>
            </w:pPr>
            <w:r w:rsidRPr="00AD33E8">
              <w:rPr>
                <w:snapToGrid w:val="0"/>
                <w:lang w:eastAsia="sv-SE"/>
              </w:rPr>
              <w:t>-18</w:t>
            </w:r>
          </w:p>
        </w:tc>
      </w:tr>
      <w:tr w:rsidR="00000000" w:rsidRPr="00AD33E8">
        <w:tblPrEx>
          <w:tblCellMar>
            <w:top w:w="0" w:type="dxa"/>
            <w:bottom w:w="0" w:type="dxa"/>
          </w:tblCellMar>
        </w:tblPrEx>
        <w:trPr>
          <w:gridAfter w:val="1"/>
          <w:wAfter w:w="84" w:type="dxa"/>
          <w:trHeight w:val="247"/>
        </w:trPr>
        <w:tc>
          <w:tcPr>
            <w:tcW w:w="2539" w:type="dxa"/>
            <w:gridSpan w:val="7"/>
          </w:tcPr>
          <w:p w:rsidR="007B7A21" w:rsidRPr="00AD33E8" w:rsidRDefault="007B7A21">
            <w:pPr>
              <w:spacing w:before="0" w:line="240" w:lineRule="auto"/>
              <w:rPr>
                <w:snapToGrid w:val="0"/>
                <w:lang w:eastAsia="sv-SE"/>
              </w:rPr>
            </w:pPr>
            <w:r w:rsidRPr="00AD33E8">
              <w:rPr>
                <w:snapToGrid w:val="0"/>
                <w:lang w:eastAsia="sv-SE"/>
              </w:rPr>
              <w:t>Affärsverken</w:t>
            </w: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175</w:t>
            </w: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174</w:t>
            </w: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159</w:t>
            </w: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22</w:t>
            </w: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18</w:t>
            </w:r>
          </w:p>
        </w:tc>
        <w:tc>
          <w:tcPr>
            <w:tcW w:w="536" w:type="dxa"/>
          </w:tcPr>
          <w:p w:rsidR="007B7A21" w:rsidRPr="00AD33E8" w:rsidRDefault="007B7A21">
            <w:pPr>
              <w:spacing w:before="0" w:line="240" w:lineRule="auto"/>
              <w:jc w:val="right"/>
              <w:rPr>
                <w:snapToGrid w:val="0"/>
                <w:lang w:eastAsia="sv-SE"/>
              </w:rPr>
            </w:pPr>
            <w:r w:rsidRPr="00AD33E8">
              <w:rPr>
                <w:snapToGrid w:val="0"/>
                <w:lang w:eastAsia="sv-SE"/>
              </w:rPr>
              <w:t>-157</w:t>
            </w:r>
          </w:p>
        </w:tc>
      </w:tr>
      <w:tr w:rsidR="00000000" w:rsidRPr="00AD33E8">
        <w:tblPrEx>
          <w:tblCellMar>
            <w:top w:w="0" w:type="dxa"/>
            <w:bottom w:w="0" w:type="dxa"/>
          </w:tblCellMar>
        </w:tblPrEx>
        <w:trPr>
          <w:gridAfter w:val="1"/>
          <w:wAfter w:w="84" w:type="dxa"/>
          <w:trHeight w:val="247"/>
        </w:trPr>
        <w:tc>
          <w:tcPr>
            <w:tcW w:w="2539" w:type="dxa"/>
            <w:gridSpan w:val="7"/>
          </w:tcPr>
          <w:p w:rsidR="007B7A21" w:rsidRPr="00AD33E8" w:rsidRDefault="007B7A21">
            <w:pPr>
              <w:spacing w:before="0" w:line="240" w:lineRule="auto"/>
              <w:rPr>
                <w:i/>
                <w:snapToGrid w:val="0"/>
                <w:lang w:eastAsia="sv-SE"/>
              </w:rPr>
            </w:pPr>
            <w:r w:rsidRPr="00AD33E8">
              <w:rPr>
                <w:i/>
                <w:snapToGrid w:val="0"/>
                <w:lang w:eastAsia="sv-SE"/>
              </w:rPr>
              <w:t>Summa statsförvaltningen</w:t>
            </w:r>
          </w:p>
        </w:tc>
        <w:tc>
          <w:tcPr>
            <w:tcW w:w="576" w:type="dxa"/>
          </w:tcPr>
          <w:p w:rsidR="007B7A21" w:rsidRPr="00AD33E8" w:rsidRDefault="007B7A21">
            <w:pPr>
              <w:spacing w:before="0" w:line="240" w:lineRule="auto"/>
              <w:jc w:val="right"/>
              <w:rPr>
                <w:i/>
                <w:snapToGrid w:val="0"/>
                <w:lang w:eastAsia="sv-SE"/>
              </w:rPr>
            </w:pPr>
            <w:r w:rsidRPr="00AD33E8">
              <w:rPr>
                <w:i/>
                <w:snapToGrid w:val="0"/>
                <w:lang w:eastAsia="sv-SE"/>
              </w:rPr>
              <w:t>429</w:t>
            </w:r>
          </w:p>
        </w:tc>
        <w:tc>
          <w:tcPr>
            <w:tcW w:w="576" w:type="dxa"/>
          </w:tcPr>
          <w:p w:rsidR="007B7A21" w:rsidRPr="00AD33E8" w:rsidRDefault="007B7A21">
            <w:pPr>
              <w:spacing w:before="0" w:line="240" w:lineRule="auto"/>
              <w:jc w:val="right"/>
              <w:rPr>
                <w:i/>
                <w:snapToGrid w:val="0"/>
                <w:lang w:eastAsia="sv-SE"/>
              </w:rPr>
            </w:pPr>
            <w:r w:rsidRPr="00AD33E8">
              <w:rPr>
                <w:i/>
                <w:snapToGrid w:val="0"/>
                <w:lang w:eastAsia="sv-SE"/>
              </w:rPr>
              <w:t>423</w:t>
            </w:r>
          </w:p>
        </w:tc>
        <w:tc>
          <w:tcPr>
            <w:tcW w:w="576" w:type="dxa"/>
          </w:tcPr>
          <w:p w:rsidR="007B7A21" w:rsidRPr="00AD33E8" w:rsidRDefault="007B7A21">
            <w:pPr>
              <w:spacing w:before="0" w:line="240" w:lineRule="auto"/>
              <w:jc w:val="right"/>
              <w:rPr>
                <w:i/>
                <w:snapToGrid w:val="0"/>
                <w:lang w:eastAsia="sv-SE"/>
              </w:rPr>
            </w:pPr>
            <w:r w:rsidRPr="00AD33E8">
              <w:rPr>
                <w:i/>
                <w:snapToGrid w:val="0"/>
                <w:lang w:eastAsia="sv-SE"/>
              </w:rPr>
              <w:t>401</w:t>
            </w:r>
          </w:p>
        </w:tc>
        <w:tc>
          <w:tcPr>
            <w:tcW w:w="576" w:type="dxa"/>
          </w:tcPr>
          <w:p w:rsidR="007B7A21" w:rsidRPr="00AD33E8" w:rsidRDefault="007B7A21">
            <w:pPr>
              <w:spacing w:before="0" w:line="240" w:lineRule="auto"/>
              <w:jc w:val="right"/>
              <w:rPr>
                <w:i/>
                <w:snapToGrid w:val="0"/>
                <w:lang w:eastAsia="sv-SE"/>
              </w:rPr>
            </w:pPr>
            <w:r w:rsidRPr="00AD33E8">
              <w:rPr>
                <w:i/>
                <w:snapToGrid w:val="0"/>
                <w:lang w:eastAsia="sv-SE"/>
              </w:rPr>
              <w:t>246</w:t>
            </w:r>
          </w:p>
        </w:tc>
        <w:tc>
          <w:tcPr>
            <w:tcW w:w="576" w:type="dxa"/>
          </w:tcPr>
          <w:p w:rsidR="007B7A21" w:rsidRPr="00AD33E8" w:rsidRDefault="007B7A21">
            <w:pPr>
              <w:spacing w:before="0" w:line="240" w:lineRule="auto"/>
              <w:jc w:val="right"/>
              <w:rPr>
                <w:i/>
                <w:snapToGrid w:val="0"/>
                <w:lang w:eastAsia="sv-SE"/>
              </w:rPr>
            </w:pPr>
            <w:r w:rsidRPr="00AD33E8">
              <w:rPr>
                <w:i/>
                <w:snapToGrid w:val="0"/>
                <w:lang w:eastAsia="sv-SE"/>
              </w:rPr>
              <w:t>232</w:t>
            </w:r>
          </w:p>
        </w:tc>
        <w:tc>
          <w:tcPr>
            <w:tcW w:w="536" w:type="dxa"/>
          </w:tcPr>
          <w:p w:rsidR="007B7A21" w:rsidRPr="00AD33E8" w:rsidRDefault="007B7A21">
            <w:pPr>
              <w:spacing w:before="0" w:line="240" w:lineRule="auto"/>
              <w:jc w:val="right"/>
              <w:rPr>
                <w:i/>
                <w:snapToGrid w:val="0"/>
                <w:lang w:eastAsia="sv-SE"/>
              </w:rPr>
            </w:pPr>
            <w:r w:rsidRPr="00AD33E8">
              <w:rPr>
                <w:i/>
                <w:snapToGrid w:val="0"/>
                <w:lang w:eastAsia="sv-SE"/>
              </w:rPr>
              <w:t>-197</w:t>
            </w:r>
          </w:p>
        </w:tc>
      </w:tr>
      <w:tr w:rsidR="00000000" w:rsidRPr="00AD33E8">
        <w:tblPrEx>
          <w:tblCellMar>
            <w:top w:w="0" w:type="dxa"/>
            <w:bottom w:w="0" w:type="dxa"/>
          </w:tblCellMar>
        </w:tblPrEx>
        <w:trPr>
          <w:gridAfter w:val="1"/>
          <w:wAfter w:w="84" w:type="dxa"/>
          <w:trHeight w:val="494"/>
        </w:trPr>
        <w:tc>
          <w:tcPr>
            <w:tcW w:w="2539" w:type="dxa"/>
            <w:gridSpan w:val="7"/>
          </w:tcPr>
          <w:p w:rsidR="007B7A21" w:rsidRPr="00AD33E8" w:rsidRDefault="007B7A21">
            <w:pPr>
              <w:spacing w:before="0" w:line="240" w:lineRule="auto"/>
              <w:jc w:val="left"/>
              <w:rPr>
                <w:snapToGrid w:val="0"/>
                <w:lang w:eastAsia="sv-SE"/>
              </w:rPr>
            </w:pPr>
            <w:r w:rsidRPr="00AD33E8">
              <w:rPr>
                <w:snapToGrid w:val="0"/>
                <w:lang w:eastAsia="sv-SE"/>
              </w:rPr>
              <w:t>Primärkommunal, statligt lön</w:t>
            </w:r>
            <w:r w:rsidRPr="00AD33E8">
              <w:rPr>
                <w:snapToGrid w:val="0"/>
                <w:lang w:eastAsia="sv-SE"/>
              </w:rPr>
              <w:t>e</w:t>
            </w:r>
            <w:r w:rsidRPr="00AD33E8">
              <w:rPr>
                <w:snapToGrid w:val="0"/>
                <w:lang w:eastAsia="sv-SE"/>
              </w:rPr>
              <w:t>reglerad verksamhet (lärare)</w:t>
            </w:r>
          </w:p>
        </w:tc>
        <w:tc>
          <w:tcPr>
            <w:tcW w:w="576" w:type="dxa"/>
          </w:tcPr>
          <w:p w:rsidR="007B7A21" w:rsidRPr="00AD33E8" w:rsidRDefault="007B7A21">
            <w:pPr>
              <w:spacing w:before="0" w:line="240" w:lineRule="auto"/>
              <w:jc w:val="right"/>
              <w:rPr>
                <w:snapToGrid w:val="0"/>
                <w:lang w:eastAsia="sv-SE"/>
              </w:rPr>
            </w:pPr>
          </w:p>
          <w:p w:rsidR="007B7A21" w:rsidRPr="00AD33E8" w:rsidRDefault="007B7A21">
            <w:pPr>
              <w:spacing w:before="0" w:line="240" w:lineRule="auto"/>
              <w:jc w:val="right"/>
              <w:rPr>
                <w:snapToGrid w:val="0"/>
                <w:lang w:eastAsia="sv-SE"/>
              </w:rPr>
            </w:pPr>
            <w:r w:rsidRPr="00AD33E8">
              <w:rPr>
                <w:snapToGrid w:val="0"/>
                <w:lang w:eastAsia="sv-SE"/>
              </w:rPr>
              <w:t>135</w:t>
            </w:r>
          </w:p>
        </w:tc>
        <w:tc>
          <w:tcPr>
            <w:tcW w:w="576" w:type="dxa"/>
          </w:tcPr>
          <w:p w:rsidR="007B7A21" w:rsidRPr="00AD33E8" w:rsidRDefault="007B7A21">
            <w:pPr>
              <w:spacing w:before="0" w:line="240" w:lineRule="auto"/>
              <w:jc w:val="right"/>
              <w:rPr>
                <w:snapToGrid w:val="0"/>
                <w:lang w:eastAsia="sv-SE"/>
              </w:rPr>
            </w:pPr>
          </w:p>
          <w:p w:rsidR="007B7A21" w:rsidRPr="00AD33E8" w:rsidRDefault="007B7A21">
            <w:pPr>
              <w:spacing w:before="0" w:line="240" w:lineRule="auto"/>
              <w:jc w:val="right"/>
              <w:rPr>
                <w:snapToGrid w:val="0"/>
                <w:lang w:eastAsia="sv-SE"/>
              </w:rPr>
            </w:pPr>
            <w:r w:rsidRPr="00AD33E8">
              <w:rPr>
                <w:snapToGrid w:val="0"/>
                <w:lang w:eastAsia="sv-SE"/>
              </w:rPr>
              <w:t>135</w:t>
            </w:r>
          </w:p>
        </w:tc>
        <w:tc>
          <w:tcPr>
            <w:tcW w:w="576" w:type="dxa"/>
          </w:tcPr>
          <w:p w:rsidR="007B7A21" w:rsidRPr="00AD33E8" w:rsidRDefault="007B7A21">
            <w:pPr>
              <w:spacing w:before="0" w:line="240" w:lineRule="auto"/>
              <w:jc w:val="right"/>
              <w:rPr>
                <w:snapToGrid w:val="0"/>
                <w:lang w:eastAsia="sv-SE"/>
              </w:rPr>
            </w:pPr>
          </w:p>
          <w:p w:rsidR="007B7A21" w:rsidRPr="00AD33E8" w:rsidRDefault="007B7A21">
            <w:pPr>
              <w:spacing w:before="0" w:line="240" w:lineRule="auto"/>
              <w:jc w:val="right"/>
              <w:rPr>
                <w:snapToGrid w:val="0"/>
                <w:lang w:eastAsia="sv-SE"/>
              </w:rPr>
            </w:pPr>
            <w:r w:rsidRPr="00AD33E8">
              <w:rPr>
                <w:snapToGrid w:val="0"/>
                <w:lang w:eastAsia="sv-SE"/>
              </w:rPr>
              <w:t>135</w:t>
            </w:r>
          </w:p>
        </w:tc>
        <w:tc>
          <w:tcPr>
            <w:tcW w:w="576" w:type="dxa"/>
          </w:tcPr>
          <w:p w:rsidR="007B7A21" w:rsidRPr="00AD33E8" w:rsidRDefault="007B7A21">
            <w:pPr>
              <w:spacing w:before="0" w:line="240" w:lineRule="auto"/>
              <w:jc w:val="right"/>
              <w:rPr>
                <w:snapToGrid w:val="0"/>
                <w:lang w:eastAsia="sv-SE"/>
              </w:rPr>
            </w:pPr>
          </w:p>
        </w:tc>
        <w:tc>
          <w:tcPr>
            <w:tcW w:w="576" w:type="dxa"/>
          </w:tcPr>
          <w:p w:rsidR="007B7A21" w:rsidRPr="00AD33E8" w:rsidRDefault="007B7A21">
            <w:pPr>
              <w:spacing w:before="0" w:line="240" w:lineRule="auto"/>
              <w:jc w:val="right"/>
              <w:rPr>
                <w:snapToGrid w:val="0"/>
                <w:lang w:eastAsia="sv-SE"/>
              </w:rPr>
            </w:pPr>
          </w:p>
        </w:tc>
        <w:tc>
          <w:tcPr>
            <w:tcW w:w="536" w:type="dxa"/>
          </w:tcPr>
          <w:p w:rsidR="007B7A21" w:rsidRPr="00AD33E8" w:rsidRDefault="007B7A21">
            <w:pPr>
              <w:spacing w:before="0" w:line="240" w:lineRule="auto"/>
              <w:jc w:val="right"/>
              <w:rPr>
                <w:snapToGrid w:val="0"/>
                <w:lang w:eastAsia="sv-SE"/>
              </w:rPr>
            </w:pPr>
          </w:p>
          <w:p w:rsidR="007B7A21" w:rsidRPr="00AD33E8" w:rsidRDefault="007B7A21">
            <w:pPr>
              <w:spacing w:before="0" w:line="240" w:lineRule="auto"/>
              <w:jc w:val="right"/>
              <w:rPr>
                <w:snapToGrid w:val="0"/>
                <w:lang w:eastAsia="sv-SE"/>
              </w:rPr>
            </w:pPr>
            <w:r w:rsidRPr="00AD33E8">
              <w:rPr>
                <w:snapToGrid w:val="0"/>
                <w:lang w:eastAsia="sv-SE"/>
              </w:rPr>
              <w:t>-135</w:t>
            </w:r>
          </w:p>
        </w:tc>
      </w:tr>
      <w:tr w:rsidR="00000000" w:rsidRPr="00AD33E8">
        <w:tblPrEx>
          <w:tblCellMar>
            <w:top w:w="0" w:type="dxa"/>
            <w:bottom w:w="0" w:type="dxa"/>
          </w:tblCellMar>
        </w:tblPrEx>
        <w:trPr>
          <w:gridAfter w:val="1"/>
          <w:wAfter w:w="84" w:type="dxa"/>
          <w:trHeight w:val="247"/>
        </w:trPr>
        <w:tc>
          <w:tcPr>
            <w:tcW w:w="2539" w:type="dxa"/>
            <w:gridSpan w:val="7"/>
          </w:tcPr>
          <w:p w:rsidR="007B7A21" w:rsidRPr="00AD33E8" w:rsidRDefault="007B7A21">
            <w:pPr>
              <w:spacing w:before="0" w:line="240" w:lineRule="auto"/>
              <w:rPr>
                <w:snapToGrid w:val="0"/>
                <w:lang w:eastAsia="sv-SE"/>
              </w:rPr>
            </w:pPr>
            <w:r w:rsidRPr="00AD33E8">
              <w:rPr>
                <w:snapToGrid w:val="0"/>
                <w:lang w:eastAsia="sv-SE"/>
              </w:rPr>
              <w:t>Kyrkokommunal verksa</w:t>
            </w:r>
            <w:r w:rsidRPr="00AD33E8">
              <w:rPr>
                <w:snapToGrid w:val="0"/>
                <w:lang w:eastAsia="sv-SE"/>
              </w:rPr>
              <w:t>m</w:t>
            </w:r>
            <w:r w:rsidRPr="00AD33E8">
              <w:rPr>
                <w:snapToGrid w:val="0"/>
                <w:lang w:eastAsia="sv-SE"/>
              </w:rPr>
              <w:t>het</w:t>
            </w: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19</w:t>
            </w: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22</w:t>
            </w:r>
          </w:p>
        </w:tc>
        <w:tc>
          <w:tcPr>
            <w:tcW w:w="576" w:type="dxa"/>
          </w:tcPr>
          <w:p w:rsidR="007B7A21" w:rsidRPr="00AD33E8" w:rsidRDefault="007B7A21">
            <w:pPr>
              <w:spacing w:before="0" w:line="240" w:lineRule="auto"/>
              <w:jc w:val="right"/>
              <w:rPr>
                <w:snapToGrid w:val="0"/>
                <w:lang w:eastAsia="sv-SE"/>
              </w:rPr>
            </w:pP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25</w:t>
            </w: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24</w:t>
            </w:r>
          </w:p>
        </w:tc>
        <w:tc>
          <w:tcPr>
            <w:tcW w:w="536" w:type="dxa"/>
          </w:tcPr>
          <w:p w:rsidR="007B7A21" w:rsidRPr="00AD33E8" w:rsidRDefault="007B7A21">
            <w:pPr>
              <w:spacing w:before="0" w:line="240" w:lineRule="auto"/>
              <w:jc w:val="right"/>
              <w:rPr>
                <w:snapToGrid w:val="0"/>
                <w:lang w:eastAsia="sv-SE"/>
              </w:rPr>
            </w:pPr>
            <w:r w:rsidRPr="00AD33E8">
              <w:rPr>
                <w:snapToGrid w:val="0"/>
                <w:lang w:eastAsia="sv-SE"/>
              </w:rPr>
              <w:t>5</w:t>
            </w:r>
          </w:p>
        </w:tc>
      </w:tr>
      <w:tr w:rsidR="00000000" w:rsidRPr="00AD33E8">
        <w:tblPrEx>
          <w:tblCellMar>
            <w:top w:w="0" w:type="dxa"/>
            <w:bottom w:w="0" w:type="dxa"/>
          </w:tblCellMar>
        </w:tblPrEx>
        <w:trPr>
          <w:gridAfter w:val="1"/>
          <w:wAfter w:w="84" w:type="dxa"/>
          <w:trHeight w:val="247"/>
        </w:trPr>
        <w:tc>
          <w:tcPr>
            <w:tcW w:w="2539" w:type="dxa"/>
            <w:gridSpan w:val="7"/>
          </w:tcPr>
          <w:p w:rsidR="007B7A21" w:rsidRPr="00AD33E8" w:rsidRDefault="007B7A21">
            <w:pPr>
              <w:spacing w:before="0" w:line="240" w:lineRule="auto"/>
              <w:rPr>
                <w:snapToGrid w:val="0"/>
                <w:lang w:eastAsia="sv-SE"/>
              </w:rPr>
            </w:pPr>
            <w:r w:rsidRPr="00AD33E8">
              <w:rPr>
                <w:snapToGrid w:val="0"/>
                <w:lang w:eastAsia="sv-SE"/>
              </w:rPr>
              <w:t>Övrig offentlig verksamhet</w:t>
            </w: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26</w:t>
            </w: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23</w:t>
            </w: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23</w:t>
            </w: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18</w:t>
            </w:r>
          </w:p>
        </w:tc>
        <w:tc>
          <w:tcPr>
            <w:tcW w:w="576" w:type="dxa"/>
          </w:tcPr>
          <w:p w:rsidR="007B7A21" w:rsidRPr="00AD33E8" w:rsidRDefault="007B7A21">
            <w:pPr>
              <w:spacing w:before="0" w:line="240" w:lineRule="auto"/>
              <w:jc w:val="right"/>
              <w:rPr>
                <w:snapToGrid w:val="0"/>
                <w:lang w:eastAsia="sv-SE"/>
              </w:rPr>
            </w:pPr>
            <w:r w:rsidRPr="00AD33E8">
              <w:rPr>
                <w:snapToGrid w:val="0"/>
                <w:lang w:eastAsia="sv-SE"/>
              </w:rPr>
              <w:t>14</w:t>
            </w:r>
          </w:p>
        </w:tc>
        <w:tc>
          <w:tcPr>
            <w:tcW w:w="536" w:type="dxa"/>
          </w:tcPr>
          <w:p w:rsidR="007B7A21" w:rsidRPr="00AD33E8" w:rsidRDefault="007B7A21">
            <w:pPr>
              <w:spacing w:before="0" w:line="240" w:lineRule="auto"/>
              <w:jc w:val="right"/>
              <w:rPr>
                <w:snapToGrid w:val="0"/>
                <w:lang w:eastAsia="sv-SE"/>
              </w:rPr>
            </w:pPr>
            <w:r w:rsidRPr="00AD33E8">
              <w:rPr>
                <w:snapToGrid w:val="0"/>
                <w:lang w:eastAsia="sv-SE"/>
              </w:rPr>
              <w:t>-12</w:t>
            </w:r>
          </w:p>
        </w:tc>
      </w:tr>
      <w:tr w:rsidR="00000000" w:rsidRPr="00AD33E8">
        <w:tblPrEx>
          <w:tblCellMar>
            <w:top w:w="0" w:type="dxa"/>
            <w:bottom w:w="0" w:type="dxa"/>
          </w:tblCellMar>
        </w:tblPrEx>
        <w:trPr>
          <w:gridAfter w:val="1"/>
          <w:wAfter w:w="84" w:type="dxa"/>
          <w:trHeight w:val="247"/>
        </w:trPr>
        <w:tc>
          <w:tcPr>
            <w:tcW w:w="2539" w:type="dxa"/>
            <w:gridSpan w:val="7"/>
          </w:tcPr>
          <w:p w:rsidR="007B7A21" w:rsidRPr="00AD33E8" w:rsidRDefault="007B7A21">
            <w:pPr>
              <w:spacing w:before="0" w:line="240" w:lineRule="auto"/>
              <w:rPr>
                <w:snapToGrid w:val="0"/>
                <w:lang w:eastAsia="sv-SE"/>
              </w:rPr>
            </w:pPr>
            <w:r w:rsidRPr="00AD33E8">
              <w:rPr>
                <w:snapToGrid w:val="0"/>
                <w:lang w:eastAsia="sv-SE"/>
              </w:rPr>
              <w:t>Källa: Statistisk årsbok</w:t>
            </w:r>
          </w:p>
        </w:tc>
        <w:tc>
          <w:tcPr>
            <w:tcW w:w="576" w:type="dxa"/>
          </w:tcPr>
          <w:p w:rsidR="007B7A21" w:rsidRPr="00AD33E8" w:rsidRDefault="007B7A21">
            <w:pPr>
              <w:spacing w:before="0" w:line="240" w:lineRule="auto"/>
              <w:jc w:val="right"/>
              <w:rPr>
                <w:snapToGrid w:val="0"/>
                <w:lang w:eastAsia="sv-SE"/>
              </w:rPr>
            </w:pPr>
          </w:p>
        </w:tc>
        <w:tc>
          <w:tcPr>
            <w:tcW w:w="576" w:type="dxa"/>
          </w:tcPr>
          <w:p w:rsidR="007B7A21" w:rsidRPr="00AD33E8" w:rsidRDefault="007B7A21">
            <w:pPr>
              <w:spacing w:before="0" w:line="240" w:lineRule="auto"/>
              <w:jc w:val="right"/>
              <w:rPr>
                <w:snapToGrid w:val="0"/>
                <w:lang w:eastAsia="sv-SE"/>
              </w:rPr>
            </w:pPr>
          </w:p>
        </w:tc>
        <w:tc>
          <w:tcPr>
            <w:tcW w:w="576" w:type="dxa"/>
          </w:tcPr>
          <w:p w:rsidR="007B7A21" w:rsidRPr="00AD33E8" w:rsidRDefault="007B7A21">
            <w:pPr>
              <w:spacing w:before="0" w:line="240" w:lineRule="auto"/>
              <w:jc w:val="right"/>
              <w:rPr>
                <w:snapToGrid w:val="0"/>
                <w:lang w:eastAsia="sv-SE"/>
              </w:rPr>
            </w:pPr>
          </w:p>
        </w:tc>
        <w:tc>
          <w:tcPr>
            <w:tcW w:w="576" w:type="dxa"/>
          </w:tcPr>
          <w:p w:rsidR="007B7A21" w:rsidRPr="00AD33E8" w:rsidRDefault="007B7A21">
            <w:pPr>
              <w:spacing w:before="0" w:line="240" w:lineRule="auto"/>
              <w:jc w:val="right"/>
              <w:rPr>
                <w:snapToGrid w:val="0"/>
                <w:lang w:eastAsia="sv-SE"/>
              </w:rPr>
            </w:pPr>
          </w:p>
        </w:tc>
        <w:tc>
          <w:tcPr>
            <w:tcW w:w="576" w:type="dxa"/>
          </w:tcPr>
          <w:p w:rsidR="007B7A21" w:rsidRPr="00AD33E8" w:rsidRDefault="007B7A21">
            <w:pPr>
              <w:spacing w:before="0" w:line="240" w:lineRule="auto"/>
              <w:jc w:val="right"/>
              <w:rPr>
                <w:snapToGrid w:val="0"/>
                <w:lang w:eastAsia="sv-SE"/>
              </w:rPr>
            </w:pPr>
          </w:p>
        </w:tc>
        <w:tc>
          <w:tcPr>
            <w:tcW w:w="536" w:type="dxa"/>
          </w:tcPr>
          <w:p w:rsidR="007B7A21" w:rsidRPr="00AD33E8" w:rsidRDefault="007B7A21">
            <w:pPr>
              <w:spacing w:before="0" w:line="240" w:lineRule="auto"/>
              <w:jc w:val="right"/>
              <w:rPr>
                <w:snapToGrid w:val="0"/>
                <w:lang w:eastAsia="sv-SE"/>
              </w:rPr>
            </w:pPr>
          </w:p>
        </w:tc>
      </w:tr>
      <w:tr w:rsidR="00000000" w:rsidRPr="00AD33E8">
        <w:tblPrEx>
          <w:tblCellMar>
            <w:top w:w="0" w:type="dxa"/>
            <w:bottom w:w="0" w:type="dxa"/>
          </w:tblCellMar>
        </w:tblPrEx>
        <w:trPr>
          <w:gridAfter w:val="1"/>
          <w:wAfter w:w="84" w:type="dxa"/>
          <w:trHeight w:val="247"/>
        </w:trPr>
        <w:tc>
          <w:tcPr>
            <w:tcW w:w="2539" w:type="dxa"/>
            <w:gridSpan w:val="7"/>
          </w:tcPr>
          <w:p w:rsidR="007B7A21" w:rsidRPr="00AD33E8" w:rsidRDefault="007B7A21">
            <w:pPr>
              <w:spacing w:before="0" w:line="240" w:lineRule="auto"/>
              <w:rPr>
                <w:snapToGrid w:val="0"/>
                <w:lang w:eastAsia="sv-SE"/>
              </w:rPr>
            </w:pPr>
            <w:r w:rsidRPr="00AD33E8">
              <w:rPr>
                <w:snapToGrid w:val="0"/>
                <w:lang w:eastAsia="sv-SE"/>
              </w:rPr>
              <w:t>* Även RSV</w:t>
            </w:r>
          </w:p>
        </w:tc>
        <w:tc>
          <w:tcPr>
            <w:tcW w:w="576" w:type="dxa"/>
          </w:tcPr>
          <w:p w:rsidR="007B7A21" w:rsidRPr="00AD33E8" w:rsidRDefault="007B7A21">
            <w:pPr>
              <w:spacing w:before="0" w:line="240" w:lineRule="auto"/>
              <w:jc w:val="right"/>
              <w:rPr>
                <w:snapToGrid w:val="0"/>
                <w:lang w:eastAsia="sv-SE"/>
              </w:rPr>
            </w:pPr>
          </w:p>
        </w:tc>
        <w:tc>
          <w:tcPr>
            <w:tcW w:w="576" w:type="dxa"/>
          </w:tcPr>
          <w:p w:rsidR="007B7A21" w:rsidRPr="00AD33E8" w:rsidRDefault="007B7A21">
            <w:pPr>
              <w:spacing w:before="0" w:line="240" w:lineRule="auto"/>
              <w:jc w:val="right"/>
              <w:rPr>
                <w:snapToGrid w:val="0"/>
                <w:lang w:eastAsia="sv-SE"/>
              </w:rPr>
            </w:pPr>
          </w:p>
        </w:tc>
        <w:tc>
          <w:tcPr>
            <w:tcW w:w="576" w:type="dxa"/>
          </w:tcPr>
          <w:p w:rsidR="007B7A21" w:rsidRPr="00AD33E8" w:rsidRDefault="007B7A21">
            <w:pPr>
              <w:spacing w:before="0" w:line="240" w:lineRule="auto"/>
              <w:jc w:val="right"/>
              <w:rPr>
                <w:snapToGrid w:val="0"/>
                <w:lang w:eastAsia="sv-SE"/>
              </w:rPr>
            </w:pPr>
          </w:p>
        </w:tc>
        <w:tc>
          <w:tcPr>
            <w:tcW w:w="576" w:type="dxa"/>
          </w:tcPr>
          <w:p w:rsidR="007B7A21" w:rsidRPr="00AD33E8" w:rsidRDefault="007B7A21">
            <w:pPr>
              <w:spacing w:before="0" w:line="240" w:lineRule="auto"/>
              <w:jc w:val="right"/>
              <w:rPr>
                <w:snapToGrid w:val="0"/>
                <w:lang w:eastAsia="sv-SE"/>
              </w:rPr>
            </w:pPr>
          </w:p>
        </w:tc>
        <w:tc>
          <w:tcPr>
            <w:tcW w:w="576" w:type="dxa"/>
          </w:tcPr>
          <w:p w:rsidR="007B7A21" w:rsidRPr="00AD33E8" w:rsidRDefault="007B7A21">
            <w:pPr>
              <w:spacing w:before="0" w:line="240" w:lineRule="auto"/>
              <w:jc w:val="right"/>
              <w:rPr>
                <w:snapToGrid w:val="0"/>
                <w:lang w:eastAsia="sv-SE"/>
              </w:rPr>
            </w:pPr>
          </w:p>
        </w:tc>
        <w:tc>
          <w:tcPr>
            <w:tcW w:w="536" w:type="dxa"/>
          </w:tcPr>
          <w:p w:rsidR="007B7A21" w:rsidRPr="00AD33E8" w:rsidRDefault="007B7A21">
            <w:pPr>
              <w:spacing w:before="0" w:line="240" w:lineRule="auto"/>
              <w:jc w:val="right"/>
              <w:rPr>
                <w:snapToGrid w:val="0"/>
                <w:lang w:eastAsia="sv-SE"/>
              </w:rPr>
            </w:pPr>
          </w:p>
        </w:tc>
      </w:tr>
    </w:tbl>
    <w:p w:rsidR="007B7A21" w:rsidRPr="00AD33E8" w:rsidRDefault="007B7A21">
      <w:pPr>
        <w:pStyle w:val="Normaltindrag"/>
      </w:pPr>
      <w:r w:rsidRPr="00AD33E8">
        <w:t>För den civila statsförvaltningen, se tabell 2, har den minskade bema</w:t>
      </w:r>
      <w:r w:rsidRPr="00AD33E8">
        <w:t>n</w:t>
      </w:r>
      <w:r w:rsidRPr="00AD33E8">
        <w:t xml:space="preserve">ningen genomförts av flera olika skäl. </w:t>
      </w:r>
    </w:p>
    <w:p w:rsidR="007B7A21" w:rsidRPr="00AD33E8" w:rsidRDefault="007B7A21">
      <w:pPr>
        <w:pStyle w:val="Normaltindrag"/>
      </w:pPr>
      <w:r w:rsidRPr="00AD33E8">
        <w:br w:type="page"/>
      </w: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1"/>
        <w:gridCol w:w="1"/>
        <w:gridCol w:w="1"/>
        <w:gridCol w:w="1"/>
        <w:gridCol w:w="1"/>
        <w:gridCol w:w="2293"/>
        <w:gridCol w:w="680"/>
        <w:gridCol w:w="680"/>
        <w:gridCol w:w="680"/>
        <w:gridCol w:w="680"/>
        <w:gridCol w:w="680"/>
        <w:gridCol w:w="237"/>
      </w:tblGrid>
      <w:tr w:rsidR="00000000" w:rsidRPr="00AD33E8">
        <w:tblPrEx>
          <w:tblCellMar>
            <w:top w:w="0" w:type="dxa"/>
            <w:bottom w:w="0" w:type="dxa"/>
          </w:tblCellMar>
        </w:tblPrEx>
        <w:trPr>
          <w:trHeight w:val="247"/>
        </w:trPr>
        <w:tc>
          <w:tcPr>
            <w:tcW w:w="5935" w:type="dxa"/>
            <w:hMerge w:val="restart"/>
            <w:tcBorders>
              <w:bottom w:val="single" w:sz="6" w:space="0" w:color="008000"/>
            </w:tcBorders>
          </w:tcPr>
          <w:p w:rsidR="007B7A21" w:rsidRPr="00AD33E8" w:rsidRDefault="007B7A21">
            <w:pPr>
              <w:spacing w:before="0" w:line="240" w:lineRule="auto"/>
              <w:rPr>
                <w:b/>
                <w:snapToGrid w:val="0"/>
                <w:lang w:eastAsia="sv-SE"/>
              </w:rPr>
            </w:pPr>
            <w:r w:rsidRPr="00AD33E8">
              <w:rPr>
                <w:b/>
                <w:snapToGrid w:val="0"/>
                <w:lang w:eastAsia="sv-SE"/>
              </w:rPr>
              <w:t>Tabell 2: Anställda inom civil statsförvaltning, några av dess större sektorer samt  övrig offentlig sektor 1980–1999, tuse</w:t>
            </w:r>
            <w:r w:rsidRPr="00AD33E8">
              <w:rPr>
                <w:b/>
                <w:snapToGrid w:val="0"/>
                <w:lang w:eastAsia="sv-SE"/>
              </w:rPr>
              <w:t>n</w:t>
            </w:r>
            <w:r w:rsidRPr="00AD33E8">
              <w:rPr>
                <w:b/>
                <w:snapToGrid w:val="0"/>
                <w:lang w:eastAsia="sv-SE"/>
              </w:rPr>
              <w:t>tal</w:t>
            </w:r>
          </w:p>
        </w:tc>
        <w:tc>
          <w:tcPr>
            <w:hMerge/>
            <w:tcBorders>
              <w:bottom w:val="single" w:sz="6" w:space="0" w:color="008000"/>
            </w:tcBorders>
          </w:tcPr>
          <w:p w:rsidR="007B7A21" w:rsidRPr="00AD33E8" w:rsidRDefault="007B7A21">
            <w:pPr>
              <w:spacing w:before="0" w:line="240" w:lineRule="auto"/>
              <w:jc w:val="right"/>
              <w:rPr>
                <w:snapToGrid w:val="0"/>
                <w:lang w:eastAsia="sv-SE"/>
              </w:rPr>
            </w:pPr>
          </w:p>
        </w:tc>
        <w:tc>
          <w:tcPr>
            <w:hMerge/>
            <w:tcBorders>
              <w:bottom w:val="single" w:sz="6" w:space="0" w:color="008000"/>
            </w:tcBorders>
          </w:tcPr>
          <w:p w:rsidR="007B7A21" w:rsidRPr="00AD33E8" w:rsidRDefault="007B7A21">
            <w:pPr>
              <w:spacing w:before="0" w:line="240" w:lineRule="auto"/>
              <w:jc w:val="right"/>
              <w:rPr>
                <w:snapToGrid w:val="0"/>
                <w:lang w:eastAsia="sv-SE"/>
              </w:rPr>
            </w:pPr>
          </w:p>
        </w:tc>
        <w:tc>
          <w:tcPr>
            <w:hMerge/>
            <w:tcBorders>
              <w:bottom w:val="single" w:sz="6" w:space="0" w:color="008000"/>
            </w:tcBorders>
          </w:tcPr>
          <w:p w:rsidR="007B7A21" w:rsidRPr="00AD33E8" w:rsidRDefault="007B7A21">
            <w:pPr>
              <w:spacing w:before="0" w:line="240" w:lineRule="auto"/>
              <w:jc w:val="right"/>
              <w:rPr>
                <w:snapToGrid w:val="0"/>
                <w:lang w:eastAsia="sv-SE"/>
              </w:rPr>
            </w:pPr>
          </w:p>
        </w:tc>
        <w:tc>
          <w:tcPr>
            <w:hMerge/>
            <w:tcBorders>
              <w:bottom w:val="single" w:sz="6" w:space="0" w:color="008000"/>
            </w:tcBorders>
          </w:tcPr>
          <w:p w:rsidR="007B7A21" w:rsidRPr="00AD33E8" w:rsidRDefault="007B7A21">
            <w:pPr>
              <w:spacing w:before="0" w:line="240" w:lineRule="auto"/>
              <w:jc w:val="right"/>
              <w:rPr>
                <w:snapToGrid w:val="0"/>
                <w:lang w:eastAsia="sv-SE"/>
              </w:rPr>
            </w:pPr>
          </w:p>
        </w:tc>
        <w:tc>
          <w:tcPr>
            <w:gridSpan w:val="7"/>
            <w:hMerge/>
            <w:tcBorders>
              <w:bottom w:val="single" w:sz="6" w:space="0" w:color="008000"/>
            </w:tcBorders>
          </w:tcPr>
          <w:p w:rsidR="007B7A21" w:rsidRPr="00AD33E8" w:rsidRDefault="007B7A21">
            <w:pPr>
              <w:spacing w:before="0" w:line="240" w:lineRule="auto"/>
              <w:jc w:val="right"/>
              <w:rPr>
                <w:snapToGrid w:val="0"/>
                <w:lang w:eastAsia="sv-SE"/>
              </w:rPr>
            </w:pPr>
          </w:p>
        </w:tc>
      </w:tr>
      <w:tr w:rsidR="00000000" w:rsidRPr="00AD33E8">
        <w:tblPrEx>
          <w:tblCellMar>
            <w:top w:w="0" w:type="dxa"/>
            <w:bottom w:w="0" w:type="dxa"/>
          </w:tblCellMar>
        </w:tblPrEx>
        <w:trPr>
          <w:gridAfter w:val="1"/>
          <w:wAfter w:w="237" w:type="dxa"/>
          <w:trHeight w:val="247"/>
        </w:trPr>
        <w:tc>
          <w:tcPr>
            <w:tcW w:w="2298" w:type="dxa"/>
            <w:gridSpan w:val="6"/>
            <w:tcBorders>
              <w:top w:val="nil"/>
            </w:tcBorders>
          </w:tcPr>
          <w:p w:rsidR="007B7A21" w:rsidRPr="00AD33E8" w:rsidRDefault="007B7A21">
            <w:pPr>
              <w:spacing w:before="0" w:line="240" w:lineRule="auto"/>
              <w:jc w:val="right"/>
              <w:rPr>
                <w:snapToGrid w:val="0"/>
                <w:lang w:eastAsia="sv-SE"/>
              </w:rPr>
            </w:pPr>
          </w:p>
        </w:tc>
        <w:tc>
          <w:tcPr>
            <w:tcW w:w="680" w:type="dxa"/>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1980</w:t>
            </w:r>
          </w:p>
        </w:tc>
        <w:tc>
          <w:tcPr>
            <w:tcW w:w="680" w:type="dxa"/>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1985</w:t>
            </w:r>
          </w:p>
        </w:tc>
        <w:tc>
          <w:tcPr>
            <w:tcW w:w="680" w:type="dxa"/>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1990</w:t>
            </w:r>
          </w:p>
        </w:tc>
        <w:tc>
          <w:tcPr>
            <w:tcW w:w="680" w:type="dxa"/>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1995</w:t>
            </w:r>
          </w:p>
        </w:tc>
        <w:tc>
          <w:tcPr>
            <w:tcW w:w="680" w:type="dxa"/>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1999</w:t>
            </w:r>
          </w:p>
        </w:tc>
      </w:tr>
      <w:tr w:rsidR="00000000" w:rsidRPr="00AD33E8">
        <w:tblPrEx>
          <w:tblCellMar>
            <w:top w:w="0" w:type="dxa"/>
            <w:bottom w:w="0" w:type="dxa"/>
          </w:tblCellMar>
        </w:tblPrEx>
        <w:trPr>
          <w:gridAfter w:val="1"/>
          <w:wAfter w:w="237" w:type="dxa"/>
          <w:trHeight w:val="247"/>
        </w:trPr>
        <w:tc>
          <w:tcPr>
            <w:tcW w:w="2298" w:type="dxa"/>
            <w:gridSpan w:val="6"/>
          </w:tcPr>
          <w:p w:rsidR="007B7A21" w:rsidRPr="00AD33E8" w:rsidRDefault="007B7A21">
            <w:pPr>
              <w:spacing w:before="0" w:line="240" w:lineRule="auto"/>
              <w:rPr>
                <w:snapToGrid w:val="0"/>
                <w:lang w:eastAsia="sv-SE"/>
              </w:rPr>
            </w:pPr>
            <w:r w:rsidRPr="00AD33E8">
              <w:rPr>
                <w:snapToGrid w:val="0"/>
                <w:lang w:eastAsia="sv-SE"/>
              </w:rPr>
              <w:t>Civila statsförvaltni</w:t>
            </w:r>
            <w:r w:rsidRPr="00AD33E8">
              <w:rPr>
                <w:snapToGrid w:val="0"/>
                <w:lang w:eastAsia="sv-SE"/>
              </w:rPr>
              <w:t>n</w:t>
            </w:r>
            <w:r w:rsidRPr="00AD33E8">
              <w:rPr>
                <w:snapToGrid w:val="0"/>
                <w:lang w:eastAsia="sv-SE"/>
              </w:rPr>
              <w:t>gen</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202,6</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199,5</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193,4</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185,1</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180,0</w:t>
            </w:r>
          </w:p>
        </w:tc>
      </w:tr>
      <w:tr w:rsidR="00000000" w:rsidRPr="00AD33E8">
        <w:tblPrEx>
          <w:tblCellMar>
            <w:top w:w="0" w:type="dxa"/>
            <w:bottom w:w="0" w:type="dxa"/>
          </w:tblCellMar>
        </w:tblPrEx>
        <w:trPr>
          <w:gridAfter w:val="1"/>
          <w:wAfter w:w="237" w:type="dxa"/>
          <w:trHeight w:val="247"/>
        </w:trPr>
        <w:tc>
          <w:tcPr>
            <w:tcW w:w="2298" w:type="dxa"/>
            <w:gridSpan w:val="6"/>
          </w:tcPr>
          <w:p w:rsidR="007B7A21" w:rsidRPr="00AD33E8" w:rsidRDefault="007B7A21">
            <w:pPr>
              <w:spacing w:before="0" w:line="240" w:lineRule="auto"/>
              <w:rPr>
                <w:snapToGrid w:val="0"/>
                <w:lang w:eastAsia="sv-SE"/>
              </w:rPr>
            </w:pPr>
            <w:r w:rsidRPr="00AD33E8">
              <w:rPr>
                <w:snapToGrid w:val="0"/>
                <w:lang w:eastAsia="sv-SE"/>
              </w:rPr>
              <w:t>- Arbetsmarknadsverket</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13,4</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15,1</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11,8</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12,6</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11,8</w:t>
            </w:r>
          </w:p>
        </w:tc>
      </w:tr>
      <w:tr w:rsidR="00000000" w:rsidRPr="00AD33E8">
        <w:tblPrEx>
          <w:tblCellMar>
            <w:top w:w="0" w:type="dxa"/>
            <w:bottom w:w="0" w:type="dxa"/>
          </w:tblCellMar>
        </w:tblPrEx>
        <w:trPr>
          <w:gridAfter w:val="1"/>
          <w:wAfter w:w="237" w:type="dxa"/>
          <w:trHeight w:val="247"/>
        </w:trPr>
        <w:tc>
          <w:tcPr>
            <w:tcW w:w="2298" w:type="dxa"/>
            <w:gridSpan w:val="6"/>
          </w:tcPr>
          <w:p w:rsidR="007B7A21" w:rsidRPr="00AD33E8" w:rsidRDefault="007B7A21">
            <w:pPr>
              <w:spacing w:before="0" w:line="240" w:lineRule="auto"/>
              <w:rPr>
                <w:snapToGrid w:val="0"/>
                <w:sz w:val="18"/>
                <w:lang w:eastAsia="sv-SE"/>
              </w:rPr>
            </w:pPr>
            <w:r w:rsidRPr="00AD33E8">
              <w:rPr>
                <w:snapToGrid w:val="0"/>
                <w:sz w:val="18"/>
                <w:lang w:eastAsia="sv-SE"/>
              </w:rPr>
              <w:t xml:space="preserve">- </w:t>
            </w:r>
            <w:r w:rsidRPr="00AD33E8">
              <w:rPr>
                <w:snapToGrid w:val="0"/>
                <w:lang w:eastAsia="sv-SE"/>
              </w:rPr>
              <w:t>Högskolorna</w:t>
            </w:r>
          </w:p>
        </w:tc>
        <w:tc>
          <w:tcPr>
            <w:tcW w:w="680" w:type="dxa"/>
          </w:tcPr>
          <w:p w:rsidR="007B7A21" w:rsidRPr="00AD33E8" w:rsidRDefault="007B7A21">
            <w:pPr>
              <w:spacing w:before="0" w:line="240" w:lineRule="auto"/>
              <w:jc w:val="right"/>
              <w:rPr>
                <w:snapToGrid w:val="0"/>
                <w:sz w:val="18"/>
                <w:lang w:eastAsia="sv-SE"/>
              </w:rPr>
            </w:pPr>
            <w:r w:rsidRPr="00AD33E8">
              <w:rPr>
                <w:snapToGrid w:val="0"/>
                <w:sz w:val="18"/>
                <w:lang w:eastAsia="sv-SE"/>
              </w:rPr>
              <w:t>38,1</w:t>
            </w:r>
          </w:p>
        </w:tc>
        <w:tc>
          <w:tcPr>
            <w:tcW w:w="680" w:type="dxa"/>
          </w:tcPr>
          <w:p w:rsidR="007B7A21" w:rsidRPr="00AD33E8" w:rsidRDefault="007B7A21">
            <w:pPr>
              <w:spacing w:before="0" w:line="240" w:lineRule="auto"/>
              <w:jc w:val="right"/>
              <w:rPr>
                <w:snapToGrid w:val="0"/>
                <w:sz w:val="18"/>
                <w:lang w:eastAsia="sv-SE"/>
              </w:rPr>
            </w:pPr>
            <w:r w:rsidRPr="00AD33E8">
              <w:rPr>
                <w:snapToGrid w:val="0"/>
                <w:sz w:val="18"/>
                <w:lang w:eastAsia="sv-SE"/>
              </w:rPr>
              <w:t>41,9</w:t>
            </w:r>
          </w:p>
        </w:tc>
        <w:tc>
          <w:tcPr>
            <w:tcW w:w="680" w:type="dxa"/>
          </w:tcPr>
          <w:p w:rsidR="007B7A21" w:rsidRPr="00AD33E8" w:rsidRDefault="007B7A21">
            <w:pPr>
              <w:spacing w:before="0" w:line="240" w:lineRule="auto"/>
              <w:jc w:val="right"/>
              <w:rPr>
                <w:snapToGrid w:val="0"/>
                <w:sz w:val="18"/>
                <w:lang w:eastAsia="sv-SE"/>
              </w:rPr>
            </w:pPr>
            <w:r w:rsidRPr="00AD33E8">
              <w:rPr>
                <w:snapToGrid w:val="0"/>
                <w:sz w:val="18"/>
                <w:lang w:eastAsia="sv-SE"/>
              </w:rPr>
              <w:t>40,8</w:t>
            </w:r>
          </w:p>
        </w:tc>
        <w:tc>
          <w:tcPr>
            <w:tcW w:w="680" w:type="dxa"/>
          </w:tcPr>
          <w:p w:rsidR="007B7A21" w:rsidRPr="00AD33E8" w:rsidRDefault="007B7A21">
            <w:pPr>
              <w:spacing w:before="0" w:line="240" w:lineRule="auto"/>
              <w:jc w:val="right"/>
              <w:rPr>
                <w:snapToGrid w:val="0"/>
                <w:sz w:val="18"/>
                <w:lang w:eastAsia="sv-SE"/>
              </w:rPr>
            </w:pPr>
            <w:r w:rsidRPr="00AD33E8">
              <w:rPr>
                <w:snapToGrid w:val="0"/>
                <w:sz w:val="18"/>
                <w:lang w:eastAsia="sv-SE"/>
              </w:rPr>
              <w:t>45,2</w:t>
            </w:r>
          </w:p>
        </w:tc>
        <w:tc>
          <w:tcPr>
            <w:tcW w:w="680" w:type="dxa"/>
          </w:tcPr>
          <w:p w:rsidR="007B7A21" w:rsidRPr="00AD33E8" w:rsidRDefault="007B7A21">
            <w:pPr>
              <w:spacing w:before="0" w:line="240" w:lineRule="auto"/>
              <w:jc w:val="right"/>
              <w:rPr>
                <w:snapToGrid w:val="0"/>
                <w:sz w:val="18"/>
                <w:lang w:eastAsia="sv-SE"/>
              </w:rPr>
            </w:pPr>
            <w:r w:rsidRPr="00AD33E8">
              <w:rPr>
                <w:snapToGrid w:val="0"/>
                <w:sz w:val="18"/>
                <w:lang w:eastAsia="sv-SE"/>
              </w:rPr>
              <w:t>50,5</w:t>
            </w:r>
          </w:p>
        </w:tc>
      </w:tr>
      <w:tr w:rsidR="00000000" w:rsidRPr="00AD33E8">
        <w:tblPrEx>
          <w:tblCellMar>
            <w:top w:w="0" w:type="dxa"/>
            <w:bottom w:w="0" w:type="dxa"/>
          </w:tblCellMar>
        </w:tblPrEx>
        <w:trPr>
          <w:gridAfter w:val="1"/>
          <w:wAfter w:w="237" w:type="dxa"/>
          <w:trHeight w:val="247"/>
        </w:trPr>
        <w:tc>
          <w:tcPr>
            <w:tcW w:w="2298" w:type="dxa"/>
            <w:gridSpan w:val="6"/>
          </w:tcPr>
          <w:p w:rsidR="007B7A21" w:rsidRPr="00AD33E8" w:rsidRDefault="007B7A21">
            <w:pPr>
              <w:spacing w:before="0" w:line="240" w:lineRule="auto"/>
              <w:rPr>
                <w:snapToGrid w:val="0"/>
                <w:lang w:eastAsia="sv-SE"/>
              </w:rPr>
            </w:pPr>
            <w:r w:rsidRPr="00AD33E8">
              <w:rPr>
                <w:snapToGrid w:val="0"/>
                <w:lang w:eastAsia="sv-SE"/>
              </w:rPr>
              <w:t>- Polisväsendet</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25,8</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26,8</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27,6</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25,5</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21,1</w:t>
            </w:r>
          </w:p>
        </w:tc>
      </w:tr>
      <w:tr w:rsidR="00000000" w:rsidRPr="00AD33E8">
        <w:tblPrEx>
          <w:tblCellMar>
            <w:top w:w="0" w:type="dxa"/>
            <w:bottom w:w="0" w:type="dxa"/>
          </w:tblCellMar>
        </w:tblPrEx>
        <w:trPr>
          <w:gridAfter w:val="1"/>
          <w:wAfter w:w="237" w:type="dxa"/>
          <w:trHeight w:val="247"/>
        </w:trPr>
        <w:tc>
          <w:tcPr>
            <w:tcW w:w="2298" w:type="dxa"/>
            <w:gridSpan w:val="6"/>
          </w:tcPr>
          <w:p w:rsidR="007B7A21" w:rsidRPr="00AD33E8" w:rsidRDefault="007B7A21">
            <w:pPr>
              <w:spacing w:before="0" w:line="240" w:lineRule="auto"/>
              <w:rPr>
                <w:snapToGrid w:val="0"/>
                <w:lang w:eastAsia="sv-SE"/>
              </w:rPr>
            </w:pPr>
            <w:r w:rsidRPr="00AD33E8">
              <w:rPr>
                <w:snapToGrid w:val="0"/>
                <w:lang w:eastAsia="sv-SE"/>
              </w:rPr>
              <w:t>- Skattemyndigheterna</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5,6</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5,8</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6,4</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11,0*</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9,5*</w:t>
            </w:r>
          </w:p>
        </w:tc>
      </w:tr>
      <w:tr w:rsidR="00000000" w:rsidRPr="00AD33E8">
        <w:tblPrEx>
          <w:tblCellMar>
            <w:top w:w="0" w:type="dxa"/>
            <w:bottom w:w="0" w:type="dxa"/>
          </w:tblCellMar>
        </w:tblPrEx>
        <w:trPr>
          <w:gridAfter w:val="1"/>
          <w:wAfter w:w="237" w:type="dxa"/>
          <w:trHeight w:val="247"/>
        </w:trPr>
        <w:tc>
          <w:tcPr>
            <w:tcW w:w="2298" w:type="dxa"/>
            <w:gridSpan w:val="6"/>
          </w:tcPr>
          <w:p w:rsidR="007B7A21" w:rsidRPr="00AD33E8" w:rsidRDefault="007B7A21">
            <w:pPr>
              <w:spacing w:before="0" w:line="240" w:lineRule="auto"/>
              <w:jc w:val="left"/>
              <w:rPr>
                <w:snapToGrid w:val="0"/>
                <w:lang w:eastAsia="sv-SE"/>
              </w:rPr>
            </w:pPr>
            <w:r w:rsidRPr="00AD33E8">
              <w:rPr>
                <w:snapToGrid w:val="0"/>
                <w:lang w:eastAsia="sv-SE"/>
              </w:rPr>
              <w:t>Övrig offentlig verksa</w:t>
            </w:r>
            <w:r w:rsidRPr="00AD33E8">
              <w:rPr>
                <w:snapToGrid w:val="0"/>
                <w:lang w:eastAsia="sv-SE"/>
              </w:rPr>
              <w:t>m</w:t>
            </w:r>
            <w:r w:rsidRPr="00AD33E8">
              <w:rPr>
                <w:snapToGrid w:val="0"/>
                <w:lang w:eastAsia="sv-SE"/>
              </w:rPr>
              <w:t>het,</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26,1</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22,8</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23,4</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18,0</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14,4</w:t>
            </w:r>
          </w:p>
        </w:tc>
      </w:tr>
      <w:tr w:rsidR="00000000" w:rsidRPr="00AD33E8">
        <w:tblPrEx>
          <w:tblCellMar>
            <w:top w:w="0" w:type="dxa"/>
            <w:bottom w:w="0" w:type="dxa"/>
          </w:tblCellMar>
        </w:tblPrEx>
        <w:trPr>
          <w:gridAfter w:val="1"/>
          <w:wAfter w:w="237" w:type="dxa"/>
          <w:trHeight w:val="247"/>
        </w:trPr>
        <w:tc>
          <w:tcPr>
            <w:tcW w:w="2298" w:type="dxa"/>
            <w:gridSpan w:val="6"/>
          </w:tcPr>
          <w:p w:rsidR="007B7A21" w:rsidRPr="00AD33E8" w:rsidRDefault="007B7A21">
            <w:pPr>
              <w:spacing w:before="0" w:line="240" w:lineRule="auto"/>
              <w:rPr>
                <w:snapToGrid w:val="0"/>
                <w:sz w:val="18"/>
                <w:lang w:eastAsia="sv-SE"/>
              </w:rPr>
            </w:pPr>
            <w:r w:rsidRPr="00AD33E8">
              <w:rPr>
                <w:snapToGrid w:val="0"/>
                <w:sz w:val="18"/>
                <w:lang w:eastAsia="sv-SE"/>
              </w:rPr>
              <w:t>Källa: Statistisk årsbok</w:t>
            </w:r>
          </w:p>
        </w:tc>
        <w:tc>
          <w:tcPr>
            <w:tcW w:w="680" w:type="dxa"/>
          </w:tcPr>
          <w:p w:rsidR="007B7A21" w:rsidRPr="00AD33E8" w:rsidRDefault="007B7A21">
            <w:pPr>
              <w:spacing w:before="0" w:line="240" w:lineRule="auto"/>
              <w:jc w:val="right"/>
              <w:rPr>
                <w:snapToGrid w:val="0"/>
                <w:sz w:val="18"/>
                <w:lang w:eastAsia="sv-SE"/>
              </w:rPr>
            </w:pPr>
          </w:p>
        </w:tc>
        <w:tc>
          <w:tcPr>
            <w:tcW w:w="680" w:type="dxa"/>
          </w:tcPr>
          <w:p w:rsidR="007B7A21" w:rsidRPr="00AD33E8" w:rsidRDefault="007B7A21">
            <w:pPr>
              <w:spacing w:before="0" w:line="240" w:lineRule="auto"/>
              <w:jc w:val="right"/>
              <w:rPr>
                <w:snapToGrid w:val="0"/>
                <w:sz w:val="18"/>
                <w:lang w:eastAsia="sv-SE"/>
              </w:rPr>
            </w:pPr>
          </w:p>
        </w:tc>
        <w:tc>
          <w:tcPr>
            <w:tcW w:w="680" w:type="dxa"/>
          </w:tcPr>
          <w:p w:rsidR="007B7A21" w:rsidRPr="00AD33E8" w:rsidRDefault="007B7A21">
            <w:pPr>
              <w:spacing w:before="0" w:line="240" w:lineRule="auto"/>
              <w:jc w:val="right"/>
              <w:rPr>
                <w:snapToGrid w:val="0"/>
                <w:sz w:val="18"/>
                <w:lang w:eastAsia="sv-SE"/>
              </w:rPr>
            </w:pPr>
          </w:p>
        </w:tc>
        <w:tc>
          <w:tcPr>
            <w:tcW w:w="680" w:type="dxa"/>
          </w:tcPr>
          <w:p w:rsidR="007B7A21" w:rsidRPr="00AD33E8" w:rsidRDefault="007B7A21">
            <w:pPr>
              <w:spacing w:before="0" w:line="240" w:lineRule="auto"/>
              <w:jc w:val="right"/>
              <w:rPr>
                <w:snapToGrid w:val="0"/>
                <w:sz w:val="18"/>
                <w:lang w:eastAsia="sv-SE"/>
              </w:rPr>
            </w:pPr>
          </w:p>
        </w:tc>
        <w:tc>
          <w:tcPr>
            <w:tcW w:w="680" w:type="dxa"/>
          </w:tcPr>
          <w:p w:rsidR="007B7A21" w:rsidRPr="00AD33E8" w:rsidRDefault="007B7A21">
            <w:pPr>
              <w:spacing w:before="0" w:line="240" w:lineRule="auto"/>
              <w:jc w:val="right"/>
              <w:rPr>
                <w:snapToGrid w:val="0"/>
                <w:sz w:val="18"/>
                <w:lang w:eastAsia="sv-SE"/>
              </w:rPr>
            </w:pPr>
          </w:p>
        </w:tc>
      </w:tr>
      <w:tr w:rsidR="00000000" w:rsidRPr="00AD33E8">
        <w:tblPrEx>
          <w:tblCellMar>
            <w:top w:w="0" w:type="dxa"/>
            <w:bottom w:w="0" w:type="dxa"/>
          </w:tblCellMar>
        </w:tblPrEx>
        <w:trPr>
          <w:gridAfter w:val="1"/>
          <w:wAfter w:w="237" w:type="dxa"/>
          <w:trHeight w:val="247"/>
        </w:trPr>
        <w:tc>
          <w:tcPr>
            <w:tcW w:w="2298" w:type="dxa"/>
            <w:gridSpan w:val="6"/>
          </w:tcPr>
          <w:p w:rsidR="007B7A21" w:rsidRPr="00AD33E8" w:rsidRDefault="007B7A21">
            <w:pPr>
              <w:spacing w:before="0" w:line="240" w:lineRule="auto"/>
              <w:rPr>
                <w:snapToGrid w:val="0"/>
                <w:sz w:val="16"/>
                <w:lang w:eastAsia="sv-SE"/>
              </w:rPr>
            </w:pPr>
            <w:r w:rsidRPr="00AD33E8">
              <w:rPr>
                <w:snapToGrid w:val="0"/>
                <w:sz w:val="16"/>
                <w:lang w:eastAsia="sv-SE"/>
              </w:rPr>
              <w:t>* Även RSV</w:t>
            </w:r>
          </w:p>
        </w:tc>
        <w:tc>
          <w:tcPr>
            <w:tcW w:w="680" w:type="dxa"/>
          </w:tcPr>
          <w:p w:rsidR="007B7A21" w:rsidRPr="00AD33E8" w:rsidRDefault="007B7A21">
            <w:pPr>
              <w:spacing w:before="0" w:line="240" w:lineRule="auto"/>
              <w:jc w:val="right"/>
              <w:rPr>
                <w:snapToGrid w:val="0"/>
                <w:lang w:eastAsia="sv-SE"/>
              </w:rPr>
            </w:pPr>
          </w:p>
        </w:tc>
        <w:tc>
          <w:tcPr>
            <w:tcW w:w="680" w:type="dxa"/>
          </w:tcPr>
          <w:p w:rsidR="007B7A21" w:rsidRPr="00AD33E8" w:rsidRDefault="007B7A21">
            <w:pPr>
              <w:spacing w:before="0" w:line="240" w:lineRule="auto"/>
              <w:jc w:val="right"/>
              <w:rPr>
                <w:snapToGrid w:val="0"/>
                <w:lang w:eastAsia="sv-SE"/>
              </w:rPr>
            </w:pPr>
          </w:p>
        </w:tc>
        <w:tc>
          <w:tcPr>
            <w:tcW w:w="680" w:type="dxa"/>
          </w:tcPr>
          <w:p w:rsidR="007B7A21" w:rsidRPr="00AD33E8" w:rsidRDefault="007B7A21">
            <w:pPr>
              <w:spacing w:before="0" w:line="240" w:lineRule="auto"/>
              <w:jc w:val="right"/>
              <w:rPr>
                <w:snapToGrid w:val="0"/>
                <w:lang w:eastAsia="sv-SE"/>
              </w:rPr>
            </w:pPr>
          </w:p>
        </w:tc>
        <w:tc>
          <w:tcPr>
            <w:tcW w:w="680" w:type="dxa"/>
          </w:tcPr>
          <w:p w:rsidR="007B7A21" w:rsidRPr="00AD33E8" w:rsidRDefault="007B7A21">
            <w:pPr>
              <w:spacing w:before="0" w:line="240" w:lineRule="auto"/>
              <w:jc w:val="right"/>
              <w:rPr>
                <w:snapToGrid w:val="0"/>
                <w:lang w:eastAsia="sv-SE"/>
              </w:rPr>
            </w:pPr>
          </w:p>
        </w:tc>
        <w:tc>
          <w:tcPr>
            <w:tcW w:w="680" w:type="dxa"/>
          </w:tcPr>
          <w:p w:rsidR="007B7A21" w:rsidRPr="00AD33E8" w:rsidRDefault="007B7A21">
            <w:pPr>
              <w:spacing w:before="0" w:line="240" w:lineRule="auto"/>
              <w:jc w:val="right"/>
              <w:rPr>
                <w:snapToGrid w:val="0"/>
                <w:lang w:eastAsia="sv-SE"/>
              </w:rPr>
            </w:pPr>
          </w:p>
        </w:tc>
      </w:tr>
    </w:tbl>
    <w:p w:rsidR="007B7A21" w:rsidRPr="00AD33E8" w:rsidRDefault="007B7A21">
      <w:r w:rsidRPr="00AD33E8">
        <w:t>En faktor bakom utvecklingen var den ekonomiska krisen i början av  1990-talet  och det därav motiverade besparingsprogrammet. Därutöver kan en del andra förklaringar urskiljas, bl.a. struktur- eller programreformer. Under åren efter 1985 genomfördes t.ex. en strukturell renodling av Arbetsmarknadsve</w:t>
      </w:r>
      <w:r w:rsidRPr="00AD33E8">
        <w:t>r</w:t>
      </w:r>
      <w:r w:rsidRPr="00AD33E8">
        <w:t>ket. Samhall och AMI bröts loss, medan flyktingmottagningen överfördes till kommunerna och Invandrarverket. Under krisåren på 1990-talet hade A</w:t>
      </w:r>
      <w:r w:rsidRPr="00AD33E8">
        <w:t>r</w:t>
      </w:r>
      <w:r w:rsidRPr="00AD33E8">
        <w:t>betsmarknadsverket en central roll med insatserna för sysselsättning. Insatser för krisbekämpning, Kunskapslyftet m.m. förklarar delvis högskolorna pe</w:t>
      </w:r>
      <w:r w:rsidRPr="00AD33E8">
        <w:t>r</w:t>
      </w:r>
      <w:r w:rsidRPr="00AD33E8">
        <w:t>sonella expansion. För högskolorna är det dock främst en fråga om en lån</w:t>
      </w:r>
      <w:r w:rsidRPr="00AD33E8">
        <w:t>g</w:t>
      </w:r>
      <w:r w:rsidRPr="00AD33E8">
        <w:t>siktigt syftande strukturell utbyggnad av högre utbildning. För såväl polisv</w:t>
      </w:r>
      <w:r w:rsidRPr="00AD33E8">
        <w:t>ä</w:t>
      </w:r>
      <w:r w:rsidRPr="00AD33E8">
        <w:t>sendet som de allmänna försäkringskassorna finns reformering av ve</w:t>
      </w:r>
      <w:r w:rsidRPr="00AD33E8">
        <w:t>rksa</w:t>
      </w:r>
      <w:r w:rsidRPr="00AD33E8">
        <w:t>m</w:t>
      </w:r>
      <w:r w:rsidRPr="00AD33E8">
        <w:t>heten bland förklaringarna till minskad bemanning. Både närpolisreformen och arbetslinjen i socialförsäkringen innehöll förväntningar om rationaliserad verksamhet. ”Vinster” i form av personalminskning skulle bli möjliga genom övergång till problemorienterade arbetssätt. Ett led i krisbekämpningen var några års uppehåll i intagningen till polisutbildningen. Personalinskrän</w:t>
      </w:r>
      <w:r w:rsidRPr="00AD33E8">
        <w:t>k</w:t>
      </w:r>
      <w:r w:rsidRPr="00AD33E8">
        <w:t>ningar motiverade av förväntande effekter av teknisk utveckling har geno</w:t>
      </w:r>
      <w:r w:rsidRPr="00AD33E8">
        <w:t>m</w:t>
      </w:r>
      <w:r w:rsidRPr="00AD33E8">
        <w:t>förts på såväl skattemyndigheter som försä</w:t>
      </w:r>
      <w:r w:rsidRPr="00AD33E8">
        <w:t>k</w:t>
      </w:r>
      <w:r w:rsidRPr="00AD33E8">
        <w:t>ringskassor.</w:t>
      </w:r>
    </w:p>
    <w:p w:rsidR="007B7A21" w:rsidRPr="00AD33E8" w:rsidRDefault="007B7A21">
      <w:pPr>
        <w:pStyle w:val="Rubrik3"/>
      </w:pPr>
      <w:bookmarkStart w:id="186" w:name="_Toc3887388"/>
      <w:bookmarkStart w:id="187" w:name="_Toc21425301"/>
      <w:r w:rsidRPr="00AD33E8">
        <w:t>Ut</w:t>
      </w:r>
      <w:r w:rsidRPr="00AD33E8">
        <w:t>veckling för olika personalkategorier</w:t>
      </w:r>
      <w:bookmarkEnd w:id="186"/>
      <w:bookmarkEnd w:id="187"/>
    </w:p>
    <w:p w:rsidR="007B7A21" w:rsidRPr="00AD33E8" w:rsidRDefault="007B7A21">
      <w:r w:rsidRPr="00AD33E8">
        <w:t>Den statliga bemanningen kan avse även hur personalen används. Vilka arbetsuppgifter förstärks? Vilka synes bli nedprioriterade genom att antalet tjänster minskar? En systematisk redovisning av detta inleddes år 1998 då regeringen i sin arbetsgivarpolitiska uppföljning frågade efter antalet anstäl</w:t>
      </w:r>
      <w:r w:rsidRPr="00AD33E8">
        <w:t>l</w:t>
      </w:r>
      <w:r w:rsidRPr="00AD33E8">
        <w:t>da i tre huvudkategorier; k</w:t>
      </w:r>
      <w:r w:rsidRPr="00AD33E8">
        <w:rPr>
          <w:snapToGrid w:val="0"/>
          <w:lang w:eastAsia="sv-SE"/>
        </w:rPr>
        <w:t>ärnkompetens, ledningskompetens eller stödko</w:t>
      </w:r>
      <w:r w:rsidRPr="00AD33E8">
        <w:rPr>
          <w:snapToGrid w:val="0"/>
          <w:lang w:eastAsia="sv-SE"/>
        </w:rPr>
        <w:t>m</w:t>
      </w:r>
      <w:r w:rsidRPr="00AD33E8">
        <w:rPr>
          <w:snapToGrid w:val="0"/>
          <w:lang w:eastAsia="sv-SE"/>
        </w:rPr>
        <w:t xml:space="preserve">petens. </w:t>
      </w:r>
      <w:r w:rsidRPr="00AD33E8">
        <w:t>Sedan 1998 klassar Arbetsgivarverket statens anställda i någon av dessa kat</w:t>
      </w:r>
      <w:r w:rsidRPr="00AD33E8">
        <w:t>e</w:t>
      </w:r>
      <w:r w:rsidRPr="00AD33E8">
        <w:t>gorierna. Se tabell 3.</w:t>
      </w:r>
    </w:p>
    <w:p w:rsidR="007B7A21" w:rsidRPr="00AD33E8" w:rsidRDefault="007B7A21">
      <w:pPr>
        <w:pStyle w:val="Normaltindrag"/>
      </w:pPr>
      <w:r w:rsidRPr="00AD33E8">
        <w:br/>
      </w:r>
    </w:p>
    <w:p w:rsidR="007B7A21" w:rsidRPr="00AD33E8" w:rsidRDefault="007B7A21">
      <w:pPr>
        <w:pStyle w:val="Normaltindrag"/>
      </w:pPr>
      <w:r w:rsidRPr="00AD33E8">
        <w:br w:type="page"/>
      </w: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535"/>
        <w:gridCol w:w="1274"/>
        <w:gridCol w:w="1686"/>
        <w:gridCol w:w="1243"/>
      </w:tblGrid>
      <w:tr w:rsidR="00000000" w:rsidRPr="00AD33E8">
        <w:tblPrEx>
          <w:tblCellMar>
            <w:top w:w="0" w:type="dxa"/>
            <w:bottom w:w="0" w:type="dxa"/>
          </w:tblCellMar>
        </w:tblPrEx>
        <w:trPr>
          <w:cantSplit/>
          <w:trHeight w:val="247"/>
        </w:trPr>
        <w:tc>
          <w:tcPr>
            <w:tcW w:w="4738" w:type="dxa"/>
            <w:gridSpan w:val="4"/>
            <w:tcBorders>
              <w:bottom w:val="single" w:sz="6" w:space="0" w:color="008000"/>
            </w:tcBorders>
          </w:tcPr>
          <w:p w:rsidR="007B7A21" w:rsidRPr="00AD33E8" w:rsidRDefault="007B7A21">
            <w:pPr>
              <w:spacing w:before="0" w:line="240" w:lineRule="auto"/>
              <w:rPr>
                <w:b/>
                <w:snapToGrid w:val="0"/>
                <w:lang w:eastAsia="sv-SE"/>
              </w:rPr>
            </w:pPr>
            <w:r w:rsidRPr="00AD33E8">
              <w:rPr>
                <w:b/>
                <w:snapToGrid w:val="0"/>
                <w:lang w:eastAsia="sv-SE"/>
              </w:rPr>
              <w:t>Tabell  3: Den statliga personalen indelad i kategorier, %,</w:t>
            </w:r>
          </w:p>
        </w:tc>
      </w:tr>
      <w:tr w:rsidR="00000000" w:rsidRPr="00AD33E8">
        <w:tblPrEx>
          <w:tblCellMar>
            <w:top w:w="0" w:type="dxa"/>
            <w:bottom w:w="0" w:type="dxa"/>
          </w:tblCellMar>
        </w:tblPrEx>
        <w:trPr>
          <w:trHeight w:val="247"/>
        </w:trPr>
        <w:tc>
          <w:tcPr>
            <w:tcW w:w="535" w:type="dxa"/>
            <w:tcBorders>
              <w:top w:val="nil"/>
            </w:tcBorders>
          </w:tcPr>
          <w:p w:rsidR="007B7A21" w:rsidRPr="00AD33E8" w:rsidRDefault="007B7A21">
            <w:pPr>
              <w:spacing w:before="0" w:line="240" w:lineRule="auto"/>
              <w:rPr>
                <w:snapToGrid w:val="0"/>
                <w:lang w:eastAsia="sv-SE"/>
              </w:rPr>
            </w:pPr>
          </w:p>
        </w:tc>
        <w:tc>
          <w:tcPr>
            <w:tcW w:w="1274" w:type="dxa"/>
            <w:tcBorders>
              <w:top w:val="nil"/>
            </w:tcBorders>
          </w:tcPr>
          <w:p w:rsidR="007B7A21" w:rsidRPr="00AD33E8" w:rsidRDefault="007B7A21">
            <w:pPr>
              <w:spacing w:before="0" w:line="240" w:lineRule="auto"/>
              <w:rPr>
                <w:snapToGrid w:val="0"/>
                <w:lang w:eastAsia="sv-SE"/>
              </w:rPr>
            </w:pPr>
            <w:r w:rsidRPr="00AD33E8">
              <w:rPr>
                <w:snapToGrid w:val="0"/>
                <w:lang w:eastAsia="sv-SE"/>
              </w:rPr>
              <w:t>Kärnkomp</w:t>
            </w:r>
            <w:r w:rsidRPr="00AD33E8">
              <w:rPr>
                <w:snapToGrid w:val="0"/>
                <w:lang w:eastAsia="sv-SE"/>
              </w:rPr>
              <w:t>e</w:t>
            </w:r>
            <w:r w:rsidRPr="00AD33E8">
              <w:rPr>
                <w:snapToGrid w:val="0"/>
                <w:lang w:eastAsia="sv-SE"/>
              </w:rPr>
              <w:t>tens</w:t>
            </w:r>
          </w:p>
        </w:tc>
        <w:tc>
          <w:tcPr>
            <w:tcW w:w="1686" w:type="dxa"/>
            <w:tcBorders>
              <w:top w:val="nil"/>
            </w:tcBorders>
          </w:tcPr>
          <w:p w:rsidR="007B7A21" w:rsidRPr="00AD33E8" w:rsidRDefault="007B7A21">
            <w:pPr>
              <w:spacing w:before="0" w:line="240" w:lineRule="auto"/>
              <w:rPr>
                <w:snapToGrid w:val="0"/>
                <w:lang w:eastAsia="sv-SE"/>
              </w:rPr>
            </w:pPr>
            <w:r w:rsidRPr="00AD33E8">
              <w:rPr>
                <w:snapToGrid w:val="0"/>
                <w:lang w:eastAsia="sv-SE"/>
              </w:rPr>
              <w:t>Ledningskomp</w:t>
            </w:r>
            <w:r w:rsidRPr="00AD33E8">
              <w:rPr>
                <w:snapToGrid w:val="0"/>
                <w:lang w:eastAsia="sv-SE"/>
              </w:rPr>
              <w:t>e</w:t>
            </w:r>
            <w:r w:rsidRPr="00AD33E8">
              <w:rPr>
                <w:snapToGrid w:val="0"/>
                <w:lang w:eastAsia="sv-SE"/>
              </w:rPr>
              <w:t>tens</w:t>
            </w:r>
          </w:p>
        </w:tc>
        <w:tc>
          <w:tcPr>
            <w:tcW w:w="1243" w:type="dxa"/>
            <w:tcBorders>
              <w:top w:val="nil"/>
            </w:tcBorders>
          </w:tcPr>
          <w:p w:rsidR="007B7A21" w:rsidRPr="00AD33E8" w:rsidRDefault="007B7A21">
            <w:pPr>
              <w:spacing w:before="0" w:line="240" w:lineRule="auto"/>
              <w:rPr>
                <w:snapToGrid w:val="0"/>
                <w:lang w:eastAsia="sv-SE"/>
              </w:rPr>
            </w:pPr>
            <w:r w:rsidRPr="00AD33E8">
              <w:rPr>
                <w:snapToGrid w:val="0"/>
                <w:lang w:eastAsia="sv-SE"/>
              </w:rPr>
              <w:t>Stödkomp</w:t>
            </w:r>
            <w:r w:rsidRPr="00AD33E8">
              <w:rPr>
                <w:snapToGrid w:val="0"/>
                <w:lang w:eastAsia="sv-SE"/>
              </w:rPr>
              <w:t>e</w:t>
            </w:r>
            <w:r w:rsidRPr="00AD33E8">
              <w:rPr>
                <w:snapToGrid w:val="0"/>
                <w:lang w:eastAsia="sv-SE"/>
              </w:rPr>
              <w:t>tens</w:t>
            </w:r>
          </w:p>
        </w:tc>
      </w:tr>
      <w:tr w:rsidR="00000000" w:rsidRPr="00AD33E8">
        <w:tblPrEx>
          <w:tblCellMar>
            <w:top w:w="0" w:type="dxa"/>
            <w:bottom w:w="0" w:type="dxa"/>
          </w:tblCellMar>
        </w:tblPrEx>
        <w:trPr>
          <w:trHeight w:val="247"/>
        </w:trPr>
        <w:tc>
          <w:tcPr>
            <w:tcW w:w="535" w:type="dxa"/>
          </w:tcPr>
          <w:p w:rsidR="007B7A21" w:rsidRPr="00AD33E8" w:rsidRDefault="007B7A21">
            <w:pPr>
              <w:spacing w:before="0" w:line="240" w:lineRule="auto"/>
              <w:rPr>
                <w:snapToGrid w:val="0"/>
                <w:lang w:eastAsia="sv-SE"/>
              </w:rPr>
            </w:pPr>
            <w:r w:rsidRPr="00AD33E8">
              <w:rPr>
                <w:snapToGrid w:val="0"/>
                <w:lang w:eastAsia="sv-SE"/>
              </w:rPr>
              <w:t>1998</w:t>
            </w:r>
          </w:p>
        </w:tc>
        <w:tc>
          <w:tcPr>
            <w:tcW w:w="1274" w:type="dxa"/>
          </w:tcPr>
          <w:p w:rsidR="007B7A21" w:rsidRPr="00AD33E8" w:rsidRDefault="007B7A21">
            <w:pPr>
              <w:spacing w:before="0" w:line="240" w:lineRule="auto"/>
              <w:jc w:val="center"/>
              <w:rPr>
                <w:snapToGrid w:val="0"/>
                <w:lang w:eastAsia="sv-SE"/>
              </w:rPr>
            </w:pPr>
            <w:r w:rsidRPr="00AD33E8">
              <w:rPr>
                <w:snapToGrid w:val="0"/>
                <w:lang w:eastAsia="sv-SE"/>
              </w:rPr>
              <w:t>52,7</w:t>
            </w:r>
          </w:p>
        </w:tc>
        <w:tc>
          <w:tcPr>
            <w:tcW w:w="1686" w:type="dxa"/>
          </w:tcPr>
          <w:p w:rsidR="007B7A21" w:rsidRPr="00AD33E8" w:rsidRDefault="007B7A21">
            <w:pPr>
              <w:spacing w:before="0" w:line="240" w:lineRule="auto"/>
              <w:jc w:val="center"/>
              <w:rPr>
                <w:snapToGrid w:val="0"/>
                <w:lang w:eastAsia="sv-SE"/>
              </w:rPr>
            </w:pPr>
            <w:r w:rsidRPr="00AD33E8">
              <w:rPr>
                <w:snapToGrid w:val="0"/>
                <w:lang w:eastAsia="sv-SE"/>
              </w:rPr>
              <w:t>5,3</w:t>
            </w:r>
          </w:p>
        </w:tc>
        <w:tc>
          <w:tcPr>
            <w:tcW w:w="1243" w:type="dxa"/>
          </w:tcPr>
          <w:p w:rsidR="007B7A21" w:rsidRPr="00AD33E8" w:rsidRDefault="007B7A21">
            <w:pPr>
              <w:spacing w:before="0" w:line="240" w:lineRule="auto"/>
              <w:jc w:val="center"/>
              <w:rPr>
                <w:snapToGrid w:val="0"/>
                <w:lang w:eastAsia="sv-SE"/>
              </w:rPr>
            </w:pPr>
            <w:r w:rsidRPr="00AD33E8">
              <w:rPr>
                <w:snapToGrid w:val="0"/>
                <w:lang w:eastAsia="sv-SE"/>
              </w:rPr>
              <w:t>23,4</w:t>
            </w:r>
          </w:p>
        </w:tc>
      </w:tr>
      <w:tr w:rsidR="00000000" w:rsidRPr="00AD33E8">
        <w:tblPrEx>
          <w:tblCellMar>
            <w:top w:w="0" w:type="dxa"/>
            <w:bottom w:w="0" w:type="dxa"/>
          </w:tblCellMar>
        </w:tblPrEx>
        <w:trPr>
          <w:trHeight w:val="247"/>
        </w:trPr>
        <w:tc>
          <w:tcPr>
            <w:tcW w:w="535" w:type="dxa"/>
          </w:tcPr>
          <w:p w:rsidR="007B7A21" w:rsidRPr="00AD33E8" w:rsidRDefault="007B7A21">
            <w:pPr>
              <w:spacing w:before="0" w:line="240" w:lineRule="auto"/>
              <w:rPr>
                <w:snapToGrid w:val="0"/>
                <w:lang w:eastAsia="sv-SE"/>
              </w:rPr>
            </w:pPr>
            <w:r w:rsidRPr="00AD33E8">
              <w:rPr>
                <w:snapToGrid w:val="0"/>
                <w:lang w:eastAsia="sv-SE"/>
              </w:rPr>
              <w:t>1999</w:t>
            </w:r>
          </w:p>
        </w:tc>
        <w:tc>
          <w:tcPr>
            <w:tcW w:w="1274" w:type="dxa"/>
          </w:tcPr>
          <w:p w:rsidR="007B7A21" w:rsidRPr="00AD33E8" w:rsidRDefault="007B7A21">
            <w:pPr>
              <w:spacing w:before="0" w:line="240" w:lineRule="auto"/>
              <w:jc w:val="center"/>
              <w:rPr>
                <w:snapToGrid w:val="0"/>
                <w:lang w:eastAsia="sv-SE"/>
              </w:rPr>
            </w:pPr>
            <w:r w:rsidRPr="00AD33E8">
              <w:rPr>
                <w:snapToGrid w:val="0"/>
                <w:lang w:eastAsia="sv-SE"/>
              </w:rPr>
              <w:t>53,6</w:t>
            </w:r>
          </w:p>
        </w:tc>
        <w:tc>
          <w:tcPr>
            <w:tcW w:w="1686" w:type="dxa"/>
          </w:tcPr>
          <w:p w:rsidR="007B7A21" w:rsidRPr="00AD33E8" w:rsidRDefault="007B7A21">
            <w:pPr>
              <w:spacing w:before="0" w:line="240" w:lineRule="auto"/>
              <w:jc w:val="center"/>
              <w:rPr>
                <w:snapToGrid w:val="0"/>
                <w:lang w:eastAsia="sv-SE"/>
              </w:rPr>
            </w:pPr>
            <w:r w:rsidRPr="00AD33E8">
              <w:rPr>
                <w:snapToGrid w:val="0"/>
                <w:lang w:eastAsia="sv-SE"/>
              </w:rPr>
              <w:t>5,5</w:t>
            </w:r>
          </w:p>
        </w:tc>
        <w:tc>
          <w:tcPr>
            <w:tcW w:w="1243" w:type="dxa"/>
          </w:tcPr>
          <w:p w:rsidR="007B7A21" w:rsidRPr="00AD33E8" w:rsidRDefault="007B7A21">
            <w:pPr>
              <w:spacing w:before="0" w:line="240" w:lineRule="auto"/>
              <w:jc w:val="center"/>
              <w:rPr>
                <w:snapToGrid w:val="0"/>
                <w:lang w:eastAsia="sv-SE"/>
              </w:rPr>
            </w:pPr>
            <w:r w:rsidRPr="00AD33E8">
              <w:rPr>
                <w:snapToGrid w:val="0"/>
                <w:lang w:eastAsia="sv-SE"/>
              </w:rPr>
              <w:t>24,5</w:t>
            </w:r>
          </w:p>
        </w:tc>
      </w:tr>
      <w:tr w:rsidR="00000000" w:rsidRPr="00AD33E8">
        <w:tblPrEx>
          <w:tblCellMar>
            <w:top w:w="0" w:type="dxa"/>
            <w:bottom w:w="0" w:type="dxa"/>
          </w:tblCellMar>
        </w:tblPrEx>
        <w:trPr>
          <w:trHeight w:val="247"/>
        </w:trPr>
        <w:tc>
          <w:tcPr>
            <w:tcW w:w="535" w:type="dxa"/>
          </w:tcPr>
          <w:p w:rsidR="007B7A21" w:rsidRPr="00AD33E8" w:rsidRDefault="007B7A21">
            <w:pPr>
              <w:spacing w:before="0" w:line="240" w:lineRule="auto"/>
              <w:rPr>
                <w:snapToGrid w:val="0"/>
                <w:lang w:eastAsia="sv-SE"/>
              </w:rPr>
            </w:pPr>
            <w:r w:rsidRPr="00AD33E8">
              <w:rPr>
                <w:snapToGrid w:val="0"/>
                <w:lang w:eastAsia="sv-SE"/>
              </w:rPr>
              <w:t>2000</w:t>
            </w:r>
          </w:p>
        </w:tc>
        <w:tc>
          <w:tcPr>
            <w:tcW w:w="1274" w:type="dxa"/>
          </w:tcPr>
          <w:p w:rsidR="007B7A21" w:rsidRPr="00AD33E8" w:rsidRDefault="007B7A21">
            <w:pPr>
              <w:spacing w:before="0" w:line="240" w:lineRule="auto"/>
              <w:jc w:val="center"/>
              <w:rPr>
                <w:snapToGrid w:val="0"/>
                <w:lang w:eastAsia="sv-SE"/>
              </w:rPr>
            </w:pPr>
            <w:r w:rsidRPr="00AD33E8">
              <w:rPr>
                <w:snapToGrid w:val="0"/>
                <w:lang w:eastAsia="sv-SE"/>
              </w:rPr>
              <w:t>51,1</w:t>
            </w:r>
          </w:p>
        </w:tc>
        <w:tc>
          <w:tcPr>
            <w:tcW w:w="1686" w:type="dxa"/>
          </w:tcPr>
          <w:p w:rsidR="007B7A21" w:rsidRPr="00AD33E8" w:rsidRDefault="007B7A21">
            <w:pPr>
              <w:spacing w:before="0" w:line="240" w:lineRule="auto"/>
              <w:jc w:val="center"/>
              <w:rPr>
                <w:snapToGrid w:val="0"/>
                <w:lang w:eastAsia="sv-SE"/>
              </w:rPr>
            </w:pPr>
            <w:r w:rsidRPr="00AD33E8">
              <w:rPr>
                <w:snapToGrid w:val="0"/>
                <w:lang w:eastAsia="sv-SE"/>
              </w:rPr>
              <w:t>5,6</w:t>
            </w:r>
          </w:p>
        </w:tc>
        <w:tc>
          <w:tcPr>
            <w:tcW w:w="1243" w:type="dxa"/>
          </w:tcPr>
          <w:p w:rsidR="007B7A21" w:rsidRPr="00AD33E8" w:rsidRDefault="007B7A21">
            <w:pPr>
              <w:spacing w:before="0" w:line="240" w:lineRule="auto"/>
              <w:jc w:val="center"/>
              <w:rPr>
                <w:snapToGrid w:val="0"/>
                <w:lang w:eastAsia="sv-SE"/>
              </w:rPr>
            </w:pPr>
            <w:r w:rsidRPr="00AD33E8">
              <w:rPr>
                <w:snapToGrid w:val="0"/>
                <w:lang w:eastAsia="sv-SE"/>
              </w:rPr>
              <w:t>23,9</w:t>
            </w:r>
          </w:p>
        </w:tc>
      </w:tr>
      <w:tr w:rsidR="00000000" w:rsidRPr="00AD33E8">
        <w:tblPrEx>
          <w:tblCellMar>
            <w:top w:w="0" w:type="dxa"/>
            <w:bottom w:w="0" w:type="dxa"/>
          </w:tblCellMar>
        </w:tblPrEx>
        <w:trPr>
          <w:cantSplit/>
          <w:trHeight w:val="247"/>
        </w:trPr>
        <w:tc>
          <w:tcPr>
            <w:tcW w:w="4738" w:type="dxa"/>
            <w:gridSpan w:val="4"/>
          </w:tcPr>
          <w:p w:rsidR="007B7A21" w:rsidRPr="00AD33E8" w:rsidRDefault="007B7A21">
            <w:pPr>
              <w:spacing w:before="0" w:line="240" w:lineRule="auto"/>
              <w:rPr>
                <w:snapToGrid w:val="0"/>
                <w:sz w:val="18"/>
                <w:lang w:eastAsia="sv-SE"/>
              </w:rPr>
            </w:pPr>
            <w:r w:rsidRPr="00AD33E8">
              <w:rPr>
                <w:sz w:val="18"/>
              </w:rPr>
              <w:t>Källa: Uppgifter från Arbetsgivarverket</w:t>
            </w:r>
          </w:p>
          <w:p w:rsidR="007B7A21" w:rsidRPr="00AD33E8" w:rsidRDefault="007B7A21">
            <w:pPr>
              <w:pStyle w:val="Normaltindrag"/>
            </w:pPr>
            <w:r w:rsidRPr="00AD33E8">
              <w:rPr>
                <w:sz w:val="18"/>
              </w:rPr>
              <w:t>I tabellen ingår inte s.k. arvodister som utgör cirka 10 % samt de som ej kunnat klassificeras, cirka 10 %.</w:t>
            </w:r>
          </w:p>
        </w:tc>
      </w:tr>
    </w:tbl>
    <w:p w:rsidR="007B7A21" w:rsidRPr="00AD33E8" w:rsidRDefault="007B7A21">
      <w:r w:rsidRPr="00AD33E8">
        <w:t xml:space="preserve">Tidsserien är för kort för att någon direkt tendens skall kunna utläsas. Det finns heller ingen etablerad eller erfarenhetsbaserad norm för att bedöma om det rimliga med en andel kärnkompetens på drygt 50 %. </w:t>
      </w:r>
    </w:p>
    <w:p w:rsidR="007B7A21" w:rsidRPr="00AD33E8" w:rsidRDefault="007B7A21">
      <w:pPr>
        <w:pStyle w:val="Normaltindrag"/>
      </w:pPr>
      <w:r w:rsidRPr="00AD33E8">
        <w:t>En annan möjlig källa för att följa utvecklingen för olika personalkategor</w:t>
      </w:r>
      <w:r w:rsidRPr="00AD33E8">
        <w:t>i</w:t>
      </w:r>
      <w:r w:rsidRPr="00AD33E8">
        <w:t xml:space="preserve">er är  data från SCB:s statliga arbetsmarknadsstatistik. Jämförbara siffror för statsförvaltningen </w:t>
      </w:r>
      <w:r w:rsidRPr="00AD33E8">
        <w:rPr>
          <w:i/>
        </w:rPr>
        <w:t>och</w:t>
      </w:r>
      <w:r w:rsidRPr="00AD33E8">
        <w:t xml:space="preserve"> kyrkan finns från år 1992, se tabell 4-6. Med denna statistik som bas kan utvecklingen av sysselsatta i olika statliga tjänstekat</w:t>
      </w:r>
      <w:r w:rsidRPr="00AD33E8">
        <w:t>e</w:t>
      </w:r>
      <w:r w:rsidRPr="00AD33E8">
        <w:t>gorier följas. Materialet har dock några begränsningar. Fördelning av tjän</w:t>
      </w:r>
      <w:r w:rsidRPr="00AD33E8">
        <w:t>s</w:t>
      </w:r>
      <w:r w:rsidRPr="00AD33E8">
        <w:t>tetyper på olika myndigheter är inte möjlig. Klassificeringarna förändras delvis. Vidare är kategorier med entydiga benämningar oftast delmängder av större populationer. Chefer på operativ nivå benämns o</w:t>
      </w:r>
      <w:r w:rsidRPr="00AD33E8">
        <w:t>fta men långt ifrån alltid som enhets- eller  byråchefer. Här redovisas dock några bearbetningar där kategorierna är relativt entydiga och där några inslag i den personalpol</w:t>
      </w:r>
      <w:r w:rsidRPr="00AD33E8">
        <w:t>i</w:t>
      </w:r>
      <w:r w:rsidRPr="00AD33E8">
        <w:t>tiska utvecklingen under 1990-talet kan följas.</w:t>
      </w:r>
    </w:p>
    <w:p w:rsidR="007B7A21" w:rsidRPr="00AD33E8" w:rsidRDefault="007B7A21">
      <w:pPr>
        <w:pStyle w:val="Normaltindrag"/>
      </w:pPr>
      <w:r w:rsidRPr="00AD33E8">
        <w:t xml:space="preserve">Medan antalet anställda i staten från 1992 till 2000 minskade med mer än 100 000 personer ökade antalet tjänstebenämningar med drygt 600, tabell 4. </w:t>
      </w:r>
    </w:p>
    <w:p w:rsidR="007B7A21" w:rsidRPr="00AD33E8" w:rsidRDefault="007B7A21">
      <w:pPr>
        <w:pStyle w:val="Normaltindrag"/>
      </w:pPr>
      <w:r w:rsidRPr="00AD33E8">
        <w:br w:type="page"/>
      </w: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1"/>
        <w:gridCol w:w="1"/>
        <w:gridCol w:w="3997"/>
        <w:gridCol w:w="709"/>
        <w:gridCol w:w="992"/>
      </w:tblGrid>
      <w:tr w:rsidR="00000000" w:rsidRPr="00AD33E8">
        <w:tblPrEx>
          <w:tblCellMar>
            <w:top w:w="0" w:type="dxa"/>
            <w:bottom w:w="0" w:type="dxa"/>
          </w:tblCellMar>
        </w:tblPrEx>
        <w:trPr>
          <w:trHeight w:val="247"/>
        </w:trPr>
        <w:tc>
          <w:tcPr>
            <w:tcW w:w="5700" w:type="dxa"/>
            <w:hMerge w:val="restart"/>
            <w:tcBorders>
              <w:bottom w:val="single" w:sz="6" w:space="0" w:color="008000"/>
            </w:tcBorders>
          </w:tcPr>
          <w:p w:rsidR="007B7A21" w:rsidRPr="00AD33E8" w:rsidRDefault="007B7A21">
            <w:pPr>
              <w:spacing w:before="0" w:line="240" w:lineRule="auto"/>
              <w:rPr>
                <w:b/>
                <w:snapToGrid w:val="0"/>
                <w:lang w:eastAsia="sv-SE"/>
              </w:rPr>
            </w:pPr>
            <w:r w:rsidRPr="00AD33E8">
              <w:rPr>
                <w:b/>
                <w:snapToGrid w:val="0"/>
                <w:lang w:eastAsia="sv-SE"/>
              </w:rPr>
              <w:t>Tabell 4: Anställda och tjänstebenämningar i staten och kyrkan  1992 och 2000, antal sysselsatta</w:t>
            </w:r>
          </w:p>
        </w:tc>
        <w:tc>
          <w:tcPr>
            <w:hMerge/>
            <w:tcBorders>
              <w:bottom w:val="single" w:sz="6" w:space="0" w:color="008000"/>
            </w:tcBorders>
          </w:tcPr>
          <w:p w:rsidR="007B7A21" w:rsidRPr="00AD33E8" w:rsidRDefault="007B7A21">
            <w:pPr>
              <w:spacing w:before="0" w:line="240" w:lineRule="auto"/>
              <w:jc w:val="right"/>
              <w:rPr>
                <w:snapToGrid w:val="0"/>
                <w:lang w:eastAsia="sv-SE"/>
              </w:rPr>
            </w:pPr>
          </w:p>
        </w:tc>
        <w:tc>
          <w:tcPr>
            <w:gridSpan w:val="3"/>
            <w:hMerge/>
            <w:tcBorders>
              <w:bottom w:val="single" w:sz="6" w:space="0" w:color="008000"/>
            </w:tcBorders>
          </w:tcPr>
          <w:p w:rsidR="007B7A21" w:rsidRPr="00AD33E8" w:rsidRDefault="007B7A21">
            <w:pPr>
              <w:spacing w:before="0" w:line="240" w:lineRule="auto"/>
              <w:jc w:val="right"/>
              <w:rPr>
                <w:snapToGrid w:val="0"/>
                <w:lang w:eastAsia="sv-SE"/>
              </w:rPr>
            </w:pPr>
          </w:p>
        </w:tc>
      </w:tr>
      <w:tr w:rsidR="00000000" w:rsidRPr="00AD33E8">
        <w:tblPrEx>
          <w:tblCellMar>
            <w:top w:w="0" w:type="dxa"/>
            <w:bottom w:w="0" w:type="dxa"/>
          </w:tblCellMar>
        </w:tblPrEx>
        <w:trPr>
          <w:trHeight w:val="247"/>
        </w:trPr>
        <w:tc>
          <w:tcPr>
            <w:tcW w:w="3999" w:type="dxa"/>
            <w:gridSpan w:val="3"/>
            <w:tcBorders>
              <w:top w:val="nil"/>
            </w:tcBorders>
          </w:tcPr>
          <w:p w:rsidR="007B7A21" w:rsidRPr="00AD33E8" w:rsidRDefault="007B7A21">
            <w:pPr>
              <w:spacing w:before="0" w:line="240" w:lineRule="auto"/>
              <w:jc w:val="right"/>
              <w:rPr>
                <w:snapToGrid w:val="0"/>
                <w:lang w:eastAsia="sv-SE"/>
              </w:rPr>
            </w:pPr>
          </w:p>
        </w:tc>
        <w:tc>
          <w:tcPr>
            <w:tcW w:w="709" w:type="dxa"/>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1992</w:t>
            </w:r>
          </w:p>
        </w:tc>
        <w:tc>
          <w:tcPr>
            <w:tcW w:w="992" w:type="dxa"/>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2000</w:t>
            </w:r>
          </w:p>
        </w:tc>
      </w:tr>
      <w:tr w:rsidR="00000000" w:rsidRPr="00AD33E8">
        <w:tblPrEx>
          <w:tblCellMar>
            <w:top w:w="0" w:type="dxa"/>
            <w:bottom w:w="0" w:type="dxa"/>
          </w:tblCellMar>
        </w:tblPrEx>
        <w:trPr>
          <w:trHeight w:val="247"/>
        </w:trPr>
        <w:tc>
          <w:tcPr>
            <w:tcW w:w="3999" w:type="dxa"/>
            <w:gridSpan w:val="3"/>
          </w:tcPr>
          <w:p w:rsidR="007B7A21" w:rsidRPr="00AD33E8" w:rsidRDefault="007B7A21">
            <w:pPr>
              <w:spacing w:before="0" w:line="240" w:lineRule="auto"/>
              <w:rPr>
                <w:snapToGrid w:val="0"/>
                <w:lang w:eastAsia="sv-SE"/>
              </w:rPr>
            </w:pPr>
            <w:r w:rsidRPr="00AD33E8">
              <w:rPr>
                <w:snapToGrid w:val="0"/>
                <w:lang w:eastAsia="sv-SE"/>
              </w:rPr>
              <w:t>Antal anställda</w:t>
            </w:r>
          </w:p>
        </w:tc>
        <w:tc>
          <w:tcPr>
            <w:tcW w:w="709" w:type="dxa"/>
          </w:tcPr>
          <w:p w:rsidR="007B7A21" w:rsidRPr="00AD33E8" w:rsidRDefault="007B7A21">
            <w:pPr>
              <w:spacing w:before="0" w:line="240" w:lineRule="auto"/>
              <w:jc w:val="right"/>
              <w:rPr>
                <w:snapToGrid w:val="0"/>
                <w:lang w:eastAsia="sv-SE"/>
              </w:rPr>
            </w:pPr>
            <w:r w:rsidRPr="00AD33E8">
              <w:rPr>
                <w:snapToGrid w:val="0"/>
                <w:lang w:eastAsia="sv-SE"/>
              </w:rPr>
              <w:t>378 000</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235 000</w:t>
            </w:r>
          </w:p>
        </w:tc>
      </w:tr>
      <w:tr w:rsidR="00000000" w:rsidRPr="00AD33E8">
        <w:tblPrEx>
          <w:tblCellMar>
            <w:top w:w="0" w:type="dxa"/>
            <w:bottom w:w="0" w:type="dxa"/>
          </w:tblCellMar>
        </w:tblPrEx>
        <w:trPr>
          <w:trHeight w:val="247"/>
        </w:trPr>
        <w:tc>
          <w:tcPr>
            <w:tcW w:w="3999" w:type="dxa"/>
            <w:gridSpan w:val="3"/>
          </w:tcPr>
          <w:p w:rsidR="007B7A21" w:rsidRPr="00AD33E8" w:rsidRDefault="007B7A21">
            <w:pPr>
              <w:spacing w:before="0" w:line="240" w:lineRule="auto"/>
              <w:rPr>
                <w:snapToGrid w:val="0"/>
                <w:lang w:eastAsia="sv-SE"/>
              </w:rPr>
            </w:pPr>
            <w:r w:rsidRPr="00AD33E8">
              <w:rPr>
                <w:snapToGrid w:val="0"/>
                <w:lang w:eastAsia="sv-SE"/>
              </w:rPr>
              <w:t>Antal tjänstebenämningar</w:t>
            </w:r>
          </w:p>
        </w:tc>
        <w:tc>
          <w:tcPr>
            <w:tcW w:w="709" w:type="dxa"/>
          </w:tcPr>
          <w:p w:rsidR="007B7A21" w:rsidRPr="00AD33E8" w:rsidRDefault="007B7A21">
            <w:pPr>
              <w:spacing w:before="0" w:line="240" w:lineRule="auto"/>
              <w:jc w:val="right"/>
              <w:rPr>
                <w:snapToGrid w:val="0"/>
                <w:lang w:eastAsia="sv-SE"/>
              </w:rPr>
            </w:pPr>
            <w:r w:rsidRPr="00AD33E8">
              <w:rPr>
                <w:snapToGrid w:val="0"/>
                <w:lang w:eastAsia="sv-SE"/>
              </w:rPr>
              <w:t>1 640</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2 273</w:t>
            </w:r>
          </w:p>
        </w:tc>
      </w:tr>
      <w:tr w:rsidR="00000000" w:rsidRPr="00AD33E8">
        <w:tblPrEx>
          <w:tblCellMar>
            <w:top w:w="0" w:type="dxa"/>
            <w:bottom w:w="0" w:type="dxa"/>
          </w:tblCellMar>
        </w:tblPrEx>
        <w:trPr>
          <w:trHeight w:val="247"/>
        </w:trPr>
        <w:tc>
          <w:tcPr>
            <w:tcW w:w="3999" w:type="dxa"/>
            <w:gridSpan w:val="3"/>
          </w:tcPr>
          <w:p w:rsidR="007B7A21" w:rsidRPr="00AD33E8" w:rsidRDefault="007B7A21">
            <w:pPr>
              <w:spacing w:before="0" w:line="240" w:lineRule="auto"/>
              <w:rPr>
                <w:snapToGrid w:val="0"/>
                <w:lang w:eastAsia="sv-SE"/>
              </w:rPr>
            </w:pPr>
            <w:r w:rsidRPr="00AD33E8">
              <w:rPr>
                <w:snapToGrid w:val="0"/>
                <w:lang w:eastAsia="sv-SE"/>
              </w:rPr>
              <w:t>Antal benämningar per 1 000 anställda</w:t>
            </w:r>
          </w:p>
        </w:tc>
        <w:tc>
          <w:tcPr>
            <w:tcW w:w="709" w:type="dxa"/>
          </w:tcPr>
          <w:p w:rsidR="007B7A21" w:rsidRPr="00AD33E8" w:rsidRDefault="007B7A21">
            <w:pPr>
              <w:spacing w:before="0" w:line="240" w:lineRule="auto"/>
              <w:jc w:val="right"/>
              <w:rPr>
                <w:snapToGrid w:val="0"/>
                <w:lang w:eastAsia="sv-SE"/>
              </w:rPr>
            </w:pPr>
            <w:r w:rsidRPr="00AD33E8">
              <w:rPr>
                <w:snapToGrid w:val="0"/>
                <w:lang w:eastAsia="sv-SE"/>
              </w:rPr>
              <w:t>4</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10</w:t>
            </w:r>
          </w:p>
        </w:tc>
      </w:tr>
      <w:tr w:rsidR="00000000" w:rsidRPr="00AD33E8">
        <w:tblPrEx>
          <w:tblCellMar>
            <w:top w:w="0" w:type="dxa"/>
            <w:bottom w:w="0" w:type="dxa"/>
          </w:tblCellMar>
        </w:tblPrEx>
        <w:trPr>
          <w:trHeight w:val="247"/>
        </w:trPr>
        <w:tc>
          <w:tcPr>
            <w:tcW w:w="3999" w:type="dxa"/>
            <w:gridSpan w:val="3"/>
          </w:tcPr>
          <w:p w:rsidR="007B7A21" w:rsidRPr="00AD33E8" w:rsidRDefault="007B7A21">
            <w:pPr>
              <w:spacing w:before="0" w:line="240" w:lineRule="auto"/>
              <w:rPr>
                <w:snapToGrid w:val="0"/>
                <w:lang w:eastAsia="sv-SE"/>
              </w:rPr>
            </w:pPr>
            <w:r w:rsidRPr="00AD33E8">
              <w:rPr>
                <w:snapToGrid w:val="0"/>
                <w:lang w:eastAsia="sv-SE"/>
              </w:rPr>
              <w:t>Källa: SCB, bearbetad av revisorerna.</w:t>
            </w:r>
          </w:p>
        </w:tc>
        <w:tc>
          <w:tcPr>
            <w:tcW w:w="709" w:type="dxa"/>
          </w:tcPr>
          <w:p w:rsidR="007B7A21" w:rsidRPr="00AD33E8" w:rsidRDefault="007B7A21">
            <w:pPr>
              <w:spacing w:before="0" w:line="240" w:lineRule="auto"/>
              <w:jc w:val="right"/>
              <w:rPr>
                <w:snapToGrid w:val="0"/>
                <w:lang w:eastAsia="sv-SE"/>
              </w:rPr>
            </w:pPr>
          </w:p>
        </w:tc>
        <w:tc>
          <w:tcPr>
            <w:tcW w:w="992" w:type="dxa"/>
          </w:tcPr>
          <w:p w:rsidR="007B7A21" w:rsidRPr="00AD33E8" w:rsidRDefault="007B7A21">
            <w:pPr>
              <w:spacing w:before="0" w:line="240" w:lineRule="auto"/>
              <w:jc w:val="right"/>
              <w:rPr>
                <w:snapToGrid w:val="0"/>
                <w:lang w:eastAsia="sv-SE"/>
              </w:rPr>
            </w:pPr>
          </w:p>
        </w:tc>
      </w:tr>
    </w:tbl>
    <w:p w:rsidR="007B7A21" w:rsidRPr="00AD33E8" w:rsidRDefault="007B7A21">
      <w:r w:rsidRPr="00AD33E8">
        <w:t>En tolkning av detta är att den personalpolitiska reformen fått genomslag i formell mening. Möjligheten att flexibelt inrätta och benämna tjänster har utnyttjats. När det gäller assistenter så visar statistiken hur antalet anställda minskat kraftigt. Anställda i kategorierna assistent eller byråassistent min</w:t>
      </w:r>
      <w:r w:rsidRPr="00AD33E8">
        <w:t>s</w:t>
      </w:r>
      <w:r w:rsidRPr="00AD33E8">
        <w:t xml:space="preserve">kade med drygt 20 000 personer. Antalet chefer har ökat. Eftersom antalet anställda totalt har minskat så är slutsatsen att chefstätheten ökat, tabell 5. </w:t>
      </w:r>
    </w:p>
    <w:p w:rsidR="007B7A21" w:rsidRPr="00AD33E8" w:rsidRDefault="007B7A21">
      <w:pPr>
        <w:pStyle w:val="Normaltindrag"/>
      </w:pPr>
    </w:p>
    <w:tbl>
      <w:tblPr>
        <w:tblW w:w="0" w:type="auto"/>
        <w:tblInd w:w="-30" w:type="dxa"/>
        <w:tblBorders>
          <w:top w:val="single" w:sz="12" w:space="0" w:color="008000"/>
          <w:bottom w:val="single" w:sz="12" w:space="0" w:color="008000"/>
        </w:tblBorders>
        <w:tblLayout w:type="fixed"/>
        <w:tblCellMar>
          <w:left w:w="30" w:type="dxa"/>
          <w:right w:w="30" w:type="dxa"/>
        </w:tblCellMar>
        <w:tblLook w:val="00BF" w:firstRow="1" w:lastRow="0" w:firstColumn="1" w:lastColumn="0" w:noHBand="0" w:noVBand="0"/>
      </w:tblPr>
      <w:tblGrid>
        <w:gridCol w:w="1"/>
        <w:gridCol w:w="1"/>
        <w:gridCol w:w="1"/>
        <w:gridCol w:w="3004"/>
        <w:gridCol w:w="851"/>
        <w:gridCol w:w="850"/>
        <w:gridCol w:w="992"/>
      </w:tblGrid>
      <w:tr w:rsidR="00000000" w:rsidRPr="00AD33E8">
        <w:tblPrEx>
          <w:tblCellMar>
            <w:top w:w="0" w:type="dxa"/>
            <w:bottom w:w="0" w:type="dxa"/>
          </w:tblCellMar>
        </w:tblPrEx>
        <w:trPr>
          <w:trHeight w:val="247"/>
        </w:trPr>
        <w:tc>
          <w:tcPr>
            <w:tcW w:w="5700" w:type="dxa"/>
            <w:hMerge w:val="restart"/>
            <w:tcBorders>
              <w:top w:val="single" w:sz="12" w:space="0" w:color="008000"/>
              <w:bottom w:val="single" w:sz="6" w:space="0" w:color="008000"/>
            </w:tcBorders>
          </w:tcPr>
          <w:p w:rsidR="007B7A21" w:rsidRPr="00AD33E8" w:rsidRDefault="007B7A21">
            <w:pPr>
              <w:spacing w:before="0" w:line="240" w:lineRule="auto"/>
              <w:rPr>
                <w:b/>
                <w:snapToGrid w:val="0"/>
                <w:lang w:eastAsia="sv-SE"/>
              </w:rPr>
            </w:pPr>
            <w:r w:rsidRPr="00AD33E8">
              <w:rPr>
                <w:b/>
                <w:snapToGrid w:val="0"/>
                <w:lang w:eastAsia="sv-SE"/>
              </w:rPr>
              <w:t>Tabell 5: Anställda i chefs- respektive assistentkategori 1992 och 2000, antal</w:t>
            </w:r>
          </w:p>
        </w:tc>
        <w:tc>
          <w:tcPr>
            <w:hMerge/>
            <w:tcBorders>
              <w:top w:val="single" w:sz="12" w:space="0" w:color="008000"/>
              <w:bottom w:val="single" w:sz="6" w:space="0" w:color="008000"/>
            </w:tcBorders>
          </w:tcPr>
          <w:p w:rsidR="007B7A21" w:rsidRPr="00AD33E8" w:rsidRDefault="007B7A21">
            <w:pPr>
              <w:spacing w:before="0" w:line="240" w:lineRule="auto"/>
              <w:jc w:val="right"/>
              <w:rPr>
                <w:snapToGrid w:val="0"/>
                <w:lang w:eastAsia="sv-SE"/>
              </w:rPr>
            </w:pPr>
          </w:p>
        </w:tc>
        <w:tc>
          <w:tcPr>
            <w:hMerge/>
            <w:tcBorders>
              <w:top w:val="single" w:sz="12" w:space="0" w:color="008000"/>
              <w:bottom w:val="single" w:sz="6" w:space="0" w:color="008000"/>
            </w:tcBorders>
          </w:tcPr>
          <w:p w:rsidR="007B7A21" w:rsidRPr="00AD33E8" w:rsidRDefault="007B7A21">
            <w:pPr>
              <w:spacing w:before="0" w:line="240" w:lineRule="auto"/>
              <w:jc w:val="right"/>
              <w:rPr>
                <w:snapToGrid w:val="0"/>
                <w:lang w:eastAsia="sv-SE"/>
              </w:rPr>
            </w:pPr>
          </w:p>
        </w:tc>
        <w:tc>
          <w:tcPr>
            <w:gridSpan w:val="4"/>
            <w:hMerge/>
            <w:tcBorders>
              <w:top w:val="single" w:sz="12" w:space="0" w:color="008000"/>
              <w:bottom w:val="single" w:sz="6" w:space="0" w:color="008000"/>
            </w:tcBorders>
          </w:tcPr>
          <w:p w:rsidR="007B7A21" w:rsidRPr="00AD33E8" w:rsidRDefault="007B7A21">
            <w:pPr>
              <w:spacing w:before="0" w:line="240" w:lineRule="auto"/>
              <w:jc w:val="right"/>
              <w:rPr>
                <w:snapToGrid w:val="0"/>
                <w:lang w:eastAsia="sv-SE"/>
              </w:rPr>
            </w:pPr>
          </w:p>
        </w:tc>
      </w:tr>
      <w:tr w:rsidR="00000000" w:rsidRPr="00AD33E8">
        <w:tblPrEx>
          <w:tblCellMar>
            <w:top w:w="0" w:type="dxa"/>
            <w:bottom w:w="0" w:type="dxa"/>
          </w:tblCellMar>
        </w:tblPrEx>
        <w:trPr>
          <w:trHeight w:val="247"/>
        </w:trPr>
        <w:tc>
          <w:tcPr>
            <w:tcW w:w="3007" w:type="dxa"/>
            <w:gridSpan w:val="4"/>
            <w:tcBorders>
              <w:top w:val="single" w:sz="6" w:space="0" w:color="008000"/>
            </w:tcBorders>
          </w:tcPr>
          <w:p w:rsidR="007B7A21" w:rsidRPr="00AD33E8" w:rsidRDefault="007B7A21">
            <w:pPr>
              <w:spacing w:before="0" w:line="240" w:lineRule="auto"/>
              <w:jc w:val="right"/>
              <w:rPr>
                <w:snapToGrid w:val="0"/>
                <w:lang w:eastAsia="sv-SE"/>
              </w:rPr>
            </w:pPr>
          </w:p>
        </w:tc>
        <w:tc>
          <w:tcPr>
            <w:tcW w:w="851" w:type="dxa"/>
            <w:tcBorders>
              <w:top w:val="single" w:sz="6" w:space="0" w:color="008000"/>
            </w:tcBorders>
          </w:tcPr>
          <w:p w:rsidR="007B7A21" w:rsidRPr="00AD33E8" w:rsidRDefault="007B7A21">
            <w:pPr>
              <w:spacing w:before="0" w:line="240" w:lineRule="auto"/>
              <w:jc w:val="right"/>
              <w:rPr>
                <w:snapToGrid w:val="0"/>
                <w:lang w:eastAsia="sv-SE"/>
              </w:rPr>
            </w:pPr>
            <w:r w:rsidRPr="00AD33E8">
              <w:rPr>
                <w:snapToGrid w:val="0"/>
                <w:lang w:eastAsia="sv-SE"/>
              </w:rPr>
              <w:t>1992</w:t>
            </w:r>
          </w:p>
        </w:tc>
        <w:tc>
          <w:tcPr>
            <w:tcW w:w="850" w:type="dxa"/>
            <w:tcBorders>
              <w:top w:val="single" w:sz="6" w:space="0" w:color="008000"/>
            </w:tcBorders>
          </w:tcPr>
          <w:p w:rsidR="007B7A21" w:rsidRPr="00AD33E8" w:rsidRDefault="007B7A21">
            <w:pPr>
              <w:spacing w:before="0" w:line="240" w:lineRule="auto"/>
              <w:jc w:val="right"/>
              <w:rPr>
                <w:snapToGrid w:val="0"/>
                <w:lang w:eastAsia="sv-SE"/>
              </w:rPr>
            </w:pPr>
            <w:r w:rsidRPr="00AD33E8">
              <w:rPr>
                <w:snapToGrid w:val="0"/>
                <w:lang w:eastAsia="sv-SE"/>
              </w:rPr>
              <w:t>2000</w:t>
            </w:r>
          </w:p>
        </w:tc>
        <w:tc>
          <w:tcPr>
            <w:tcW w:w="992" w:type="dxa"/>
            <w:tcBorders>
              <w:top w:val="single" w:sz="6" w:space="0" w:color="008000"/>
            </w:tcBorders>
          </w:tcPr>
          <w:p w:rsidR="007B7A21" w:rsidRPr="00AD33E8" w:rsidRDefault="007B7A21">
            <w:pPr>
              <w:spacing w:before="0" w:line="240" w:lineRule="auto"/>
              <w:jc w:val="center"/>
              <w:rPr>
                <w:snapToGrid w:val="0"/>
                <w:sz w:val="18"/>
                <w:lang w:eastAsia="sv-SE"/>
              </w:rPr>
            </w:pPr>
            <w:r w:rsidRPr="00AD33E8">
              <w:rPr>
                <w:snapToGrid w:val="0"/>
                <w:sz w:val="18"/>
                <w:lang w:eastAsia="sv-SE"/>
              </w:rPr>
              <w:t>Förän</w:t>
            </w:r>
            <w:r w:rsidRPr="00AD33E8">
              <w:rPr>
                <w:snapToGrid w:val="0"/>
                <w:sz w:val="18"/>
                <w:lang w:eastAsia="sv-SE"/>
              </w:rPr>
              <w:t>d</w:t>
            </w:r>
            <w:r w:rsidRPr="00AD33E8">
              <w:rPr>
                <w:snapToGrid w:val="0"/>
                <w:sz w:val="18"/>
                <w:lang w:eastAsia="sv-SE"/>
              </w:rPr>
              <w:t>ring</w:t>
            </w:r>
          </w:p>
        </w:tc>
      </w:tr>
      <w:tr w:rsidR="00000000" w:rsidRPr="00AD33E8">
        <w:tblPrEx>
          <w:tblCellMar>
            <w:top w:w="0" w:type="dxa"/>
            <w:bottom w:w="0" w:type="dxa"/>
          </w:tblCellMar>
        </w:tblPrEx>
        <w:trPr>
          <w:trHeight w:val="247"/>
        </w:trPr>
        <w:tc>
          <w:tcPr>
            <w:tcW w:w="3007" w:type="dxa"/>
            <w:gridSpan w:val="4"/>
          </w:tcPr>
          <w:p w:rsidR="007B7A21" w:rsidRPr="00AD33E8" w:rsidRDefault="007B7A21">
            <w:pPr>
              <w:spacing w:before="0" w:line="240" w:lineRule="auto"/>
              <w:rPr>
                <w:snapToGrid w:val="0"/>
                <w:lang w:eastAsia="sv-SE"/>
              </w:rPr>
            </w:pPr>
            <w:r w:rsidRPr="00AD33E8">
              <w:rPr>
                <w:snapToGrid w:val="0"/>
                <w:lang w:eastAsia="sv-SE"/>
              </w:rPr>
              <w:t>Antal anställda</w:t>
            </w:r>
          </w:p>
        </w:tc>
        <w:tc>
          <w:tcPr>
            <w:tcW w:w="851" w:type="dxa"/>
          </w:tcPr>
          <w:p w:rsidR="007B7A21" w:rsidRPr="00AD33E8" w:rsidRDefault="007B7A21">
            <w:pPr>
              <w:spacing w:before="0" w:line="240" w:lineRule="auto"/>
              <w:jc w:val="right"/>
              <w:rPr>
                <w:snapToGrid w:val="0"/>
                <w:lang w:eastAsia="sv-SE"/>
              </w:rPr>
            </w:pPr>
            <w:r w:rsidRPr="00AD33E8">
              <w:rPr>
                <w:snapToGrid w:val="0"/>
                <w:lang w:eastAsia="sv-SE"/>
              </w:rPr>
              <w:t>377 000</w:t>
            </w:r>
          </w:p>
        </w:tc>
        <w:tc>
          <w:tcPr>
            <w:tcW w:w="850" w:type="dxa"/>
          </w:tcPr>
          <w:p w:rsidR="007B7A21" w:rsidRPr="00AD33E8" w:rsidRDefault="007B7A21">
            <w:pPr>
              <w:spacing w:before="0" w:line="240" w:lineRule="auto"/>
              <w:jc w:val="right"/>
              <w:rPr>
                <w:snapToGrid w:val="0"/>
                <w:lang w:eastAsia="sv-SE"/>
              </w:rPr>
            </w:pPr>
            <w:r w:rsidRPr="00AD33E8">
              <w:rPr>
                <w:snapToGrid w:val="0"/>
                <w:lang w:eastAsia="sv-SE"/>
              </w:rPr>
              <w:t>235 000</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-38 %</w:t>
            </w:r>
          </w:p>
        </w:tc>
      </w:tr>
      <w:tr w:rsidR="00000000" w:rsidRPr="00AD33E8">
        <w:tblPrEx>
          <w:tblCellMar>
            <w:top w:w="0" w:type="dxa"/>
            <w:bottom w:w="0" w:type="dxa"/>
          </w:tblCellMar>
        </w:tblPrEx>
        <w:trPr>
          <w:trHeight w:val="247"/>
        </w:trPr>
        <w:tc>
          <w:tcPr>
            <w:tcW w:w="3007" w:type="dxa"/>
            <w:gridSpan w:val="4"/>
          </w:tcPr>
          <w:p w:rsidR="007B7A21" w:rsidRPr="00AD33E8" w:rsidRDefault="007B7A21">
            <w:pPr>
              <w:spacing w:before="0" w:line="240" w:lineRule="auto"/>
              <w:rPr>
                <w:snapToGrid w:val="0"/>
                <w:lang w:eastAsia="sv-SE"/>
              </w:rPr>
            </w:pPr>
            <w:r w:rsidRPr="00AD33E8">
              <w:rPr>
                <w:snapToGrid w:val="0"/>
                <w:lang w:eastAsia="sv-SE"/>
              </w:rPr>
              <w:t>Avdelnings-, enhets- och byr</w:t>
            </w:r>
            <w:r w:rsidRPr="00AD33E8">
              <w:rPr>
                <w:snapToGrid w:val="0"/>
                <w:lang w:eastAsia="sv-SE"/>
              </w:rPr>
              <w:t>å</w:t>
            </w:r>
            <w:r w:rsidRPr="00AD33E8">
              <w:rPr>
                <w:snapToGrid w:val="0"/>
                <w:lang w:eastAsia="sv-SE"/>
              </w:rPr>
              <w:t>chefer</w:t>
            </w:r>
          </w:p>
        </w:tc>
        <w:tc>
          <w:tcPr>
            <w:tcW w:w="851" w:type="dxa"/>
          </w:tcPr>
          <w:p w:rsidR="007B7A21" w:rsidRPr="00AD33E8" w:rsidRDefault="007B7A21">
            <w:pPr>
              <w:spacing w:before="0" w:line="240" w:lineRule="auto"/>
              <w:jc w:val="right"/>
              <w:rPr>
                <w:snapToGrid w:val="0"/>
                <w:lang w:eastAsia="sv-SE"/>
              </w:rPr>
            </w:pPr>
            <w:r w:rsidRPr="00AD33E8">
              <w:rPr>
                <w:snapToGrid w:val="0"/>
                <w:lang w:eastAsia="sv-SE"/>
              </w:rPr>
              <w:t>572</w:t>
            </w:r>
          </w:p>
        </w:tc>
        <w:tc>
          <w:tcPr>
            <w:tcW w:w="850" w:type="dxa"/>
          </w:tcPr>
          <w:p w:rsidR="007B7A21" w:rsidRPr="00AD33E8" w:rsidRDefault="007B7A21">
            <w:pPr>
              <w:spacing w:before="0" w:line="240" w:lineRule="auto"/>
              <w:jc w:val="right"/>
              <w:rPr>
                <w:snapToGrid w:val="0"/>
                <w:lang w:eastAsia="sv-SE"/>
              </w:rPr>
            </w:pPr>
            <w:r w:rsidRPr="00AD33E8">
              <w:rPr>
                <w:snapToGrid w:val="0"/>
                <w:lang w:eastAsia="sv-SE"/>
              </w:rPr>
              <w:t>954</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67 %</w:t>
            </w:r>
          </w:p>
        </w:tc>
      </w:tr>
      <w:tr w:rsidR="00000000" w:rsidRPr="00AD33E8">
        <w:tblPrEx>
          <w:tblCellMar>
            <w:top w:w="0" w:type="dxa"/>
            <w:bottom w:w="0" w:type="dxa"/>
          </w:tblCellMar>
        </w:tblPrEx>
        <w:trPr>
          <w:trHeight w:val="247"/>
        </w:trPr>
        <w:tc>
          <w:tcPr>
            <w:tcW w:w="3007" w:type="dxa"/>
            <w:gridSpan w:val="4"/>
          </w:tcPr>
          <w:p w:rsidR="007B7A21" w:rsidRPr="00AD33E8" w:rsidRDefault="007B7A21">
            <w:pPr>
              <w:spacing w:before="0" w:line="240" w:lineRule="auto"/>
              <w:rPr>
                <w:snapToGrid w:val="0"/>
                <w:lang w:eastAsia="sv-SE"/>
              </w:rPr>
            </w:pPr>
            <w:r w:rsidRPr="00AD33E8">
              <w:rPr>
                <w:snapToGrid w:val="0"/>
                <w:lang w:eastAsia="sv-SE"/>
              </w:rPr>
              <w:t>Assistenter och byråassistenter</w:t>
            </w:r>
          </w:p>
        </w:tc>
        <w:tc>
          <w:tcPr>
            <w:tcW w:w="851" w:type="dxa"/>
          </w:tcPr>
          <w:p w:rsidR="007B7A21" w:rsidRPr="00AD33E8" w:rsidRDefault="007B7A21">
            <w:pPr>
              <w:spacing w:before="0" w:line="240" w:lineRule="auto"/>
              <w:jc w:val="right"/>
              <w:rPr>
                <w:snapToGrid w:val="0"/>
                <w:lang w:eastAsia="sv-SE"/>
              </w:rPr>
            </w:pPr>
            <w:r w:rsidRPr="00AD33E8">
              <w:rPr>
                <w:snapToGrid w:val="0"/>
                <w:lang w:eastAsia="sv-SE"/>
              </w:rPr>
              <w:t>30 551</w:t>
            </w:r>
          </w:p>
        </w:tc>
        <w:tc>
          <w:tcPr>
            <w:tcW w:w="850" w:type="dxa"/>
          </w:tcPr>
          <w:p w:rsidR="007B7A21" w:rsidRPr="00AD33E8" w:rsidRDefault="007B7A21">
            <w:pPr>
              <w:spacing w:before="0" w:line="240" w:lineRule="auto"/>
              <w:jc w:val="right"/>
              <w:rPr>
                <w:snapToGrid w:val="0"/>
                <w:lang w:eastAsia="sv-SE"/>
              </w:rPr>
            </w:pPr>
            <w:r w:rsidRPr="00AD33E8">
              <w:rPr>
                <w:snapToGrid w:val="0"/>
                <w:lang w:eastAsia="sv-SE"/>
              </w:rPr>
              <w:t>10 478</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-66 %</w:t>
            </w:r>
          </w:p>
        </w:tc>
      </w:tr>
      <w:tr w:rsidR="00000000" w:rsidRPr="00AD33E8">
        <w:tblPrEx>
          <w:tblCellMar>
            <w:top w:w="0" w:type="dxa"/>
            <w:bottom w:w="0" w:type="dxa"/>
          </w:tblCellMar>
        </w:tblPrEx>
        <w:trPr>
          <w:trHeight w:val="247"/>
        </w:trPr>
        <w:tc>
          <w:tcPr>
            <w:tcW w:w="3007" w:type="dxa"/>
            <w:gridSpan w:val="4"/>
          </w:tcPr>
          <w:p w:rsidR="007B7A21" w:rsidRPr="00AD33E8" w:rsidRDefault="007B7A21">
            <w:pPr>
              <w:spacing w:before="0" w:line="240" w:lineRule="auto"/>
              <w:rPr>
                <w:snapToGrid w:val="0"/>
                <w:lang w:eastAsia="sv-SE"/>
              </w:rPr>
            </w:pPr>
            <w:r w:rsidRPr="00AD33E8">
              <w:rPr>
                <w:snapToGrid w:val="0"/>
                <w:lang w:eastAsia="sv-SE"/>
              </w:rPr>
              <w:t>Källa: SCB, bearbetad av revis</w:t>
            </w:r>
            <w:r w:rsidRPr="00AD33E8">
              <w:rPr>
                <w:snapToGrid w:val="0"/>
                <w:lang w:eastAsia="sv-SE"/>
              </w:rPr>
              <w:t>o</w:t>
            </w:r>
            <w:r w:rsidRPr="00AD33E8">
              <w:rPr>
                <w:snapToGrid w:val="0"/>
                <w:lang w:eastAsia="sv-SE"/>
              </w:rPr>
              <w:t>rerna.</w:t>
            </w:r>
          </w:p>
        </w:tc>
        <w:tc>
          <w:tcPr>
            <w:tcW w:w="851" w:type="dxa"/>
          </w:tcPr>
          <w:p w:rsidR="007B7A21" w:rsidRPr="00AD33E8" w:rsidRDefault="007B7A21">
            <w:pPr>
              <w:spacing w:before="0" w:line="240" w:lineRule="auto"/>
              <w:jc w:val="right"/>
              <w:rPr>
                <w:snapToGrid w:val="0"/>
                <w:lang w:eastAsia="sv-SE"/>
              </w:rPr>
            </w:pPr>
          </w:p>
        </w:tc>
        <w:tc>
          <w:tcPr>
            <w:tcW w:w="850" w:type="dxa"/>
          </w:tcPr>
          <w:p w:rsidR="007B7A21" w:rsidRPr="00AD33E8" w:rsidRDefault="007B7A21">
            <w:pPr>
              <w:spacing w:before="0" w:line="240" w:lineRule="auto"/>
              <w:jc w:val="right"/>
              <w:rPr>
                <w:snapToGrid w:val="0"/>
                <w:lang w:eastAsia="sv-SE"/>
              </w:rPr>
            </w:pPr>
          </w:p>
        </w:tc>
        <w:tc>
          <w:tcPr>
            <w:tcW w:w="992" w:type="dxa"/>
          </w:tcPr>
          <w:p w:rsidR="007B7A21" w:rsidRPr="00AD33E8" w:rsidRDefault="007B7A21">
            <w:pPr>
              <w:spacing w:before="0" w:line="240" w:lineRule="auto"/>
              <w:jc w:val="right"/>
              <w:rPr>
                <w:snapToGrid w:val="0"/>
                <w:lang w:eastAsia="sv-SE"/>
              </w:rPr>
            </w:pPr>
          </w:p>
        </w:tc>
      </w:tr>
    </w:tbl>
    <w:p w:rsidR="007B7A21" w:rsidRPr="00AD33E8" w:rsidRDefault="007B7A21">
      <w:r w:rsidRPr="00AD33E8">
        <w:t>För administrativa befattningar knutna till centrala enheter är kategorierna lättare att tydligare benämna. Antalet anställda i administrativa befattningar, tabell 6, har ökat under 1990-talet, med ett undantag. Antalet lönehandlägg</w:t>
      </w:r>
      <w:r w:rsidRPr="00AD33E8">
        <w:t>a</w:t>
      </w:r>
      <w:r w:rsidRPr="00AD33E8">
        <w:t>re har minskat. I det fallet kan tre förklaringar tänkas. Då totala antalet a</w:t>
      </w:r>
      <w:r w:rsidRPr="00AD33E8">
        <w:t>n</w:t>
      </w:r>
      <w:r w:rsidRPr="00AD33E8">
        <w:t>ställda minskat har också behovet av löneadministration minskat. Vidare kan regelverkets förenkling liksom det ökade teknikstödet ha gjort rutinerna mindre komplicerade och därmed mindre arbetskr</w:t>
      </w:r>
      <w:r w:rsidRPr="00AD33E8">
        <w:t>ä</w:t>
      </w:r>
      <w:r w:rsidRPr="00AD33E8">
        <w:t>vande.</w:t>
      </w:r>
    </w:p>
    <w:p w:rsidR="007B7A21" w:rsidRPr="00AD33E8" w:rsidRDefault="007B7A21">
      <w:r w:rsidRPr="00AD33E8">
        <w:br w:type="page"/>
      </w: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1"/>
        <w:gridCol w:w="1"/>
        <w:gridCol w:w="1"/>
        <w:gridCol w:w="2265"/>
        <w:gridCol w:w="851"/>
        <w:gridCol w:w="850"/>
        <w:gridCol w:w="1304"/>
        <w:gridCol w:w="521"/>
      </w:tblGrid>
      <w:tr w:rsidR="00000000" w:rsidRPr="00AD33E8">
        <w:tblPrEx>
          <w:tblCellMar>
            <w:top w:w="0" w:type="dxa"/>
            <w:bottom w:w="0" w:type="dxa"/>
          </w:tblCellMar>
        </w:tblPrEx>
        <w:trPr>
          <w:trHeight w:val="247"/>
        </w:trPr>
        <w:tc>
          <w:tcPr>
            <w:tcW w:w="5794" w:type="dxa"/>
            <w:hMerge w:val="restart"/>
            <w:tcBorders>
              <w:bottom w:val="single" w:sz="6" w:space="0" w:color="008000"/>
            </w:tcBorders>
          </w:tcPr>
          <w:p w:rsidR="007B7A21" w:rsidRPr="00AD33E8" w:rsidRDefault="007B7A21">
            <w:pPr>
              <w:spacing w:before="0" w:line="240" w:lineRule="auto"/>
              <w:rPr>
                <w:b/>
                <w:snapToGrid w:val="0"/>
                <w:lang w:eastAsia="sv-SE"/>
              </w:rPr>
            </w:pPr>
            <w:r w:rsidRPr="00AD33E8">
              <w:rPr>
                <w:b/>
                <w:snapToGrid w:val="0"/>
                <w:lang w:eastAsia="sv-SE"/>
              </w:rPr>
              <w:t>Tabell 6: Statligt anställda i olika tjänstekategorier 1992 och 2000, antal</w:t>
            </w:r>
          </w:p>
        </w:tc>
        <w:tc>
          <w:tcPr>
            <w:hMerge/>
            <w:tcBorders>
              <w:bottom w:val="single" w:sz="6" w:space="0" w:color="008000"/>
            </w:tcBorders>
          </w:tcPr>
          <w:p w:rsidR="007B7A21" w:rsidRPr="00AD33E8" w:rsidRDefault="007B7A21">
            <w:pPr>
              <w:spacing w:before="0" w:line="240" w:lineRule="auto"/>
              <w:rPr>
                <w:snapToGrid w:val="0"/>
                <w:lang w:eastAsia="sv-SE"/>
              </w:rPr>
            </w:pPr>
          </w:p>
        </w:tc>
        <w:tc>
          <w:tcPr>
            <w:hMerge/>
            <w:tcBorders>
              <w:bottom w:val="single" w:sz="6" w:space="0" w:color="008000"/>
            </w:tcBorders>
          </w:tcPr>
          <w:p w:rsidR="007B7A21" w:rsidRPr="00AD33E8" w:rsidRDefault="007B7A21">
            <w:pPr>
              <w:spacing w:before="0" w:line="240" w:lineRule="auto"/>
              <w:rPr>
                <w:snapToGrid w:val="0"/>
                <w:lang w:eastAsia="sv-SE"/>
              </w:rPr>
            </w:pPr>
          </w:p>
        </w:tc>
        <w:tc>
          <w:tcPr>
            <w:gridSpan w:val="5"/>
            <w:hMerge/>
            <w:tcBorders>
              <w:bottom w:val="single" w:sz="6" w:space="0" w:color="008000"/>
            </w:tcBorders>
          </w:tcPr>
          <w:p w:rsidR="007B7A21" w:rsidRPr="00AD33E8" w:rsidRDefault="007B7A21">
            <w:pPr>
              <w:spacing w:before="0" w:line="240" w:lineRule="auto"/>
              <w:jc w:val="right"/>
              <w:rPr>
                <w:rFonts w:ascii="Arial" w:hAnsi="Arial"/>
                <w:snapToGrid w:val="0"/>
                <w:sz w:val="16"/>
                <w:lang w:eastAsia="sv-SE"/>
              </w:rPr>
            </w:pPr>
          </w:p>
        </w:tc>
      </w:tr>
      <w:tr w:rsidR="00000000" w:rsidRPr="00AD33E8">
        <w:tblPrEx>
          <w:tblCellMar>
            <w:top w:w="0" w:type="dxa"/>
            <w:bottom w:w="0" w:type="dxa"/>
          </w:tblCellMar>
        </w:tblPrEx>
        <w:trPr>
          <w:gridAfter w:val="1"/>
          <w:wAfter w:w="521" w:type="dxa"/>
          <w:trHeight w:val="247"/>
        </w:trPr>
        <w:tc>
          <w:tcPr>
            <w:tcW w:w="2268" w:type="dxa"/>
            <w:gridSpan w:val="4"/>
            <w:tcBorders>
              <w:top w:val="nil"/>
            </w:tcBorders>
          </w:tcPr>
          <w:p w:rsidR="007B7A21" w:rsidRPr="00AD33E8" w:rsidRDefault="007B7A21">
            <w:pPr>
              <w:spacing w:before="0" w:line="240" w:lineRule="auto"/>
              <w:rPr>
                <w:snapToGrid w:val="0"/>
                <w:lang w:eastAsia="sv-SE"/>
              </w:rPr>
            </w:pPr>
          </w:p>
        </w:tc>
        <w:tc>
          <w:tcPr>
            <w:tcW w:w="851" w:type="dxa"/>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1992</w:t>
            </w:r>
          </w:p>
        </w:tc>
        <w:tc>
          <w:tcPr>
            <w:tcW w:w="850" w:type="dxa"/>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2000</w:t>
            </w:r>
          </w:p>
        </w:tc>
        <w:tc>
          <w:tcPr>
            <w:tcW w:w="1304" w:type="dxa"/>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Förändring i %</w:t>
            </w:r>
          </w:p>
        </w:tc>
      </w:tr>
      <w:tr w:rsidR="00000000" w:rsidRPr="00AD33E8">
        <w:tblPrEx>
          <w:tblCellMar>
            <w:top w:w="0" w:type="dxa"/>
            <w:bottom w:w="0" w:type="dxa"/>
          </w:tblCellMar>
        </w:tblPrEx>
        <w:trPr>
          <w:gridAfter w:val="1"/>
          <w:wAfter w:w="521" w:type="dxa"/>
          <w:trHeight w:val="247"/>
        </w:trPr>
        <w:tc>
          <w:tcPr>
            <w:tcW w:w="2268" w:type="dxa"/>
            <w:gridSpan w:val="4"/>
          </w:tcPr>
          <w:p w:rsidR="007B7A21" w:rsidRPr="00AD33E8" w:rsidRDefault="007B7A21">
            <w:pPr>
              <w:spacing w:before="0" w:line="240" w:lineRule="auto"/>
              <w:rPr>
                <w:snapToGrid w:val="0"/>
                <w:lang w:eastAsia="sv-SE"/>
              </w:rPr>
            </w:pPr>
            <w:r w:rsidRPr="00AD33E8">
              <w:rPr>
                <w:snapToGrid w:val="0"/>
                <w:lang w:eastAsia="sv-SE"/>
              </w:rPr>
              <w:t>Personalhandläggare</w:t>
            </w:r>
          </w:p>
        </w:tc>
        <w:tc>
          <w:tcPr>
            <w:tcW w:w="851" w:type="dxa"/>
          </w:tcPr>
          <w:p w:rsidR="007B7A21" w:rsidRPr="00AD33E8" w:rsidRDefault="007B7A21">
            <w:pPr>
              <w:spacing w:before="0" w:line="240" w:lineRule="auto"/>
              <w:jc w:val="right"/>
              <w:rPr>
                <w:snapToGrid w:val="0"/>
                <w:lang w:eastAsia="sv-SE"/>
              </w:rPr>
            </w:pPr>
            <w:r w:rsidRPr="00AD33E8">
              <w:rPr>
                <w:snapToGrid w:val="0"/>
                <w:lang w:eastAsia="sv-SE"/>
              </w:rPr>
              <w:t>197</w:t>
            </w:r>
          </w:p>
        </w:tc>
        <w:tc>
          <w:tcPr>
            <w:tcW w:w="850" w:type="dxa"/>
          </w:tcPr>
          <w:p w:rsidR="007B7A21" w:rsidRPr="00AD33E8" w:rsidRDefault="007B7A21">
            <w:pPr>
              <w:spacing w:before="0" w:line="240" w:lineRule="auto"/>
              <w:jc w:val="right"/>
              <w:rPr>
                <w:snapToGrid w:val="0"/>
                <w:lang w:eastAsia="sv-SE"/>
              </w:rPr>
            </w:pPr>
            <w:r w:rsidRPr="00AD33E8">
              <w:rPr>
                <w:snapToGrid w:val="0"/>
                <w:lang w:eastAsia="sv-SE"/>
              </w:rPr>
              <w:t>602</w:t>
            </w:r>
          </w:p>
        </w:tc>
        <w:tc>
          <w:tcPr>
            <w:tcW w:w="1304" w:type="dxa"/>
          </w:tcPr>
          <w:p w:rsidR="007B7A21" w:rsidRPr="00AD33E8" w:rsidRDefault="007B7A21">
            <w:pPr>
              <w:spacing w:before="0" w:line="240" w:lineRule="auto"/>
              <w:jc w:val="right"/>
              <w:rPr>
                <w:snapToGrid w:val="0"/>
                <w:lang w:eastAsia="sv-SE"/>
              </w:rPr>
            </w:pPr>
            <w:r w:rsidRPr="00AD33E8">
              <w:rPr>
                <w:snapToGrid w:val="0"/>
                <w:lang w:eastAsia="sv-SE"/>
              </w:rPr>
              <w:t>405</w:t>
            </w:r>
          </w:p>
        </w:tc>
      </w:tr>
      <w:tr w:rsidR="00000000" w:rsidRPr="00AD33E8">
        <w:tblPrEx>
          <w:tblCellMar>
            <w:top w:w="0" w:type="dxa"/>
            <w:bottom w:w="0" w:type="dxa"/>
          </w:tblCellMar>
        </w:tblPrEx>
        <w:trPr>
          <w:gridAfter w:val="1"/>
          <w:wAfter w:w="521" w:type="dxa"/>
          <w:trHeight w:val="247"/>
        </w:trPr>
        <w:tc>
          <w:tcPr>
            <w:tcW w:w="2268" w:type="dxa"/>
            <w:gridSpan w:val="4"/>
          </w:tcPr>
          <w:p w:rsidR="007B7A21" w:rsidRPr="00AD33E8" w:rsidRDefault="007B7A21">
            <w:pPr>
              <w:spacing w:before="0" w:line="240" w:lineRule="auto"/>
              <w:rPr>
                <w:snapToGrid w:val="0"/>
                <w:lang w:eastAsia="sv-SE"/>
              </w:rPr>
            </w:pPr>
            <w:r w:rsidRPr="00AD33E8">
              <w:rPr>
                <w:snapToGrid w:val="0"/>
                <w:lang w:eastAsia="sv-SE"/>
              </w:rPr>
              <w:t>Lönehandläggare</w:t>
            </w:r>
          </w:p>
        </w:tc>
        <w:tc>
          <w:tcPr>
            <w:tcW w:w="851" w:type="dxa"/>
          </w:tcPr>
          <w:p w:rsidR="007B7A21" w:rsidRPr="00AD33E8" w:rsidRDefault="007B7A21">
            <w:pPr>
              <w:spacing w:before="0" w:line="240" w:lineRule="auto"/>
              <w:jc w:val="right"/>
              <w:rPr>
                <w:snapToGrid w:val="0"/>
                <w:lang w:eastAsia="sv-SE"/>
              </w:rPr>
            </w:pPr>
            <w:r w:rsidRPr="00AD33E8">
              <w:rPr>
                <w:snapToGrid w:val="0"/>
                <w:lang w:eastAsia="sv-SE"/>
              </w:rPr>
              <w:t>437</w:t>
            </w:r>
          </w:p>
        </w:tc>
        <w:tc>
          <w:tcPr>
            <w:tcW w:w="850" w:type="dxa"/>
          </w:tcPr>
          <w:p w:rsidR="007B7A21" w:rsidRPr="00AD33E8" w:rsidRDefault="007B7A21">
            <w:pPr>
              <w:spacing w:before="0" w:line="240" w:lineRule="auto"/>
              <w:jc w:val="right"/>
              <w:rPr>
                <w:snapToGrid w:val="0"/>
                <w:lang w:eastAsia="sv-SE"/>
              </w:rPr>
            </w:pPr>
            <w:r w:rsidRPr="00AD33E8">
              <w:rPr>
                <w:snapToGrid w:val="0"/>
                <w:lang w:eastAsia="sv-SE"/>
              </w:rPr>
              <w:t>334</w:t>
            </w:r>
          </w:p>
        </w:tc>
        <w:tc>
          <w:tcPr>
            <w:tcW w:w="1304" w:type="dxa"/>
          </w:tcPr>
          <w:p w:rsidR="007B7A21" w:rsidRPr="00AD33E8" w:rsidRDefault="007B7A21">
            <w:pPr>
              <w:spacing w:before="0" w:line="240" w:lineRule="auto"/>
              <w:jc w:val="right"/>
              <w:rPr>
                <w:snapToGrid w:val="0"/>
                <w:lang w:eastAsia="sv-SE"/>
              </w:rPr>
            </w:pPr>
            <w:r w:rsidRPr="00AD33E8">
              <w:rPr>
                <w:snapToGrid w:val="0"/>
                <w:lang w:eastAsia="sv-SE"/>
              </w:rPr>
              <w:t>-103</w:t>
            </w:r>
          </w:p>
        </w:tc>
      </w:tr>
      <w:tr w:rsidR="00000000" w:rsidRPr="00AD33E8">
        <w:tblPrEx>
          <w:tblCellMar>
            <w:top w:w="0" w:type="dxa"/>
            <w:bottom w:w="0" w:type="dxa"/>
          </w:tblCellMar>
        </w:tblPrEx>
        <w:trPr>
          <w:gridAfter w:val="1"/>
          <w:wAfter w:w="521" w:type="dxa"/>
          <w:trHeight w:val="247"/>
        </w:trPr>
        <w:tc>
          <w:tcPr>
            <w:tcW w:w="2268" w:type="dxa"/>
            <w:gridSpan w:val="4"/>
          </w:tcPr>
          <w:p w:rsidR="007B7A21" w:rsidRPr="00AD33E8" w:rsidRDefault="007B7A21">
            <w:pPr>
              <w:spacing w:before="0" w:line="240" w:lineRule="auto"/>
              <w:rPr>
                <w:snapToGrid w:val="0"/>
                <w:lang w:eastAsia="sv-SE"/>
              </w:rPr>
            </w:pPr>
            <w:r w:rsidRPr="00AD33E8">
              <w:rPr>
                <w:snapToGrid w:val="0"/>
                <w:lang w:eastAsia="sv-SE"/>
              </w:rPr>
              <w:t>Informationstjänster</w:t>
            </w:r>
          </w:p>
        </w:tc>
        <w:tc>
          <w:tcPr>
            <w:tcW w:w="851" w:type="dxa"/>
          </w:tcPr>
          <w:p w:rsidR="007B7A21" w:rsidRPr="00AD33E8" w:rsidRDefault="007B7A21">
            <w:pPr>
              <w:spacing w:before="0" w:line="240" w:lineRule="auto"/>
              <w:jc w:val="right"/>
              <w:rPr>
                <w:snapToGrid w:val="0"/>
                <w:lang w:eastAsia="sv-SE"/>
              </w:rPr>
            </w:pPr>
            <w:r w:rsidRPr="00AD33E8">
              <w:rPr>
                <w:snapToGrid w:val="0"/>
                <w:lang w:eastAsia="sv-SE"/>
              </w:rPr>
              <w:t>268</w:t>
            </w:r>
          </w:p>
        </w:tc>
        <w:tc>
          <w:tcPr>
            <w:tcW w:w="850" w:type="dxa"/>
          </w:tcPr>
          <w:p w:rsidR="007B7A21" w:rsidRPr="00AD33E8" w:rsidRDefault="007B7A21">
            <w:pPr>
              <w:spacing w:before="0" w:line="240" w:lineRule="auto"/>
              <w:jc w:val="right"/>
              <w:rPr>
                <w:snapToGrid w:val="0"/>
                <w:lang w:eastAsia="sv-SE"/>
              </w:rPr>
            </w:pPr>
            <w:r w:rsidRPr="00AD33E8">
              <w:rPr>
                <w:snapToGrid w:val="0"/>
                <w:lang w:eastAsia="sv-SE"/>
              </w:rPr>
              <w:t>681</w:t>
            </w:r>
          </w:p>
        </w:tc>
        <w:tc>
          <w:tcPr>
            <w:tcW w:w="1304" w:type="dxa"/>
          </w:tcPr>
          <w:p w:rsidR="007B7A21" w:rsidRPr="00AD33E8" w:rsidRDefault="007B7A21">
            <w:pPr>
              <w:spacing w:before="0" w:line="240" w:lineRule="auto"/>
              <w:jc w:val="right"/>
              <w:rPr>
                <w:snapToGrid w:val="0"/>
                <w:lang w:eastAsia="sv-SE"/>
              </w:rPr>
            </w:pPr>
            <w:r w:rsidRPr="00AD33E8">
              <w:rPr>
                <w:snapToGrid w:val="0"/>
                <w:lang w:eastAsia="sv-SE"/>
              </w:rPr>
              <w:t>413</w:t>
            </w:r>
          </w:p>
        </w:tc>
      </w:tr>
      <w:tr w:rsidR="00000000" w:rsidRPr="00AD33E8">
        <w:tblPrEx>
          <w:tblCellMar>
            <w:top w:w="0" w:type="dxa"/>
            <w:bottom w:w="0" w:type="dxa"/>
          </w:tblCellMar>
        </w:tblPrEx>
        <w:trPr>
          <w:gridAfter w:val="1"/>
          <w:wAfter w:w="521" w:type="dxa"/>
          <w:trHeight w:val="247"/>
        </w:trPr>
        <w:tc>
          <w:tcPr>
            <w:tcW w:w="2268" w:type="dxa"/>
            <w:gridSpan w:val="4"/>
          </w:tcPr>
          <w:p w:rsidR="007B7A21" w:rsidRPr="00AD33E8" w:rsidRDefault="007B7A21">
            <w:pPr>
              <w:spacing w:before="0" w:line="240" w:lineRule="auto"/>
              <w:rPr>
                <w:snapToGrid w:val="0"/>
                <w:lang w:eastAsia="sv-SE"/>
              </w:rPr>
            </w:pPr>
            <w:r w:rsidRPr="00AD33E8">
              <w:rPr>
                <w:snapToGrid w:val="0"/>
                <w:lang w:eastAsia="sv-SE"/>
              </w:rPr>
              <w:t>Controller</w:t>
            </w:r>
          </w:p>
        </w:tc>
        <w:tc>
          <w:tcPr>
            <w:tcW w:w="851" w:type="dxa"/>
          </w:tcPr>
          <w:p w:rsidR="007B7A21" w:rsidRPr="00AD33E8" w:rsidRDefault="007B7A21">
            <w:pPr>
              <w:spacing w:before="0" w:line="240" w:lineRule="auto"/>
              <w:jc w:val="right"/>
              <w:rPr>
                <w:snapToGrid w:val="0"/>
                <w:lang w:eastAsia="sv-SE"/>
              </w:rPr>
            </w:pPr>
            <w:r w:rsidRPr="00AD33E8">
              <w:rPr>
                <w:snapToGrid w:val="0"/>
                <w:lang w:eastAsia="sv-SE"/>
              </w:rPr>
              <w:t>13</w:t>
            </w:r>
          </w:p>
        </w:tc>
        <w:tc>
          <w:tcPr>
            <w:tcW w:w="850" w:type="dxa"/>
          </w:tcPr>
          <w:p w:rsidR="007B7A21" w:rsidRPr="00AD33E8" w:rsidRDefault="007B7A21">
            <w:pPr>
              <w:spacing w:before="0" w:line="240" w:lineRule="auto"/>
              <w:jc w:val="right"/>
              <w:rPr>
                <w:snapToGrid w:val="0"/>
                <w:lang w:eastAsia="sv-SE"/>
              </w:rPr>
            </w:pPr>
            <w:r w:rsidRPr="00AD33E8">
              <w:rPr>
                <w:snapToGrid w:val="0"/>
                <w:lang w:eastAsia="sv-SE"/>
              </w:rPr>
              <w:t>120</w:t>
            </w:r>
          </w:p>
        </w:tc>
        <w:tc>
          <w:tcPr>
            <w:tcW w:w="1304" w:type="dxa"/>
          </w:tcPr>
          <w:p w:rsidR="007B7A21" w:rsidRPr="00AD33E8" w:rsidRDefault="007B7A21">
            <w:pPr>
              <w:spacing w:before="0" w:line="240" w:lineRule="auto"/>
              <w:jc w:val="right"/>
              <w:rPr>
                <w:snapToGrid w:val="0"/>
                <w:lang w:eastAsia="sv-SE"/>
              </w:rPr>
            </w:pPr>
            <w:r w:rsidRPr="00AD33E8">
              <w:rPr>
                <w:snapToGrid w:val="0"/>
                <w:lang w:eastAsia="sv-SE"/>
              </w:rPr>
              <w:t>107</w:t>
            </w:r>
          </w:p>
        </w:tc>
      </w:tr>
      <w:tr w:rsidR="00000000" w:rsidRPr="00AD33E8">
        <w:tblPrEx>
          <w:tblCellMar>
            <w:top w:w="0" w:type="dxa"/>
            <w:bottom w:w="0" w:type="dxa"/>
          </w:tblCellMar>
        </w:tblPrEx>
        <w:trPr>
          <w:gridAfter w:val="1"/>
          <w:wAfter w:w="521" w:type="dxa"/>
          <w:trHeight w:val="247"/>
        </w:trPr>
        <w:tc>
          <w:tcPr>
            <w:tcW w:w="2268" w:type="dxa"/>
            <w:gridSpan w:val="4"/>
          </w:tcPr>
          <w:p w:rsidR="007B7A21" w:rsidRPr="00AD33E8" w:rsidRDefault="007B7A21">
            <w:pPr>
              <w:spacing w:before="0" w:line="240" w:lineRule="auto"/>
              <w:rPr>
                <w:snapToGrid w:val="0"/>
                <w:lang w:eastAsia="sv-SE"/>
              </w:rPr>
            </w:pPr>
            <w:r w:rsidRPr="00AD33E8">
              <w:rPr>
                <w:snapToGrid w:val="0"/>
                <w:lang w:eastAsia="sv-SE"/>
              </w:rPr>
              <w:t>Ekonomiadministration</w:t>
            </w:r>
          </w:p>
        </w:tc>
        <w:tc>
          <w:tcPr>
            <w:tcW w:w="851" w:type="dxa"/>
          </w:tcPr>
          <w:p w:rsidR="007B7A21" w:rsidRPr="00AD33E8" w:rsidRDefault="007B7A21">
            <w:pPr>
              <w:spacing w:before="0" w:line="240" w:lineRule="auto"/>
              <w:jc w:val="right"/>
              <w:rPr>
                <w:snapToGrid w:val="0"/>
                <w:lang w:eastAsia="sv-SE"/>
              </w:rPr>
            </w:pPr>
            <w:r w:rsidRPr="00AD33E8">
              <w:rPr>
                <w:snapToGrid w:val="0"/>
                <w:lang w:eastAsia="sv-SE"/>
              </w:rPr>
              <w:t>1514</w:t>
            </w:r>
          </w:p>
        </w:tc>
        <w:tc>
          <w:tcPr>
            <w:tcW w:w="850" w:type="dxa"/>
          </w:tcPr>
          <w:p w:rsidR="007B7A21" w:rsidRPr="00AD33E8" w:rsidRDefault="007B7A21">
            <w:pPr>
              <w:spacing w:before="0" w:line="240" w:lineRule="auto"/>
              <w:jc w:val="right"/>
              <w:rPr>
                <w:snapToGrid w:val="0"/>
                <w:lang w:eastAsia="sv-SE"/>
              </w:rPr>
            </w:pPr>
            <w:r w:rsidRPr="00AD33E8">
              <w:rPr>
                <w:snapToGrid w:val="0"/>
                <w:lang w:eastAsia="sv-SE"/>
              </w:rPr>
              <w:t>2075</w:t>
            </w:r>
          </w:p>
        </w:tc>
        <w:tc>
          <w:tcPr>
            <w:tcW w:w="1304" w:type="dxa"/>
          </w:tcPr>
          <w:p w:rsidR="007B7A21" w:rsidRPr="00AD33E8" w:rsidRDefault="007B7A21">
            <w:pPr>
              <w:spacing w:before="0" w:line="240" w:lineRule="auto"/>
              <w:jc w:val="right"/>
              <w:rPr>
                <w:snapToGrid w:val="0"/>
                <w:lang w:eastAsia="sv-SE"/>
              </w:rPr>
            </w:pPr>
            <w:r w:rsidRPr="00AD33E8">
              <w:rPr>
                <w:snapToGrid w:val="0"/>
                <w:lang w:eastAsia="sv-SE"/>
              </w:rPr>
              <w:t>561</w:t>
            </w:r>
          </w:p>
        </w:tc>
      </w:tr>
      <w:tr w:rsidR="00000000" w:rsidRPr="00AD33E8">
        <w:tblPrEx>
          <w:tblCellMar>
            <w:top w:w="0" w:type="dxa"/>
            <w:bottom w:w="0" w:type="dxa"/>
          </w:tblCellMar>
        </w:tblPrEx>
        <w:trPr>
          <w:gridAfter w:val="1"/>
          <w:wAfter w:w="521" w:type="dxa"/>
          <w:trHeight w:val="247"/>
        </w:trPr>
        <w:tc>
          <w:tcPr>
            <w:tcW w:w="2268" w:type="dxa"/>
            <w:gridSpan w:val="4"/>
          </w:tcPr>
          <w:p w:rsidR="007B7A21" w:rsidRPr="00AD33E8" w:rsidRDefault="007B7A21">
            <w:pPr>
              <w:spacing w:before="0" w:line="240" w:lineRule="auto"/>
              <w:rPr>
                <w:snapToGrid w:val="0"/>
                <w:lang w:eastAsia="sv-SE"/>
              </w:rPr>
            </w:pPr>
            <w:r w:rsidRPr="00AD33E8">
              <w:rPr>
                <w:snapToGrid w:val="0"/>
                <w:lang w:eastAsia="sv-SE"/>
              </w:rPr>
              <w:t>ADB- eller IT-tjänster</w:t>
            </w:r>
          </w:p>
        </w:tc>
        <w:tc>
          <w:tcPr>
            <w:tcW w:w="851" w:type="dxa"/>
          </w:tcPr>
          <w:p w:rsidR="007B7A21" w:rsidRPr="00AD33E8" w:rsidRDefault="007B7A21">
            <w:pPr>
              <w:spacing w:before="0" w:line="240" w:lineRule="auto"/>
              <w:jc w:val="right"/>
              <w:rPr>
                <w:snapToGrid w:val="0"/>
                <w:lang w:eastAsia="sv-SE"/>
              </w:rPr>
            </w:pPr>
            <w:r w:rsidRPr="00AD33E8">
              <w:rPr>
                <w:snapToGrid w:val="0"/>
                <w:lang w:eastAsia="sv-SE"/>
              </w:rPr>
              <w:t>784</w:t>
            </w:r>
          </w:p>
        </w:tc>
        <w:tc>
          <w:tcPr>
            <w:tcW w:w="850" w:type="dxa"/>
          </w:tcPr>
          <w:p w:rsidR="007B7A21" w:rsidRPr="00AD33E8" w:rsidRDefault="007B7A21">
            <w:pPr>
              <w:spacing w:before="0" w:line="240" w:lineRule="auto"/>
              <w:jc w:val="right"/>
              <w:rPr>
                <w:snapToGrid w:val="0"/>
                <w:lang w:eastAsia="sv-SE"/>
              </w:rPr>
            </w:pPr>
            <w:r w:rsidRPr="00AD33E8">
              <w:rPr>
                <w:snapToGrid w:val="0"/>
                <w:lang w:eastAsia="sv-SE"/>
              </w:rPr>
              <w:t>1687</w:t>
            </w:r>
          </w:p>
        </w:tc>
        <w:tc>
          <w:tcPr>
            <w:tcW w:w="1304" w:type="dxa"/>
          </w:tcPr>
          <w:p w:rsidR="007B7A21" w:rsidRPr="00AD33E8" w:rsidRDefault="007B7A21">
            <w:pPr>
              <w:spacing w:before="0" w:line="240" w:lineRule="auto"/>
              <w:jc w:val="right"/>
              <w:rPr>
                <w:snapToGrid w:val="0"/>
                <w:lang w:eastAsia="sv-SE"/>
              </w:rPr>
            </w:pPr>
            <w:r w:rsidRPr="00AD33E8">
              <w:rPr>
                <w:snapToGrid w:val="0"/>
                <w:lang w:eastAsia="sv-SE"/>
              </w:rPr>
              <w:t>903</w:t>
            </w:r>
          </w:p>
        </w:tc>
      </w:tr>
      <w:tr w:rsidR="00000000" w:rsidRPr="00AD33E8">
        <w:tblPrEx>
          <w:tblCellMar>
            <w:top w:w="0" w:type="dxa"/>
            <w:bottom w:w="0" w:type="dxa"/>
          </w:tblCellMar>
        </w:tblPrEx>
        <w:trPr>
          <w:gridAfter w:val="1"/>
          <w:wAfter w:w="521" w:type="dxa"/>
          <w:cantSplit/>
          <w:trHeight w:val="247"/>
        </w:trPr>
        <w:tc>
          <w:tcPr>
            <w:tcW w:w="5273" w:type="dxa"/>
            <w:gridSpan w:val="7"/>
          </w:tcPr>
          <w:p w:rsidR="007B7A21" w:rsidRPr="00AD33E8" w:rsidRDefault="007B7A21">
            <w:pPr>
              <w:spacing w:before="0" w:line="240" w:lineRule="auto"/>
              <w:rPr>
                <w:snapToGrid w:val="0"/>
                <w:lang w:eastAsia="sv-SE"/>
              </w:rPr>
            </w:pPr>
            <w:r w:rsidRPr="00AD33E8">
              <w:rPr>
                <w:snapToGrid w:val="0"/>
                <w:lang w:eastAsia="sv-SE"/>
              </w:rPr>
              <w:t>Källa: SCB, bearbetad av revisorerna.</w:t>
            </w:r>
          </w:p>
        </w:tc>
      </w:tr>
    </w:tbl>
    <w:p w:rsidR="007B7A21" w:rsidRPr="00AD33E8" w:rsidRDefault="007B7A21">
      <w:r w:rsidRPr="00AD33E8">
        <w:t>Ökade krav på personalpolitiken kan förklara att antalet personalhandläggare ökat, dels har uppsägningarna under 1990-talet medfört extra arbetsinsatser. Den nya personalpolitiken från 1985 ställde också i sig krav på aktivare insatser, t.ex. rekrytering eller kompetensutveckling. Den arbetsinriktade rehabiliteringen av långtidssjuka gav även den ökad efterfrågan på persona</w:t>
      </w:r>
      <w:r w:rsidRPr="00AD33E8">
        <w:t>l</w:t>
      </w:r>
      <w:r w:rsidRPr="00AD33E8">
        <w:t>tjänster. Även olika omorganisationer har medfört behov av insatser från pers</w:t>
      </w:r>
      <w:r w:rsidRPr="00AD33E8">
        <w:t>o</w:t>
      </w:r>
      <w:r w:rsidRPr="00AD33E8">
        <w:t>nalavdelningar.</w:t>
      </w:r>
    </w:p>
    <w:p w:rsidR="007B7A21" w:rsidRPr="00AD33E8" w:rsidRDefault="007B7A21">
      <w:pPr>
        <w:pStyle w:val="Normaltindrag"/>
      </w:pPr>
      <w:r w:rsidRPr="00AD33E8">
        <w:t>Att anställda inom ADB eller ekonomiadministration har ökat förklaras dels av den tekniska utvecklingen, dels av de olika reformerna inom ekon</w:t>
      </w:r>
      <w:r w:rsidRPr="00AD33E8">
        <w:t>o</w:t>
      </w:r>
      <w:r w:rsidRPr="00AD33E8">
        <w:t>mistyrningsområdet som genomfördes under 1990-talet, t.ex. den nya red</w:t>
      </w:r>
      <w:r w:rsidRPr="00AD33E8">
        <w:t>o</w:t>
      </w:r>
      <w:r w:rsidRPr="00AD33E8">
        <w:t>visningsmodellen eller den nya år</w:t>
      </w:r>
      <w:r w:rsidRPr="00AD33E8">
        <w:t>s</w:t>
      </w:r>
      <w:r w:rsidRPr="00AD33E8">
        <w:t xml:space="preserve">redovisningen. </w:t>
      </w:r>
    </w:p>
    <w:p w:rsidR="007B7A21" w:rsidRPr="00AD33E8" w:rsidRDefault="007B7A21">
      <w:pPr>
        <w:pStyle w:val="Rubrik2"/>
      </w:pPr>
      <w:bookmarkStart w:id="188" w:name="_Toc3887389"/>
      <w:bookmarkStart w:id="189" w:name="_Toc21425302"/>
      <w:r w:rsidRPr="00AD33E8">
        <w:t>Rörlighet, omställning och utveckling</w:t>
      </w:r>
      <w:bookmarkEnd w:id="188"/>
      <w:bookmarkEnd w:id="189"/>
    </w:p>
    <w:p w:rsidR="007B7A21" w:rsidRPr="00AD33E8" w:rsidRDefault="007B7A21">
      <w:pPr>
        <w:pStyle w:val="Rubrik3"/>
      </w:pPr>
      <w:bookmarkStart w:id="190" w:name="_Toc3887390"/>
      <w:bookmarkStart w:id="191" w:name="_Toc21425303"/>
      <w:r w:rsidRPr="00AD33E8">
        <w:t>Personalomsättning</w:t>
      </w:r>
      <w:bookmarkEnd w:id="190"/>
      <w:bookmarkEnd w:id="191"/>
    </w:p>
    <w:p w:rsidR="007B7A21" w:rsidRPr="00AD33E8" w:rsidRDefault="007B7A21">
      <w:r w:rsidRPr="00AD33E8">
        <w:t>Att öka rörligheten bland statligt anställda var ett framträdande mål vid det personalpolitiska beslutet. Ambitionen fanns i såväl formell som innehållslig mening. Regelverket skulle förenklas så att ökad rörlighet blev möjlig. Dä</w:t>
      </w:r>
      <w:r w:rsidRPr="00AD33E8">
        <w:t>r</w:t>
      </w:r>
      <w:r w:rsidRPr="00AD33E8">
        <w:t>för minskades vikten av förtjänstkriteriet, och den reglerade befordring</w:t>
      </w:r>
      <w:r w:rsidRPr="00AD33E8">
        <w:t>s</w:t>
      </w:r>
      <w:r w:rsidRPr="00AD33E8">
        <w:t>gången upphörde. Anställningsbeslut decentraliserades. Men ökad rörlighet gavs också ett egenvärde, ett allmänt tillstånd att sträva efter. Det gällde inte minst på chefssidan där tidsbegränsade chefsförordnanden var ett medel som rekommenderades. Enligt Förvaltningsutredningens beräkningar var pers</w:t>
      </w:r>
      <w:r w:rsidRPr="00AD33E8">
        <w:t>o</w:t>
      </w:r>
      <w:r w:rsidRPr="00AD33E8">
        <w:t>nal</w:t>
      </w:r>
      <w:r w:rsidRPr="00AD33E8">
        <w:softHyphen/>
        <w:t>om</w:t>
      </w:r>
      <w:r w:rsidRPr="00AD33E8">
        <w:softHyphen/>
        <w:t>sättningen i staten under 1970-talet i genomsnitt cirka 10 %.</w:t>
      </w:r>
    </w:p>
    <w:p w:rsidR="007B7A21" w:rsidRPr="00AD33E8" w:rsidRDefault="007B7A21">
      <w:pPr>
        <w:pStyle w:val="Normaltindrag"/>
      </w:pPr>
      <w:r w:rsidRPr="00AD33E8">
        <w:t>En ökad rörlighet går inte att avläsa i tillgängligt material, (tabe</w:t>
      </w:r>
      <w:r w:rsidRPr="00AD33E8">
        <w:t>ll 7). Pe</w:t>
      </w:r>
      <w:r w:rsidRPr="00AD33E8">
        <w:t>r</w:t>
      </w:r>
      <w:r w:rsidRPr="00AD33E8">
        <w:t>sonalomsättningen har varit relativt stabil under 1990-talet. Den har pendlat mellan ca 7,5 och 10 %. Här används regeringens definition (skr. 2000/01:151, sid. 50). Rörligheten mäts som lägsta värdet av nyanställda och avgångna dividerat med genomsnittet av årets och fjolårets antal anstäl</w:t>
      </w:r>
      <w:r w:rsidRPr="00AD33E8">
        <w:t>l</w:t>
      </w:r>
      <w:r w:rsidRPr="00AD33E8">
        <w:t xml:space="preserve">da. </w:t>
      </w:r>
    </w:p>
    <w:p w:rsidR="007B7A21" w:rsidRPr="00AD33E8" w:rsidRDefault="007B7A21">
      <w:pPr>
        <w:pStyle w:val="Normaltindrag"/>
      </w:pPr>
      <w:r w:rsidRPr="00AD33E8">
        <w:br w:type="page"/>
      </w: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1"/>
        <w:gridCol w:w="2520"/>
        <w:gridCol w:w="1904"/>
      </w:tblGrid>
      <w:tr w:rsidR="00000000" w:rsidRPr="00AD33E8">
        <w:tblPrEx>
          <w:tblCellMar>
            <w:top w:w="0" w:type="dxa"/>
            <w:bottom w:w="0" w:type="dxa"/>
          </w:tblCellMar>
        </w:tblPrEx>
        <w:trPr>
          <w:trHeight w:val="247"/>
        </w:trPr>
        <w:tc>
          <w:tcPr>
            <w:tcW w:w="4425" w:type="dxa"/>
            <w:hMerge w:val="restart"/>
            <w:tcBorders>
              <w:bottom w:val="single" w:sz="6" w:space="0" w:color="008000"/>
            </w:tcBorders>
          </w:tcPr>
          <w:p w:rsidR="007B7A21" w:rsidRPr="00AD33E8" w:rsidRDefault="007B7A21">
            <w:pPr>
              <w:spacing w:before="0" w:line="240" w:lineRule="auto"/>
              <w:rPr>
                <w:b/>
                <w:snapToGrid w:val="0"/>
                <w:lang w:eastAsia="sv-SE"/>
              </w:rPr>
            </w:pPr>
            <w:r w:rsidRPr="00AD33E8">
              <w:rPr>
                <w:b/>
                <w:snapToGrid w:val="0"/>
                <w:lang w:eastAsia="sv-SE"/>
              </w:rPr>
              <w:t>Tabell 7: Personalomsättning i staten åren 1991-1999, %</w:t>
            </w:r>
          </w:p>
        </w:tc>
        <w:tc>
          <w:tcPr>
            <w:gridSpan w:val="2"/>
            <w:hMerge/>
            <w:tcBorders>
              <w:bottom w:val="single" w:sz="6" w:space="0" w:color="008000"/>
            </w:tcBorders>
          </w:tcPr>
          <w:p w:rsidR="007B7A21" w:rsidRPr="00AD33E8" w:rsidRDefault="007B7A21">
            <w:pPr>
              <w:spacing w:before="0" w:line="240" w:lineRule="auto"/>
              <w:jc w:val="right"/>
              <w:rPr>
                <w:snapToGrid w:val="0"/>
                <w:lang w:eastAsia="sv-SE"/>
              </w:rPr>
            </w:pPr>
          </w:p>
        </w:tc>
      </w:tr>
      <w:tr w:rsidR="00000000" w:rsidRPr="00AD33E8">
        <w:tblPrEx>
          <w:tblCellMar>
            <w:top w:w="0" w:type="dxa"/>
            <w:bottom w:w="0" w:type="dxa"/>
          </w:tblCellMar>
        </w:tblPrEx>
        <w:trPr>
          <w:trHeight w:val="247"/>
        </w:trPr>
        <w:tc>
          <w:tcPr>
            <w:tcW w:w="2521" w:type="dxa"/>
            <w:gridSpan w:val="2"/>
            <w:tcBorders>
              <w:top w:val="nil"/>
            </w:tcBorders>
          </w:tcPr>
          <w:p w:rsidR="007B7A21" w:rsidRPr="00AD33E8" w:rsidRDefault="007B7A21">
            <w:pPr>
              <w:spacing w:before="0" w:line="240" w:lineRule="auto"/>
              <w:jc w:val="left"/>
              <w:rPr>
                <w:snapToGrid w:val="0"/>
                <w:lang w:eastAsia="sv-SE"/>
              </w:rPr>
            </w:pPr>
            <w:r w:rsidRPr="00AD33E8">
              <w:rPr>
                <w:snapToGrid w:val="0"/>
                <w:lang w:eastAsia="sv-SE"/>
              </w:rPr>
              <w:t>1991</w:t>
            </w:r>
          </w:p>
        </w:tc>
        <w:tc>
          <w:tcPr>
            <w:tcW w:w="1904" w:type="dxa"/>
            <w:tcBorders>
              <w:top w:val="nil"/>
            </w:tcBorders>
          </w:tcPr>
          <w:p w:rsidR="007B7A21" w:rsidRPr="00AD33E8" w:rsidRDefault="007B7A21">
            <w:pPr>
              <w:spacing w:before="0" w:line="240" w:lineRule="auto"/>
              <w:jc w:val="left"/>
              <w:rPr>
                <w:snapToGrid w:val="0"/>
                <w:lang w:eastAsia="sv-SE"/>
              </w:rPr>
            </w:pPr>
            <w:r w:rsidRPr="00AD33E8">
              <w:rPr>
                <w:snapToGrid w:val="0"/>
                <w:lang w:eastAsia="sv-SE"/>
              </w:rPr>
              <w:t>9,3</w:t>
            </w:r>
          </w:p>
        </w:tc>
      </w:tr>
      <w:tr w:rsidR="00000000" w:rsidRPr="00AD33E8">
        <w:tblPrEx>
          <w:tblCellMar>
            <w:top w:w="0" w:type="dxa"/>
            <w:bottom w:w="0" w:type="dxa"/>
          </w:tblCellMar>
        </w:tblPrEx>
        <w:trPr>
          <w:trHeight w:val="247"/>
        </w:trPr>
        <w:tc>
          <w:tcPr>
            <w:tcW w:w="2521" w:type="dxa"/>
            <w:gridSpan w:val="2"/>
          </w:tcPr>
          <w:p w:rsidR="007B7A21" w:rsidRPr="00AD33E8" w:rsidRDefault="007B7A21">
            <w:pPr>
              <w:spacing w:before="0" w:line="240" w:lineRule="auto"/>
              <w:jc w:val="left"/>
              <w:rPr>
                <w:snapToGrid w:val="0"/>
                <w:lang w:eastAsia="sv-SE"/>
              </w:rPr>
            </w:pPr>
            <w:r w:rsidRPr="00AD33E8">
              <w:rPr>
                <w:snapToGrid w:val="0"/>
                <w:lang w:eastAsia="sv-SE"/>
              </w:rPr>
              <w:t>1992</w:t>
            </w:r>
          </w:p>
        </w:tc>
        <w:tc>
          <w:tcPr>
            <w:tcW w:w="1904" w:type="dxa"/>
          </w:tcPr>
          <w:p w:rsidR="007B7A21" w:rsidRPr="00AD33E8" w:rsidRDefault="007B7A21">
            <w:pPr>
              <w:spacing w:before="0" w:line="240" w:lineRule="auto"/>
              <w:jc w:val="left"/>
              <w:rPr>
                <w:snapToGrid w:val="0"/>
                <w:lang w:eastAsia="sv-SE"/>
              </w:rPr>
            </w:pPr>
            <w:r w:rsidRPr="00AD33E8">
              <w:rPr>
                <w:snapToGrid w:val="0"/>
                <w:lang w:eastAsia="sv-SE"/>
              </w:rPr>
              <w:t>7,3</w:t>
            </w:r>
          </w:p>
        </w:tc>
      </w:tr>
      <w:tr w:rsidR="00000000" w:rsidRPr="00AD33E8">
        <w:tblPrEx>
          <w:tblCellMar>
            <w:top w:w="0" w:type="dxa"/>
            <w:bottom w:w="0" w:type="dxa"/>
          </w:tblCellMar>
        </w:tblPrEx>
        <w:trPr>
          <w:trHeight w:val="247"/>
        </w:trPr>
        <w:tc>
          <w:tcPr>
            <w:tcW w:w="2521" w:type="dxa"/>
            <w:gridSpan w:val="2"/>
          </w:tcPr>
          <w:p w:rsidR="007B7A21" w:rsidRPr="00AD33E8" w:rsidRDefault="007B7A21">
            <w:pPr>
              <w:spacing w:before="0" w:line="240" w:lineRule="auto"/>
              <w:jc w:val="left"/>
              <w:rPr>
                <w:snapToGrid w:val="0"/>
                <w:lang w:eastAsia="sv-SE"/>
              </w:rPr>
            </w:pPr>
            <w:r w:rsidRPr="00AD33E8">
              <w:rPr>
                <w:snapToGrid w:val="0"/>
                <w:lang w:eastAsia="sv-SE"/>
              </w:rPr>
              <w:t>1993</w:t>
            </w:r>
          </w:p>
        </w:tc>
        <w:tc>
          <w:tcPr>
            <w:tcW w:w="1904" w:type="dxa"/>
          </w:tcPr>
          <w:p w:rsidR="007B7A21" w:rsidRPr="00AD33E8" w:rsidRDefault="007B7A21">
            <w:pPr>
              <w:spacing w:before="0" w:line="240" w:lineRule="auto"/>
              <w:jc w:val="left"/>
              <w:rPr>
                <w:snapToGrid w:val="0"/>
                <w:lang w:eastAsia="sv-SE"/>
              </w:rPr>
            </w:pPr>
            <w:r w:rsidRPr="00AD33E8">
              <w:rPr>
                <w:snapToGrid w:val="0"/>
                <w:lang w:eastAsia="sv-SE"/>
              </w:rPr>
              <w:t>7,4</w:t>
            </w:r>
          </w:p>
        </w:tc>
      </w:tr>
      <w:tr w:rsidR="00000000" w:rsidRPr="00AD33E8">
        <w:tblPrEx>
          <w:tblCellMar>
            <w:top w:w="0" w:type="dxa"/>
            <w:bottom w:w="0" w:type="dxa"/>
          </w:tblCellMar>
        </w:tblPrEx>
        <w:trPr>
          <w:trHeight w:val="247"/>
        </w:trPr>
        <w:tc>
          <w:tcPr>
            <w:tcW w:w="2521" w:type="dxa"/>
            <w:gridSpan w:val="2"/>
          </w:tcPr>
          <w:p w:rsidR="007B7A21" w:rsidRPr="00AD33E8" w:rsidRDefault="007B7A21">
            <w:pPr>
              <w:spacing w:before="0" w:line="240" w:lineRule="auto"/>
              <w:jc w:val="left"/>
              <w:rPr>
                <w:snapToGrid w:val="0"/>
                <w:lang w:eastAsia="sv-SE"/>
              </w:rPr>
            </w:pPr>
            <w:r w:rsidRPr="00AD33E8">
              <w:rPr>
                <w:snapToGrid w:val="0"/>
                <w:lang w:eastAsia="sv-SE"/>
              </w:rPr>
              <w:t>1994</w:t>
            </w:r>
          </w:p>
        </w:tc>
        <w:tc>
          <w:tcPr>
            <w:tcW w:w="1904" w:type="dxa"/>
          </w:tcPr>
          <w:p w:rsidR="007B7A21" w:rsidRPr="00AD33E8" w:rsidRDefault="007B7A21">
            <w:pPr>
              <w:spacing w:before="0" w:line="240" w:lineRule="auto"/>
              <w:jc w:val="left"/>
              <w:rPr>
                <w:snapToGrid w:val="0"/>
                <w:lang w:eastAsia="sv-SE"/>
              </w:rPr>
            </w:pPr>
            <w:r w:rsidRPr="00AD33E8">
              <w:rPr>
                <w:snapToGrid w:val="0"/>
                <w:lang w:eastAsia="sv-SE"/>
              </w:rPr>
              <w:t>9,8</w:t>
            </w:r>
          </w:p>
        </w:tc>
      </w:tr>
      <w:tr w:rsidR="00000000" w:rsidRPr="00AD33E8">
        <w:tblPrEx>
          <w:tblCellMar>
            <w:top w:w="0" w:type="dxa"/>
            <w:bottom w:w="0" w:type="dxa"/>
          </w:tblCellMar>
        </w:tblPrEx>
        <w:trPr>
          <w:trHeight w:val="247"/>
        </w:trPr>
        <w:tc>
          <w:tcPr>
            <w:tcW w:w="2521" w:type="dxa"/>
            <w:gridSpan w:val="2"/>
          </w:tcPr>
          <w:p w:rsidR="007B7A21" w:rsidRPr="00AD33E8" w:rsidRDefault="007B7A21">
            <w:pPr>
              <w:spacing w:before="0" w:line="240" w:lineRule="auto"/>
              <w:jc w:val="left"/>
              <w:rPr>
                <w:snapToGrid w:val="0"/>
                <w:lang w:eastAsia="sv-SE"/>
              </w:rPr>
            </w:pPr>
            <w:r w:rsidRPr="00AD33E8">
              <w:rPr>
                <w:snapToGrid w:val="0"/>
                <w:lang w:eastAsia="sv-SE"/>
              </w:rPr>
              <w:t>1995</w:t>
            </w:r>
          </w:p>
        </w:tc>
        <w:tc>
          <w:tcPr>
            <w:tcW w:w="1904" w:type="dxa"/>
          </w:tcPr>
          <w:p w:rsidR="007B7A21" w:rsidRPr="00AD33E8" w:rsidRDefault="007B7A21">
            <w:pPr>
              <w:spacing w:before="0" w:line="240" w:lineRule="auto"/>
              <w:jc w:val="left"/>
              <w:rPr>
                <w:snapToGrid w:val="0"/>
                <w:lang w:eastAsia="sv-SE"/>
              </w:rPr>
            </w:pPr>
            <w:r w:rsidRPr="00AD33E8">
              <w:rPr>
                <w:snapToGrid w:val="0"/>
                <w:lang w:eastAsia="sv-SE"/>
              </w:rPr>
              <w:t>8,2</w:t>
            </w:r>
          </w:p>
        </w:tc>
      </w:tr>
      <w:tr w:rsidR="00000000" w:rsidRPr="00AD33E8">
        <w:tblPrEx>
          <w:tblCellMar>
            <w:top w:w="0" w:type="dxa"/>
            <w:bottom w:w="0" w:type="dxa"/>
          </w:tblCellMar>
        </w:tblPrEx>
        <w:trPr>
          <w:trHeight w:val="247"/>
        </w:trPr>
        <w:tc>
          <w:tcPr>
            <w:tcW w:w="2521" w:type="dxa"/>
            <w:gridSpan w:val="2"/>
          </w:tcPr>
          <w:p w:rsidR="007B7A21" w:rsidRPr="00AD33E8" w:rsidRDefault="007B7A21">
            <w:pPr>
              <w:spacing w:before="0" w:line="240" w:lineRule="auto"/>
              <w:jc w:val="left"/>
              <w:rPr>
                <w:snapToGrid w:val="0"/>
                <w:lang w:eastAsia="sv-SE"/>
              </w:rPr>
            </w:pPr>
            <w:r w:rsidRPr="00AD33E8">
              <w:rPr>
                <w:snapToGrid w:val="0"/>
                <w:lang w:eastAsia="sv-SE"/>
              </w:rPr>
              <w:t>1996</w:t>
            </w:r>
          </w:p>
        </w:tc>
        <w:tc>
          <w:tcPr>
            <w:tcW w:w="1904" w:type="dxa"/>
          </w:tcPr>
          <w:p w:rsidR="007B7A21" w:rsidRPr="00AD33E8" w:rsidRDefault="007B7A21">
            <w:pPr>
              <w:spacing w:before="0" w:line="240" w:lineRule="auto"/>
              <w:jc w:val="left"/>
              <w:rPr>
                <w:snapToGrid w:val="0"/>
                <w:lang w:eastAsia="sv-SE"/>
              </w:rPr>
            </w:pPr>
            <w:r w:rsidRPr="00AD33E8">
              <w:rPr>
                <w:snapToGrid w:val="0"/>
                <w:lang w:eastAsia="sv-SE"/>
              </w:rPr>
              <w:t>7,8</w:t>
            </w:r>
          </w:p>
        </w:tc>
      </w:tr>
      <w:tr w:rsidR="00000000" w:rsidRPr="00AD33E8">
        <w:tblPrEx>
          <w:tblCellMar>
            <w:top w:w="0" w:type="dxa"/>
            <w:bottom w:w="0" w:type="dxa"/>
          </w:tblCellMar>
        </w:tblPrEx>
        <w:trPr>
          <w:trHeight w:val="247"/>
        </w:trPr>
        <w:tc>
          <w:tcPr>
            <w:tcW w:w="2521" w:type="dxa"/>
            <w:gridSpan w:val="2"/>
          </w:tcPr>
          <w:p w:rsidR="007B7A21" w:rsidRPr="00AD33E8" w:rsidRDefault="007B7A21">
            <w:pPr>
              <w:spacing w:before="0" w:line="240" w:lineRule="auto"/>
              <w:jc w:val="left"/>
              <w:rPr>
                <w:snapToGrid w:val="0"/>
                <w:lang w:eastAsia="sv-SE"/>
              </w:rPr>
            </w:pPr>
            <w:r w:rsidRPr="00AD33E8">
              <w:rPr>
                <w:snapToGrid w:val="0"/>
                <w:lang w:eastAsia="sv-SE"/>
              </w:rPr>
              <w:t>1997</w:t>
            </w:r>
          </w:p>
        </w:tc>
        <w:tc>
          <w:tcPr>
            <w:tcW w:w="1904" w:type="dxa"/>
          </w:tcPr>
          <w:p w:rsidR="007B7A21" w:rsidRPr="00AD33E8" w:rsidRDefault="007B7A21">
            <w:pPr>
              <w:spacing w:before="0" w:line="240" w:lineRule="auto"/>
              <w:jc w:val="left"/>
              <w:rPr>
                <w:snapToGrid w:val="0"/>
                <w:lang w:eastAsia="sv-SE"/>
              </w:rPr>
            </w:pPr>
            <w:r w:rsidRPr="00AD33E8">
              <w:rPr>
                <w:snapToGrid w:val="0"/>
                <w:lang w:eastAsia="sv-SE"/>
              </w:rPr>
              <w:t>9,5</w:t>
            </w:r>
          </w:p>
        </w:tc>
      </w:tr>
      <w:tr w:rsidR="00000000" w:rsidRPr="00AD33E8">
        <w:tblPrEx>
          <w:tblCellMar>
            <w:top w:w="0" w:type="dxa"/>
            <w:bottom w:w="0" w:type="dxa"/>
          </w:tblCellMar>
        </w:tblPrEx>
        <w:trPr>
          <w:trHeight w:val="247"/>
        </w:trPr>
        <w:tc>
          <w:tcPr>
            <w:tcW w:w="2521" w:type="dxa"/>
            <w:gridSpan w:val="2"/>
          </w:tcPr>
          <w:p w:rsidR="007B7A21" w:rsidRPr="00AD33E8" w:rsidRDefault="007B7A21">
            <w:pPr>
              <w:spacing w:before="0" w:line="240" w:lineRule="auto"/>
              <w:jc w:val="left"/>
              <w:rPr>
                <w:snapToGrid w:val="0"/>
                <w:lang w:eastAsia="sv-SE"/>
              </w:rPr>
            </w:pPr>
            <w:r w:rsidRPr="00AD33E8">
              <w:rPr>
                <w:snapToGrid w:val="0"/>
                <w:lang w:eastAsia="sv-SE"/>
              </w:rPr>
              <w:t>1998</w:t>
            </w:r>
          </w:p>
        </w:tc>
        <w:tc>
          <w:tcPr>
            <w:tcW w:w="1904" w:type="dxa"/>
          </w:tcPr>
          <w:p w:rsidR="007B7A21" w:rsidRPr="00AD33E8" w:rsidRDefault="007B7A21">
            <w:pPr>
              <w:spacing w:before="0" w:line="240" w:lineRule="auto"/>
              <w:jc w:val="left"/>
              <w:rPr>
                <w:snapToGrid w:val="0"/>
                <w:lang w:eastAsia="sv-SE"/>
              </w:rPr>
            </w:pPr>
            <w:r w:rsidRPr="00AD33E8">
              <w:rPr>
                <w:snapToGrid w:val="0"/>
                <w:lang w:eastAsia="sv-SE"/>
              </w:rPr>
              <w:t>9,5</w:t>
            </w:r>
          </w:p>
        </w:tc>
      </w:tr>
      <w:tr w:rsidR="00000000" w:rsidRPr="00AD33E8">
        <w:tblPrEx>
          <w:tblCellMar>
            <w:top w:w="0" w:type="dxa"/>
            <w:bottom w:w="0" w:type="dxa"/>
          </w:tblCellMar>
        </w:tblPrEx>
        <w:trPr>
          <w:trHeight w:val="247"/>
        </w:trPr>
        <w:tc>
          <w:tcPr>
            <w:tcW w:w="2521" w:type="dxa"/>
            <w:gridSpan w:val="2"/>
          </w:tcPr>
          <w:p w:rsidR="007B7A21" w:rsidRPr="00AD33E8" w:rsidRDefault="007B7A21">
            <w:pPr>
              <w:spacing w:before="0" w:line="240" w:lineRule="auto"/>
              <w:jc w:val="left"/>
              <w:rPr>
                <w:snapToGrid w:val="0"/>
                <w:lang w:eastAsia="sv-SE"/>
              </w:rPr>
            </w:pPr>
            <w:r w:rsidRPr="00AD33E8">
              <w:rPr>
                <w:snapToGrid w:val="0"/>
                <w:lang w:eastAsia="sv-SE"/>
              </w:rPr>
              <w:t>1999</w:t>
            </w:r>
          </w:p>
        </w:tc>
        <w:tc>
          <w:tcPr>
            <w:tcW w:w="1904" w:type="dxa"/>
          </w:tcPr>
          <w:p w:rsidR="007B7A21" w:rsidRPr="00AD33E8" w:rsidRDefault="007B7A21">
            <w:pPr>
              <w:spacing w:before="0" w:line="240" w:lineRule="auto"/>
              <w:jc w:val="left"/>
              <w:rPr>
                <w:snapToGrid w:val="0"/>
                <w:lang w:eastAsia="sv-SE"/>
              </w:rPr>
            </w:pPr>
            <w:r w:rsidRPr="00AD33E8">
              <w:rPr>
                <w:snapToGrid w:val="0"/>
                <w:lang w:eastAsia="sv-SE"/>
              </w:rPr>
              <w:t>9,9</w:t>
            </w:r>
          </w:p>
        </w:tc>
      </w:tr>
      <w:tr w:rsidR="00000000" w:rsidRPr="00AD33E8">
        <w:tblPrEx>
          <w:tblCellMar>
            <w:top w:w="0" w:type="dxa"/>
            <w:bottom w:w="0" w:type="dxa"/>
          </w:tblCellMar>
        </w:tblPrEx>
        <w:trPr>
          <w:trHeight w:val="247"/>
        </w:trPr>
        <w:tc>
          <w:tcPr>
            <w:tcW w:w="4425" w:type="dxa"/>
            <w:hMerge w:val="restart"/>
          </w:tcPr>
          <w:p w:rsidR="007B7A21" w:rsidRPr="00AD33E8" w:rsidRDefault="007B7A21">
            <w:pPr>
              <w:spacing w:before="0" w:line="240" w:lineRule="auto"/>
              <w:rPr>
                <w:snapToGrid w:val="0"/>
                <w:sz w:val="18"/>
                <w:lang w:eastAsia="sv-SE"/>
              </w:rPr>
            </w:pPr>
            <w:r w:rsidRPr="00AD33E8">
              <w:rPr>
                <w:snapToGrid w:val="0"/>
                <w:sz w:val="18"/>
                <w:lang w:eastAsia="sv-SE"/>
              </w:rPr>
              <w:t>Källa: Arbetsgivarverket</w:t>
            </w:r>
          </w:p>
        </w:tc>
        <w:tc>
          <w:tcPr>
            <w:gridSpan w:val="2"/>
            <w:hMerge/>
          </w:tcPr>
          <w:p w:rsidR="007B7A21" w:rsidRPr="00AD33E8" w:rsidRDefault="007B7A21">
            <w:pPr>
              <w:spacing w:before="0" w:line="240" w:lineRule="auto"/>
              <w:jc w:val="right"/>
              <w:rPr>
                <w:snapToGrid w:val="0"/>
                <w:sz w:val="18"/>
                <w:lang w:eastAsia="sv-SE"/>
              </w:rPr>
            </w:pPr>
          </w:p>
        </w:tc>
      </w:tr>
    </w:tbl>
    <w:p w:rsidR="007B7A21" w:rsidRPr="00AD33E8" w:rsidRDefault="007B7A21">
      <w:r w:rsidRPr="00AD33E8">
        <w:t>Rörligheten är olika för skilda personalgrupper. Den är något högre för kvi</w:t>
      </w:r>
      <w:r w:rsidRPr="00AD33E8">
        <w:t>n</w:t>
      </w:r>
      <w:r w:rsidRPr="00AD33E8">
        <w:t>nor än för män. Den ligger på närmare 20 % för den yngsta åldersgruppen, under 34 år. För gruppen chefer är pers</w:t>
      </w:r>
      <w:r w:rsidRPr="00AD33E8">
        <w:t>o</w:t>
      </w:r>
      <w:r w:rsidRPr="00AD33E8">
        <w:t xml:space="preserve">nalomsättningen knappt 5 %. </w:t>
      </w:r>
    </w:p>
    <w:p w:rsidR="007B7A21" w:rsidRPr="00AD33E8" w:rsidRDefault="007B7A21">
      <w:pPr>
        <w:pStyle w:val="Normaltindrag"/>
      </w:pPr>
      <w:r w:rsidRPr="00AD33E8">
        <w:t>Revisorerna har i de två tidigare nämnda rapporterna Statlig personalpol</w:t>
      </w:r>
      <w:r w:rsidRPr="00AD33E8">
        <w:t>i</w:t>
      </w:r>
      <w:r w:rsidRPr="00AD33E8">
        <w:t>tik (1994/95:12) och Myndigheternas lönekostnader (1998/99:5) redovisat uppgifter om personalomsättning. I den första rapporten visas att omsät</w:t>
      </w:r>
      <w:r w:rsidRPr="00AD33E8">
        <w:t>t</w:t>
      </w:r>
      <w:r w:rsidRPr="00AD33E8">
        <w:t>ningen bland chefer i ett urval om 25 centrala myndigheter sjunkit från 15 % till 4 % från budgetåret 1986/87 till budgetåret 1993/94. För handläggare sjönk omsättningen i samma grupp av myndigheter från 7,4 % till 4 %. I den andra rapporten redovisas personalomsättningen för åren 1994 till 1997 för fem fallmyndigheter. Den genomsnittliga personalomsättningen för g</w:t>
      </w:r>
      <w:r w:rsidRPr="00AD33E8">
        <w:t>ruppen under de fyra åren är 7,3 %. Under perioden har det årliga genomsnittet för de fem myndigheterna ökat från 4,4 % till 9,3 %. Det är också stora variati</w:t>
      </w:r>
      <w:r w:rsidRPr="00AD33E8">
        <w:t>o</w:t>
      </w:r>
      <w:r w:rsidRPr="00AD33E8">
        <w:t>ner mellan my</w:t>
      </w:r>
      <w:r w:rsidRPr="00AD33E8">
        <w:t>n</w:t>
      </w:r>
      <w:r w:rsidRPr="00AD33E8">
        <w:t>digheter och år.</w:t>
      </w:r>
    </w:p>
    <w:p w:rsidR="007B7A21" w:rsidRPr="00AD33E8" w:rsidRDefault="007B7A21">
      <w:pPr>
        <w:pStyle w:val="Normaltindrag"/>
      </w:pPr>
      <w:r w:rsidRPr="00AD33E8">
        <w:t>Uppgifter om rekryteringar och avgångar redovisas från och med 1997 i Årsredovisning för staten. Nyrekryteringarna har legat på knappt 20 000 personer om året, avgångarna har varit något större, tabell 8. Nyrekrytering görs främst av yngre, medan avgångarna är jämnt fördelade på åldersgru</w:t>
      </w:r>
      <w:r w:rsidRPr="00AD33E8">
        <w:t>p</w:t>
      </w:r>
      <w:r w:rsidRPr="00AD33E8">
        <w:t>per.</w:t>
      </w:r>
    </w:p>
    <w:p w:rsidR="007B7A21" w:rsidRPr="00AD33E8" w:rsidRDefault="007B7A21">
      <w:pPr>
        <w:pStyle w:val="Normaltindrag"/>
      </w:pP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1"/>
        <w:gridCol w:w="1"/>
        <w:gridCol w:w="1"/>
        <w:gridCol w:w="1"/>
        <w:gridCol w:w="2321"/>
        <w:gridCol w:w="851"/>
        <w:gridCol w:w="731"/>
        <w:gridCol w:w="176"/>
        <w:gridCol w:w="571"/>
        <w:gridCol w:w="336"/>
        <w:gridCol w:w="411"/>
        <w:gridCol w:w="496"/>
        <w:gridCol w:w="87"/>
        <w:gridCol w:w="24"/>
      </w:tblGrid>
      <w:tr w:rsidR="00000000" w:rsidRPr="00AD33E8">
        <w:tblPrEx>
          <w:tblCellMar>
            <w:top w:w="0" w:type="dxa"/>
            <w:bottom w:w="0" w:type="dxa"/>
          </w:tblCellMar>
        </w:tblPrEx>
        <w:trPr>
          <w:trHeight w:val="247"/>
        </w:trPr>
        <w:tc>
          <w:tcPr>
            <w:tcW w:w="6008" w:type="dxa"/>
            <w:hMerge w:val="restart"/>
            <w:tcBorders>
              <w:bottom w:val="single" w:sz="6" w:space="0" w:color="008000"/>
            </w:tcBorders>
          </w:tcPr>
          <w:p w:rsidR="007B7A21" w:rsidRPr="00AD33E8" w:rsidRDefault="007B7A21">
            <w:pPr>
              <w:spacing w:before="0" w:line="240" w:lineRule="auto"/>
              <w:rPr>
                <w:b/>
                <w:snapToGrid w:val="0"/>
                <w:lang w:eastAsia="sv-SE"/>
              </w:rPr>
            </w:pPr>
            <w:r w:rsidRPr="00AD33E8">
              <w:rPr>
                <w:b/>
                <w:snapToGrid w:val="0"/>
                <w:lang w:eastAsia="sv-SE"/>
              </w:rPr>
              <w:t>Tabell  8: Rekrytering och avgång i statlig tjänst 1997-2000, totalt antal samt andel för å</w:t>
            </w:r>
            <w:r w:rsidRPr="00AD33E8">
              <w:rPr>
                <w:b/>
                <w:snapToGrid w:val="0"/>
                <w:lang w:eastAsia="sv-SE"/>
              </w:rPr>
              <w:t>l</w:t>
            </w:r>
            <w:r w:rsidRPr="00AD33E8">
              <w:rPr>
                <w:b/>
                <w:snapToGrid w:val="0"/>
                <w:lang w:eastAsia="sv-SE"/>
              </w:rPr>
              <w:t>dersgrupper</w:t>
            </w:r>
          </w:p>
        </w:tc>
        <w:tc>
          <w:tcPr>
            <w:hMerge/>
            <w:tcBorders>
              <w:bottom w:val="single" w:sz="6" w:space="0" w:color="008000"/>
            </w:tcBorders>
          </w:tcPr>
          <w:p w:rsidR="007B7A21" w:rsidRPr="00AD33E8" w:rsidRDefault="007B7A21">
            <w:pPr>
              <w:spacing w:before="0" w:line="240" w:lineRule="auto"/>
              <w:jc w:val="right"/>
              <w:rPr>
                <w:snapToGrid w:val="0"/>
                <w:lang w:eastAsia="sv-SE"/>
              </w:rPr>
            </w:pPr>
          </w:p>
        </w:tc>
        <w:tc>
          <w:tcPr>
            <w:hMerge/>
            <w:tcBorders>
              <w:bottom w:val="single" w:sz="6" w:space="0" w:color="008000"/>
            </w:tcBorders>
          </w:tcPr>
          <w:p w:rsidR="007B7A21" w:rsidRPr="00AD33E8" w:rsidRDefault="007B7A21">
            <w:pPr>
              <w:spacing w:before="0" w:line="240" w:lineRule="auto"/>
              <w:jc w:val="right"/>
              <w:rPr>
                <w:snapToGrid w:val="0"/>
                <w:lang w:eastAsia="sv-SE"/>
              </w:rPr>
            </w:pPr>
          </w:p>
        </w:tc>
        <w:tc>
          <w:tcPr>
            <w:hMerge/>
            <w:tcBorders>
              <w:bottom w:val="single" w:sz="6" w:space="0" w:color="008000"/>
            </w:tcBorders>
          </w:tcPr>
          <w:p w:rsidR="007B7A21" w:rsidRPr="00AD33E8" w:rsidRDefault="007B7A21">
            <w:pPr>
              <w:spacing w:before="0" w:line="240" w:lineRule="auto"/>
              <w:jc w:val="right"/>
              <w:rPr>
                <w:snapToGrid w:val="0"/>
                <w:lang w:eastAsia="sv-SE"/>
              </w:rPr>
            </w:pPr>
          </w:p>
        </w:tc>
        <w:tc>
          <w:tcPr>
            <w:gridSpan w:val="10"/>
            <w:hMerge/>
            <w:tcBorders>
              <w:bottom w:val="single" w:sz="6" w:space="0" w:color="008000"/>
            </w:tcBorders>
          </w:tcPr>
          <w:p w:rsidR="007B7A21" w:rsidRPr="00AD33E8" w:rsidRDefault="007B7A21">
            <w:pPr>
              <w:spacing w:before="0" w:line="240" w:lineRule="auto"/>
              <w:jc w:val="right"/>
              <w:rPr>
                <w:snapToGrid w:val="0"/>
                <w:lang w:eastAsia="sv-SE"/>
              </w:rPr>
            </w:pPr>
          </w:p>
        </w:tc>
      </w:tr>
      <w:tr w:rsidR="00000000" w:rsidRPr="00AD33E8">
        <w:tblPrEx>
          <w:tblCellMar>
            <w:top w:w="0" w:type="dxa"/>
            <w:bottom w:w="0" w:type="dxa"/>
          </w:tblCellMar>
        </w:tblPrEx>
        <w:trPr>
          <w:gridAfter w:val="2"/>
          <w:wAfter w:w="111" w:type="dxa"/>
          <w:trHeight w:val="247"/>
        </w:trPr>
        <w:tc>
          <w:tcPr>
            <w:tcW w:w="2325" w:type="dxa"/>
            <w:gridSpan w:val="5"/>
            <w:tcBorders>
              <w:top w:val="nil"/>
            </w:tcBorders>
          </w:tcPr>
          <w:p w:rsidR="007B7A21" w:rsidRPr="00AD33E8" w:rsidRDefault="007B7A21">
            <w:pPr>
              <w:spacing w:before="0" w:line="240" w:lineRule="auto"/>
              <w:jc w:val="right"/>
              <w:rPr>
                <w:snapToGrid w:val="0"/>
                <w:lang w:eastAsia="sv-SE"/>
              </w:rPr>
            </w:pPr>
          </w:p>
        </w:tc>
        <w:tc>
          <w:tcPr>
            <w:tcW w:w="851" w:type="dxa"/>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1997</w:t>
            </w:r>
          </w:p>
        </w:tc>
        <w:tc>
          <w:tcPr>
            <w:tcW w:w="907" w:type="dxa"/>
            <w:gridSpan w:val="2"/>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1998</w:t>
            </w:r>
          </w:p>
        </w:tc>
        <w:tc>
          <w:tcPr>
            <w:tcW w:w="907" w:type="dxa"/>
            <w:gridSpan w:val="2"/>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1999</w:t>
            </w:r>
          </w:p>
        </w:tc>
        <w:tc>
          <w:tcPr>
            <w:tcW w:w="907" w:type="dxa"/>
            <w:gridSpan w:val="2"/>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2000</w:t>
            </w:r>
          </w:p>
        </w:tc>
      </w:tr>
      <w:tr w:rsidR="00000000" w:rsidRPr="00AD33E8">
        <w:tblPrEx>
          <w:tblCellMar>
            <w:top w:w="0" w:type="dxa"/>
            <w:bottom w:w="0" w:type="dxa"/>
          </w:tblCellMar>
        </w:tblPrEx>
        <w:trPr>
          <w:gridAfter w:val="2"/>
          <w:wAfter w:w="111" w:type="dxa"/>
          <w:trHeight w:val="247"/>
        </w:trPr>
        <w:tc>
          <w:tcPr>
            <w:tcW w:w="2325" w:type="dxa"/>
            <w:gridSpan w:val="5"/>
          </w:tcPr>
          <w:p w:rsidR="007B7A21" w:rsidRPr="00AD33E8" w:rsidRDefault="007B7A21">
            <w:pPr>
              <w:spacing w:before="120" w:line="240" w:lineRule="auto"/>
              <w:rPr>
                <w:snapToGrid w:val="0"/>
                <w:lang w:eastAsia="sv-SE"/>
              </w:rPr>
            </w:pPr>
            <w:r w:rsidRPr="00AD33E8">
              <w:rPr>
                <w:snapToGrid w:val="0"/>
                <w:lang w:eastAsia="sv-SE"/>
              </w:rPr>
              <w:t xml:space="preserve">Nyrekryterade, varav </w:t>
            </w:r>
          </w:p>
        </w:tc>
        <w:tc>
          <w:tcPr>
            <w:tcW w:w="851" w:type="dxa"/>
          </w:tcPr>
          <w:p w:rsidR="007B7A21" w:rsidRPr="00AD33E8" w:rsidRDefault="007B7A21">
            <w:pPr>
              <w:spacing w:before="120" w:line="240" w:lineRule="auto"/>
              <w:jc w:val="right"/>
              <w:rPr>
                <w:snapToGrid w:val="0"/>
                <w:lang w:eastAsia="sv-SE"/>
              </w:rPr>
            </w:pPr>
            <w:r w:rsidRPr="00AD33E8">
              <w:rPr>
                <w:snapToGrid w:val="0"/>
                <w:lang w:eastAsia="sv-SE"/>
              </w:rPr>
              <w:t>17 600</w:t>
            </w:r>
          </w:p>
        </w:tc>
        <w:tc>
          <w:tcPr>
            <w:tcW w:w="907" w:type="dxa"/>
            <w:gridSpan w:val="2"/>
          </w:tcPr>
          <w:p w:rsidR="007B7A21" w:rsidRPr="00AD33E8" w:rsidRDefault="007B7A21">
            <w:pPr>
              <w:spacing w:before="120" w:line="240" w:lineRule="auto"/>
              <w:jc w:val="right"/>
              <w:rPr>
                <w:snapToGrid w:val="0"/>
                <w:lang w:eastAsia="sv-SE"/>
              </w:rPr>
            </w:pPr>
            <w:r w:rsidRPr="00AD33E8">
              <w:rPr>
                <w:snapToGrid w:val="0"/>
                <w:lang w:eastAsia="sv-SE"/>
              </w:rPr>
              <w:t>17 500</w:t>
            </w:r>
          </w:p>
        </w:tc>
        <w:tc>
          <w:tcPr>
            <w:tcW w:w="907" w:type="dxa"/>
            <w:gridSpan w:val="2"/>
          </w:tcPr>
          <w:p w:rsidR="007B7A21" w:rsidRPr="00AD33E8" w:rsidRDefault="007B7A21">
            <w:pPr>
              <w:spacing w:before="120" w:line="240" w:lineRule="auto"/>
              <w:jc w:val="right"/>
              <w:rPr>
                <w:snapToGrid w:val="0"/>
                <w:lang w:eastAsia="sv-SE"/>
              </w:rPr>
            </w:pPr>
            <w:r w:rsidRPr="00AD33E8">
              <w:rPr>
                <w:snapToGrid w:val="0"/>
                <w:lang w:eastAsia="sv-SE"/>
              </w:rPr>
              <w:t>18 500</w:t>
            </w:r>
          </w:p>
        </w:tc>
        <w:tc>
          <w:tcPr>
            <w:tcW w:w="907" w:type="dxa"/>
            <w:gridSpan w:val="2"/>
          </w:tcPr>
          <w:p w:rsidR="007B7A21" w:rsidRPr="00AD33E8" w:rsidRDefault="007B7A21">
            <w:pPr>
              <w:spacing w:before="120" w:line="240" w:lineRule="auto"/>
              <w:jc w:val="right"/>
              <w:rPr>
                <w:snapToGrid w:val="0"/>
                <w:lang w:eastAsia="sv-SE"/>
              </w:rPr>
            </w:pPr>
            <w:r w:rsidRPr="00AD33E8">
              <w:rPr>
                <w:snapToGrid w:val="0"/>
                <w:lang w:eastAsia="sv-SE"/>
              </w:rPr>
              <w:t>18 600</w:t>
            </w:r>
          </w:p>
        </w:tc>
      </w:tr>
      <w:tr w:rsidR="00000000" w:rsidRPr="00AD33E8">
        <w:tblPrEx>
          <w:tblCellMar>
            <w:top w:w="0" w:type="dxa"/>
            <w:bottom w:w="0" w:type="dxa"/>
          </w:tblCellMar>
        </w:tblPrEx>
        <w:trPr>
          <w:gridAfter w:val="2"/>
          <w:wAfter w:w="111" w:type="dxa"/>
          <w:trHeight w:val="247"/>
        </w:trPr>
        <w:tc>
          <w:tcPr>
            <w:tcW w:w="2325" w:type="dxa"/>
            <w:gridSpan w:val="5"/>
          </w:tcPr>
          <w:p w:rsidR="007B7A21" w:rsidRPr="00AD33E8" w:rsidRDefault="007B7A21">
            <w:pPr>
              <w:spacing w:before="0" w:line="240" w:lineRule="auto"/>
              <w:rPr>
                <w:snapToGrid w:val="0"/>
                <w:lang w:eastAsia="sv-SE"/>
              </w:rPr>
            </w:pPr>
            <w:r w:rsidRPr="00AD33E8">
              <w:rPr>
                <w:snapToGrid w:val="0"/>
                <w:lang w:eastAsia="sv-SE"/>
              </w:rPr>
              <w:t>- under 34 år</w:t>
            </w:r>
          </w:p>
        </w:tc>
        <w:tc>
          <w:tcPr>
            <w:tcW w:w="851" w:type="dxa"/>
          </w:tcPr>
          <w:p w:rsidR="007B7A21" w:rsidRPr="00AD33E8" w:rsidRDefault="007B7A21">
            <w:pPr>
              <w:spacing w:before="0" w:line="240" w:lineRule="auto"/>
              <w:jc w:val="right"/>
              <w:rPr>
                <w:snapToGrid w:val="0"/>
                <w:lang w:eastAsia="sv-SE"/>
              </w:rPr>
            </w:pPr>
            <w:r w:rsidRPr="00AD33E8">
              <w:rPr>
                <w:snapToGrid w:val="0"/>
                <w:lang w:eastAsia="sv-SE"/>
              </w:rPr>
              <w:t>58 %</w:t>
            </w:r>
          </w:p>
        </w:tc>
        <w:tc>
          <w:tcPr>
            <w:tcW w:w="907" w:type="dxa"/>
            <w:gridSpan w:val="2"/>
          </w:tcPr>
          <w:p w:rsidR="007B7A21" w:rsidRPr="00AD33E8" w:rsidRDefault="007B7A21">
            <w:pPr>
              <w:spacing w:before="0" w:line="240" w:lineRule="auto"/>
              <w:jc w:val="right"/>
              <w:rPr>
                <w:snapToGrid w:val="0"/>
                <w:lang w:eastAsia="sv-SE"/>
              </w:rPr>
            </w:pPr>
            <w:r w:rsidRPr="00AD33E8">
              <w:rPr>
                <w:snapToGrid w:val="0"/>
                <w:lang w:eastAsia="sv-SE"/>
              </w:rPr>
              <w:t>55 %</w:t>
            </w:r>
          </w:p>
        </w:tc>
        <w:tc>
          <w:tcPr>
            <w:tcW w:w="907" w:type="dxa"/>
            <w:gridSpan w:val="2"/>
          </w:tcPr>
          <w:p w:rsidR="007B7A21" w:rsidRPr="00AD33E8" w:rsidRDefault="007B7A21">
            <w:pPr>
              <w:spacing w:before="0" w:line="240" w:lineRule="auto"/>
              <w:jc w:val="right"/>
              <w:rPr>
                <w:snapToGrid w:val="0"/>
                <w:lang w:eastAsia="sv-SE"/>
              </w:rPr>
            </w:pPr>
            <w:r w:rsidRPr="00AD33E8">
              <w:rPr>
                <w:snapToGrid w:val="0"/>
                <w:lang w:eastAsia="sv-SE"/>
              </w:rPr>
              <w:t>57 %</w:t>
            </w:r>
          </w:p>
        </w:tc>
        <w:tc>
          <w:tcPr>
            <w:tcW w:w="907" w:type="dxa"/>
            <w:gridSpan w:val="2"/>
          </w:tcPr>
          <w:p w:rsidR="007B7A21" w:rsidRPr="00AD33E8" w:rsidRDefault="007B7A21">
            <w:pPr>
              <w:spacing w:before="0" w:line="240" w:lineRule="auto"/>
              <w:jc w:val="right"/>
              <w:rPr>
                <w:snapToGrid w:val="0"/>
                <w:lang w:eastAsia="sv-SE"/>
              </w:rPr>
            </w:pPr>
            <w:r w:rsidRPr="00AD33E8">
              <w:rPr>
                <w:snapToGrid w:val="0"/>
                <w:lang w:eastAsia="sv-SE"/>
              </w:rPr>
              <w:t>57 %</w:t>
            </w:r>
          </w:p>
        </w:tc>
      </w:tr>
      <w:tr w:rsidR="00000000" w:rsidRPr="00AD33E8">
        <w:tblPrEx>
          <w:tblCellMar>
            <w:top w:w="0" w:type="dxa"/>
            <w:bottom w:w="0" w:type="dxa"/>
          </w:tblCellMar>
        </w:tblPrEx>
        <w:trPr>
          <w:gridAfter w:val="2"/>
          <w:wAfter w:w="111" w:type="dxa"/>
          <w:trHeight w:val="247"/>
        </w:trPr>
        <w:tc>
          <w:tcPr>
            <w:tcW w:w="2325" w:type="dxa"/>
            <w:gridSpan w:val="5"/>
          </w:tcPr>
          <w:p w:rsidR="007B7A21" w:rsidRPr="00AD33E8" w:rsidRDefault="007B7A21">
            <w:pPr>
              <w:spacing w:before="0" w:line="240" w:lineRule="auto"/>
              <w:rPr>
                <w:snapToGrid w:val="0"/>
                <w:lang w:eastAsia="sv-SE"/>
              </w:rPr>
            </w:pPr>
            <w:r w:rsidRPr="00AD33E8">
              <w:rPr>
                <w:snapToGrid w:val="0"/>
                <w:lang w:eastAsia="sv-SE"/>
              </w:rPr>
              <w:t>- 35 till 54 år</w:t>
            </w:r>
          </w:p>
        </w:tc>
        <w:tc>
          <w:tcPr>
            <w:tcW w:w="851" w:type="dxa"/>
          </w:tcPr>
          <w:p w:rsidR="007B7A21" w:rsidRPr="00AD33E8" w:rsidRDefault="007B7A21">
            <w:pPr>
              <w:spacing w:before="0" w:line="240" w:lineRule="auto"/>
              <w:jc w:val="right"/>
              <w:rPr>
                <w:snapToGrid w:val="0"/>
                <w:lang w:eastAsia="sv-SE"/>
              </w:rPr>
            </w:pPr>
            <w:r w:rsidRPr="00AD33E8">
              <w:rPr>
                <w:snapToGrid w:val="0"/>
                <w:lang w:eastAsia="sv-SE"/>
              </w:rPr>
              <w:t>38 %</w:t>
            </w:r>
          </w:p>
        </w:tc>
        <w:tc>
          <w:tcPr>
            <w:tcW w:w="907" w:type="dxa"/>
            <w:gridSpan w:val="2"/>
          </w:tcPr>
          <w:p w:rsidR="007B7A21" w:rsidRPr="00AD33E8" w:rsidRDefault="007B7A21">
            <w:pPr>
              <w:spacing w:before="0" w:line="240" w:lineRule="auto"/>
              <w:jc w:val="right"/>
              <w:rPr>
                <w:snapToGrid w:val="0"/>
                <w:lang w:eastAsia="sv-SE"/>
              </w:rPr>
            </w:pPr>
            <w:r w:rsidRPr="00AD33E8">
              <w:rPr>
                <w:snapToGrid w:val="0"/>
                <w:lang w:eastAsia="sv-SE"/>
              </w:rPr>
              <w:t>39 %</w:t>
            </w:r>
          </w:p>
        </w:tc>
        <w:tc>
          <w:tcPr>
            <w:tcW w:w="907" w:type="dxa"/>
            <w:gridSpan w:val="2"/>
          </w:tcPr>
          <w:p w:rsidR="007B7A21" w:rsidRPr="00AD33E8" w:rsidRDefault="007B7A21">
            <w:pPr>
              <w:spacing w:before="0" w:line="240" w:lineRule="auto"/>
              <w:jc w:val="right"/>
              <w:rPr>
                <w:snapToGrid w:val="0"/>
                <w:lang w:eastAsia="sv-SE"/>
              </w:rPr>
            </w:pPr>
            <w:r w:rsidRPr="00AD33E8">
              <w:rPr>
                <w:snapToGrid w:val="0"/>
                <w:lang w:eastAsia="sv-SE"/>
              </w:rPr>
              <w:t>39 %</w:t>
            </w:r>
          </w:p>
        </w:tc>
        <w:tc>
          <w:tcPr>
            <w:tcW w:w="907" w:type="dxa"/>
            <w:gridSpan w:val="2"/>
          </w:tcPr>
          <w:p w:rsidR="007B7A21" w:rsidRPr="00AD33E8" w:rsidRDefault="007B7A21">
            <w:pPr>
              <w:spacing w:before="0" w:line="240" w:lineRule="auto"/>
              <w:jc w:val="right"/>
              <w:rPr>
                <w:snapToGrid w:val="0"/>
                <w:lang w:eastAsia="sv-SE"/>
              </w:rPr>
            </w:pPr>
            <w:r w:rsidRPr="00AD33E8">
              <w:rPr>
                <w:snapToGrid w:val="0"/>
                <w:lang w:eastAsia="sv-SE"/>
              </w:rPr>
              <w:t>38 %</w:t>
            </w:r>
          </w:p>
        </w:tc>
      </w:tr>
      <w:tr w:rsidR="00000000" w:rsidRPr="00AD33E8">
        <w:tblPrEx>
          <w:tblCellMar>
            <w:top w:w="0" w:type="dxa"/>
            <w:bottom w:w="0" w:type="dxa"/>
          </w:tblCellMar>
        </w:tblPrEx>
        <w:trPr>
          <w:gridAfter w:val="2"/>
          <w:wAfter w:w="111" w:type="dxa"/>
          <w:trHeight w:val="247"/>
        </w:trPr>
        <w:tc>
          <w:tcPr>
            <w:tcW w:w="2325" w:type="dxa"/>
            <w:gridSpan w:val="5"/>
          </w:tcPr>
          <w:p w:rsidR="007B7A21" w:rsidRPr="00AD33E8" w:rsidRDefault="007B7A21">
            <w:pPr>
              <w:spacing w:before="0" w:line="240" w:lineRule="auto"/>
              <w:rPr>
                <w:snapToGrid w:val="0"/>
                <w:lang w:eastAsia="sv-SE"/>
              </w:rPr>
            </w:pPr>
            <w:r w:rsidRPr="00AD33E8">
              <w:rPr>
                <w:snapToGrid w:val="0"/>
                <w:lang w:eastAsia="sv-SE"/>
              </w:rPr>
              <w:t>- över 55 år</w:t>
            </w:r>
          </w:p>
        </w:tc>
        <w:tc>
          <w:tcPr>
            <w:tcW w:w="851" w:type="dxa"/>
          </w:tcPr>
          <w:p w:rsidR="007B7A21" w:rsidRPr="00AD33E8" w:rsidRDefault="007B7A21">
            <w:pPr>
              <w:spacing w:before="0" w:line="240" w:lineRule="auto"/>
              <w:jc w:val="right"/>
              <w:rPr>
                <w:snapToGrid w:val="0"/>
                <w:lang w:eastAsia="sv-SE"/>
              </w:rPr>
            </w:pPr>
            <w:r w:rsidRPr="00AD33E8">
              <w:rPr>
                <w:snapToGrid w:val="0"/>
                <w:lang w:eastAsia="sv-SE"/>
              </w:rPr>
              <w:t>4 %</w:t>
            </w:r>
          </w:p>
        </w:tc>
        <w:tc>
          <w:tcPr>
            <w:tcW w:w="907" w:type="dxa"/>
            <w:gridSpan w:val="2"/>
          </w:tcPr>
          <w:p w:rsidR="007B7A21" w:rsidRPr="00AD33E8" w:rsidRDefault="007B7A21">
            <w:pPr>
              <w:spacing w:before="0" w:line="240" w:lineRule="auto"/>
              <w:jc w:val="right"/>
              <w:rPr>
                <w:snapToGrid w:val="0"/>
                <w:lang w:eastAsia="sv-SE"/>
              </w:rPr>
            </w:pPr>
            <w:r w:rsidRPr="00AD33E8">
              <w:rPr>
                <w:snapToGrid w:val="0"/>
                <w:lang w:eastAsia="sv-SE"/>
              </w:rPr>
              <w:t>6 %</w:t>
            </w:r>
          </w:p>
        </w:tc>
        <w:tc>
          <w:tcPr>
            <w:tcW w:w="907" w:type="dxa"/>
            <w:gridSpan w:val="2"/>
          </w:tcPr>
          <w:p w:rsidR="007B7A21" w:rsidRPr="00AD33E8" w:rsidRDefault="007B7A21">
            <w:pPr>
              <w:spacing w:before="0" w:line="240" w:lineRule="auto"/>
              <w:jc w:val="right"/>
              <w:rPr>
                <w:snapToGrid w:val="0"/>
                <w:lang w:eastAsia="sv-SE"/>
              </w:rPr>
            </w:pPr>
            <w:r w:rsidRPr="00AD33E8">
              <w:rPr>
                <w:snapToGrid w:val="0"/>
                <w:lang w:eastAsia="sv-SE"/>
              </w:rPr>
              <w:t>5 %</w:t>
            </w:r>
          </w:p>
        </w:tc>
        <w:tc>
          <w:tcPr>
            <w:tcW w:w="907" w:type="dxa"/>
            <w:gridSpan w:val="2"/>
          </w:tcPr>
          <w:p w:rsidR="007B7A21" w:rsidRPr="00AD33E8" w:rsidRDefault="007B7A21">
            <w:pPr>
              <w:spacing w:before="0" w:line="240" w:lineRule="auto"/>
              <w:jc w:val="right"/>
              <w:rPr>
                <w:snapToGrid w:val="0"/>
                <w:lang w:eastAsia="sv-SE"/>
              </w:rPr>
            </w:pPr>
            <w:r w:rsidRPr="00AD33E8">
              <w:rPr>
                <w:snapToGrid w:val="0"/>
                <w:lang w:eastAsia="sv-SE"/>
              </w:rPr>
              <w:t>5 %</w:t>
            </w:r>
          </w:p>
        </w:tc>
      </w:tr>
      <w:tr w:rsidR="00000000" w:rsidRPr="00AD33E8">
        <w:tblPrEx>
          <w:tblCellMar>
            <w:top w:w="0" w:type="dxa"/>
            <w:bottom w:w="0" w:type="dxa"/>
          </w:tblCellMar>
        </w:tblPrEx>
        <w:trPr>
          <w:gridAfter w:val="2"/>
          <w:wAfter w:w="111" w:type="dxa"/>
          <w:trHeight w:val="247"/>
        </w:trPr>
        <w:tc>
          <w:tcPr>
            <w:tcW w:w="2325" w:type="dxa"/>
            <w:gridSpan w:val="5"/>
          </w:tcPr>
          <w:p w:rsidR="007B7A21" w:rsidRPr="00AD33E8" w:rsidRDefault="007B7A21">
            <w:pPr>
              <w:spacing w:before="120" w:line="240" w:lineRule="auto"/>
              <w:rPr>
                <w:snapToGrid w:val="0"/>
                <w:lang w:eastAsia="sv-SE"/>
              </w:rPr>
            </w:pPr>
            <w:r w:rsidRPr="00AD33E8">
              <w:rPr>
                <w:snapToGrid w:val="0"/>
                <w:lang w:eastAsia="sv-SE"/>
              </w:rPr>
              <w:t>Avgångna, varav</w:t>
            </w:r>
          </w:p>
        </w:tc>
        <w:tc>
          <w:tcPr>
            <w:tcW w:w="851" w:type="dxa"/>
          </w:tcPr>
          <w:p w:rsidR="007B7A21" w:rsidRPr="00AD33E8" w:rsidRDefault="007B7A21">
            <w:pPr>
              <w:spacing w:before="120" w:line="240" w:lineRule="auto"/>
              <w:jc w:val="right"/>
              <w:rPr>
                <w:snapToGrid w:val="0"/>
                <w:lang w:eastAsia="sv-SE"/>
              </w:rPr>
            </w:pPr>
            <w:r w:rsidRPr="00AD33E8">
              <w:rPr>
                <w:snapToGrid w:val="0"/>
                <w:lang w:eastAsia="sv-SE"/>
              </w:rPr>
              <w:t>20 900</w:t>
            </w:r>
          </w:p>
        </w:tc>
        <w:tc>
          <w:tcPr>
            <w:tcW w:w="907" w:type="dxa"/>
            <w:gridSpan w:val="2"/>
          </w:tcPr>
          <w:p w:rsidR="007B7A21" w:rsidRPr="00AD33E8" w:rsidRDefault="007B7A21">
            <w:pPr>
              <w:spacing w:before="120" w:line="240" w:lineRule="auto"/>
              <w:jc w:val="right"/>
              <w:rPr>
                <w:snapToGrid w:val="0"/>
                <w:lang w:eastAsia="sv-SE"/>
              </w:rPr>
            </w:pPr>
            <w:r w:rsidRPr="00AD33E8">
              <w:rPr>
                <w:snapToGrid w:val="0"/>
                <w:lang w:eastAsia="sv-SE"/>
              </w:rPr>
              <w:t>21 000</w:t>
            </w:r>
          </w:p>
        </w:tc>
        <w:tc>
          <w:tcPr>
            <w:tcW w:w="907" w:type="dxa"/>
            <w:gridSpan w:val="2"/>
          </w:tcPr>
          <w:p w:rsidR="007B7A21" w:rsidRPr="00AD33E8" w:rsidRDefault="007B7A21">
            <w:pPr>
              <w:spacing w:before="120" w:line="240" w:lineRule="auto"/>
              <w:jc w:val="right"/>
              <w:rPr>
                <w:snapToGrid w:val="0"/>
                <w:lang w:eastAsia="sv-SE"/>
              </w:rPr>
            </w:pPr>
            <w:r w:rsidRPr="00AD33E8">
              <w:rPr>
                <w:snapToGrid w:val="0"/>
                <w:lang w:eastAsia="sv-SE"/>
              </w:rPr>
              <w:t>18 700</w:t>
            </w:r>
          </w:p>
        </w:tc>
        <w:tc>
          <w:tcPr>
            <w:tcW w:w="907" w:type="dxa"/>
            <w:gridSpan w:val="2"/>
          </w:tcPr>
          <w:p w:rsidR="007B7A21" w:rsidRPr="00AD33E8" w:rsidRDefault="007B7A21">
            <w:pPr>
              <w:spacing w:before="120" w:line="240" w:lineRule="auto"/>
              <w:jc w:val="right"/>
              <w:rPr>
                <w:snapToGrid w:val="0"/>
                <w:lang w:eastAsia="sv-SE"/>
              </w:rPr>
            </w:pPr>
            <w:r w:rsidRPr="00AD33E8">
              <w:rPr>
                <w:snapToGrid w:val="0"/>
                <w:lang w:eastAsia="sv-SE"/>
              </w:rPr>
              <w:t>21 000</w:t>
            </w:r>
          </w:p>
        </w:tc>
      </w:tr>
      <w:tr w:rsidR="00000000" w:rsidRPr="00AD33E8">
        <w:tblPrEx>
          <w:tblCellMar>
            <w:top w:w="0" w:type="dxa"/>
            <w:bottom w:w="0" w:type="dxa"/>
          </w:tblCellMar>
        </w:tblPrEx>
        <w:trPr>
          <w:gridAfter w:val="2"/>
          <w:wAfter w:w="111" w:type="dxa"/>
          <w:trHeight w:val="247"/>
        </w:trPr>
        <w:tc>
          <w:tcPr>
            <w:tcW w:w="2325" w:type="dxa"/>
            <w:gridSpan w:val="5"/>
          </w:tcPr>
          <w:p w:rsidR="007B7A21" w:rsidRPr="00AD33E8" w:rsidRDefault="007B7A21">
            <w:pPr>
              <w:spacing w:before="0" w:line="240" w:lineRule="auto"/>
              <w:rPr>
                <w:snapToGrid w:val="0"/>
                <w:lang w:eastAsia="sv-SE"/>
              </w:rPr>
            </w:pPr>
            <w:r w:rsidRPr="00AD33E8">
              <w:rPr>
                <w:snapToGrid w:val="0"/>
                <w:lang w:eastAsia="sv-SE"/>
              </w:rPr>
              <w:t>- under 34 år</w:t>
            </w:r>
          </w:p>
        </w:tc>
        <w:tc>
          <w:tcPr>
            <w:tcW w:w="851" w:type="dxa"/>
          </w:tcPr>
          <w:p w:rsidR="007B7A21" w:rsidRPr="00AD33E8" w:rsidRDefault="007B7A21">
            <w:pPr>
              <w:spacing w:before="0" w:line="240" w:lineRule="auto"/>
              <w:jc w:val="right"/>
              <w:rPr>
                <w:snapToGrid w:val="0"/>
                <w:lang w:eastAsia="sv-SE"/>
              </w:rPr>
            </w:pPr>
            <w:r w:rsidRPr="00AD33E8">
              <w:rPr>
                <w:snapToGrid w:val="0"/>
                <w:lang w:eastAsia="sv-SE"/>
              </w:rPr>
              <w:t>33 %</w:t>
            </w:r>
          </w:p>
        </w:tc>
        <w:tc>
          <w:tcPr>
            <w:tcW w:w="907" w:type="dxa"/>
            <w:gridSpan w:val="2"/>
          </w:tcPr>
          <w:p w:rsidR="007B7A21" w:rsidRPr="00AD33E8" w:rsidRDefault="007B7A21">
            <w:pPr>
              <w:spacing w:before="0" w:line="240" w:lineRule="auto"/>
              <w:jc w:val="right"/>
              <w:rPr>
                <w:snapToGrid w:val="0"/>
                <w:lang w:eastAsia="sv-SE"/>
              </w:rPr>
            </w:pPr>
            <w:r w:rsidRPr="00AD33E8">
              <w:rPr>
                <w:snapToGrid w:val="0"/>
                <w:lang w:eastAsia="sv-SE"/>
              </w:rPr>
              <w:t>34 %</w:t>
            </w:r>
          </w:p>
        </w:tc>
        <w:tc>
          <w:tcPr>
            <w:tcW w:w="907" w:type="dxa"/>
            <w:gridSpan w:val="2"/>
          </w:tcPr>
          <w:p w:rsidR="007B7A21" w:rsidRPr="00AD33E8" w:rsidRDefault="007B7A21">
            <w:pPr>
              <w:spacing w:before="0" w:line="240" w:lineRule="auto"/>
              <w:jc w:val="right"/>
              <w:rPr>
                <w:snapToGrid w:val="0"/>
                <w:lang w:eastAsia="sv-SE"/>
              </w:rPr>
            </w:pPr>
            <w:r w:rsidRPr="00AD33E8">
              <w:rPr>
                <w:snapToGrid w:val="0"/>
                <w:lang w:eastAsia="sv-SE"/>
              </w:rPr>
              <w:t>35 %</w:t>
            </w:r>
          </w:p>
        </w:tc>
        <w:tc>
          <w:tcPr>
            <w:tcW w:w="907" w:type="dxa"/>
            <w:gridSpan w:val="2"/>
          </w:tcPr>
          <w:p w:rsidR="007B7A21" w:rsidRPr="00AD33E8" w:rsidRDefault="007B7A21">
            <w:pPr>
              <w:spacing w:before="0" w:line="240" w:lineRule="auto"/>
              <w:jc w:val="right"/>
              <w:rPr>
                <w:snapToGrid w:val="0"/>
                <w:lang w:eastAsia="sv-SE"/>
              </w:rPr>
            </w:pPr>
            <w:r w:rsidRPr="00AD33E8">
              <w:rPr>
                <w:snapToGrid w:val="0"/>
                <w:lang w:eastAsia="sv-SE"/>
              </w:rPr>
              <w:t>36 %</w:t>
            </w:r>
          </w:p>
        </w:tc>
      </w:tr>
      <w:tr w:rsidR="00000000" w:rsidRPr="00AD33E8">
        <w:tblPrEx>
          <w:tblCellMar>
            <w:top w:w="0" w:type="dxa"/>
            <w:bottom w:w="0" w:type="dxa"/>
          </w:tblCellMar>
        </w:tblPrEx>
        <w:trPr>
          <w:gridAfter w:val="2"/>
          <w:wAfter w:w="111" w:type="dxa"/>
          <w:trHeight w:val="247"/>
        </w:trPr>
        <w:tc>
          <w:tcPr>
            <w:tcW w:w="2325" w:type="dxa"/>
            <w:gridSpan w:val="5"/>
          </w:tcPr>
          <w:p w:rsidR="007B7A21" w:rsidRPr="00AD33E8" w:rsidRDefault="007B7A21">
            <w:pPr>
              <w:spacing w:before="0" w:line="240" w:lineRule="auto"/>
              <w:rPr>
                <w:snapToGrid w:val="0"/>
                <w:lang w:eastAsia="sv-SE"/>
              </w:rPr>
            </w:pPr>
            <w:r w:rsidRPr="00AD33E8">
              <w:rPr>
                <w:snapToGrid w:val="0"/>
                <w:lang w:eastAsia="sv-SE"/>
              </w:rPr>
              <w:t>- 35 till 54 år</w:t>
            </w:r>
          </w:p>
        </w:tc>
        <w:tc>
          <w:tcPr>
            <w:tcW w:w="851" w:type="dxa"/>
          </w:tcPr>
          <w:p w:rsidR="007B7A21" w:rsidRPr="00AD33E8" w:rsidRDefault="007B7A21">
            <w:pPr>
              <w:spacing w:before="0" w:line="240" w:lineRule="auto"/>
              <w:jc w:val="right"/>
              <w:rPr>
                <w:snapToGrid w:val="0"/>
                <w:lang w:eastAsia="sv-SE"/>
              </w:rPr>
            </w:pPr>
            <w:r w:rsidRPr="00AD33E8">
              <w:rPr>
                <w:snapToGrid w:val="0"/>
                <w:lang w:eastAsia="sv-SE"/>
              </w:rPr>
              <w:t>37 %</w:t>
            </w:r>
          </w:p>
        </w:tc>
        <w:tc>
          <w:tcPr>
            <w:tcW w:w="907" w:type="dxa"/>
            <w:gridSpan w:val="2"/>
          </w:tcPr>
          <w:p w:rsidR="007B7A21" w:rsidRPr="00AD33E8" w:rsidRDefault="007B7A21">
            <w:pPr>
              <w:spacing w:before="0" w:line="240" w:lineRule="auto"/>
              <w:jc w:val="right"/>
              <w:rPr>
                <w:snapToGrid w:val="0"/>
                <w:lang w:eastAsia="sv-SE"/>
              </w:rPr>
            </w:pPr>
            <w:r w:rsidRPr="00AD33E8">
              <w:rPr>
                <w:snapToGrid w:val="0"/>
                <w:lang w:eastAsia="sv-SE"/>
              </w:rPr>
              <w:t>37 %</w:t>
            </w:r>
          </w:p>
        </w:tc>
        <w:tc>
          <w:tcPr>
            <w:tcW w:w="907" w:type="dxa"/>
            <w:gridSpan w:val="2"/>
          </w:tcPr>
          <w:p w:rsidR="007B7A21" w:rsidRPr="00AD33E8" w:rsidRDefault="007B7A21">
            <w:pPr>
              <w:spacing w:before="0" w:line="240" w:lineRule="auto"/>
              <w:jc w:val="right"/>
              <w:rPr>
                <w:snapToGrid w:val="0"/>
                <w:lang w:eastAsia="sv-SE"/>
              </w:rPr>
            </w:pPr>
            <w:r w:rsidRPr="00AD33E8">
              <w:rPr>
                <w:snapToGrid w:val="0"/>
                <w:lang w:eastAsia="sv-SE"/>
              </w:rPr>
              <w:t>38 %</w:t>
            </w:r>
          </w:p>
        </w:tc>
        <w:tc>
          <w:tcPr>
            <w:tcW w:w="907" w:type="dxa"/>
            <w:gridSpan w:val="2"/>
          </w:tcPr>
          <w:p w:rsidR="007B7A21" w:rsidRPr="00AD33E8" w:rsidRDefault="007B7A21">
            <w:pPr>
              <w:spacing w:before="0" w:line="240" w:lineRule="auto"/>
              <w:jc w:val="right"/>
              <w:rPr>
                <w:snapToGrid w:val="0"/>
                <w:lang w:eastAsia="sv-SE"/>
              </w:rPr>
            </w:pPr>
            <w:r w:rsidRPr="00AD33E8">
              <w:rPr>
                <w:snapToGrid w:val="0"/>
                <w:lang w:eastAsia="sv-SE"/>
              </w:rPr>
              <w:t>39 %</w:t>
            </w:r>
          </w:p>
        </w:tc>
      </w:tr>
      <w:tr w:rsidR="00000000" w:rsidRPr="00AD33E8">
        <w:tblPrEx>
          <w:tblCellMar>
            <w:top w:w="0" w:type="dxa"/>
            <w:bottom w:w="0" w:type="dxa"/>
          </w:tblCellMar>
        </w:tblPrEx>
        <w:trPr>
          <w:gridAfter w:val="2"/>
          <w:wAfter w:w="111" w:type="dxa"/>
          <w:trHeight w:val="247"/>
        </w:trPr>
        <w:tc>
          <w:tcPr>
            <w:tcW w:w="2325" w:type="dxa"/>
            <w:gridSpan w:val="5"/>
          </w:tcPr>
          <w:p w:rsidR="007B7A21" w:rsidRPr="00AD33E8" w:rsidRDefault="007B7A21">
            <w:pPr>
              <w:spacing w:before="0" w:line="240" w:lineRule="auto"/>
              <w:rPr>
                <w:snapToGrid w:val="0"/>
                <w:lang w:eastAsia="sv-SE"/>
              </w:rPr>
            </w:pPr>
            <w:r w:rsidRPr="00AD33E8">
              <w:rPr>
                <w:snapToGrid w:val="0"/>
                <w:lang w:eastAsia="sv-SE"/>
              </w:rPr>
              <w:t>- över 55 år</w:t>
            </w:r>
          </w:p>
        </w:tc>
        <w:tc>
          <w:tcPr>
            <w:tcW w:w="851" w:type="dxa"/>
          </w:tcPr>
          <w:p w:rsidR="007B7A21" w:rsidRPr="00AD33E8" w:rsidRDefault="007B7A21">
            <w:pPr>
              <w:spacing w:before="0" w:line="240" w:lineRule="auto"/>
              <w:jc w:val="right"/>
              <w:rPr>
                <w:snapToGrid w:val="0"/>
                <w:lang w:eastAsia="sv-SE"/>
              </w:rPr>
            </w:pPr>
            <w:r w:rsidRPr="00AD33E8">
              <w:rPr>
                <w:snapToGrid w:val="0"/>
                <w:lang w:eastAsia="sv-SE"/>
              </w:rPr>
              <w:t>30 %</w:t>
            </w:r>
          </w:p>
        </w:tc>
        <w:tc>
          <w:tcPr>
            <w:tcW w:w="907" w:type="dxa"/>
            <w:gridSpan w:val="2"/>
          </w:tcPr>
          <w:p w:rsidR="007B7A21" w:rsidRPr="00AD33E8" w:rsidRDefault="007B7A21">
            <w:pPr>
              <w:spacing w:before="0" w:line="240" w:lineRule="auto"/>
              <w:jc w:val="right"/>
              <w:rPr>
                <w:snapToGrid w:val="0"/>
                <w:lang w:eastAsia="sv-SE"/>
              </w:rPr>
            </w:pPr>
            <w:r w:rsidRPr="00AD33E8">
              <w:rPr>
                <w:snapToGrid w:val="0"/>
                <w:lang w:eastAsia="sv-SE"/>
              </w:rPr>
              <w:t>29 %</w:t>
            </w:r>
          </w:p>
        </w:tc>
        <w:tc>
          <w:tcPr>
            <w:tcW w:w="907" w:type="dxa"/>
            <w:gridSpan w:val="2"/>
          </w:tcPr>
          <w:p w:rsidR="007B7A21" w:rsidRPr="00AD33E8" w:rsidRDefault="007B7A21">
            <w:pPr>
              <w:spacing w:before="0" w:line="240" w:lineRule="auto"/>
              <w:jc w:val="right"/>
              <w:rPr>
                <w:snapToGrid w:val="0"/>
                <w:lang w:eastAsia="sv-SE"/>
              </w:rPr>
            </w:pPr>
            <w:r w:rsidRPr="00AD33E8">
              <w:rPr>
                <w:snapToGrid w:val="0"/>
                <w:lang w:eastAsia="sv-SE"/>
              </w:rPr>
              <w:t>27 %</w:t>
            </w:r>
          </w:p>
        </w:tc>
        <w:tc>
          <w:tcPr>
            <w:tcW w:w="907" w:type="dxa"/>
            <w:gridSpan w:val="2"/>
          </w:tcPr>
          <w:p w:rsidR="007B7A21" w:rsidRPr="00AD33E8" w:rsidRDefault="007B7A21">
            <w:pPr>
              <w:spacing w:before="0" w:line="240" w:lineRule="auto"/>
              <w:jc w:val="right"/>
              <w:rPr>
                <w:snapToGrid w:val="0"/>
                <w:lang w:eastAsia="sv-SE"/>
              </w:rPr>
            </w:pPr>
            <w:r w:rsidRPr="00AD33E8">
              <w:rPr>
                <w:snapToGrid w:val="0"/>
                <w:lang w:eastAsia="sv-SE"/>
              </w:rPr>
              <w:t>25 %</w:t>
            </w:r>
          </w:p>
        </w:tc>
      </w:tr>
      <w:tr w:rsidR="00000000" w:rsidRPr="00AD33E8">
        <w:tblPrEx>
          <w:tblCellMar>
            <w:top w:w="0" w:type="dxa"/>
            <w:bottom w:w="0" w:type="dxa"/>
          </w:tblCellMar>
        </w:tblPrEx>
        <w:trPr>
          <w:gridAfter w:val="1"/>
          <w:wAfter w:w="24" w:type="dxa"/>
          <w:trHeight w:val="247"/>
        </w:trPr>
        <w:tc>
          <w:tcPr>
            <w:tcW w:w="3907" w:type="dxa"/>
            <w:hMerge w:val="restart"/>
          </w:tcPr>
          <w:p w:rsidR="007B7A21" w:rsidRPr="00AD33E8" w:rsidRDefault="007B7A21">
            <w:pPr>
              <w:spacing w:before="0" w:line="240" w:lineRule="auto"/>
              <w:rPr>
                <w:snapToGrid w:val="0"/>
                <w:lang w:eastAsia="sv-SE"/>
              </w:rPr>
            </w:pPr>
            <w:r w:rsidRPr="00AD33E8">
              <w:rPr>
                <w:snapToGrid w:val="0"/>
                <w:lang w:eastAsia="sv-SE"/>
              </w:rPr>
              <w:t>Källa: Arbetsgivarverket</w:t>
            </w:r>
          </w:p>
        </w:tc>
        <w:tc>
          <w:tcPr>
            <w:gridSpan w:val="6"/>
            <w:hMerge/>
          </w:tcPr>
          <w:p w:rsidR="007B7A21" w:rsidRPr="00AD33E8" w:rsidRDefault="007B7A21">
            <w:pPr>
              <w:spacing w:before="0" w:line="240" w:lineRule="auto"/>
              <w:jc w:val="right"/>
              <w:rPr>
                <w:snapToGrid w:val="0"/>
                <w:lang w:eastAsia="sv-SE"/>
              </w:rPr>
            </w:pPr>
          </w:p>
        </w:tc>
        <w:tc>
          <w:tcPr>
            <w:tcW w:w="747" w:type="dxa"/>
            <w:gridSpan w:val="2"/>
          </w:tcPr>
          <w:p w:rsidR="007B7A21" w:rsidRPr="00AD33E8" w:rsidRDefault="007B7A21">
            <w:pPr>
              <w:spacing w:before="0" w:line="240" w:lineRule="auto"/>
              <w:jc w:val="right"/>
              <w:rPr>
                <w:snapToGrid w:val="0"/>
                <w:lang w:eastAsia="sv-SE"/>
              </w:rPr>
            </w:pPr>
          </w:p>
        </w:tc>
        <w:tc>
          <w:tcPr>
            <w:tcW w:w="747" w:type="dxa"/>
            <w:gridSpan w:val="2"/>
          </w:tcPr>
          <w:p w:rsidR="007B7A21" w:rsidRPr="00AD33E8" w:rsidRDefault="007B7A21">
            <w:pPr>
              <w:spacing w:before="0" w:line="240" w:lineRule="auto"/>
              <w:jc w:val="right"/>
              <w:rPr>
                <w:snapToGrid w:val="0"/>
                <w:lang w:eastAsia="sv-SE"/>
              </w:rPr>
            </w:pPr>
          </w:p>
        </w:tc>
        <w:tc>
          <w:tcPr>
            <w:tcW w:w="583" w:type="dxa"/>
            <w:gridSpan w:val="2"/>
          </w:tcPr>
          <w:p w:rsidR="007B7A21" w:rsidRPr="00AD33E8" w:rsidRDefault="007B7A21">
            <w:pPr>
              <w:spacing w:before="0" w:line="240" w:lineRule="auto"/>
              <w:jc w:val="right"/>
              <w:rPr>
                <w:snapToGrid w:val="0"/>
                <w:lang w:eastAsia="sv-SE"/>
              </w:rPr>
            </w:pPr>
          </w:p>
        </w:tc>
      </w:tr>
    </w:tbl>
    <w:p w:rsidR="007B7A21" w:rsidRPr="00AD33E8" w:rsidRDefault="007B7A21">
      <w:pPr>
        <w:rPr>
          <w:snapToGrid w:val="0"/>
          <w:lang w:eastAsia="sv-SE"/>
        </w:rPr>
      </w:pPr>
      <w:r w:rsidRPr="00AD33E8">
        <w:rPr>
          <w:snapToGrid w:val="0"/>
          <w:lang w:eastAsia="sv-SE"/>
        </w:rPr>
        <w:t>I Årsredovisning för staten för år 1998 kommenterar regeringen personalo</w:t>
      </w:r>
      <w:r w:rsidRPr="00AD33E8">
        <w:rPr>
          <w:snapToGrid w:val="0"/>
          <w:lang w:eastAsia="sv-SE"/>
        </w:rPr>
        <w:t>m</w:t>
      </w:r>
      <w:r w:rsidRPr="00AD33E8">
        <w:rPr>
          <w:snapToGrid w:val="0"/>
          <w:lang w:eastAsia="sv-SE"/>
        </w:rPr>
        <w:t>sättningen (skr. 1998/99:150). En väl avvägd persona</w:t>
      </w:r>
      <w:r w:rsidRPr="00AD33E8">
        <w:rPr>
          <w:snapToGrid w:val="0"/>
          <w:lang w:eastAsia="sv-SE"/>
        </w:rPr>
        <w:t>l</w:t>
      </w:r>
      <w:r w:rsidRPr="00AD33E8">
        <w:rPr>
          <w:snapToGrid w:val="0"/>
          <w:lang w:eastAsia="sv-SE"/>
        </w:rPr>
        <w:t>rörlighet är av stor be</w:t>
      </w:r>
      <w:r w:rsidRPr="00AD33E8">
        <w:rPr>
          <w:snapToGrid w:val="0"/>
          <w:lang w:eastAsia="sv-SE"/>
        </w:rPr>
        <w:softHyphen/>
        <w:t>ty</w:t>
      </w:r>
      <w:r w:rsidRPr="00AD33E8">
        <w:rPr>
          <w:snapToGrid w:val="0"/>
          <w:lang w:eastAsia="sv-SE"/>
        </w:rPr>
        <w:softHyphen/>
        <w:t>delse för effektivitet och bra resultat. Vad som är en rimlig rörlighet vari</w:t>
      </w:r>
      <w:r w:rsidRPr="00AD33E8">
        <w:rPr>
          <w:snapToGrid w:val="0"/>
          <w:lang w:eastAsia="sv-SE"/>
        </w:rPr>
        <w:t>e</w:t>
      </w:r>
      <w:r w:rsidRPr="00AD33E8">
        <w:rPr>
          <w:snapToGrid w:val="0"/>
          <w:lang w:eastAsia="sv-SE"/>
        </w:rPr>
        <w:t>rar dock mellan verksamhetsområden, arbetsplatser, grupper av anställda och enskilda individer. Det är därför, enligt regeringen, varken önskvärt eller lämpligt med en centralt föreskriven rörlighet. Myndigheterna bör själva, med de befogenheter de har fått, kunna fastställa såväl passande rörlighet som lämpliga metoder för att uppnå den.</w:t>
      </w:r>
    </w:p>
    <w:p w:rsidR="007B7A21" w:rsidRPr="00AD33E8" w:rsidRDefault="007B7A21">
      <w:pPr>
        <w:pStyle w:val="Rubrik3"/>
      </w:pPr>
      <w:bookmarkStart w:id="192" w:name="_Toc3887391"/>
      <w:bookmarkStart w:id="193" w:name="_Toc21425304"/>
      <w:r w:rsidRPr="00AD33E8">
        <w:t>Uppsägningar</w:t>
      </w:r>
      <w:bookmarkEnd w:id="192"/>
      <w:bookmarkEnd w:id="193"/>
    </w:p>
    <w:p w:rsidR="007B7A21" w:rsidRPr="00AD33E8" w:rsidRDefault="007B7A21">
      <w:pPr>
        <w:rPr>
          <w:snapToGrid w:val="0"/>
          <w:lang w:eastAsia="sv-SE"/>
        </w:rPr>
      </w:pPr>
      <w:r w:rsidRPr="00AD33E8">
        <w:rPr>
          <w:snapToGrid w:val="0"/>
          <w:lang w:eastAsia="sv-SE"/>
        </w:rPr>
        <w:t xml:space="preserve">Mellan åren 1990 och 1998 sades ca 52 000 statsanställda  inom försvar och civil statsförvaltning upp, se tabell 9. </w:t>
      </w:r>
    </w:p>
    <w:p w:rsidR="007B7A21" w:rsidRPr="00AD33E8" w:rsidRDefault="007B7A21">
      <w:pPr>
        <w:pStyle w:val="Normaltindrag"/>
      </w:pP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1"/>
        <w:gridCol w:w="1"/>
        <w:gridCol w:w="1"/>
        <w:gridCol w:w="1587"/>
        <w:gridCol w:w="1417"/>
        <w:gridCol w:w="992"/>
        <w:gridCol w:w="156"/>
        <w:gridCol w:w="969"/>
        <w:gridCol w:w="151"/>
      </w:tblGrid>
      <w:tr w:rsidR="00000000" w:rsidRPr="00AD33E8">
        <w:tblPrEx>
          <w:tblCellMar>
            <w:top w:w="0" w:type="dxa"/>
            <w:bottom w:w="0" w:type="dxa"/>
          </w:tblCellMar>
        </w:tblPrEx>
        <w:trPr>
          <w:trHeight w:val="247"/>
        </w:trPr>
        <w:tc>
          <w:tcPr>
            <w:tcW w:w="5275" w:type="dxa"/>
            <w:hMerge w:val="restart"/>
            <w:tcBorders>
              <w:bottom w:val="single" w:sz="6" w:space="0" w:color="008000"/>
            </w:tcBorders>
          </w:tcPr>
          <w:p w:rsidR="007B7A21" w:rsidRPr="00AD33E8" w:rsidRDefault="007B7A21">
            <w:pPr>
              <w:spacing w:before="0" w:line="240" w:lineRule="auto"/>
              <w:rPr>
                <w:b/>
                <w:snapToGrid w:val="0"/>
                <w:lang w:eastAsia="sv-SE"/>
              </w:rPr>
            </w:pPr>
            <w:r w:rsidRPr="00AD33E8">
              <w:rPr>
                <w:b/>
                <w:snapToGrid w:val="0"/>
                <w:lang w:eastAsia="sv-SE"/>
              </w:rPr>
              <w:t>Tabell  9: Uppsagda i staten åren 1990-1999, tusen personer, exkl</w:t>
            </w:r>
            <w:r w:rsidRPr="00AD33E8">
              <w:rPr>
                <w:b/>
                <w:snapToGrid w:val="0"/>
                <w:lang w:eastAsia="sv-SE"/>
              </w:rPr>
              <w:t>u</w:t>
            </w:r>
            <w:r w:rsidRPr="00AD33E8">
              <w:rPr>
                <w:b/>
                <w:snapToGrid w:val="0"/>
                <w:lang w:eastAsia="sv-SE"/>
              </w:rPr>
              <w:t>sive affärsverken</w:t>
            </w:r>
          </w:p>
        </w:tc>
        <w:tc>
          <w:tcPr>
            <w:hMerge/>
            <w:tcBorders>
              <w:bottom w:val="single" w:sz="6" w:space="0" w:color="008000"/>
            </w:tcBorders>
          </w:tcPr>
          <w:p w:rsidR="007B7A21" w:rsidRPr="00AD33E8" w:rsidRDefault="007B7A21">
            <w:pPr>
              <w:spacing w:before="0" w:line="240" w:lineRule="auto"/>
              <w:rPr>
                <w:snapToGrid w:val="0"/>
                <w:lang w:eastAsia="sv-SE"/>
              </w:rPr>
            </w:pPr>
          </w:p>
        </w:tc>
        <w:tc>
          <w:tcPr>
            <w:hMerge/>
            <w:tcBorders>
              <w:bottom w:val="single" w:sz="6" w:space="0" w:color="008000"/>
            </w:tcBorders>
          </w:tcPr>
          <w:p w:rsidR="007B7A21" w:rsidRPr="00AD33E8" w:rsidRDefault="007B7A21">
            <w:pPr>
              <w:spacing w:before="0" w:line="240" w:lineRule="auto"/>
              <w:rPr>
                <w:snapToGrid w:val="0"/>
                <w:lang w:eastAsia="sv-SE"/>
              </w:rPr>
            </w:pPr>
          </w:p>
        </w:tc>
        <w:tc>
          <w:tcPr>
            <w:gridSpan w:val="6"/>
            <w:hMerge/>
            <w:tcBorders>
              <w:bottom w:val="single" w:sz="6" w:space="0" w:color="008000"/>
            </w:tcBorders>
          </w:tcPr>
          <w:p w:rsidR="007B7A21" w:rsidRPr="00AD33E8" w:rsidRDefault="007B7A21">
            <w:pPr>
              <w:spacing w:before="0" w:line="240" w:lineRule="auto"/>
              <w:rPr>
                <w:snapToGrid w:val="0"/>
                <w:lang w:eastAsia="sv-SE"/>
              </w:rPr>
            </w:pPr>
          </w:p>
        </w:tc>
      </w:tr>
      <w:tr w:rsidR="00000000" w:rsidRPr="00AD33E8">
        <w:tblPrEx>
          <w:tblCellMar>
            <w:top w:w="0" w:type="dxa"/>
            <w:bottom w:w="0" w:type="dxa"/>
          </w:tblCellMar>
        </w:tblPrEx>
        <w:trPr>
          <w:trHeight w:val="247"/>
        </w:trPr>
        <w:tc>
          <w:tcPr>
            <w:tcW w:w="1590" w:type="dxa"/>
            <w:gridSpan w:val="4"/>
            <w:tcBorders>
              <w:top w:val="nil"/>
              <w:bottom w:val="nil"/>
            </w:tcBorders>
          </w:tcPr>
          <w:p w:rsidR="007B7A21" w:rsidRPr="00AD33E8" w:rsidRDefault="007B7A21">
            <w:pPr>
              <w:spacing w:before="0" w:line="240" w:lineRule="auto"/>
              <w:rPr>
                <w:snapToGrid w:val="0"/>
                <w:lang w:eastAsia="sv-SE"/>
              </w:rPr>
            </w:pPr>
          </w:p>
        </w:tc>
        <w:tc>
          <w:tcPr>
            <w:tcW w:w="1417" w:type="dxa"/>
            <w:tcBorders>
              <w:top w:val="nil"/>
              <w:bottom w:val="nil"/>
            </w:tcBorders>
          </w:tcPr>
          <w:p w:rsidR="007B7A21" w:rsidRPr="00AD33E8" w:rsidRDefault="007B7A21">
            <w:pPr>
              <w:spacing w:before="0" w:line="240" w:lineRule="auto"/>
              <w:jc w:val="center"/>
              <w:rPr>
                <w:snapToGrid w:val="0"/>
                <w:lang w:eastAsia="sv-SE"/>
              </w:rPr>
            </w:pPr>
            <w:r w:rsidRPr="00AD33E8">
              <w:rPr>
                <w:snapToGrid w:val="0"/>
                <w:lang w:eastAsia="sv-SE"/>
              </w:rPr>
              <w:t>Totalt</w:t>
            </w:r>
          </w:p>
        </w:tc>
        <w:tc>
          <w:tcPr>
            <w:tcW w:w="992" w:type="dxa"/>
            <w:tcBorders>
              <w:top w:val="nil"/>
              <w:bottom w:val="nil"/>
            </w:tcBorders>
          </w:tcPr>
          <w:p w:rsidR="007B7A21" w:rsidRPr="00AD33E8" w:rsidRDefault="007B7A21">
            <w:pPr>
              <w:spacing w:before="0" w:line="240" w:lineRule="auto"/>
              <w:jc w:val="center"/>
              <w:rPr>
                <w:snapToGrid w:val="0"/>
                <w:lang w:eastAsia="sv-SE"/>
              </w:rPr>
            </w:pPr>
            <w:r w:rsidRPr="00AD33E8">
              <w:rPr>
                <w:snapToGrid w:val="0"/>
                <w:lang w:eastAsia="sv-SE"/>
              </w:rPr>
              <w:t>Försvaret</w:t>
            </w:r>
          </w:p>
        </w:tc>
        <w:tc>
          <w:tcPr>
            <w:tcW w:w="1276" w:type="dxa"/>
            <w:gridSpan w:val="3"/>
            <w:tcBorders>
              <w:top w:val="nil"/>
              <w:bottom w:val="nil"/>
            </w:tcBorders>
          </w:tcPr>
          <w:p w:rsidR="007B7A21" w:rsidRPr="00AD33E8" w:rsidRDefault="007B7A21">
            <w:pPr>
              <w:spacing w:before="0" w:line="240" w:lineRule="auto"/>
              <w:jc w:val="center"/>
              <w:rPr>
                <w:snapToGrid w:val="0"/>
                <w:lang w:eastAsia="sv-SE"/>
              </w:rPr>
            </w:pPr>
            <w:r w:rsidRPr="00AD33E8">
              <w:rPr>
                <w:snapToGrid w:val="0"/>
                <w:lang w:eastAsia="sv-SE"/>
              </w:rPr>
              <w:t>Civil statsfö</w:t>
            </w:r>
            <w:r w:rsidRPr="00AD33E8">
              <w:rPr>
                <w:snapToGrid w:val="0"/>
                <w:lang w:eastAsia="sv-SE"/>
              </w:rPr>
              <w:t>r</w:t>
            </w:r>
            <w:r w:rsidRPr="00AD33E8">
              <w:rPr>
                <w:snapToGrid w:val="0"/>
                <w:lang w:eastAsia="sv-SE"/>
              </w:rPr>
              <w:t>valtning</w:t>
            </w:r>
          </w:p>
        </w:tc>
      </w:tr>
      <w:tr w:rsidR="00000000" w:rsidRPr="00AD33E8">
        <w:tblPrEx>
          <w:tblCellMar>
            <w:top w:w="0" w:type="dxa"/>
            <w:bottom w:w="0" w:type="dxa"/>
          </w:tblCellMar>
        </w:tblPrEx>
        <w:trPr>
          <w:trHeight w:val="247"/>
        </w:trPr>
        <w:tc>
          <w:tcPr>
            <w:tcW w:w="1590" w:type="dxa"/>
            <w:gridSpan w:val="4"/>
            <w:tcBorders>
              <w:top w:val="nil"/>
              <w:left w:val="nil"/>
              <w:bottom w:val="nil"/>
              <w:right w:val="nil"/>
            </w:tcBorders>
          </w:tcPr>
          <w:p w:rsidR="007B7A21" w:rsidRPr="00AD33E8" w:rsidRDefault="007B7A21">
            <w:pPr>
              <w:spacing w:before="0" w:line="240" w:lineRule="auto"/>
              <w:rPr>
                <w:snapToGrid w:val="0"/>
                <w:lang w:eastAsia="sv-SE"/>
              </w:rPr>
            </w:pPr>
            <w:r w:rsidRPr="00AD33E8">
              <w:rPr>
                <w:snapToGrid w:val="0"/>
                <w:lang w:eastAsia="sv-SE"/>
              </w:rPr>
              <w:t>1990/91</w:t>
            </w:r>
          </w:p>
        </w:tc>
        <w:tc>
          <w:tcPr>
            <w:tcW w:w="1417" w:type="dxa"/>
            <w:tcBorders>
              <w:top w:val="nil"/>
              <w:left w:val="nil"/>
              <w:bottom w:val="nil"/>
              <w:right w:val="nil"/>
            </w:tcBorders>
          </w:tcPr>
          <w:p w:rsidR="007B7A21" w:rsidRPr="00AD33E8" w:rsidRDefault="007B7A21">
            <w:pPr>
              <w:spacing w:before="0" w:line="240" w:lineRule="auto"/>
              <w:jc w:val="center"/>
              <w:rPr>
                <w:snapToGrid w:val="0"/>
                <w:lang w:eastAsia="sv-SE"/>
              </w:rPr>
            </w:pPr>
            <w:r w:rsidRPr="00AD33E8">
              <w:rPr>
                <w:snapToGrid w:val="0"/>
                <w:lang w:eastAsia="sv-SE"/>
              </w:rPr>
              <w:t>4,1</w:t>
            </w:r>
          </w:p>
        </w:tc>
        <w:tc>
          <w:tcPr>
            <w:tcW w:w="992" w:type="dxa"/>
            <w:tcBorders>
              <w:top w:val="nil"/>
              <w:left w:val="nil"/>
              <w:bottom w:val="nil"/>
              <w:right w:val="nil"/>
            </w:tcBorders>
          </w:tcPr>
          <w:p w:rsidR="007B7A21" w:rsidRPr="00AD33E8" w:rsidRDefault="007B7A21">
            <w:pPr>
              <w:spacing w:before="0" w:line="240" w:lineRule="auto"/>
              <w:jc w:val="center"/>
              <w:rPr>
                <w:snapToGrid w:val="0"/>
                <w:lang w:eastAsia="sv-SE"/>
              </w:rPr>
            </w:pPr>
            <w:r w:rsidRPr="00AD33E8">
              <w:rPr>
                <w:snapToGrid w:val="0"/>
                <w:lang w:eastAsia="sv-SE"/>
              </w:rPr>
              <w:t>1,6</w:t>
            </w:r>
          </w:p>
        </w:tc>
        <w:tc>
          <w:tcPr>
            <w:tcW w:w="1276" w:type="dxa"/>
            <w:gridSpan w:val="3"/>
            <w:tcBorders>
              <w:top w:val="nil"/>
              <w:left w:val="nil"/>
              <w:bottom w:val="nil"/>
              <w:right w:val="nil"/>
            </w:tcBorders>
          </w:tcPr>
          <w:p w:rsidR="007B7A21" w:rsidRPr="00AD33E8" w:rsidRDefault="007B7A21">
            <w:pPr>
              <w:spacing w:before="0" w:line="240" w:lineRule="auto"/>
              <w:jc w:val="center"/>
              <w:rPr>
                <w:snapToGrid w:val="0"/>
                <w:lang w:eastAsia="sv-SE"/>
              </w:rPr>
            </w:pPr>
            <w:r w:rsidRPr="00AD33E8">
              <w:rPr>
                <w:snapToGrid w:val="0"/>
                <w:lang w:eastAsia="sv-SE"/>
              </w:rPr>
              <w:t>2,5</w:t>
            </w:r>
          </w:p>
        </w:tc>
      </w:tr>
      <w:tr w:rsidR="00000000" w:rsidRPr="00AD33E8">
        <w:tblPrEx>
          <w:tblCellMar>
            <w:top w:w="0" w:type="dxa"/>
            <w:bottom w:w="0" w:type="dxa"/>
          </w:tblCellMar>
        </w:tblPrEx>
        <w:trPr>
          <w:trHeight w:val="247"/>
        </w:trPr>
        <w:tc>
          <w:tcPr>
            <w:tcW w:w="1590" w:type="dxa"/>
            <w:gridSpan w:val="4"/>
            <w:tcBorders>
              <w:top w:val="nil"/>
              <w:bottom w:val="nil"/>
            </w:tcBorders>
          </w:tcPr>
          <w:p w:rsidR="007B7A21" w:rsidRPr="00AD33E8" w:rsidRDefault="007B7A21">
            <w:pPr>
              <w:spacing w:before="0" w:line="240" w:lineRule="auto"/>
              <w:rPr>
                <w:snapToGrid w:val="0"/>
                <w:lang w:eastAsia="sv-SE"/>
              </w:rPr>
            </w:pPr>
            <w:r w:rsidRPr="00AD33E8">
              <w:rPr>
                <w:snapToGrid w:val="0"/>
                <w:lang w:eastAsia="sv-SE"/>
              </w:rPr>
              <w:t>1991/92</w:t>
            </w:r>
          </w:p>
        </w:tc>
        <w:tc>
          <w:tcPr>
            <w:tcW w:w="1417" w:type="dxa"/>
            <w:tcBorders>
              <w:top w:val="nil"/>
              <w:bottom w:val="nil"/>
            </w:tcBorders>
          </w:tcPr>
          <w:p w:rsidR="007B7A21" w:rsidRPr="00AD33E8" w:rsidRDefault="007B7A21">
            <w:pPr>
              <w:spacing w:before="0" w:line="240" w:lineRule="auto"/>
              <w:jc w:val="center"/>
              <w:rPr>
                <w:snapToGrid w:val="0"/>
                <w:lang w:eastAsia="sv-SE"/>
              </w:rPr>
            </w:pPr>
            <w:r w:rsidRPr="00AD33E8">
              <w:rPr>
                <w:snapToGrid w:val="0"/>
                <w:lang w:eastAsia="sv-SE"/>
              </w:rPr>
              <w:t>3,7</w:t>
            </w:r>
          </w:p>
        </w:tc>
        <w:tc>
          <w:tcPr>
            <w:tcW w:w="992" w:type="dxa"/>
            <w:tcBorders>
              <w:top w:val="nil"/>
              <w:bottom w:val="nil"/>
            </w:tcBorders>
          </w:tcPr>
          <w:p w:rsidR="007B7A21" w:rsidRPr="00AD33E8" w:rsidRDefault="007B7A21">
            <w:pPr>
              <w:spacing w:before="0" w:line="240" w:lineRule="auto"/>
              <w:jc w:val="center"/>
              <w:rPr>
                <w:snapToGrid w:val="0"/>
                <w:lang w:eastAsia="sv-SE"/>
              </w:rPr>
            </w:pPr>
            <w:r w:rsidRPr="00AD33E8">
              <w:rPr>
                <w:snapToGrid w:val="0"/>
                <w:lang w:eastAsia="sv-SE"/>
              </w:rPr>
              <w:t>1,6</w:t>
            </w:r>
          </w:p>
        </w:tc>
        <w:tc>
          <w:tcPr>
            <w:tcW w:w="1276" w:type="dxa"/>
            <w:gridSpan w:val="3"/>
            <w:tcBorders>
              <w:top w:val="nil"/>
              <w:bottom w:val="nil"/>
            </w:tcBorders>
          </w:tcPr>
          <w:p w:rsidR="007B7A21" w:rsidRPr="00AD33E8" w:rsidRDefault="007B7A21">
            <w:pPr>
              <w:spacing w:before="0" w:line="240" w:lineRule="auto"/>
              <w:jc w:val="center"/>
              <w:rPr>
                <w:snapToGrid w:val="0"/>
                <w:lang w:eastAsia="sv-SE"/>
              </w:rPr>
            </w:pPr>
            <w:r w:rsidRPr="00AD33E8">
              <w:rPr>
                <w:snapToGrid w:val="0"/>
                <w:lang w:eastAsia="sv-SE"/>
              </w:rPr>
              <w:t>2,1</w:t>
            </w:r>
          </w:p>
        </w:tc>
      </w:tr>
      <w:tr w:rsidR="00000000" w:rsidRPr="00AD33E8">
        <w:tblPrEx>
          <w:tblCellMar>
            <w:top w:w="0" w:type="dxa"/>
            <w:bottom w:w="0" w:type="dxa"/>
          </w:tblCellMar>
        </w:tblPrEx>
        <w:trPr>
          <w:trHeight w:val="247"/>
        </w:trPr>
        <w:tc>
          <w:tcPr>
            <w:tcW w:w="1590" w:type="dxa"/>
            <w:gridSpan w:val="4"/>
            <w:tcBorders>
              <w:top w:val="nil"/>
              <w:left w:val="nil"/>
              <w:bottom w:val="nil"/>
              <w:right w:val="nil"/>
            </w:tcBorders>
          </w:tcPr>
          <w:p w:rsidR="007B7A21" w:rsidRPr="00AD33E8" w:rsidRDefault="007B7A21">
            <w:pPr>
              <w:spacing w:before="0" w:line="240" w:lineRule="auto"/>
              <w:rPr>
                <w:snapToGrid w:val="0"/>
                <w:lang w:eastAsia="sv-SE"/>
              </w:rPr>
            </w:pPr>
            <w:r w:rsidRPr="00AD33E8">
              <w:rPr>
                <w:snapToGrid w:val="0"/>
                <w:lang w:eastAsia="sv-SE"/>
              </w:rPr>
              <w:t>1992/93</w:t>
            </w:r>
          </w:p>
        </w:tc>
        <w:tc>
          <w:tcPr>
            <w:tcW w:w="1417" w:type="dxa"/>
            <w:tcBorders>
              <w:top w:val="nil"/>
              <w:left w:val="nil"/>
              <w:bottom w:val="nil"/>
              <w:right w:val="nil"/>
            </w:tcBorders>
          </w:tcPr>
          <w:p w:rsidR="007B7A21" w:rsidRPr="00AD33E8" w:rsidRDefault="007B7A21">
            <w:pPr>
              <w:spacing w:before="0" w:line="240" w:lineRule="auto"/>
              <w:jc w:val="center"/>
              <w:rPr>
                <w:snapToGrid w:val="0"/>
                <w:lang w:eastAsia="sv-SE"/>
              </w:rPr>
            </w:pPr>
            <w:r w:rsidRPr="00AD33E8">
              <w:rPr>
                <w:snapToGrid w:val="0"/>
                <w:lang w:eastAsia="sv-SE"/>
              </w:rPr>
              <w:t>6,6</w:t>
            </w:r>
          </w:p>
        </w:tc>
        <w:tc>
          <w:tcPr>
            <w:tcW w:w="992" w:type="dxa"/>
            <w:tcBorders>
              <w:top w:val="nil"/>
              <w:left w:val="nil"/>
              <w:bottom w:val="nil"/>
              <w:right w:val="nil"/>
            </w:tcBorders>
          </w:tcPr>
          <w:p w:rsidR="007B7A21" w:rsidRPr="00AD33E8" w:rsidRDefault="007B7A21">
            <w:pPr>
              <w:spacing w:before="0" w:line="240" w:lineRule="auto"/>
              <w:jc w:val="center"/>
              <w:rPr>
                <w:snapToGrid w:val="0"/>
                <w:lang w:eastAsia="sv-SE"/>
              </w:rPr>
            </w:pPr>
            <w:r w:rsidRPr="00AD33E8">
              <w:rPr>
                <w:snapToGrid w:val="0"/>
                <w:lang w:eastAsia="sv-SE"/>
              </w:rPr>
              <w:t>2,9</w:t>
            </w:r>
          </w:p>
        </w:tc>
        <w:tc>
          <w:tcPr>
            <w:tcW w:w="1276" w:type="dxa"/>
            <w:gridSpan w:val="3"/>
            <w:tcBorders>
              <w:top w:val="nil"/>
              <w:left w:val="nil"/>
              <w:bottom w:val="nil"/>
              <w:right w:val="nil"/>
            </w:tcBorders>
          </w:tcPr>
          <w:p w:rsidR="007B7A21" w:rsidRPr="00AD33E8" w:rsidRDefault="007B7A21">
            <w:pPr>
              <w:spacing w:before="0" w:line="240" w:lineRule="auto"/>
              <w:jc w:val="center"/>
              <w:rPr>
                <w:snapToGrid w:val="0"/>
                <w:lang w:eastAsia="sv-SE"/>
              </w:rPr>
            </w:pPr>
            <w:r w:rsidRPr="00AD33E8">
              <w:rPr>
                <w:snapToGrid w:val="0"/>
                <w:lang w:eastAsia="sv-SE"/>
              </w:rPr>
              <w:t>3,7</w:t>
            </w:r>
          </w:p>
        </w:tc>
      </w:tr>
      <w:tr w:rsidR="00000000" w:rsidRPr="00AD33E8">
        <w:tblPrEx>
          <w:tblCellMar>
            <w:top w:w="0" w:type="dxa"/>
            <w:bottom w:w="0" w:type="dxa"/>
          </w:tblCellMar>
        </w:tblPrEx>
        <w:trPr>
          <w:trHeight w:val="247"/>
        </w:trPr>
        <w:tc>
          <w:tcPr>
            <w:tcW w:w="1590" w:type="dxa"/>
            <w:gridSpan w:val="4"/>
            <w:tcBorders>
              <w:top w:val="nil"/>
              <w:bottom w:val="nil"/>
            </w:tcBorders>
          </w:tcPr>
          <w:p w:rsidR="007B7A21" w:rsidRPr="00AD33E8" w:rsidRDefault="007B7A21">
            <w:pPr>
              <w:spacing w:before="0" w:line="240" w:lineRule="auto"/>
              <w:rPr>
                <w:snapToGrid w:val="0"/>
                <w:lang w:eastAsia="sv-SE"/>
              </w:rPr>
            </w:pPr>
            <w:r w:rsidRPr="00AD33E8">
              <w:rPr>
                <w:snapToGrid w:val="0"/>
                <w:lang w:eastAsia="sv-SE"/>
              </w:rPr>
              <w:t>1993/94</w:t>
            </w:r>
          </w:p>
        </w:tc>
        <w:tc>
          <w:tcPr>
            <w:tcW w:w="1417" w:type="dxa"/>
            <w:tcBorders>
              <w:top w:val="nil"/>
              <w:bottom w:val="nil"/>
            </w:tcBorders>
          </w:tcPr>
          <w:p w:rsidR="007B7A21" w:rsidRPr="00AD33E8" w:rsidRDefault="007B7A21">
            <w:pPr>
              <w:spacing w:before="0" w:line="240" w:lineRule="auto"/>
              <w:jc w:val="center"/>
              <w:rPr>
                <w:snapToGrid w:val="0"/>
                <w:lang w:eastAsia="sv-SE"/>
              </w:rPr>
            </w:pPr>
            <w:r w:rsidRPr="00AD33E8">
              <w:rPr>
                <w:snapToGrid w:val="0"/>
                <w:lang w:eastAsia="sv-SE"/>
              </w:rPr>
              <w:t>6,5</w:t>
            </w:r>
          </w:p>
        </w:tc>
        <w:tc>
          <w:tcPr>
            <w:tcW w:w="992" w:type="dxa"/>
            <w:tcBorders>
              <w:top w:val="nil"/>
              <w:bottom w:val="nil"/>
            </w:tcBorders>
          </w:tcPr>
          <w:p w:rsidR="007B7A21" w:rsidRPr="00AD33E8" w:rsidRDefault="007B7A21">
            <w:pPr>
              <w:spacing w:before="0" w:line="240" w:lineRule="auto"/>
              <w:jc w:val="center"/>
              <w:rPr>
                <w:snapToGrid w:val="0"/>
                <w:lang w:eastAsia="sv-SE"/>
              </w:rPr>
            </w:pPr>
            <w:r w:rsidRPr="00AD33E8">
              <w:rPr>
                <w:snapToGrid w:val="0"/>
                <w:lang w:eastAsia="sv-SE"/>
              </w:rPr>
              <w:t>1,1</w:t>
            </w:r>
          </w:p>
        </w:tc>
        <w:tc>
          <w:tcPr>
            <w:tcW w:w="1276" w:type="dxa"/>
            <w:gridSpan w:val="3"/>
            <w:tcBorders>
              <w:top w:val="nil"/>
              <w:bottom w:val="nil"/>
            </w:tcBorders>
          </w:tcPr>
          <w:p w:rsidR="007B7A21" w:rsidRPr="00AD33E8" w:rsidRDefault="007B7A21">
            <w:pPr>
              <w:spacing w:before="0" w:line="240" w:lineRule="auto"/>
              <w:jc w:val="center"/>
              <w:rPr>
                <w:snapToGrid w:val="0"/>
                <w:lang w:eastAsia="sv-SE"/>
              </w:rPr>
            </w:pPr>
            <w:r w:rsidRPr="00AD33E8">
              <w:rPr>
                <w:snapToGrid w:val="0"/>
                <w:lang w:eastAsia="sv-SE"/>
              </w:rPr>
              <w:t>5,4</w:t>
            </w:r>
          </w:p>
        </w:tc>
      </w:tr>
      <w:tr w:rsidR="00000000" w:rsidRPr="00AD33E8">
        <w:tblPrEx>
          <w:tblCellMar>
            <w:top w:w="0" w:type="dxa"/>
            <w:bottom w:w="0" w:type="dxa"/>
          </w:tblCellMar>
        </w:tblPrEx>
        <w:trPr>
          <w:trHeight w:val="247"/>
        </w:trPr>
        <w:tc>
          <w:tcPr>
            <w:tcW w:w="1590" w:type="dxa"/>
            <w:gridSpan w:val="4"/>
            <w:tcBorders>
              <w:top w:val="nil"/>
              <w:left w:val="nil"/>
              <w:bottom w:val="nil"/>
              <w:right w:val="nil"/>
            </w:tcBorders>
          </w:tcPr>
          <w:p w:rsidR="007B7A21" w:rsidRPr="00AD33E8" w:rsidRDefault="007B7A21">
            <w:pPr>
              <w:spacing w:before="0" w:line="240" w:lineRule="auto"/>
              <w:rPr>
                <w:snapToGrid w:val="0"/>
                <w:lang w:eastAsia="sv-SE"/>
              </w:rPr>
            </w:pPr>
            <w:r w:rsidRPr="00AD33E8">
              <w:rPr>
                <w:snapToGrid w:val="0"/>
                <w:lang w:eastAsia="sv-SE"/>
              </w:rPr>
              <w:t>1994/95</w:t>
            </w:r>
          </w:p>
        </w:tc>
        <w:tc>
          <w:tcPr>
            <w:tcW w:w="1417" w:type="dxa"/>
            <w:tcBorders>
              <w:top w:val="nil"/>
              <w:left w:val="nil"/>
              <w:bottom w:val="nil"/>
              <w:right w:val="nil"/>
            </w:tcBorders>
          </w:tcPr>
          <w:p w:rsidR="007B7A21" w:rsidRPr="00AD33E8" w:rsidRDefault="007B7A21">
            <w:pPr>
              <w:spacing w:before="0" w:line="240" w:lineRule="auto"/>
              <w:jc w:val="center"/>
              <w:rPr>
                <w:snapToGrid w:val="0"/>
                <w:lang w:eastAsia="sv-SE"/>
              </w:rPr>
            </w:pPr>
            <w:r w:rsidRPr="00AD33E8">
              <w:rPr>
                <w:snapToGrid w:val="0"/>
                <w:lang w:eastAsia="sv-SE"/>
              </w:rPr>
              <w:t>3,5</w:t>
            </w:r>
          </w:p>
        </w:tc>
        <w:tc>
          <w:tcPr>
            <w:tcW w:w="992" w:type="dxa"/>
            <w:tcBorders>
              <w:top w:val="nil"/>
              <w:left w:val="nil"/>
              <w:bottom w:val="nil"/>
              <w:right w:val="nil"/>
            </w:tcBorders>
          </w:tcPr>
          <w:p w:rsidR="007B7A21" w:rsidRPr="00AD33E8" w:rsidRDefault="007B7A21">
            <w:pPr>
              <w:spacing w:before="0" w:line="240" w:lineRule="auto"/>
              <w:jc w:val="center"/>
              <w:rPr>
                <w:snapToGrid w:val="0"/>
                <w:lang w:eastAsia="sv-SE"/>
              </w:rPr>
            </w:pPr>
            <w:r w:rsidRPr="00AD33E8">
              <w:rPr>
                <w:snapToGrid w:val="0"/>
                <w:lang w:eastAsia="sv-SE"/>
              </w:rPr>
              <w:t>0,2</w:t>
            </w:r>
          </w:p>
        </w:tc>
        <w:tc>
          <w:tcPr>
            <w:tcW w:w="1276" w:type="dxa"/>
            <w:gridSpan w:val="3"/>
            <w:tcBorders>
              <w:top w:val="nil"/>
              <w:left w:val="nil"/>
              <w:bottom w:val="nil"/>
              <w:right w:val="nil"/>
            </w:tcBorders>
          </w:tcPr>
          <w:p w:rsidR="007B7A21" w:rsidRPr="00AD33E8" w:rsidRDefault="007B7A21">
            <w:pPr>
              <w:spacing w:before="0" w:line="240" w:lineRule="auto"/>
              <w:jc w:val="center"/>
              <w:rPr>
                <w:snapToGrid w:val="0"/>
                <w:lang w:eastAsia="sv-SE"/>
              </w:rPr>
            </w:pPr>
            <w:r w:rsidRPr="00AD33E8">
              <w:rPr>
                <w:snapToGrid w:val="0"/>
                <w:lang w:eastAsia="sv-SE"/>
              </w:rPr>
              <w:t>3,3</w:t>
            </w:r>
          </w:p>
        </w:tc>
      </w:tr>
      <w:tr w:rsidR="00000000" w:rsidRPr="00AD33E8">
        <w:tblPrEx>
          <w:tblCellMar>
            <w:top w:w="0" w:type="dxa"/>
            <w:bottom w:w="0" w:type="dxa"/>
          </w:tblCellMar>
        </w:tblPrEx>
        <w:trPr>
          <w:trHeight w:val="247"/>
        </w:trPr>
        <w:tc>
          <w:tcPr>
            <w:tcW w:w="1590" w:type="dxa"/>
            <w:gridSpan w:val="4"/>
            <w:tcBorders>
              <w:top w:val="nil"/>
            </w:tcBorders>
          </w:tcPr>
          <w:p w:rsidR="007B7A21" w:rsidRPr="00AD33E8" w:rsidRDefault="007B7A21">
            <w:pPr>
              <w:spacing w:before="0" w:line="240" w:lineRule="auto"/>
              <w:rPr>
                <w:snapToGrid w:val="0"/>
                <w:lang w:eastAsia="sv-SE"/>
              </w:rPr>
            </w:pPr>
            <w:r w:rsidRPr="00AD33E8">
              <w:rPr>
                <w:snapToGrid w:val="0"/>
                <w:lang w:eastAsia="sv-SE"/>
              </w:rPr>
              <w:t>1995/96</w:t>
            </w:r>
          </w:p>
        </w:tc>
        <w:tc>
          <w:tcPr>
            <w:tcW w:w="1417" w:type="dxa"/>
            <w:tcBorders>
              <w:top w:val="nil"/>
            </w:tcBorders>
          </w:tcPr>
          <w:p w:rsidR="007B7A21" w:rsidRPr="00AD33E8" w:rsidRDefault="007B7A21">
            <w:pPr>
              <w:spacing w:before="0" w:line="240" w:lineRule="auto"/>
              <w:jc w:val="center"/>
              <w:rPr>
                <w:snapToGrid w:val="0"/>
                <w:lang w:eastAsia="sv-SE"/>
              </w:rPr>
            </w:pPr>
            <w:r w:rsidRPr="00AD33E8">
              <w:rPr>
                <w:snapToGrid w:val="0"/>
                <w:lang w:eastAsia="sv-SE"/>
              </w:rPr>
              <w:t>4,7</w:t>
            </w:r>
          </w:p>
        </w:tc>
        <w:tc>
          <w:tcPr>
            <w:tcW w:w="992" w:type="dxa"/>
            <w:tcBorders>
              <w:top w:val="nil"/>
            </w:tcBorders>
          </w:tcPr>
          <w:p w:rsidR="007B7A21" w:rsidRPr="00AD33E8" w:rsidRDefault="007B7A21">
            <w:pPr>
              <w:spacing w:before="0" w:line="240" w:lineRule="auto"/>
              <w:jc w:val="center"/>
              <w:rPr>
                <w:snapToGrid w:val="0"/>
                <w:lang w:eastAsia="sv-SE"/>
              </w:rPr>
            </w:pPr>
            <w:r w:rsidRPr="00AD33E8">
              <w:rPr>
                <w:snapToGrid w:val="0"/>
                <w:lang w:eastAsia="sv-SE"/>
              </w:rPr>
              <w:t>0,1</w:t>
            </w:r>
          </w:p>
        </w:tc>
        <w:tc>
          <w:tcPr>
            <w:tcW w:w="1276" w:type="dxa"/>
            <w:gridSpan w:val="3"/>
            <w:tcBorders>
              <w:top w:val="nil"/>
            </w:tcBorders>
          </w:tcPr>
          <w:p w:rsidR="007B7A21" w:rsidRPr="00AD33E8" w:rsidRDefault="007B7A21">
            <w:pPr>
              <w:spacing w:before="0" w:line="240" w:lineRule="auto"/>
              <w:jc w:val="center"/>
              <w:rPr>
                <w:snapToGrid w:val="0"/>
                <w:lang w:eastAsia="sv-SE"/>
              </w:rPr>
            </w:pPr>
            <w:r w:rsidRPr="00AD33E8">
              <w:rPr>
                <w:snapToGrid w:val="0"/>
                <w:lang w:eastAsia="sv-SE"/>
              </w:rPr>
              <w:t>4,6</w:t>
            </w:r>
          </w:p>
        </w:tc>
      </w:tr>
      <w:tr w:rsidR="00000000" w:rsidRPr="00AD33E8">
        <w:tblPrEx>
          <w:tblCellMar>
            <w:top w:w="0" w:type="dxa"/>
            <w:bottom w:w="0" w:type="dxa"/>
          </w:tblCellMar>
        </w:tblPrEx>
        <w:trPr>
          <w:trHeight w:val="247"/>
        </w:trPr>
        <w:tc>
          <w:tcPr>
            <w:tcW w:w="1590" w:type="dxa"/>
            <w:gridSpan w:val="4"/>
          </w:tcPr>
          <w:p w:rsidR="007B7A21" w:rsidRPr="00AD33E8" w:rsidRDefault="007B7A21">
            <w:pPr>
              <w:spacing w:before="0" w:line="240" w:lineRule="auto"/>
              <w:rPr>
                <w:snapToGrid w:val="0"/>
                <w:lang w:eastAsia="sv-SE"/>
              </w:rPr>
            </w:pPr>
            <w:r w:rsidRPr="00AD33E8">
              <w:rPr>
                <w:snapToGrid w:val="0"/>
                <w:lang w:eastAsia="sv-SE"/>
              </w:rPr>
              <w:t>1997</w:t>
            </w:r>
          </w:p>
        </w:tc>
        <w:tc>
          <w:tcPr>
            <w:tcW w:w="1417" w:type="dxa"/>
          </w:tcPr>
          <w:p w:rsidR="007B7A21" w:rsidRPr="00AD33E8" w:rsidRDefault="007B7A21">
            <w:pPr>
              <w:spacing w:before="0" w:line="240" w:lineRule="auto"/>
              <w:jc w:val="center"/>
              <w:rPr>
                <w:snapToGrid w:val="0"/>
                <w:lang w:eastAsia="sv-SE"/>
              </w:rPr>
            </w:pPr>
            <w:r w:rsidRPr="00AD33E8">
              <w:rPr>
                <w:snapToGrid w:val="0"/>
                <w:lang w:eastAsia="sv-SE"/>
              </w:rPr>
              <w:t>5,0</w:t>
            </w:r>
          </w:p>
        </w:tc>
        <w:tc>
          <w:tcPr>
            <w:tcW w:w="992" w:type="dxa"/>
          </w:tcPr>
          <w:p w:rsidR="007B7A21" w:rsidRPr="00AD33E8" w:rsidRDefault="007B7A21">
            <w:pPr>
              <w:spacing w:before="0" w:line="240" w:lineRule="auto"/>
              <w:jc w:val="center"/>
              <w:rPr>
                <w:snapToGrid w:val="0"/>
                <w:lang w:eastAsia="sv-SE"/>
              </w:rPr>
            </w:pPr>
            <w:r w:rsidRPr="00AD33E8">
              <w:rPr>
                <w:snapToGrid w:val="0"/>
                <w:lang w:eastAsia="sv-SE"/>
              </w:rPr>
              <w:t>0,5</w:t>
            </w:r>
          </w:p>
        </w:tc>
        <w:tc>
          <w:tcPr>
            <w:tcW w:w="1276" w:type="dxa"/>
            <w:gridSpan w:val="3"/>
          </w:tcPr>
          <w:p w:rsidR="007B7A21" w:rsidRPr="00AD33E8" w:rsidRDefault="007B7A21">
            <w:pPr>
              <w:spacing w:before="0" w:line="240" w:lineRule="auto"/>
              <w:jc w:val="center"/>
              <w:rPr>
                <w:snapToGrid w:val="0"/>
                <w:lang w:eastAsia="sv-SE"/>
              </w:rPr>
            </w:pPr>
            <w:r w:rsidRPr="00AD33E8">
              <w:rPr>
                <w:snapToGrid w:val="0"/>
                <w:lang w:eastAsia="sv-SE"/>
              </w:rPr>
              <w:t>4,5</w:t>
            </w:r>
          </w:p>
        </w:tc>
      </w:tr>
      <w:tr w:rsidR="00000000" w:rsidRPr="00AD33E8">
        <w:tblPrEx>
          <w:tblCellMar>
            <w:top w:w="0" w:type="dxa"/>
            <w:bottom w:w="0" w:type="dxa"/>
          </w:tblCellMar>
        </w:tblPrEx>
        <w:trPr>
          <w:trHeight w:val="247"/>
        </w:trPr>
        <w:tc>
          <w:tcPr>
            <w:tcW w:w="1590" w:type="dxa"/>
            <w:gridSpan w:val="4"/>
          </w:tcPr>
          <w:p w:rsidR="007B7A21" w:rsidRPr="00AD33E8" w:rsidRDefault="007B7A21">
            <w:pPr>
              <w:spacing w:before="0" w:line="240" w:lineRule="auto"/>
              <w:rPr>
                <w:snapToGrid w:val="0"/>
                <w:lang w:eastAsia="sv-SE"/>
              </w:rPr>
            </w:pPr>
            <w:r w:rsidRPr="00AD33E8">
              <w:rPr>
                <w:snapToGrid w:val="0"/>
                <w:lang w:eastAsia="sv-SE"/>
              </w:rPr>
              <w:t>1998</w:t>
            </w:r>
          </w:p>
        </w:tc>
        <w:tc>
          <w:tcPr>
            <w:tcW w:w="1417" w:type="dxa"/>
          </w:tcPr>
          <w:p w:rsidR="007B7A21" w:rsidRPr="00AD33E8" w:rsidRDefault="007B7A21">
            <w:pPr>
              <w:spacing w:before="0" w:line="240" w:lineRule="auto"/>
              <w:jc w:val="center"/>
              <w:rPr>
                <w:snapToGrid w:val="0"/>
                <w:lang w:eastAsia="sv-SE"/>
              </w:rPr>
            </w:pPr>
            <w:r w:rsidRPr="00AD33E8">
              <w:rPr>
                <w:snapToGrid w:val="0"/>
                <w:lang w:eastAsia="sv-SE"/>
              </w:rPr>
              <w:t>3,2</w:t>
            </w:r>
          </w:p>
        </w:tc>
        <w:tc>
          <w:tcPr>
            <w:tcW w:w="992" w:type="dxa"/>
          </w:tcPr>
          <w:p w:rsidR="007B7A21" w:rsidRPr="00AD33E8" w:rsidRDefault="007B7A21">
            <w:pPr>
              <w:spacing w:before="0" w:line="240" w:lineRule="auto"/>
              <w:jc w:val="center"/>
              <w:rPr>
                <w:snapToGrid w:val="0"/>
                <w:lang w:eastAsia="sv-SE"/>
              </w:rPr>
            </w:pPr>
            <w:r w:rsidRPr="00AD33E8">
              <w:rPr>
                <w:snapToGrid w:val="0"/>
                <w:lang w:eastAsia="sv-SE"/>
              </w:rPr>
              <w:t>0,4</w:t>
            </w:r>
          </w:p>
        </w:tc>
        <w:tc>
          <w:tcPr>
            <w:tcW w:w="1276" w:type="dxa"/>
            <w:gridSpan w:val="3"/>
          </w:tcPr>
          <w:p w:rsidR="007B7A21" w:rsidRPr="00AD33E8" w:rsidRDefault="007B7A21">
            <w:pPr>
              <w:spacing w:before="0" w:line="240" w:lineRule="auto"/>
              <w:jc w:val="center"/>
              <w:rPr>
                <w:snapToGrid w:val="0"/>
                <w:lang w:eastAsia="sv-SE"/>
              </w:rPr>
            </w:pPr>
            <w:r w:rsidRPr="00AD33E8">
              <w:rPr>
                <w:snapToGrid w:val="0"/>
                <w:lang w:eastAsia="sv-SE"/>
              </w:rPr>
              <w:t>2,8</w:t>
            </w:r>
          </w:p>
        </w:tc>
      </w:tr>
      <w:tr w:rsidR="00000000" w:rsidRPr="00AD33E8">
        <w:tblPrEx>
          <w:tblCellMar>
            <w:top w:w="0" w:type="dxa"/>
            <w:bottom w:w="0" w:type="dxa"/>
          </w:tblCellMar>
        </w:tblPrEx>
        <w:trPr>
          <w:trHeight w:val="247"/>
        </w:trPr>
        <w:tc>
          <w:tcPr>
            <w:tcW w:w="1590" w:type="dxa"/>
            <w:gridSpan w:val="4"/>
          </w:tcPr>
          <w:p w:rsidR="007B7A21" w:rsidRPr="00AD33E8" w:rsidRDefault="007B7A21">
            <w:pPr>
              <w:spacing w:before="0" w:line="240" w:lineRule="auto"/>
              <w:rPr>
                <w:snapToGrid w:val="0"/>
                <w:lang w:eastAsia="sv-SE"/>
              </w:rPr>
            </w:pPr>
            <w:r w:rsidRPr="00AD33E8">
              <w:rPr>
                <w:snapToGrid w:val="0"/>
                <w:lang w:eastAsia="sv-SE"/>
              </w:rPr>
              <w:t>1999</w:t>
            </w:r>
          </w:p>
        </w:tc>
        <w:tc>
          <w:tcPr>
            <w:tcW w:w="1417" w:type="dxa"/>
          </w:tcPr>
          <w:p w:rsidR="007B7A21" w:rsidRPr="00AD33E8" w:rsidRDefault="007B7A21">
            <w:pPr>
              <w:spacing w:before="0" w:line="240" w:lineRule="auto"/>
              <w:jc w:val="center"/>
              <w:rPr>
                <w:snapToGrid w:val="0"/>
                <w:lang w:eastAsia="sv-SE"/>
              </w:rPr>
            </w:pPr>
            <w:r w:rsidRPr="00AD33E8">
              <w:rPr>
                <w:snapToGrid w:val="0"/>
                <w:lang w:eastAsia="sv-SE"/>
              </w:rPr>
              <w:t>2,2</w:t>
            </w:r>
          </w:p>
        </w:tc>
        <w:tc>
          <w:tcPr>
            <w:tcW w:w="992" w:type="dxa"/>
          </w:tcPr>
          <w:p w:rsidR="007B7A21" w:rsidRPr="00AD33E8" w:rsidRDefault="007B7A21">
            <w:pPr>
              <w:spacing w:before="0" w:line="240" w:lineRule="auto"/>
              <w:jc w:val="center"/>
              <w:rPr>
                <w:snapToGrid w:val="0"/>
                <w:lang w:eastAsia="sv-SE"/>
              </w:rPr>
            </w:pPr>
            <w:r w:rsidRPr="00AD33E8">
              <w:rPr>
                <w:snapToGrid w:val="0"/>
                <w:lang w:eastAsia="sv-SE"/>
              </w:rPr>
              <w:t>0,3</w:t>
            </w:r>
          </w:p>
        </w:tc>
        <w:tc>
          <w:tcPr>
            <w:tcW w:w="1276" w:type="dxa"/>
            <w:gridSpan w:val="3"/>
          </w:tcPr>
          <w:p w:rsidR="007B7A21" w:rsidRPr="00AD33E8" w:rsidRDefault="007B7A21">
            <w:pPr>
              <w:spacing w:before="0" w:line="240" w:lineRule="auto"/>
              <w:jc w:val="center"/>
              <w:rPr>
                <w:snapToGrid w:val="0"/>
                <w:lang w:eastAsia="sv-SE"/>
              </w:rPr>
            </w:pPr>
            <w:r w:rsidRPr="00AD33E8">
              <w:rPr>
                <w:snapToGrid w:val="0"/>
                <w:lang w:eastAsia="sv-SE"/>
              </w:rPr>
              <w:t>1,9</w:t>
            </w:r>
          </w:p>
        </w:tc>
      </w:tr>
      <w:tr w:rsidR="00000000" w:rsidRPr="00AD33E8">
        <w:tblPrEx>
          <w:tblCellMar>
            <w:top w:w="0" w:type="dxa"/>
            <w:bottom w:w="0" w:type="dxa"/>
          </w:tblCellMar>
        </w:tblPrEx>
        <w:trPr>
          <w:trHeight w:val="247"/>
        </w:trPr>
        <w:tc>
          <w:tcPr>
            <w:tcW w:w="4155" w:type="dxa"/>
            <w:hMerge w:val="restart"/>
          </w:tcPr>
          <w:p w:rsidR="007B7A21" w:rsidRPr="00AD33E8" w:rsidRDefault="007B7A21">
            <w:pPr>
              <w:spacing w:before="0" w:line="240" w:lineRule="auto"/>
              <w:rPr>
                <w:snapToGrid w:val="0"/>
                <w:lang w:eastAsia="sv-SE"/>
              </w:rPr>
            </w:pPr>
            <w:r w:rsidRPr="00AD33E8">
              <w:rPr>
                <w:snapToGrid w:val="0"/>
                <w:lang w:eastAsia="sv-SE"/>
              </w:rPr>
              <w:t>Källa: Trygghetsstiftelsen</w:t>
            </w:r>
          </w:p>
        </w:tc>
        <w:tc>
          <w:tcPr>
            <w:gridSpan w:val="6"/>
            <w:hMerge/>
          </w:tcPr>
          <w:p w:rsidR="007B7A21" w:rsidRPr="00AD33E8" w:rsidRDefault="007B7A21">
            <w:pPr>
              <w:spacing w:before="0" w:line="240" w:lineRule="auto"/>
              <w:rPr>
                <w:snapToGrid w:val="0"/>
                <w:lang w:eastAsia="sv-SE"/>
              </w:rPr>
            </w:pPr>
          </w:p>
        </w:tc>
        <w:tc>
          <w:tcPr>
            <w:tcW w:w="969" w:type="dxa"/>
          </w:tcPr>
          <w:p w:rsidR="007B7A21" w:rsidRPr="00AD33E8" w:rsidRDefault="007B7A21">
            <w:pPr>
              <w:spacing w:before="0" w:line="240" w:lineRule="auto"/>
              <w:rPr>
                <w:snapToGrid w:val="0"/>
                <w:lang w:eastAsia="sv-SE"/>
              </w:rPr>
            </w:pPr>
          </w:p>
        </w:tc>
        <w:tc>
          <w:tcPr>
            <w:tcW w:w="151" w:type="dxa"/>
          </w:tcPr>
          <w:p w:rsidR="007B7A21" w:rsidRPr="00AD33E8" w:rsidRDefault="007B7A21">
            <w:pPr>
              <w:spacing w:before="0" w:line="240" w:lineRule="auto"/>
              <w:rPr>
                <w:snapToGrid w:val="0"/>
                <w:lang w:eastAsia="sv-SE"/>
              </w:rPr>
            </w:pPr>
          </w:p>
        </w:tc>
      </w:tr>
    </w:tbl>
    <w:p w:rsidR="007B7A21" w:rsidRPr="00AD33E8" w:rsidRDefault="007B7A21">
      <w:pPr>
        <w:rPr>
          <w:snapToGrid w:val="0"/>
          <w:lang w:eastAsia="sv-SE"/>
        </w:rPr>
      </w:pPr>
      <w:r w:rsidRPr="00AD33E8">
        <w:rPr>
          <w:snapToGrid w:val="0"/>
          <w:lang w:eastAsia="sv-SE"/>
        </w:rPr>
        <w:t>Antalet uppsagda varierade mellan åren. Därtill gjordes uppsägningar vid affärsverk inför bolagiseringen. I de allra flesta fallen lyckades det för den uppsagde att med arbetsgivarens och Trygghetsstiftelsens stöd finna ett nytt arbete, tabell 10.</w:t>
      </w:r>
    </w:p>
    <w:p w:rsidR="007B7A21" w:rsidRPr="00AD33E8" w:rsidRDefault="007B7A21">
      <w:pPr>
        <w:pStyle w:val="Normaltindrag"/>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3756"/>
        <w:gridCol w:w="1276"/>
        <w:gridCol w:w="567"/>
      </w:tblGrid>
      <w:tr w:rsidR="00000000" w:rsidRPr="00AD33E8">
        <w:tblPrEx>
          <w:tblCellMar>
            <w:top w:w="0" w:type="dxa"/>
            <w:bottom w:w="0" w:type="dxa"/>
          </w:tblCellMar>
        </w:tblPrEx>
        <w:trPr>
          <w:cantSplit/>
        </w:trPr>
        <w:tc>
          <w:tcPr>
            <w:tcW w:w="5599" w:type="dxa"/>
            <w:gridSpan w:val="3"/>
            <w:tcBorders>
              <w:bottom w:val="single" w:sz="6" w:space="0" w:color="008000"/>
            </w:tcBorders>
          </w:tcPr>
          <w:p w:rsidR="007B7A21" w:rsidRPr="00AD33E8" w:rsidRDefault="007B7A21">
            <w:pPr>
              <w:spacing w:before="0" w:line="240" w:lineRule="auto"/>
              <w:rPr>
                <w:b/>
                <w:snapToGrid w:val="0"/>
                <w:lang w:eastAsia="sv-SE"/>
              </w:rPr>
            </w:pPr>
            <w:r w:rsidRPr="00AD33E8">
              <w:rPr>
                <w:b/>
                <w:snapToGrid w:val="0"/>
                <w:lang w:eastAsia="sv-SE"/>
              </w:rPr>
              <w:t>Tabell 10: Avaktualiseringsorsak för uppsagda från statlig tjänst år 1997 vid uppsägningst</w:t>
            </w:r>
            <w:r w:rsidRPr="00AD33E8">
              <w:rPr>
                <w:b/>
                <w:snapToGrid w:val="0"/>
                <w:lang w:eastAsia="sv-SE"/>
              </w:rPr>
              <w:t>i</w:t>
            </w:r>
            <w:r w:rsidRPr="00AD33E8">
              <w:rPr>
                <w:b/>
                <w:snapToGrid w:val="0"/>
                <w:lang w:eastAsia="sv-SE"/>
              </w:rPr>
              <w:t>dens utgång, procent</w:t>
            </w:r>
          </w:p>
        </w:tc>
      </w:tr>
      <w:tr w:rsidR="00000000" w:rsidRPr="00AD33E8">
        <w:tblPrEx>
          <w:tblCellMar>
            <w:top w:w="0" w:type="dxa"/>
            <w:bottom w:w="0" w:type="dxa"/>
          </w:tblCellMar>
        </w:tblPrEx>
        <w:trPr>
          <w:gridAfter w:val="1"/>
          <w:wAfter w:w="567" w:type="dxa"/>
        </w:trPr>
        <w:tc>
          <w:tcPr>
            <w:tcW w:w="3756" w:type="dxa"/>
            <w:tcBorders>
              <w:top w:val="nil"/>
            </w:tcBorders>
          </w:tcPr>
          <w:p w:rsidR="007B7A21" w:rsidRPr="00AD33E8" w:rsidRDefault="007B7A21">
            <w:pPr>
              <w:spacing w:before="0" w:line="240" w:lineRule="auto"/>
              <w:rPr>
                <w:snapToGrid w:val="0"/>
                <w:lang w:eastAsia="sv-SE"/>
              </w:rPr>
            </w:pPr>
            <w:r w:rsidRPr="00AD33E8">
              <w:rPr>
                <w:snapToGrid w:val="0"/>
                <w:lang w:eastAsia="sv-SE"/>
              </w:rPr>
              <w:t>Avaktualiseringsorsak</w:t>
            </w:r>
          </w:p>
        </w:tc>
        <w:tc>
          <w:tcPr>
            <w:tcW w:w="1276" w:type="dxa"/>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Procent av uppsa</w:t>
            </w:r>
            <w:r w:rsidRPr="00AD33E8">
              <w:rPr>
                <w:snapToGrid w:val="0"/>
                <w:lang w:eastAsia="sv-SE"/>
              </w:rPr>
              <w:t>g</w:t>
            </w:r>
            <w:r w:rsidRPr="00AD33E8">
              <w:rPr>
                <w:snapToGrid w:val="0"/>
                <w:lang w:eastAsia="sv-SE"/>
              </w:rPr>
              <w:t>da</w:t>
            </w:r>
          </w:p>
        </w:tc>
      </w:tr>
      <w:tr w:rsidR="00000000" w:rsidRPr="00AD33E8">
        <w:tblPrEx>
          <w:tblCellMar>
            <w:top w:w="0" w:type="dxa"/>
            <w:bottom w:w="0" w:type="dxa"/>
          </w:tblCellMar>
        </w:tblPrEx>
        <w:trPr>
          <w:gridAfter w:val="1"/>
          <w:wAfter w:w="567" w:type="dxa"/>
        </w:trPr>
        <w:tc>
          <w:tcPr>
            <w:tcW w:w="3756" w:type="dxa"/>
          </w:tcPr>
          <w:p w:rsidR="007B7A21" w:rsidRPr="00AD33E8" w:rsidRDefault="007B7A21">
            <w:pPr>
              <w:spacing w:before="0" w:line="240" w:lineRule="auto"/>
              <w:rPr>
                <w:snapToGrid w:val="0"/>
                <w:lang w:eastAsia="sv-SE"/>
              </w:rPr>
            </w:pPr>
            <w:r w:rsidRPr="00AD33E8">
              <w:rPr>
                <w:snapToGrid w:val="0"/>
                <w:lang w:eastAsia="sv-SE"/>
              </w:rPr>
              <w:t>Fast eller lång tidsbegr. statlig anstäl</w:t>
            </w:r>
            <w:r w:rsidRPr="00AD33E8">
              <w:rPr>
                <w:snapToGrid w:val="0"/>
                <w:lang w:eastAsia="sv-SE"/>
              </w:rPr>
              <w:t>l</w:t>
            </w:r>
            <w:r w:rsidRPr="00AD33E8">
              <w:rPr>
                <w:snapToGrid w:val="0"/>
                <w:lang w:eastAsia="sv-SE"/>
              </w:rPr>
              <w:t>ning</w:t>
            </w:r>
          </w:p>
        </w:tc>
        <w:tc>
          <w:tcPr>
            <w:tcW w:w="1276" w:type="dxa"/>
          </w:tcPr>
          <w:p w:rsidR="007B7A21" w:rsidRPr="00AD33E8" w:rsidRDefault="007B7A21">
            <w:pPr>
              <w:spacing w:before="0" w:line="240" w:lineRule="auto"/>
              <w:jc w:val="right"/>
              <w:rPr>
                <w:snapToGrid w:val="0"/>
                <w:lang w:eastAsia="sv-SE"/>
              </w:rPr>
            </w:pPr>
            <w:r w:rsidRPr="00AD33E8">
              <w:rPr>
                <w:snapToGrid w:val="0"/>
                <w:lang w:eastAsia="sv-SE"/>
              </w:rPr>
              <w:t>8,0</w:t>
            </w:r>
          </w:p>
        </w:tc>
      </w:tr>
      <w:tr w:rsidR="00000000" w:rsidRPr="00AD33E8">
        <w:tblPrEx>
          <w:tblCellMar>
            <w:top w:w="0" w:type="dxa"/>
            <w:bottom w:w="0" w:type="dxa"/>
          </w:tblCellMar>
        </w:tblPrEx>
        <w:trPr>
          <w:gridAfter w:val="1"/>
          <w:wAfter w:w="567" w:type="dxa"/>
        </w:trPr>
        <w:tc>
          <w:tcPr>
            <w:tcW w:w="3756" w:type="dxa"/>
          </w:tcPr>
          <w:p w:rsidR="007B7A21" w:rsidRPr="00AD33E8" w:rsidRDefault="007B7A21">
            <w:pPr>
              <w:spacing w:before="0" w:line="240" w:lineRule="auto"/>
              <w:rPr>
                <w:snapToGrid w:val="0"/>
                <w:lang w:eastAsia="sv-SE"/>
              </w:rPr>
            </w:pPr>
            <w:r w:rsidRPr="00AD33E8">
              <w:rPr>
                <w:snapToGrid w:val="0"/>
                <w:lang w:eastAsia="sv-SE"/>
              </w:rPr>
              <w:t>Fast eller lång tidsbegr. kommunal a</w:t>
            </w:r>
            <w:r w:rsidRPr="00AD33E8">
              <w:rPr>
                <w:snapToGrid w:val="0"/>
                <w:lang w:eastAsia="sv-SE"/>
              </w:rPr>
              <w:t>n</w:t>
            </w:r>
            <w:r w:rsidRPr="00AD33E8">
              <w:rPr>
                <w:snapToGrid w:val="0"/>
                <w:lang w:eastAsia="sv-SE"/>
              </w:rPr>
              <w:t xml:space="preserve">ställning </w:t>
            </w:r>
          </w:p>
        </w:tc>
        <w:tc>
          <w:tcPr>
            <w:tcW w:w="1276" w:type="dxa"/>
          </w:tcPr>
          <w:p w:rsidR="007B7A21" w:rsidRPr="00AD33E8" w:rsidRDefault="007B7A21">
            <w:pPr>
              <w:spacing w:before="0" w:line="240" w:lineRule="auto"/>
              <w:jc w:val="right"/>
              <w:rPr>
                <w:snapToGrid w:val="0"/>
                <w:lang w:eastAsia="sv-SE"/>
              </w:rPr>
            </w:pPr>
            <w:r w:rsidRPr="00AD33E8">
              <w:rPr>
                <w:snapToGrid w:val="0"/>
                <w:lang w:eastAsia="sv-SE"/>
              </w:rPr>
              <w:t>13,2</w:t>
            </w:r>
          </w:p>
        </w:tc>
      </w:tr>
      <w:tr w:rsidR="00000000" w:rsidRPr="00AD33E8">
        <w:tblPrEx>
          <w:tblCellMar>
            <w:top w:w="0" w:type="dxa"/>
            <w:bottom w:w="0" w:type="dxa"/>
          </w:tblCellMar>
        </w:tblPrEx>
        <w:trPr>
          <w:gridAfter w:val="1"/>
          <w:wAfter w:w="567" w:type="dxa"/>
        </w:trPr>
        <w:tc>
          <w:tcPr>
            <w:tcW w:w="3756" w:type="dxa"/>
          </w:tcPr>
          <w:p w:rsidR="007B7A21" w:rsidRPr="00AD33E8" w:rsidRDefault="007B7A21">
            <w:pPr>
              <w:spacing w:before="0" w:line="240" w:lineRule="auto"/>
              <w:rPr>
                <w:snapToGrid w:val="0"/>
                <w:lang w:eastAsia="sv-SE"/>
              </w:rPr>
            </w:pPr>
            <w:r w:rsidRPr="00AD33E8">
              <w:rPr>
                <w:snapToGrid w:val="0"/>
                <w:lang w:eastAsia="sv-SE"/>
              </w:rPr>
              <w:t>Fast eller lång tidsbegr. privat anstäl</w:t>
            </w:r>
            <w:r w:rsidRPr="00AD33E8">
              <w:rPr>
                <w:snapToGrid w:val="0"/>
                <w:lang w:eastAsia="sv-SE"/>
              </w:rPr>
              <w:t>l</w:t>
            </w:r>
            <w:r w:rsidRPr="00AD33E8">
              <w:rPr>
                <w:snapToGrid w:val="0"/>
                <w:lang w:eastAsia="sv-SE"/>
              </w:rPr>
              <w:t>ning</w:t>
            </w:r>
          </w:p>
        </w:tc>
        <w:tc>
          <w:tcPr>
            <w:tcW w:w="1276" w:type="dxa"/>
          </w:tcPr>
          <w:p w:rsidR="007B7A21" w:rsidRPr="00AD33E8" w:rsidRDefault="007B7A21">
            <w:pPr>
              <w:spacing w:before="0" w:line="240" w:lineRule="auto"/>
              <w:jc w:val="right"/>
              <w:rPr>
                <w:snapToGrid w:val="0"/>
                <w:lang w:eastAsia="sv-SE"/>
              </w:rPr>
            </w:pPr>
            <w:r w:rsidRPr="00AD33E8">
              <w:rPr>
                <w:snapToGrid w:val="0"/>
                <w:lang w:eastAsia="sv-SE"/>
              </w:rPr>
              <w:t>17,0</w:t>
            </w:r>
          </w:p>
        </w:tc>
      </w:tr>
      <w:tr w:rsidR="00000000" w:rsidRPr="00AD33E8">
        <w:tblPrEx>
          <w:tblCellMar>
            <w:top w:w="0" w:type="dxa"/>
            <w:bottom w:w="0" w:type="dxa"/>
          </w:tblCellMar>
        </w:tblPrEx>
        <w:trPr>
          <w:gridAfter w:val="1"/>
          <w:wAfter w:w="567" w:type="dxa"/>
        </w:trPr>
        <w:tc>
          <w:tcPr>
            <w:tcW w:w="3756" w:type="dxa"/>
          </w:tcPr>
          <w:p w:rsidR="007B7A21" w:rsidRPr="00AD33E8" w:rsidRDefault="007B7A21">
            <w:pPr>
              <w:spacing w:before="0" w:line="240" w:lineRule="auto"/>
              <w:rPr>
                <w:snapToGrid w:val="0"/>
                <w:lang w:eastAsia="sv-SE"/>
              </w:rPr>
            </w:pPr>
            <w:r w:rsidRPr="00AD33E8">
              <w:rPr>
                <w:snapToGrid w:val="0"/>
                <w:lang w:eastAsia="sv-SE"/>
              </w:rPr>
              <w:t>Lång utbildning</w:t>
            </w:r>
          </w:p>
        </w:tc>
        <w:tc>
          <w:tcPr>
            <w:tcW w:w="1276" w:type="dxa"/>
          </w:tcPr>
          <w:p w:rsidR="007B7A21" w:rsidRPr="00AD33E8" w:rsidRDefault="007B7A21">
            <w:pPr>
              <w:spacing w:before="0" w:line="240" w:lineRule="auto"/>
              <w:jc w:val="right"/>
              <w:rPr>
                <w:snapToGrid w:val="0"/>
                <w:lang w:eastAsia="sv-SE"/>
              </w:rPr>
            </w:pPr>
            <w:r w:rsidRPr="00AD33E8">
              <w:rPr>
                <w:snapToGrid w:val="0"/>
                <w:lang w:eastAsia="sv-SE"/>
              </w:rPr>
              <w:t>21,5</w:t>
            </w:r>
          </w:p>
        </w:tc>
      </w:tr>
      <w:tr w:rsidR="00000000" w:rsidRPr="00AD33E8">
        <w:tblPrEx>
          <w:tblCellMar>
            <w:top w:w="0" w:type="dxa"/>
            <w:bottom w:w="0" w:type="dxa"/>
          </w:tblCellMar>
        </w:tblPrEx>
        <w:trPr>
          <w:gridAfter w:val="1"/>
          <w:wAfter w:w="567" w:type="dxa"/>
        </w:trPr>
        <w:tc>
          <w:tcPr>
            <w:tcW w:w="3756" w:type="dxa"/>
          </w:tcPr>
          <w:p w:rsidR="007B7A21" w:rsidRPr="00AD33E8" w:rsidRDefault="007B7A21">
            <w:pPr>
              <w:spacing w:before="0" w:line="240" w:lineRule="auto"/>
              <w:rPr>
                <w:snapToGrid w:val="0"/>
                <w:lang w:eastAsia="sv-SE"/>
              </w:rPr>
            </w:pPr>
            <w:r w:rsidRPr="00AD33E8">
              <w:rPr>
                <w:snapToGrid w:val="0"/>
                <w:lang w:eastAsia="sv-SE"/>
              </w:rPr>
              <w:t>Startat eget</w:t>
            </w:r>
          </w:p>
        </w:tc>
        <w:tc>
          <w:tcPr>
            <w:tcW w:w="1276" w:type="dxa"/>
          </w:tcPr>
          <w:p w:rsidR="007B7A21" w:rsidRPr="00AD33E8" w:rsidRDefault="007B7A21">
            <w:pPr>
              <w:spacing w:before="0" w:line="240" w:lineRule="auto"/>
              <w:jc w:val="right"/>
              <w:rPr>
                <w:snapToGrid w:val="0"/>
                <w:lang w:eastAsia="sv-SE"/>
              </w:rPr>
            </w:pPr>
            <w:r w:rsidRPr="00AD33E8">
              <w:rPr>
                <w:snapToGrid w:val="0"/>
                <w:lang w:eastAsia="sv-SE"/>
              </w:rPr>
              <w:t>4,4</w:t>
            </w:r>
          </w:p>
        </w:tc>
      </w:tr>
      <w:tr w:rsidR="00000000" w:rsidRPr="00AD33E8">
        <w:tblPrEx>
          <w:tblCellMar>
            <w:top w:w="0" w:type="dxa"/>
            <w:bottom w:w="0" w:type="dxa"/>
          </w:tblCellMar>
        </w:tblPrEx>
        <w:trPr>
          <w:gridAfter w:val="1"/>
          <w:wAfter w:w="567" w:type="dxa"/>
        </w:trPr>
        <w:tc>
          <w:tcPr>
            <w:tcW w:w="3756" w:type="dxa"/>
          </w:tcPr>
          <w:p w:rsidR="007B7A21" w:rsidRPr="00AD33E8" w:rsidRDefault="007B7A21">
            <w:pPr>
              <w:spacing w:before="0" w:line="240" w:lineRule="auto"/>
              <w:rPr>
                <w:snapToGrid w:val="0"/>
                <w:lang w:eastAsia="sv-SE"/>
              </w:rPr>
            </w:pPr>
            <w:r w:rsidRPr="00AD33E8">
              <w:rPr>
                <w:snapToGrid w:val="0"/>
                <w:lang w:eastAsia="sv-SE"/>
              </w:rPr>
              <w:t>Pension, pensionsersättning</w:t>
            </w:r>
          </w:p>
        </w:tc>
        <w:tc>
          <w:tcPr>
            <w:tcW w:w="1276" w:type="dxa"/>
          </w:tcPr>
          <w:p w:rsidR="007B7A21" w:rsidRPr="00AD33E8" w:rsidRDefault="007B7A21">
            <w:pPr>
              <w:spacing w:before="0" w:line="240" w:lineRule="auto"/>
              <w:jc w:val="right"/>
              <w:rPr>
                <w:snapToGrid w:val="0"/>
                <w:lang w:eastAsia="sv-SE"/>
              </w:rPr>
            </w:pPr>
            <w:r w:rsidRPr="00AD33E8">
              <w:rPr>
                <w:snapToGrid w:val="0"/>
                <w:lang w:eastAsia="sv-SE"/>
              </w:rPr>
              <w:t>12,6</w:t>
            </w:r>
          </w:p>
        </w:tc>
      </w:tr>
      <w:tr w:rsidR="00000000" w:rsidRPr="00AD33E8">
        <w:tblPrEx>
          <w:tblCellMar>
            <w:top w:w="0" w:type="dxa"/>
            <w:bottom w:w="0" w:type="dxa"/>
          </w:tblCellMar>
        </w:tblPrEx>
        <w:trPr>
          <w:gridAfter w:val="1"/>
          <w:wAfter w:w="567" w:type="dxa"/>
        </w:trPr>
        <w:tc>
          <w:tcPr>
            <w:tcW w:w="3756" w:type="dxa"/>
          </w:tcPr>
          <w:p w:rsidR="007B7A21" w:rsidRPr="00AD33E8" w:rsidRDefault="007B7A21">
            <w:pPr>
              <w:spacing w:before="0" w:line="240" w:lineRule="auto"/>
              <w:rPr>
                <w:i/>
                <w:snapToGrid w:val="0"/>
                <w:lang w:eastAsia="sv-SE"/>
              </w:rPr>
            </w:pPr>
            <w:r w:rsidRPr="00AD33E8">
              <w:rPr>
                <w:i/>
                <w:snapToGrid w:val="0"/>
                <w:lang w:eastAsia="sv-SE"/>
              </w:rPr>
              <w:t>Summa avaktauliserade</w:t>
            </w:r>
          </w:p>
        </w:tc>
        <w:tc>
          <w:tcPr>
            <w:tcW w:w="1276" w:type="dxa"/>
          </w:tcPr>
          <w:p w:rsidR="007B7A21" w:rsidRPr="00AD33E8" w:rsidRDefault="007B7A21">
            <w:pPr>
              <w:spacing w:before="0" w:line="240" w:lineRule="auto"/>
              <w:jc w:val="right"/>
              <w:rPr>
                <w:i/>
                <w:snapToGrid w:val="0"/>
                <w:lang w:eastAsia="sv-SE"/>
              </w:rPr>
            </w:pPr>
            <w:r w:rsidRPr="00AD33E8">
              <w:rPr>
                <w:i/>
                <w:snapToGrid w:val="0"/>
                <w:lang w:eastAsia="sv-SE"/>
              </w:rPr>
              <w:t>77</w:t>
            </w:r>
          </w:p>
        </w:tc>
      </w:tr>
      <w:tr w:rsidR="00000000" w:rsidRPr="00AD33E8">
        <w:tblPrEx>
          <w:tblCellMar>
            <w:top w:w="0" w:type="dxa"/>
            <w:bottom w:w="0" w:type="dxa"/>
          </w:tblCellMar>
        </w:tblPrEx>
        <w:trPr>
          <w:gridAfter w:val="1"/>
          <w:wAfter w:w="567" w:type="dxa"/>
        </w:trPr>
        <w:tc>
          <w:tcPr>
            <w:tcW w:w="3756" w:type="dxa"/>
          </w:tcPr>
          <w:p w:rsidR="007B7A21" w:rsidRPr="00AD33E8" w:rsidRDefault="007B7A21">
            <w:pPr>
              <w:spacing w:before="0" w:line="240" w:lineRule="auto"/>
              <w:rPr>
                <w:snapToGrid w:val="0"/>
                <w:lang w:eastAsia="sv-SE"/>
              </w:rPr>
            </w:pPr>
            <w:r w:rsidRPr="00AD33E8">
              <w:rPr>
                <w:snapToGrid w:val="0"/>
                <w:lang w:eastAsia="sv-SE"/>
              </w:rPr>
              <w:t>Andel aktuell för åtgärd</w:t>
            </w:r>
          </w:p>
        </w:tc>
        <w:tc>
          <w:tcPr>
            <w:tcW w:w="1276" w:type="dxa"/>
          </w:tcPr>
          <w:p w:rsidR="007B7A21" w:rsidRPr="00AD33E8" w:rsidRDefault="007B7A21">
            <w:pPr>
              <w:spacing w:before="0" w:line="240" w:lineRule="auto"/>
              <w:jc w:val="right"/>
              <w:rPr>
                <w:snapToGrid w:val="0"/>
                <w:lang w:eastAsia="sv-SE"/>
              </w:rPr>
            </w:pPr>
            <w:r w:rsidRPr="00AD33E8">
              <w:rPr>
                <w:snapToGrid w:val="0"/>
                <w:lang w:eastAsia="sv-SE"/>
              </w:rPr>
              <w:t>23</w:t>
            </w:r>
          </w:p>
        </w:tc>
      </w:tr>
      <w:tr w:rsidR="00000000" w:rsidRPr="00AD33E8">
        <w:tblPrEx>
          <w:tblCellMar>
            <w:top w:w="0" w:type="dxa"/>
            <w:bottom w:w="0" w:type="dxa"/>
          </w:tblCellMar>
        </w:tblPrEx>
        <w:trPr>
          <w:gridAfter w:val="1"/>
          <w:wAfter w:w="567" w:type="dxa"/>
        </w:trPr>
        <w:tc>
          <w:tcPr>
            <w:tcW w:w="3756" w:type="dxa"/>
          </w:tcPr>
          <w:p w:rsidR="007B7A21" w:rsidRPr="00AD33E8" w:rsidRDefault="007B7A21">
            <w:pPr>
              <w:spacing w:before="0" w:line="240" w:lineRule="auto"/>
              <w:rPr>
                <w:b/>
                <w:snapToGrid w:val="0"/>
                <w:lang w:eastAsia="sv-SE"/>
              </w:rPr>
            </w:pPr>
            <w:r w:rsidRPr="00AD33E8">
              <w:rPr>
                <w:b/>
                <w:snapToGrid w:val="0"/>
                <w:lang w:eastAsia="sv-SE"/>
              </w:rPr>
              <w:t>Summa</w:t>
            </w:r>
          </w:p>
        </w:tc>
        <w:tc>
          <w:tcPr>
            <w:tcW w:w="1276" w:type="dxa"/>
          </w:tcPr>
          <w:p w:rsidR="007B7A21" w:rsidRPr="00AD33E8" w:rsidRDefault="007B7A21">
            <w:pPr>
              <w:spacing w:before="0" w:line="240" w:lineRule="auto"/>
              <w:jc w:val="right"/>
              <w:rPr>
                <w:b/>
                <w:snapToGrid w:val="0"/>
                <w:lang w:eastAsia="sv-SE"/>
              </w:rPr>
            </w:pPr>
            <w:r w:rsidRPr="00AD33E8">
              <w:rPr>
                <w:b/>
                <w:snapToGrid w:val="0"/>
                <w:lang w:eastAsia="sv-SE"/>
              </w:rPr>
              <w:t>100</w:t>
            </w:r>
          </w:p>
        </w:tc>
      </w:tr>
      <w:tr w:rsidR="00000000" w:rsidRPr="00AD33E8">
        <w:tblPrEx>
          <w:tblCellMar>
            <w:top w:w="0" w:type="dxa"/>
            <w:bottom w:w="0" w:type="dxa"/>
          </w:tblCellMar>
        </w:tblPrEx>
        <w:trPr>
          <w:cantSplit/>
        </w:trPr>
        <w:tc>
          <w:tcPr>
            <w:tcW w:w="5599" w:type="dxa"/>
            <w:gridSpan w:val="3"/>
          </w:tcPr>
          <w:p w:rsidR="007B7A21" w:rsidRPr="00AD33E8" w:rsidRDefault="007B7A21">
            <w:pPr>
              <w:spacing w:before="0"/>
              <w:rPr>
                <w:snapToGrid w:val="0"/>
                <w:lang w:eastAsia="sv-SE"/>
              </w:rPr>
            </w:pPr>
            <w:r w:rsidRPr="00AD33E8">
              <w:rPr>
                <w:snapToGrid w:val="0"/>
                <w:lang w:eastAsia="sv-SE"/>
              </w:rPr>
              <w:t>Källa: Trygghetsstiftelsen, uppföljning av uppsagda i staten  år 1997,</w:t>
            </w:r>
          </w:p>
          <w:p w:rsidR="007B7A21" w:rsidRPr="00AD33E8" w:rsidRDefault="007B7A21">
            <w:pPr>
              <w:pStyle w:val="Normaltindrag"/>
            </w:pPr>
            <w:r w:rsidRPr="00AD33E8">
              <w:t>Särskild undersökning för år 1997.</w:t>
            </w:r>
          </w:p>
        </w:tc>
      </w:tr>
    </w:tbl>
    <w:p w:rsidR="007B7A21" w:rsidRPr="00AD33E8" w:rsidRDefault="007B7A21">
      <w:pPr>
        <w:rPr>
          <w:snapToGrid w:val="0"/>
          <w:lang w:eastAsia="sv-SE"/>
        </w:rPr>
      </w:pPr>
      <w:r w:rsidRPr="00AD33E8">
        <w:rPr>
          <w:snapToGrid w:val="0"/>
          <w:lang w:eastAsia="sv-SE"/>
        </w:rPr>
        <w:t>Vid uppsägningstidens utgång, som i allmänhet var ett år, är således mindre än 23 procent av de uppsagda i behov av fortsatta åtgärder. Av dessa var cirka 8 procent registrerade som öppet arbetslösa eller i väntan på att besl</w:t>
      </w:r>
      <w:r w:rsidRPr="00AD33E8">
        <w:rPr>
          <w:snapToGrid w:val="0"/>
          <w:lang w:eastAsia="sv-SE"/>
        </w:rPr>
        <w:t>u</w:t>
      </w:r>
      <w:r w:rsidRPr="00AD33E8">
        <w:rPr>
          <w:snapToGrid w:val="0"/>
          <w:lang w:eastAsia="sv-SE"/>
        </w:rPr>
        <w:t xml:space="preserve">tad åtgärd ska starta, 2 procent hade tillfälligt lämnat arbetsmarknaden (barnledighet m.m.), ca 11 procent deltog i kortare utbildning eller annan åtgärd och resterande 2 procent hade tillfälliga anställningar eller var i färd med att starta eget. </w:t>
      </w:r>
    </w:p>
    <w:p w:rsidR="007B7A21" w:rsidRPr="00AD33E8" w:rsidRDefault="007B7A21">
      <w:pPr>
        <w:pStyle w:val="Normaltindrag"/>
        <w:rPr>
          <w:snapToGrid w:val="0"/>
          <w:lang w:eastAsia="sv-SE"/>
        </w:rPr>
      </w:pPr>
      <w:r w:rsidRPr="00AD33E8">
        <w:rPr>
          <w:snapToGrid w:val="0"/>
          <w:lang w:eastAsia="sv-SE"/>
        </w:rPr>
        <w:t>Regeringen redovisar i Årsredovisning för staten för år 1998 Trygghet</w:t>
      </w:r>
      <w:r w:rsidRPr="00AD33E8">
        <w:rPr>
          <w:snapToGrid w:val="0"/>
          <w:lang w:eastAsia="sv-SE"/>
        </w:rPr>
        <w:t>s</w:t>
      </w:r>
      <w:r w:rsidRPr="00AD33E8">
        <w:rPr>
          <w:snapToGrid w:val="0"/>
          <w:lang w:eastAsia="sv-SE"/>
        </w:rPr>
        <w:t>stiftelsens bedömning av uppsägningarnas genom</w:t>
      </w:r>
      <w:r w:rsidRPr="00AD33E8">
        <w:rPr>
          <w:snapToGrid w:val="0"/>
          <w:lang w:eastAsia="sv-SE"/>
        </w:rPr>
        <w:softHyphen/>
        <w:t>förande (skr. 1998/99:150). Goda resultat har uppnåtts enligt Trygghetsstiftelsen, delvis beroende på att de statsanställda hävdar sig väl på arbetsmarknaden. Ungefär två tredjedelar av de uppsagda som fått nya arbeten de senaste åren har fått det i den privata sektorn. Till de positiva resultaten bidrar också individanpassade arbetsfo</w:t>
      </w:r>
      <w:r w:rsidRPr="00AD33E8">
        <w:rPr>
          <w:snapToGrid w:val="0"/>
          <w:lang w:eastAsia="sv-SE"/>
        </w:rPr>
        <w:t>r</w:t>
      </w:r>
      <w:r w:rsidRPr="00AD33E8">
        <w:rPr>
          <w:snapToGrid w:val="0"/>
          <w:lang w:eastAsia="sv-SE"/>
        </w:rPr>
        <w:t>mer och att de uppsägande arbetsgivarna ofta skapar bra förutsättningar för omställningsarbetet. Enligt Trygghetsstiftelsen sk</w:t>
      </w:r>
      <w:r w:rsidRPr="00AD33E8">
        <w:rPr>
          <w:snapToGrid w:val="0"/>
          <w:lang w:eastAsia="sv-SE"/>
        </w:rPr>
        <w:t>öter de statliga arbetsgiva</w:t>
      </w:r>
      <w:r w:rsidRPr="00AD33E8">
        <w:rPr>
          <w:snapToGrid w:val="0"/>
          <w:lang w:eastAsia="sv-SE"/>
        </w:rPr>
        <w:t>r</w:t>
      </w:r>
      <w:r w:rsidRPr="00AD33E8">
        <w:rPr>
          <w:snapToGrid w:val="0"/>
          <w:lang w:eastAsia="sv-SE"/>
        </w:rPr>
        <w:t>na i stort avvecklingen av personal på ett bra sätt.</w:t>
      </w:r>
    </w:p>
    <w:p w:rsidR="007B7A21" w:rsidRPr="00AD33E8" w:rsidRDefault="007B7A21">
      <w:pPr>
        <w:pStyle w:val="Rubrik3"/>
        <w:rPr>
          <w:snapToGrid w:val="0"/>
          <w:lang w:eastAsia="sv-SE"/>
        </w:rPr>
      </w:pPr>
      <w:bookmarkStart w:id="194" w:name="_Toc3887392"/>
      <w:bookmarkStart w:id="195" w:name="_Toc21425305"/>
      <w:r w:rsidRPr="00AD33E8">
        <w:rPr>
          <w:snapToGrid w:val="0"/>
          <w:lang w:eastAsia="sv-SE"/>
        </w:rPr>
        <w:t>Åldersstrukturen i staten</w:t>
      </w:r>
      <w:bookmarkEnd w:id="194"/>
      <w:bookmarkEnd w:id="195"/>
    </w:p>
    <w:p w:rsidR="007B7A21" w:rsidRPr="00AD33E8" w:rsidRDefault="007B7A21">
      <w:pPr>
        <w:rPr>
          <w:snapToGrid w:val="0"/>
          <w:lang w:eastAsia="sv-SE"/>
        </w:rPr>
      </w:pPr>
      <w:r w:rsidRPr="00AD33E8">
        <w:rPr>
          <w:snapToGrid w:val="0"/>
          <w:lang w:eastAsia="sv-SE"/>
        </w:rPr>
        <w:t>Åldersstrukturen i staten har förändrats under 1990-talet. De statliga tjänst</w:t>
      </w:r>
      <w:r w:rsidRPr="00AD33E8">
        <w:rPr>
          <w:snapToGrid w:val="0"/>
          <w:lang w:eastAsia="sv-SE"/>
        </w:rPr>
        <w:t>e</w:t>
      </w:r>
      <w:r w:rsidRPr="00AD33E8">
        <w:rPr>
          <w:snapToGrid w:val="0"/>
          <w:lang w:eastAsia="sv-SE"/>
        </w:rPr>
        <w:t>männen har blivit äldre, se tabell 11. Den grupp som dominerade 1990, födda 1945 till 1950, är fortfarande den största. Enligt regeringens kommentar i skrivelsen till riksdagen om personalpolitiken (skr. 2000/01:151) är de stora kommande pensionsavgångarna en sida av problemet med den sneda ålder</w:t>
      </w:r>
      <w:r w:rsidRPr="00AD33E8">
        <w:rPr>
          <w:snapToGrid w:val="0"/>
          <w:lang w:eastAsia="sv-SE"/>
        </w:rPr>
        <w:t>s</w:t>
      </w:r>
      <w:r w:rsidRPr="00AD33E8">
        <w:rPr>
          <w:snapToGrid w:val="0"/>
          <w:lang w:eastAsia="sv-SE"/>
        </w:rPr>
        <w:t>strukturen i staten. Ett lika stort problem är den låga andelen unga, som kan ge problem med kontinuitet och återväxt. Pensionsavgångarna kan enligt regeringen leda till allvarliga problem med kompetensförsörjning</w:t>
      </w:r>
      <w:r w:rsidRPr="00AD33E8">
        <w:rPr>
          <w:snapToGrid w:val="0"/>
          <w:lang w:eastAsia="sv-SE"/>
        </w:rPr>
        <w:t>en. Mycket kunskap och erfarenhet kommer att försvinna från myndigheterna, samtidigt som stora nyrekryteringar sannolikt kommer att behöva göras på kort tid. Rekryteringsläget kan, enligt regeringen, försvåras av att ung, välutbildad arbetskraft med största sannolikhet kommer att bli en bristvara i takt med att befolkningen åldras. Vidare bedömer regeringen att det betydligt närmare i tid också på vissa håll kan uppstå problem med att klara verksamheterna när en stor andel av personalen närmar sig pensionså</w:t>
      </w:r>
      <w:r w:rsidRPr="00AD33E8">
        <w:rPr>
          <w:snapToGrid w:val="0"/>
          <w:lang w:eastAsia="sv-SE"/>
        </w:rPr>
        <w:t>ldern och många snarare blickar fram mot en pensionering än mot karriär och ökad arbetsbörda.</w:t>
      </w:r>
    </w:p>
    <w:p w:rsidR="007B7A21" w:rsidRPr="00AD33E8" w:rsidRDefault="007B7A21">
      <w:pPr>
        <w:pStyle w:val="Normaltindrag"/>
      </w:pPr>
      <w:r w:rsidRPr="00AD33E8">
        <w:br w:type="page"/>
      </w: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1"/>
        <w:gridCol w:w="1"/>
        <w:gridCol w:w="1162"/>
        <w:gridCol w:w="1560"/>
        <w:gridCol w:w="992"/>
        <w:gridCol w:w="2153"/>
      </w:tblGrid>
      <w:tr w:rsidR="00000000" w:rsidRPr="00AD33E8">
        <w:tblPrEx>
          <w:tblCellMar>
            <w:top w:w="0" w:type="dxa"/>
            <w:bottom w:w="0" w:type="dxa"/>
          </w:tblCellMar>
        </w:tblPrEx>
        <w:trPr>
          <w:trHeight w:val="247"/>
        </w:trPr>
        <w:tc>
          <w:tcPr>
            <w:tcW w:w="5869" w:type="dxa"/>
            <w:hMerge w:val="restart"/>
            <w:tcBorders>
              <w:bottom w:val="single" w:sz="6" w:space="0" w:color="008000"/>
            </w:tcBorders>
          </w:tcPr>
          <w:p w:rsidR="007B7A21" w:rsidRPr="00AD33E8" w:rsidRDefault="007B7A21">
            <w:pPr>
              <w:spacing w:before="0" w:line="240" w:lineRule="auto"/>
              <w:rPr>
                <w:b/>
                <w:snapToGrid w:val="0"/>
                <w:lang w:eastAsia="sv-SE"/>
              </w:rPr>
            </w:pPr>
            <w:r w:rsidRPr="00AD33E8">
              <w:rPr>
                <w:b/>
                <w:snapToGrid w:val="0"/>
                <w:lang w:eastAsia="sv-SE"/>
              </w:rPr>
              <w:t>Tabell 11:  Åldersfördelning i staten 1990 och 2000, andelar i ålder</w:t>
            </w:r>
            <w:r w:rsidRPr="00AD33E8">
              <w:rPr>
                <w:b/>
                <w:snapToGrid w:val="0"/>
                <w:lang w:eastAsia="sv-SE"/>
              </w:rPr>
              <w:t>s</w:t>
            </w:r>
            <w:r w:rsidRPr="00AD33E8">
              <w:rPr>
                <w:b/>
                <w:snapToGrid w:val="0"/>
                <w:lang w:eastAsia="sv-SE"/>
              </w:rPr>
              <w:t>gru</w:t>
            </w:r>
            <w:r w:rsidRPr="00AD33E8">
              <w:rPr>
                <w:b/>
                <w:snapToGrid w:val="0"/>
                <w:lang w:eastAsia="sv-SE"/>
              </w:rPr>
              <w:t>p</w:t>
            </w:r>
            <w:r w:rsidRPr="00AD33E8">
              <w:rPr>
                <w:b/>
                <w:snapToGrid w:val="0"/>
                <w:lang w:eastAsia="sv-SE"/>
              </w:rPr>
              <w:t>per</w:t>
            </w:r>
          </w:p>
        </w:tc>
        <w:tc>
          <w:tcPr>
            <w:hMerge/>
            <w:tcBorders>
              <w:bottom w:val="single" w:sz="6" w:space="0" w:color="008000"/>
            </w:tcBorders>
          </w:tcPr>
          <w:p w:rsidR="007B7A21" w:rsidRPr="00AD33E8" w:rsidRDefault="007B7A21">
            <w:pPr>
              <w:spacing w:before="0" w:line="240" w:lineRule="auto"/>
              <w:rPr>
                <w:snapToGrid w:val="0"/>
                <w:lang w:eastAsia="sv-SE"/>
              </w:rPr>
            </w:pPr>
          </w:p>
        </w:tc>
        <w:tc>
          <w:tcPr>
            <w:gridSpan w:val="4"/>
            <w:hMerge/>
            <w:tcBorders>
              <w:bottom w:val="single" w:sz="6" w:space="0" w:color="008000"/>
            </w:tcBorders>
          </w:tcPr>
          <w:p w:rsidR="007B7A21" w:rsidRPr="00AD33E8" w:rsidRDefault="007B7A21">
            <w:pPr>
              <w:spacing w:before="0" w:line="240" w:lineRule="auto"/>
              <w:rPr>
                <w:snapToGrid w:val="0"/>
                <w:lang w:eastAsia="sv-SE"/>
              </w:rPr>
            </w:pPr>
          </w:p>
        </w:tc>
      </w:tr>
      <w:tr w:rsidR="00000000" w:rsidRPr="00AD33E8">
        <w:tblPrEx>
          <w:tblCellMar>
            <w:top w:w="0" w:type="dxa"/>
            <w:bottom w:w="0" w:type="dxa"/>
          </w:tblCellMar>
        </w:tblPrEx>
        <w:trPr>
          <w:gridAfter w:val="1"/>
          <w:wAfter w:w="2153" w:type="dxa"/>
          <w:trHeight w:val="247"/>
        </w:trPr>
        <w:tc>
          <w:tcPr>
            <w:tcW w:w="1164" w:type="dxa"/>
            <w:gridSpan w:val="3"/>
            <w:tcBorders>
              <w:top w:val="nil"/>
            </w:tcBorders>
          </w:tcPr>
          <w:p w:rsidR="007B7A21" w:rsidRPr="00AD33E8" w:rsidRDefault="007B7A21">
            <w:pPr>
              <w:spacing w:before="0" w:line="240" w:lineRule="auto"/>
              <w:rPr>
                <w:snapToGrid w:val="0"/>
                <w:lang w:eastAsia="sv-SE"/>
              </w:rPr>
            </w:pPr>
          </w:p>
        </w:tc>
        <w:tc>
          <w:tcPr>
            <w:tcW w:w="1560" w:type="dxa"/>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1990</w:t>
            </w:r>
          </w:p>
        </w:tc>
        <w:tc>
          <w:tcPr>
            <w:tcW w:w="992" w:type="dxa"/>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2000</w:t>
            </w:r>
          </w:p>
        </w:tc>
      </w:tr>
      <w:tr w:rsidR="00000000" w:rsidRPr="00AD33E8">
        <w:tblPrEx>
          <w:tblCellMar>
            <w:top w:w="0" w:type="dxa"/>
            <w:bottom w:w="0" w:type="dxa"/>
          </w:tblCellMar>
        </w:tblPrEx>
        <w:trPr>
          <w:gridAfter w:val="1"/>
          <w:wAfter w:w="2153" w:type="dxa"/>
          <w:trHeight w:val="247"/>
        </w:trPr>
        <w:tc>
          <w:tcPr>
            <w:tcW w:w="1164" w:type="dxa"/>
            <w:gridSpan w:val="3"/>
          </w:tcPr>
          <w:p w:rsidR="007B7A21" w:rsidRPr="00AD33E8" w:rsidRDefault="007B7A21">
            <w:pPr>
              <w:spacing w:before="0" w:line="240" w:lineRule="auto"/>
              <w:rPr>
                <w:snapToGrid w:val="0"/>
                <w:lang w:eastAsia="sv-SE"/>
              </w:rPr>
            </w:pPr>
            <w:r w:rsidRPr="00AD33E8">
              <w:rPr>
                <w:snapToGrid w:val="0"/>
                <w:lang w:eastAsia="sv-SE"/>
              </w:rPr>
              <w:t>16 – 19</w:t>
            </w:r>
          </w:p>
        </w:tc>
        <w:tc>
          <w:tcPr>
            <w:tcW w:w="1560" w:type="dxa"/>
          </w:tcPr>
          <w:p w:rsidR="007B7A21" w:rsidRPr="00AD33E8" w:rsidRDefault="007B7A21">
            <w:pPr>
              <w:spacing w:before="0" w:line="240" w:lineRule="auto"/>
              <w:jc w:val="right"/>
              <w:rPr>
                <w:snapToGrid w:val="0"/>
                <w:lang w:eastAsia="sv-SE"/>
              </w:rPr>
            </w:pPr>
            <w:r w:rsidRPr="00AD33E8">
              <w:rPr>
                <w:snapToGrid w:val="0"/>
                <w:lang w:eastAsia="sv-SE"/>
              </w:rPr>
              <w:t>2,0</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0,3</w:t>
            </w:r>
          </w:p>
        </w:tc>
      </w:tr>
      <w:tr w:rsidR="00000000" w:rsidRPr="00AD33E8">
        <w:tblPrEx>
          <w:tblCellMar>
            <w:top w:w="0" w:type="dxa"/>
            <w:bottom w:w="0" w:type="dxa"/>
          </w:tblCellMar>
        </w:tblPrEx>
        <w:trPr>
          <w:gridAfter w:val="1"/>
          <w:wAfter w:w="2153" w:type="dxa"/>
          <w:trHeight w:val="247"/>
        </w:trPr>
        <w:tc>
          <w:tcPr>
            <w:tcW w:w="1164" w:type="dxa"/>
            <w:gridSpan w:val="3"/>
          </w:tcPr>
          <w:p w:rsidR="007B7A21" w:rsidRPr="00AD33E8" w:rsidRDefault="007B7A21">
            <w:pPr>
              <w:spacing w:before="0" w:line="240" w:lineRule="auto"/>
              <w:rPr>
                <w:snapToGrid w:val="0"/>
                <w:lang w:eastAsia="sv-SE"/>
              </w:rPr>
            </w:pPr>
            <w:r w:rsidRPr="00AD33E8">
              <w:rPr>
                <w:snapToGrid w:val="0"/>
                <w:lang w:eastAsia="sv-SE"/>
              </w:rPr>
              <w:t>20 – 24</w:t>
            </w:r>
          </w:p>
        </w:tc>
        <w:tc>
          <w:tcPr>
            <w:tcW w:w="1560" w:type="dxa"/>
          </w:tcPr>
          <w:p w:rsidR="007B7A21" w:rsidRPr="00AD33E8" w:rsidRDefault="007B7A21">
            <w:pPr>
              <w:spacing w:before="0" w:line="240" w:lineRule="auto"/>
              <w:jc w:val="right"/>
              <w:rPr>
                <w:snapToGrid w:val="0"/>
                <w:lang w:eastAsia="sv-SE"/>
              </w:rPr>
            </w:pPr>
            <w:r w:rsidRPr="00AD33E8">
              <w:rPr>
                <w:snapToGrid w:val="0"/>
                <w:lang w:eastAsia="sv-SE"/>
              </w:rPr>
              <w:t>6,5</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2,5</w:t>
            </w:r>
          </w:p>
        </w:tc>
      </w:tr>
      <w:tr w:rsidR="00000000" w:rsidRPr="00AD33E8">
        <w:tblPrEx>
          <w:tblCellMar>
            <w:top w:w="0" w:type="dxa"/>
            <w:bottom w:w="0" w:type="dxa"/>
          </w:tblCellMar>
        </w:tblPrEx>
        <w:trPr>
          <w:gridAfter w:val="1"/>
          <w:wAfter w:w="2153" w:type="dxa"/>
          <w:trHeight w:val="247"/>
        </w:trPr>
        <w:tc>
          <w:tcPr>
            <w:tcW w:w="1164" w:type="dxa"/>
            <w:gridSpan w:val="3"/>
          </w:tcPr>
          <w:p w:rsidR="007B7A21" w:rsidRPr="00AD33E8" w:rsidRDefault="007B7A21">
            <w:pPr>
              <w:spacing w:before="0" w:line="240" w:lineRule="auto"/>
              <w:rPr>
                <w:snapToGrid w:val="0"/>
                <w:lang w:eastAsia="sv-SE"/>
              </w:rPr>
            </w:pPr>
            <w:r w:rsidRPr="00AD33E8">
              <w:rPr>
                <w:snapToGrid w:val="0"/>
                <w:lang w:eastAsia="sv-SE"/>
              </w:rPr>
              <w:t>25 – 29</w:t>
            </w:r>
          </w:p>
        </w:tc>
        <w:tc>
          <w:tcPr>
            <w:tcW w:w="1560" w:type="dxa"/>
          </w:tcPr>
          <w:p w:rsidR="007B7A21" w:rsidRPr="00AD33E8" w:rsidRDefault="007B7A21">
            <w:pPr>
              <w:spacing w:before="0" w:line="240" w:lineRule="auto"/>
              <w:jc w:val="right"/>
              <w:rPr>
                <w:snapToGrid w:val="0"/>
                <w:lang w:eastAsia="sv-SE"/>
              </w:rPr>
            </w:pPr>
            <w:r w:rsidRPr="00AD33E8">
              <w:rPr>
                <w:snapToGrid w:val="0"/>
                <w:lang w:eastAsia="sv-SE"/>
              </w:rPr>
              <w:t>10,0</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8,5</w:t>
            </w:r>
          </w:p>
        </w:tc>
      </w:tr>
      <w:tr w:rsidR="00000000" w:rsidRPr="00AD33E8">
        <w:tblPrEx>
          <w:tblCellMar>
            <w:top w:w="0" w:type="dxa"/>
            <w:bottom w:w="0" w:type="dxa"/>
          </w:tblCellMar>
        </w:tblPrEx>
        <w:trPr>
          <w:gridAfter w:val="1"/>
          <w:wAfter w:w="2153" w:type="dxa"/>
          <w:trHeight w:val="247"/>
        </w:trPr>
        <w:tc>
          <w:tcPr>
            <w:tcW w:w="1164" w:type="dxa"/>
            <w:gridSpan w:val="3"/>
          </w:tcPr>
          <w:p w:rsidR="007B7A21" w:rsidRPr="00AD33E8" w:rsidRDefault="007B7A21">
            <w:pPr>
              <w:spacing w:before="0" w:line="240" w:lineRule="auto"/>
              <w:rPr>
                <w:snapToGrid w:val="0"/>
                <w:lang w:eastAsia="sv-SE"/>
              </w:rPr>
            </w:pPr>
            <w:r w:rsidRPr="00AD33E8">
              <w:rPr>
                <w:snapToGrid w:val="0"/>
                <w:lang w:eastAsia="sv-SE"/>
              </w:rPr>
              <w:t>30 – 34</w:t>
            </w:r>
          </w:p>
        </w:tc>
        <w:tc>
          <w:tcPr>
            <w:tcW w:w="1560" w:type="dxa"/>
          </w:tcPr>
          <w:p w:rsidR="007B7A21" w:rsidRPr="00AD33E8" w:rsidRDefault="007B7A21">
            <w:pPr>
              <w:spacing w:before="0" w:line="240" w:lineRule="auto"/>
              <w:jc w:val="right"/>
              <w:rPr>
                <w:snapToGrid w:val="0"/>
                <w:lang w:eastAsia="sv-SE"/>
              </w:rPr>
            </w:pPr>
            <w:r w:rsidRPr="00AD33E8">
              <w:rPr>
                <w:snapToGrid w:val="0"/>
                <w:lang w:eastAsia="sv-SE"/>
              </w:rPr>
              <w:t>11,5</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11,7</w:t>
            </w:r>
          </w:p>
        </w:tc>
      </w:tr>
      <w:tr w:rsidR="00000000" w:rsidRPr="00AD33E8">
        <w:tblPrEx>
          <w:tblCellMar>
            <w:top w:w="0" w:type="dxa"/>
            <w:bottom w:w="0" w:type="dxa"/>
          </w:tblCellMar>
        </w:tblPrEx>
        <w:trPr>
          <w:gridAfter w:val="1"/>
          <w:wAfter w:w="2153" w:type="dxa"/>
          <w:trHeight w:val="247"/>
        </w:trPr>
        <w:tc>
          <w:tcPr>
            <w:tcW w:w="1164" w:type="dxa"/>
            <w:gridSpan w:val="3"/>
          </w:tcPr>
          <w:p w:rsidR="007B7A21" w:rsidRPr="00AD33E8" w:rsidRDefault="007B7A21">
            <w:pPr>
              <w:spacing w:before="0" w:line="240" w:lineRule="auto"/>
              <w:rPr>
                <w:snapToGrid w:val="0"/>
                <w:lang w:eastAsia="sv-SE"/>
              </w:rPr>
            </w:pPr>
            <w:r w:rsidRPr="00AD33E8">
              <w:rPr>
                <w:snapToGrid w:val="0"/>
                <w:lang w:eastAsia="sv-SE"/>
              </w:rPr>
              <w:t>35 – 39</w:t>
            </w:r>
          </w:p>
        </w:tc>
        <w:tc>
          <w:tcPr>
            <w:tcW w:w="1560" w:type="dxa"/>
          </w:tcPr>
          <w:p w:rsidR="007B7A21" w:rsidRPr="00AD33E8" w:rsidRDefault="007B7A21">
            <w:pPr>
              <w:spacing w:before="0" w:line="240" w:lineRule="auto"/>
              <w:jc w:val="right"/>
              <w:rPr>
                <w:snapToGrid w:val="0"/>
                <w:lang w:eastAsia="sv-SE"/>
              </w:rPr>
            </w:pPr>
            <w:r w:rsidRPr="00AD33E8">
              <w:rPr>
                <w:snapToGrid w:val="0"/>
                <w:lang w:eastAsia="sv-SE"/>
              </w:rPr>
              <w:t>12,0</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11,5</w:t>
            </w:r>
          </w:p>
        </w:tc>
      </w:tr>
      <w:tr w:rsidR="00000000" w:rsidRPr="00AD33E8">
        <w:tblPrEx>
          <w:tblCellMar>
            <w:top w:w="0" w:type="dxa"/>
            <w:bottom w:w="0" w:type="dxa"/>
          </w:tblCellMar>
        </w:tblPrEx>
        <w:trPr>
          <w:gridAfter w:val="1"/>
          <w:wAfter w:w="2153" w:type="dxa"/>
          <w:trHeight w:val="247"/>
        </w:trPr>
        <w:tc>
          <w:tcPr>
            <w:tcW w:w="1164" w:type="dxa"/>
            <w:gridSpan w:val="3"/>
          </w:tcPr>
          <w:p w:rsidR="007B7A21" w:rsidRPr="00AD33E8" w:rsidRDefault="007B7A21">
            <w:pPr>
              <w:spacing w:before="0" w:line="240" w:lineRule="auto"/>
              <w:rPr>
                <w:snapToGrid w:val="0"/>
                <w:lang w:eastAsia="sv-SE"/>
              </w:rPr>
            </w:pPr>
            <w:r w:rsidRPr="00AD33E8">
              <w:rPr>
                <w:snapToGrid w:val="0"/>
                <w:lang w:eastAsia="sv-SE"/>
              </w:rPr>
              <w:t>40 – 44</w:t>
            </w:r>
          </w:p>
        </w:tc>
        <w:tc>
          <w:tcPr>
            <w:tcW w:w="1560" w:type="dxa"/>
          </w:tcPr>
          <w:p w:rsidR="007B7A21" w:rsidRPr="00AD33E8" w:rsidRDefault="007B7A21">
            <w:pPr>
              <w:spacing w:before="0" w:line="240" w:lineRule="auto"/>
              <w:jc w:val="right"/>
              <w:rPr>
                <w:snapToGrid w:val="0"/>
                <w:lang w:eastAsia="sv-SE"/>
              </w:rPr>
            </w:pPr>
            <w:r w:rsidRPr="00AD33E8">
              <w:rPr>
                <w:snapToGrid w:val="0"/>
                <w:lang w:eastAsia="sv-SE"/>
              </w:rPr>
              <w:t>16,0</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12,0</w:t>
            </w:r>
          </w:p>
        </w:tc>
      </w:tr>
      <w:tr w:rsidR="00000000" w:rsidRPr="00AD33E8">
        <w:tblPrEx>
          <w:tblCellMar>
            <w:top w:w="0" w:type="dxa"/>
            <w:bottom w:w="0" w:type="dxa"/>
          </w:tblCellMar>
        </w:tblPrEx>
        <w:trPr>
          <w:gridAfter w:val="1"/>
          <w:wAfter w:w="2153" w:type="dxa"/>
          <w:trHeight w:val="247"/>
        </w:trPr>
        <w:tc>
          <w:tcPr>
            <w:tcW w:w="1164" w:type="dxa"/>
            <w:gridSpan w:val="3"/>
          </w:tcPr>
          <w:p w:rsidR="007B7A21" w:rsidRPr="00AD33E8" w:rsidRDefault="007B7A21">
            <w:pPr>
              <w:spacing w:before="0" w:line="240" w:lineRule="auto"/>
              <w:rPr>
                <w:snapToGrid w:val="0"/>
                <w:lang w:eastAsia="sv-SE"/>
              </w:rPr>
            </w:pPr>
            <w:r w:rsidRPr="00AD33E8">
              <w:rPr>
                <w:snapToGrid w:val="0"/>
                <w:lang w:eastAsia="sv-SE"/>
              </w:rPr>
              <w:t>45 – 49</w:t>
            </w:r>
          </w:p>
        </w:tc>
        <w:tc>
          <w:tcPr>
            <w:tcW w:w="1560" w:type="dxa"/>
          </w:tcPr>
          <w:p w:rsidR="007B7A21" w:rsidRPr="00AD33E8" w:rsidRDefault="007B7A21">
            <w:pPr>
              <w:spacing w:before="0" w:line="240" w:lineRule="auto"/>
              <w:jc w:val="right"/>
              <w:rPr>
                <w:snapToGrid w:val="0"/>
                <w:lang w:eastAsia="sv-SE"/>
              </w:rPr>
            </w:pPr>
            <w:r w:rsidRPr="00AD33E8">
              <w:rPr>
                <w:snapToGrid w:val="0"/>
                <w:lang w:eastAsia="sv-SE"/>
              </w:rPr>
              <w:t>14,3</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12,8</w:t>
            </w:r>
          </w:p>
        </w:tc>
      </w:tr>
      <w:tr w:rsidR="00000000" w:rsidRPr="00AD33E8">
        <w:tblPrEx>
          <w:tblCellMar>
            <w:top w:w="0" w:type="dxa"/>
            <w:bottom w:w="0" w:type="dxa"/>
          </w:tblCellMar>
        </w:tblPrEx>
        <w:trPr>
          <w:gridAfter w:val="1"/>
          <w:wAfter w:w="2153" w:type="dxa"/>
          <w:trHeight w:val="247"/>
        </w:trPr>
        <w:tc>
          <w:tcPr>
            <w:tcW w:w="1164" w:type="dxa"/>
            <w:gridSpan w:val="3"/>
          </w:tcPr>
          <w:p w:rsidR="007B7A21" w:rsidRPr="00AD33E8" w:rsidRDefault="007B7A21">
            <w:pPr>
              <w:spacing w:before="0" w:line="240" w:lineRule="auto"/>
              <w:rPr>
                <w:snapToGrid w:val="0"/>
                <w:lang w:eastAsia="sv-SE"/>
              </w:rPr>
            </w:pPr>
            <w:r w:rsidRPr="00AD33E8">
              <w:rPr>
                <w:snapToGrid w:val="0"/>
                <w:lang w:eastAsia="sv-SE"/>
              </w:rPr>
              <w:t>50 – 54</w:t>
            </w:r>
          </w:p>
        </w:tc>
        <w:tc>
          <w:tcPr>
            <w:tcW w:w="1560" w:type="dxa"/>
          </w:tcPr>
          <w:p w:rsidR="007B7A21" w:rsidRPr="00AD33E8" w:rsidRDefault="007B7A21">
            <w:pPr>
              <w:spacing w:before="0" w:line="240" w:lineRule="auto"/>
              <w:jc w:val="right"/>
              <w:rPr>
                <w:snapToGrid w:val="0"/>
                <w:lang w:eastAsia="sv-SE"/>
              </w:rPr>
            </w:pPr>
            <w:r w:rsidRPr="00AD33E8">
              <w:rPr>
                <w:snapToGrid w:val="0"/>
                <w:lang w:eastAsia="sv-SE"/>
              </w:rPr>
              <w:t>10,0</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16,0</w:t>
            </w:r>
          </w:p>
        </w:tc>
      </w:tr>
      <w:tr w:rsidR="00000000" w:rsidRPr="00AD33E8">
        <w:tblPrEx>
          <w:tblCellMar>
            <w:top w:w="0" w:type="dxa"/>
            <w:bottom w:w="0" w:type="dxa"/>
          </w:tblCellMar>
        </w:tblPrEx>
        <w:trPr>
          <w:gridAfter w:val="1"/>
          <w:wAfter w:w="2153" w:type="dxa"/>
          <w:trHeight w:val="247"/>
        </w:trPr>
        <w:tc>
          <w:tcPr>
            <w:tcW w:w="1164" w:type="dxa"/>
            <w:gridSpan w:val="3"/>
          </w:tcPr>
          <w:p w:rsidR="007B7A21" w:rsidRPr="00AD33E8" w:rsidRDefault="007B7A21">
            <w:pPr>
              <w:spacing w:before="0" w:line="240" w:lineRule="auto"/>
              <w:rPr>
                <w:snapToGrid w:val="0"/>
                <w:lang w:eastAsia="sv-SE"/>
              </w:rPr>
            </w:pPr>
            <w:r w:rsidRPr="00AD33E8">
              <w:rPr>
                <w:snapToGrid w:val="0"/>
                <w:lang w:eastAsia="sv-SE"/>
              </w:rPr>
              <w:t>55 – 59</w:t>
            </w:r>
          </w:p>
        </w:tc>
        <w:tc>
          <w:tcPr>
            <w:tcW w:w="1560" w:type="dxa"/>
          </w:tcPr>
          <w:p w:rsidR="007B7A21" w:rsidRPr="00AD33E8" w:rsidRDefault="007B7A21">
            <w:pPr>
              <w:spacing w:before="0" w:line="240" w:lineRule="auto"/>
              <w:jc w:val="right"/>
              <w:rPr>
                <w:snapToGrid w:val="0"/>
                <w:lang w:eastAsia="sv-SE"/>
              </w:rPr>
            </w:pPr>
            <w:r w:rsidRPr="00AD33E8">
              <w:rPr>
                <w:snapToGrid w:val="0"/>
                <w:lang w:eastAsia="sv-SE"/>
              </w:rPr>
              <w:t>8,4</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14,0</w:t>
            </w:r>
          </w:p>
        </w:tc>
      </w:tr>
      <w:tr w:rsidR="00000000" w:rsidRPr="00AD33E8">
        <w:tblPrEx>
          <w:tblCellMar>
            <w:top w:w="0" w:type="dxa"/>
            <w:bottom w:w="0" w:type="dxa"/>
          </w:tblCellMar>
        </w:tblPrEx>
        <w:trPr>
          <w:gridAfter w:val="1"/>
          <w:wAfter w:w="2153" w:type="dxa"/>
          <w:trHeight w:val="247"/>
        </w:trPr>
        <w:tc>
          <w:tcPr>
            <w:tcW w:w="1164" w:type="dxa"/>
            <w:gridSpan w:val="3"/>
          </w:tcPr>
          <w:p w:rsidR="007B7A21" w:rsidRPr="00AD33E8" w:rsidRDefault="007B7A21">
            <w:pPr>
              <w:spacing w:before="0" w:line="240" w:lineRule="auto"/>
              <w:rPr>
                <w:snapToGrid w:val="0"/>
                <w:lang w:eastAsia="sv-SE"/>
              </w:rPr>
            </w:pPr>
            <w:r w:rsidRPr="00AD33E8">
              <w:rPr>
                <w:snapToGrid w:val="0"/>
                <w:lang w:eastAsia="sv-SE"/>
              </w:rPr>
              <w:t>60 – 64</w:t>
            </w:r>
          </w:p>
        </w:tc>
        <w:tc>
          <w:tcPr>
            <w:tcW w:w="1560" w:type="dxa"/>
          </w:tcPr>
          <w:p w:rsidR="007B7A21" w:rsidRPr="00AD33E8" w:rsidRDefault="007B7A21">
            <w:pPr>
              <w:spacing w:before="0" w:line="240" w:lineRule="auto"/>
              <w:jc w:val="right"/>
              <w:rPr>
                <w:snapToGrid w:val="0"/>
                <w:lang w:eastAsia="sv-SE"/>
              </w:rPr>
            </w:pPr>
            <w:r w:rsidRPr="00AD33E8">
              <w:rPr>
                <w:snapToGrid w:val="0"/>
                <w:lang w:eastAsia="sv-SE"/>
              </w:rPr>
              <w:t>6,0</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6,0</w:t>
            </w:r>
          </w:p>
        </w:tc>
      </w:tr>
      <w:tr w:rsidR="00000000" w:rsidRPr="00AD33E8">
        <w:tblPrEx>
          <w:tblCellMar>
            <w:top w:w="0" w:type="dxa"/>
            <w:bottom w:w="0" w:type="dxa"/>
          </w:tblCellMar>
        </w:tblPrEx>
        <w:trPr>
          <w:trHeight w:val="247"/>
        </w:trPr>
        <w:tc>
          <w:tcPr>
            <w:tcW w:w="5869" w:type="dxa"/>
            <w:hMerge w:val="restart"/>
          </w:tcPr>
          <w:p w:rsidR="007B7A21" w:rsidRPr="00AD33E8" w:rsidRDefault="007B7A21">
            <w:pPr>
              <w:spacing w:before="0" w:line="240" w:lineRule="auto"/>
              <w:rPr>
                <w:snapToGrid w:val="0"/>
                <w:lang w:eastAsia="sv-SE"/>
              </w:rPr>
            </w:pPr>
            <w:r w:rsidRPr="00AD33E8">
              <w:rPr>
                <w:snapToGrid w:val="0"/>
                <w:lang w:eastAsia="sv-SE"/>
              </w:rPr>
              <w:t>Källa: Regeringens förvaltning</w:t>
            </w:r>
            <w:r w:rsidRPr="00AD33E8">
              <w:rPr>
                <w:snapToGrid w:val="0"/>
                <w:lang w:eastAsia="sv-SE"/>
              </w:rPr>
              <w:t>s</w:t>
            </w:r>
            <w:r w:rsidRPr="00AD33E8">
              <w:rPr>
                <w:snapToGrid w:val="0"/>
                <w:lang w:eastAsia="sv-SE"/>
              </w:rPr>
              <w:t>politik, skr. 2000/01:151</w:t>
            </w:r>
          </w:p>
        </w:tc>
        <w:tc>
          <w:tcPr>
            <w:hMerge/>
          </w:tcPr>
          <w:p w:rsidR="007B7A21" w:rsidRPr="00AD33E8" w:rsidRDefault="007B7A21">
            <w:pPr>
              <w:spacing w:before="0" w:line="240" w:lineRule="auto"/>
              <w:rPr>
                <w:snapToGrid w:val="0"/>
                <w:lang w:eastAsia="sv-SE"/>
              </w:rPr>
            </w:pPr>
          </w:p>
        </w:tc>
        <w:tc>
          <w:tcPr>
            <w:gridSpan w:val="4"/>
            <w:hMerge/>
          </w:tcPr>
          <w:p w:rsidR="007B7A21" w:rsidRPr="00AD33E8" w:rsidRDefault="007B7A21">
            <w:pPr>
              <w:spacing w:before="0" w:line="240" w:lineRule="auto"/>
              <w:rPr>
                <w:snapToGrid w:val="0"/>
                <w:lang w:eastAsia="sv-SE"/>
              </w:rPr>
            </w:pPr>
          </w:p>
        </w:tc>
      </w:tr>
    </w:tbl>
    <w:p w:rsidR="007B7A21" w:rsidRPr="00AD33E8" w:rsidRDefault="007B7A21">
      <w:pPr>
        <w:pStyle w:val="Rubrik3"/>
      </w:pPr>
      <w:bookmarkStart w:id="196" w:name="_Toc3887393"/>
      <w:bookmarkStart w:id="197" w:name="_Toc21425306"/>
      <w:r w:rsidRPr="00AD33E8">
        <w:t>Pensioner</w:t>
      </w:r>
      <w:bookmarkEnd w:id="196"/>
      <w:bookmarkEnd w:id="197"/>
    </w:p>
    <w:p w:rsidR="007B7A21" w:rsidRPr="00AD33E8" w:rsidRDefault="007B7A21">
      <w:r w:rsidRPr="00AD33E8">
        <w:t>Antalet före detta statligt anställda som uppbär pension minskar under 1990-talet. Det är en följd av att de statligt anställda minskar i antal under peri</w:t>
      </w:r>
      <w:r w:rsidRPr="00AD33E8">
        <w:t>o</w:t>
      </w:r>
      <w:r w:rsidRPr="00AD33E8">
        <w:t>den. De som pensioneras från affärsverken kategoriseras vid pensionering efter bolagisering inte som före detta statligt anställda. Pensionskostnaderna ökar något i absoluta tal, men inte med hänsyn till kostnadsutvecklingen, se tabell 12.</w:t>
      </w:r>
    </w:p>
    <w:p w:rsidR="007B7A21" w:rsidRPr="00AD33E8" w:rsidRDefault="007B7A21">
      <w:pPr>
        <w:pStyle w:val="Normaltindrag"/>
      </w:pP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1"/>
        <w:gridCol w:w="1"/>
        <w:gridCol w:w="1729"/>
        <w:gridCol w:w="1134"/>
        <w:gridCol w:w="1872"/>
        <w:gridCol w:w="396"/>
        <w:gridCol w:w="173"/>
      </w:tblGrid>
      <w:tr w:rsidR="00000000" w:rsidRPr="00AD33E8">
        <w:tblPrEx>
          <w:tblCellMar>
            <w:top w:w="0" w:type="dxa"/>
            <w:bottom w:w="0" w:type="dxa"/>
          </w:tblCellMar>
        </w:tblPrEx>
        <w:trPr>
          <w:trHeight w:val="247"/>
        </w:trPr>
        <w:tc>
          <w:tcPr>
            <w:tcW w:w="5306" w:type="dxa"/>
            <w:hMerge w:val="restart"/>
            <w:tcBorders>
              <w:bottom w:val="single" w:sz="6" w:space="0" w:color="008000"/>
            </w:tcBorders>
          </w:tcPr>
          <w:p w:rsidR="007B7A21" w:rsidRPr="00AD33E8" w:rsidRDefault="007B7A21">
            <w:pPr>
              <w:spacing w:before="0" w:line="240" w:lineRule="auto"/>
              <w:rPr>
                <w:b/>
                <w:snapToGrid w:val="0"/>
                <w:lang w:eastAsia="sv-SE"/>
              </w:rPr>
            </w:pPr>
            <w:r w:rsidRPr="00AD33E8">
              <w:rPr>
                <w:b/>
                <w:snapToGrid w:val="0"/>
                <w:lang w:eastAsia="sv-SE"/>
              </w:rPr>
              <w:t>Tabell 12: Antal pensionärer och utbetalt belopp, tusen kronor – f.d. statligt anställda</w:t>
            </w:r>
          </w:p>
        </w:tc>
        <w:tc>
          <w:tcPr>
            <w:hMerge/>
            <w:tcBorders>
              <w:bottom w:val="single" w:sz="6" w:space="0" w:color="008000"/>
            </w:tcBorders>
          </w:tcPr>
          <w:p w:rsidR="007B7A21" w:rsidRPr="00AD33E8" w:rsidRDefault="007B7A21">
            <w:pPr>
              <w:spacing w:before="0"/>
              <w:jc w:val="right"/>
              <w:rPr>
                <w:rFonts w:ascii="Arial" w:hAnsi="Arial"/>
                <w:snapToGrid w:val="0"/>
                <w:lang w:eastAsia="sv-SE"/>
              </w:rPr>
            </w:pPr>
          </w:p>
        </w:tc>
        <w:tc>
          <w:tcPr>
            <w:gridSpan w:val="5"/>
            <w:hMerge/>
            <w:tcBorders>
              <w:bottom w:val="single" w:sz="6" w:space="0" w:color="008000"/>
            </w:tcBorders>
          </w:tcPr>
          <w:p w:rsidR="007B7A21" w:rsidRPr="00AD33E8" w:rsidRDefault="007B7A21">
            <w:pPr>
              <w:spacing w:before="0"/>
              <w:jc w:val="right"/>
              <w:rPr>
                <w:rFonts w:ascii="Arial" w:hAnsi="Arial"/>
                <w:snapToGrid w:val="0"/>
                <w:lang w:eastAsia="sv-SE"/>
              </w:rPr>
            </w:pPr>
          </w:p>
        </w:tc>
      </w:tr>
      <w:tr w:rsidR="00000000" w:rsidRPr="00AD33E8">
        <w:tblPrEx>
          <w:tblCellMar>
            <w:top w:w="0" w:type="dxa"/>
            <w:bottom w:w="0" w:type="dxa"/>
          </w:tblCellMar>
        </w:tblPrEx>
        <w:trPr>
          <w:gridAfter w:val="1"/>
          <w:wAfter w:w="173" w:type="dxa"/>
          <w:trHeight w:val="247"/>
        </w:trPr>
        <w:tc>
          <w:tcPr>
            <w:tcW w:w="1731" w:type="dxa"/>
            <w:gridSpan w:val="3"/>
            <w:tcBorders>
              <w:top w:val="nil"/>
            </w:tcBorders>
          </w:tcPr>
          <w:p w:rsidR="007B7A21" w:rsidRPr="00AD33E8" w:rsidRDefault="007B7A21">
            <w:pPr>
              <w:spacing w:before="0" w:line="240" w:lineRule="auto"/>
              <w:jc w:val="left"/>
              <w:rPr>
                <w:snapToGrid w:val="0"/>
                <w:lang w:eastAsia="sv-SE"/>
              </w:rPr>
            </w:pPr>
            <w:r w:rsidRPr="00AD33E8">
              <w:rPr>
                <w:snapToGrid w:val="0"/>
                <w:lang w:eastAsia="sv-SE"/>
              </w:rPr>
              <w:t>År</w:t>
            </w:r>
          </w:p>
        </w:tc>
        <w:tc>
          <w:tcPr>
            <w:tcW w:w="1134" w:type="dxa"/>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Antal</w:t>
            </w:r>
          </w:p>
        </w:tc>
        <w:tc>
          <w:tcPr>
            <w:tcW w:w="2268" w:type="dxa"/>
            <w:gridSpan w:val="2"/>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Belopp</w:t>
            </w:r>
          </w:p>
        </w:tc>
      </w:tr>
      <w:tr w:rsidR="00000000" w:rsidRPr="00AD33E8">
        <w:tblPrEx>
          <w:tblCellMar>
            <w:top w:w="0" w:type="dxa"/>
            <w:bottom w:w="0" w:type="dxa"/>
          </w:tblCellMar>
        </w:tblPrEx>
        <w:trPr>
          <w:gridAfter w:val="1"/>
          <w:wAfter w:w="173" w:type="dxa"/>
          <w:trHeight w:val="247"/>
        </w:trPr>
        <w:tc>
          <w:tcPr>
            <w:tcW w:w="1731" w:type="dxa"/>
            <w:gridSpan w:val="3"/>
          </w:tcPr>
          <w:p w:rsidR="007B7A21" w:rsidRPr="00AD33E8" w:rsidRDefault="007B7A21">
            <w:pPr>
              <w:spacing w:before="0" w:line="240" w:lineRule="auto"/>
              <w:jc w:val="left"/>
              <w:rPr>
                <w:snapToGrid w:val="0"/>
                <w:lang w:eastAsia="sv-SE"/>
              </w:rPr>
            </w:pPr>
            <w:r w:rsidRPr="00AD33E8">
              <w:rPr>
                <w:snapToGrid w:val="0"/>
                <w:lang w:eastAsia="sv-SE"/>
              </w:rPr>
              <w:t>1990</w:t>
            </w:r>
          </w:p>
        </w:tc>
        <w:tc>
          <w:tcPr>
            <w:tcW w:w="1134" w:type="dxa"/>
          </w:tcPr>
          <w:p w:rsidR="007B7A21" w:rsidRPr="00AD33E8" w:rsidRDefault="007B7A21">
            <w:pPr>
              <w:spacing w:before="0" w:line="240" w:lineRule="auto"/>
              <w:jc w:val="right"/>
              <w:rPr>
                <w:snapToGrid w:val="0"/>
                <w:lang w:eastAsia="sv-SE"/>
              </w:rPr>
            </w:pPr>
            <w:r w:rsidRPr="00AD33E8">
              <w:rPr>
                <w:snapToGrid w:val="0"/>
                <w:lang w:eastAsia="sv-SE"/>
              </w:rPr>
              <w:t>218 476</w:t>
            </w:r>
          </w:p>
        </w:tc>
        <w:tc>
          <w:tcPr>
            <w:tcW w:w="2268" w:type="dxa"/>
            <w:gridSpan w:val="2"/>
          </w:tcPr>
          <w:p w:rsidR="007B7A21" w:rsidRPr="00AD33E8" w:rsidRDefault="007B7A21">
            <w:pPr>
              <w:spacing w:before="0" w:line="240" w:lineRule="auto"/>
              <w:jc w:val="right"/>
              <w:rPr>
                <w:snapToGrid w:val="0"/>
                <w:lang w:eastAsia="sv-SE"/>
              </w:rPr>
            </w:pPr>
            <w:r w:rsidRPr="00AD33E8">
              <w:rPr>
                <w:snapToGrid w:val="0"/>
                <w:lang w:eastAsia="sv-SE"/>
              </w:rPr>
              <w:t>4 920 500</w:t>
            </w:r>
          </w:p>
        </w:tc>
      </w:tr>
      <w:tr w:rsidR="00000000" w:rsidRPr="00AD33E8">
        <w:tblPrEx>
          <w:tblCellMar>
            <w:top w:w="0" w:type="dxa"/>
            <w:bottom w:w="0" w:type="dxa"/>
          </w:tblCellMar>
        </w:tblPrEx>
        <w:trPr>
          <w:gridAfter w:val="1"/>
          <w:wAfter w:w="173" w:type="dxa"/>
          <w:trHeight w:val="247"/>
        </w:trPr>
        <w:tc>
          <w:tcPr>
            <w:tcW w:w="1731" w:type="dxa"/>
            <w:gridSpan w:val="3"/>
          </w:tcPr>
          <w:p w:rsidR="007B7A21" w:rsidRPr="00AD33E8" w:rsidRDefault="007B7A21">
            <w:pPr>
              <w:spacing w:before="0" w:line="240" w:lineRule="auto"/>
              <w:jc w:val="left"/>
              <w:rPr>
                <w:snapToGrid w:val="0"/>
                <w:lang w:eastAsia="sv-SE"/>
              </w:rPr>
            </w:pPr>
            <w:r w:rsidRPr="00AD33E8">
              <w:rPr>
                <w:snapToGrid w:val="0"/>
                <w:lang w:eastAsia="sv-SE"/>
              </w:rPr>
              <w:t>1991</w:t>
            </w:r>
          </w:p>
        </w:tc>
        <w:tc>
          <w:tcPr>
            <w:tcW w:w="1134" w:type="dxa"/>
          </w:tcPr>
          <w:p w:rsidR="007B7A21" w:rsidRPr="00AD33E8" w:rsidRDefault="007B7A21">
            <w:pPr>
              <w:spacing w:before="0" w:line="240" w:lineRule="auto"/>
              <w:jc w:val="right"/>
              <w:rPr>
                <w:snapToGrid w:val="0"/>
                <w:lang w:eastAsia="sv-SE"/>
              </w:rPr>
            </w:pPr>
            <w:r w:rsidRPr="00AD33E8">
              <w:rPr>
                <w:snapToGrid w:val="0"/>
                <w:lang w:eastAsia="sv-SE"/>
              </w:rPr>
              <w:t>220 589</w:t>
            </w:r>
          </w:p>
        </w:tc>
        <w:tc>
          <w:tcPr>
            <w:tcW w:w="2268" w:type="dxa"/>
            <w:gridSpan w:val="2"/>
          </w:tcPr>
          <w:p w:rsidR="007B7A21" w:rsidRPr="00AD33E8" w:rsidRDefault="007B7A21">
            <w:pPr>
              <w:spacing w:before="0" w:line="240" w:lineRule="auto"/>
              <w:jc w:val="right"/>
              <w:rPr>
                <w:snapToGrid w:val="0"/>
                <w:lang w:eastAsia="sv-SE"/>
              </w:rPr>
            </w:pPr>
            <w:r w:rsidRPr="00AD33E8">
              <w:rPr>
                <w:snapToGrid w:val="0"/>
                <w:lang w:eastAsia="sv-SE"/>
              </w:rPr>
              <w:t>5 167 100</w:t>
            </w:r>
          </w:p>
        </w:tc>
      </w:tr>
      <w:tr w:rsidR="00000000" w:rsidRPr="00AD33E8">
        <w:tblPrEx>
          <w:tblCellMar>
            <w:top w:w="0" w:type="dxa"/>
            <w:bottom w:w="0" w:type="dxa"/>
          </w:tblCellMar>
        </w:tblPrEx>
        <w:trPr>
          <w:gridAfter w:val="1"/>
          <w:wAfter w:w="173" w:type="dxa"/>
          <w:trHeight w:val="247"/>
        </w:trPr>
        <w:tc>
          <w:tcPr>
            <w:tcW w:w="1731" w:type="dxa"/>
            <w:gridSpan w:val="3"/>
          </w:tcPr>
          <w:p w:rsidR="007B7A21" w:rsidRPr="00AD33E8" w:rsidRDefault="007B7A21">
            <w:pPr>
              <w:spacing w:before="0" w:line="240" w:lineRule="auto"/>
              <w:jc w:val="left"/>
              <w:rPr>
                <w:snapToGrid w:val="0"/>
                <w:lang w:eastAsia="sv-SE"/>
              </w:rPr>
            </w:pPr>
            <w:r w:rsidRPr="00AD33E8">
              <w:rPr>
                <w:snapToGrid w:val="0"/>
                <w:lang w:eastAsia="sv-SE"/>
              </w:rPr>
              <w:t>1992</w:t>
            </w:r>
          </w:p>
        </w:tc>
        <w:tc>
          <w:tcPr>
            <w:tcW w:w="1134" w:type="dxa"/>
          </w:tcPr>
          <w:p w:rsidR="007B7A21" w:rsidRPr="00AD33E8" w:rsidRDefault="007B7A21">
            <w:pPr>
              <w:spacing w:before="0" w:line="240" w:lineRule="auto"/>
              <w:jc w:val="right"/>
              <w:rPr>
                <w:snapToGrid w:val="0"/>
                <w:lang w:eastAsia="sv-SE"/>
              </w:rPr>
            </w:pPr>
            <w:r w:rsidRPr="00AD33E8">
              <w:rPr>
                <w:snapToGrid w:val="0"/>
                <w:lang w:eastAsia="sv-SE"/>
              </w:rPr>
              <w:t>219 917</w:t>
            </w:r>
          </w:p>
        </w:tc>
        <w:tc>
          <w:tcPr>
            <w:tcW w:w="2268" w:type="dxa"/>
            <w:gridSpan w:val="2"/>
          </w:tcPr>
          <w:p w:rsidR="007B7A21" w:rsidRPr="00AD33E8" w:rsidRDefault="007B7A21">
            <w:pPr>
              <w:spacing w:before="0" w:line="240" w:lineRule="auto"/>
              <w:jc w:val="right"/>
              <w:rPr>
                <w:snapToGrid w:val="0"/>
                <w:lang w:eastAsia="sv-SE"/>
              </w:rPr>
            </w:pPr>
            <w:r w:rsidRPr="00AD33E8">
              <w:rPr>
                <w:snapToGrid w:val="0"/>
                <w:lang w:eastAsia="sv-SE"/>
              </w:rPr>
              <w:t>5 336 000</w:t>
            </w:r>
          </w:p>
        </w:tc>
      </w:tr>
      <w:tr w:rsidR="00000000" w:rsidRPr="00AD33E8">
        <w:tblPrEx>
          <w:tblCellMar>
            <w:top w:w="0" w:type="dxa"/>
            <w:bottom w:w="0" w:type="dxa"/>
          </w:tblCellMar>
        </w:tblPrEx>
        <w:trPr>
          <w:gridAfter w:val="1"/>
          <w:wAfter w:w="173" w:type="dxa"/>
          <w:trHeight w:val="247"/>
        </w:trPr>
        <w:tc>
          <w:tcPr>
            <w:tcW w:w="1731" w:type="dxa"/>
            <w:gridSpan w:val="3"/>
          </w:tcPr>
          <w:p w:rsidR="007B7A21" w:rsidRPr="00AD33E8" w:rsidRDefault="007B7A21">
            <w:pPr>
              <w:spacing w:before="0" w:line="240" w:lineRule="auto"/>
              <w:jc w:val="left"/>
              <w:rPr>
                <w:snapToGrid w:val="0"/>
                <w:lang w:eastAsia="sv-SE"/>
              </w:rPr>
            </w:pPr>
            <w:r w:rsidRPr="00AD33E8">
              <w:rPr>
                <w:snapToGrid w:val="0"/>
                <w:lang w:eastAsia="sv-SE"/>
              </w:rPr>
              <w:t>1993</w:t>
            </w:r>
          </w:p>
        </w:tc>
        <w:tc>
          <w:tcPr>
            <w:tcW w:w="1134" w:type="dxa"/>
          </w:tcPr>
          <w:p w:rsidR="007B7A21" w:rsidRPr="00AD33E8" w:rsidRDefault="007B7A21">
            <w:pPr>
              <w:spacing w:before="0" w:line="240" w:lineRule="auto"/>
              <w:jc w:val="right"/>
              <w:rPr>
                <w:snapToGrid w:val="0"/>
                <w:lang w:eastAsia="sv-SE"/>
              </w:rPr>
            </w:pPr>
            <w:r w:rsidRPr="00AD33E8">
              <w:rPr>
                <w:snapToGrid w:val="0"/>
                <w:lang w:eastAsia="sv-SE"/>
              </w:rPr>
              <w:t>220 039</w:t>
            </w:r>
          </w:p>
        </w:tc>
        <w:tc>
          <w:tcPr>
            <w:tcW w:w="2268" w:type="dxa"/>
            <w:gridSpan w:val="2"/>
          </w:tcPr>
          <w:p w:rsidR="007B7A21" w:rsidRPr="00AD33E8" w:rsidRDefault="007B7A21">
            <w:pPr>
              <w:spacing w:before="0" w:line="240" w:lineRule="auto"/>
              <w:jc w:val="right"/>
              <w:rPr>
                <w:snapToGrid w:val="0"/>
                <w:lang w:eastAsia="sv-SE"/>
              </w:rPr>
            </w:pPr>
            <w:r w:rsidRPr="00AD33E8">
              <w:rPr>
                <w:snapToGrid w:val="0"/>
                <w:lang w:eastAsia="sv-SE"/>
              </w:rPr>
              <w:t>5 429 500</w:t>
            </w:r>
          </w:p>
        </w:tc>
      </w:tr>
      <w:tr w:rsidR="00000000" w:rsidRPr="00AD33E8">
        <w:tblPrEx>
          <w:tblCellMar>
            <w:top w:w="0" w:type="dxa"/>
            <w:bottom w:w="0" w:type="dxa"/>
          </w:tblCellMar>
        </w:tblPrEx>
        <w:trPr>
          <w:gridAfter w:val="1"/>
          <w:wAfter w:w="173" w:type="dxa"/>
          <w:trHeight w:val="247"/>
        </w:trPr>
        <w:tc>
          <w:tcPr>
            <w:tcW w:w="1731" w:type="dxa"/>
            <w:gridSpan w:val="3"/>
          </w:tcPr>
          <w:p w:rsidR="007B7A21" w:rsidRPr="00AD33E8" w:rsidRDefault="007B7A21">
            <w:pPr>
              <w:spacing w:before="0" w:line="240" w:lineRule="auto"/>
              <w:jc w:val="left"/>
              <w:rPr>
                <w:snapToGrid w:val="0"/>
                <w:lang w:eastAsia="sv-SE"/>
              </w:rPr>
            </w:pPr>
            <w:r w:rsidRPr="00AD33E8">
              <w:rPr>
                <w:snapToGrid w:val="0"/>
                <w:lang w:eastAsia="sv-SE"/>
              </w:rPr>
              <w:t>1994</w:t>
            </w:r>
          </w:p>
        </w:tc>
        <w:tc>
          <w:tcPr>
            <w:tcW w:w="1134" w:type="dxa"/>
          </w:tcPr>
          <w:p w:rsidR="007B7A21" w:rsidRPr="00AD33E8" w:rsidRDefault="007B7A21">
            <w:pPr>
              <w:spacing w:before="0" w:line="240" w:lineRule="auto"/>
              <w:jc w:val="right"/>
              <w:rPr>
                <w:snapToGrid w:val="0"/>
                <w:lang w:eastAsia="sv-SE"/>
              </w:rPr>
            </w:pPr>
            <w:r w:rsidRPr="00AD33E8">
              <w:rPr>
                <w:snapToGrid w:val="0"/>
                <w:lang w:eastAsia="sv-SE"/>
              </w:rPr>
              <w:t>220 668</w:t>
            </w:r>
          </w:p>
        </w:tc>
        <w:tc>
          <w:tcPr>
            <w:tcW w:w="2268" w:type="dxa"/>
            <w:gridSpan w:val="2"/>
          </w:tcPr>
          <w:p w:rsidR="007B7A21" w:rsidRPr="00AD33E8" w:rsidRDefault="007B7A21">
            <w:pPr>
              <w:spacing w:before="0" w:line="240" w:lineRule="auto"/>
              <w:jc w:val="right"/>
              <w:rPr>
                <w:snapToGrid w:val="0"/>
                <w:lang w:eastAsia="sv-SE"/>
              </w:rPr>
            </w:pPr>
            <w:r w:rsidRPr="00AD33E8">
              <w:rPr>
                <w:snapToGrid w:val="0"/>
                <w:lang w:eastAsia="sv-SE"/>
              </w:rPr>
              <w:t>5 348 700</w:t>
            </w:r>
          </w:p>
        </w:tc>
      </w:tr>
      <w:tr w:rsidR="00000000" w:rsidRPr="00AD33E8">
        <w:tblPrEx>
          <w:tblCellMar>
            <w:top w:w="0" w:type="dxa"/>
            <w:bottom w:w="0" w:type="dxa"/>
          </w:tblCellMar>
        </w:tblPrEx>
        <w:trPr>
          <w:gridAfter w:val="1"/>
          <w:wAfter w:w="173" w:type="dxa"/>
          <w:trHeight w:val="247"/>
        </w:trPr>
        <w:tc>
          <w:tcPr>
            <w:tcW w:w="1731" w:type="dxa"/>
            <w:gridSpan w:val="3"/>
          </w:tcPr>
          <w:p w:rsidR="007B7A21" w:rsidRPr="00AD33E8" w:rsidRDefault="007B7A21">
            <w:pPr>
              <w:spacing w:before="0" w:line="240" w:lineRule="auto"/>
              <w:jc w:val="left"/>
              <w:rPr>
                <w:snapToGrid w:val="0"/>
                <w:lang w:eastAsia="sv-SE"/>
              </w:rPr>
            </w:pPr>
            <w:r w:rsidRPr="00AD33E8">
              <w:rPr>
                <w:snapToGrid w:val="0"/>
                <w:lang w:eastAsia="sv-SE"/>
              </w:rPr>
              <w:t>1995</w:t>
            </w:r>
          </w:p>
        </w:tc>
        <w:tc>
          <w:tcPr>
            <w:tcW w:w="1134" w:type="dxa"/>
          </w:tcPr>
          <w:p w:rsidR="007B7A21" w:rsidRPr="00AD33E8" w:rsidRDefault="007B7A21">
            <w:pPr>
              <w:spacing w:before="0" w:line="240" w:lineRule="auto"/>
              <w:jc w:val="right"/>
              <w:rPr>
                <w:snapToGrid w:val="0"/>
                <w:lang w:eastAsia="sv-SE"/>
              </w:rPr>
            </w:pPr>
            <w:r w:rsidRPr="00AD33E8">
              <w:rPr>
                <w:snapToGrid w:val="0"/>
                <w:lang w:eastAsia="sv-SE"/>
              </w:rPr>
              <w:t>220 031</w:t>
            </w:r>
          </w:p>
        </w:tc>
        <w:tc>
          <w:tcPr>
            <w:tcW w:w="2268" w:type="dxa"/>
            <w:gridSpan w:val="2"/>
          </w:tcPr>
          <w:p w:rsidR="007B7A21" w:rsidRPr="00AD33E8" w:rsidRDefault="007B7A21">
            <w:pPr>
              <w:spacing w:before="0" w:line="240" w:lineRule="auto"/>
              <w:jc w:val="right"/>
              <w:rPr>
                <w:snapToGrid w:val="0"/>
                <w:lang w:eastAsia="sv-SE"/>
              </w:rPr>
            </w:pPr>
            <w:r w:rsidRPr="00AD33E8">
              <w:rPr>
                <w:snapToGrid w:val="0"/>
                <w:lang w:eastAsia="sv-SE"/>
              </w:rPr>
              <w:t>5 451 000</w:t>
            </w:r>
          </w:p>
        </w:tc>
      </w:tr>
      <w:tr w:rsidR="00000000" w:rsidRPr="00AD33E8">
        <w:tblPrEx>
          <w:tblCellMar>
            <w:top w:w="0" w:type="dxa"/>
            <w:bottom w:w="0" w:type="dxa"/>
          </w:tblCellMar>
        </w:tblPrEx>
        <w:trPr>
          <w:gridAfter w:val="1"/>
          <w:wAfter w:w="173" w:type="dxa"/>
          <w:trHeight w:val="247"/>
        </w:trPr>
        <w:tc>
          <w:tcPr>
            <w:tcW w:w="1731" w:type="dxa"/>
            <w:gridSpan w:val="3"/>
          </w:tcPr>
          <w:p w:rsidR="007B7A21" w:rsidRPr="00AD33E8" w:rsidRDefault="007B7A21">
            <w:pPr>
              <w:spacing w:before="0" w:line="240" w:lineRule="auto"/>
              <w:jc w:val="left"/>
              <w:rPr>
                <w:snapToGrid w:val="0"/>
                <w:lang w:eastAsia="sv-SE"/>
              </w:rPr>
            </w:pPr>
            <w:r w:rsidRPr="00AD33E8">
              <w:rPr>
                <w:snapToGrid w:val="0"/>
                <w:lang w:eastAsia="sv-SE"/>
              </w:rPr>
              <w:t>1996</w:t>
            </w:r>
          </w:p>
        </w:tc>
        <w:tc>
          <w:tcPr>
            <w:tcW w:w="1134" w:type="dxa"/>
          </w:tcPr>
          <w:p w:rsidR="007B7A21" w:rsidRPr="00AD33E8" w:rsidRDefault="007B7A21">
            <w:pPr>
              <w:spacing w:before="0" w:line="240" w:lineRule="auto"/>
              <w:jc w:val="right"/>
              <w:rPr>
                <w:snapToGrid w:val="0"/>
                <w:lang w:eastAsia="sv-SE"/>
              </w:rPr>
            </w:pPr>
            <w:r w:rsidRPr="00AD33E8">
              <w:rPr>
                <w:snapToGrid w:val="0"/>
                <w:lang w:eastAsia="sv-SE"/>
              </w:rPr>
              <w:t>218 942</w:t>
            </w:r>
          </w:p>
        </w:tc>
        <w:tc>
          <w:tcPr>
            <w:tcW w:w="2268" w:type="dxa"/>
            <w:gridSpan w:val="2"/>
          </w:tcPr>
          <w:p w:rsidR="007B7A21" w:rsidRPr="00AD33E8" w:rsidRDefault="007B7A21">
            <w:pPr>
              <w:spacing w:before="0" w:line="240" w:lineRule="auto"/>
              <w:jc w:val="right"/>
              <w:rPr>
                <w:snapToGrid w:val="0"/>
                <w:lang w:eastAsia="sv-SE"/>
              </w:rPr>
            </w:pPr>
            <w:r w:rsidRPr="00AD33E8">
              <w:rPr>
                <w:snapToGrid w:val="0"/>
                <w:lang w:eastAsia="sv-SE"/>
              </w:rPr>
              <w:t>5 793 600</w:t>
            </w:r>
          </w:p>
        </w:tc>
      </w:tr>
      <w:tr w:rsidR="00000000" w:rsidRPr="00AD33E8">
        <w:tblPrEx>
          <w:tblCellMar>
            <w:top w:w="0" w:type="dxa"/>
            <w:bottom w:w="0" w:type="dxa"/>
          </w:tblCellMar>
        </w:tblPrEx>
        <w:trPr>
          <w:gridAfter w:val="1"/>
          <w:wAfter w:w="173" w:type="dxa"/>
          <w:trHeight w:val="247"/>
        </w:trPr>
        <w:tc>
          <w:tcPr>
            <w:tcW w:w="1731" w:type="dxa"/>
            <w:gridSpan w:val="3"/>
          </w:tcPr>
          <w:p w:rsidR="007B7A21" w:rsidRPr="00AD33E8" w:rsidRDefault="007B7A21">
            <w:pPr>
              <w:spacing w:before="0" w:line="240" w:lineRule="auto"/>
              <w:jc w:val="left"/>
              <w:rPr>
                <w:snapToGrid w:val="0"/>
                <w:lang w:eastAsia="sv-SE"/>
              </w:rPr>
            </w:pPr>
            <w:r w:rsidRPr="00AD33E8">
              <w:rPr>
                <w:snapToGrid w:val="0"/>
                <w:lang w:eastAsia="sv-SE"/>
              </w:rPr>
              <w:t>1997</w:t>
            </w:r>
          </w:p>
        </w:tc>
        <w:tc>
          <w:tcPr>
            <w:tcW w:w="1134" w:type="dxa"/>
          </w:tcPr>
          <w:p w:rsidR="007B7A21" w:rsidRPr="00AD33E8" w:rsidRDefault="007B7A21">
            <w:pPr>
              <w:spacing w:before="0" w:line="240" w:lineRule="auto"/>
              <w:jc w:val="right"/>
              <w:rPr>
                <w:snapToGrid w:val="0"/>
                <w:lang w:eastAsia="sv-SE"/>
              </w:rPr>
            </w:pPr>
            <w:r w:rsidRPr="00AD33E8">
              <w:rPr>
                <w:snapToGrid w:val="0"/>
                <w:lang w:eastAsia="sv-SE"/>
              </w:rPr>
              <w:t>216 872</w:t>
            </w:r>
          </w:p>
        </w:tc>
        <w:tc>
          <w:tcPr>
            <w:tcW w:w="2268" w:type="dxa"/>
            <w:gridSpan w:val="2"/>
          </w:tcPr>
          <w:p w:rsidR="007B7A21" w:rsidRPr="00AD33E8" w:rsidRDefault="007B7A21">
            <w:pPr>
              <w:spacing w:before="0" w:line="240" w:lineRule="auto"/>
              <w:jc w:val="right"/>
              <w:rPr>
                <w:snapToGrid w:val="0"/>
                <w:lang w:eastAsia="sv-SE"/>
              </w:rPr>
            </w:pPr>
            <w:r w:rsidRPr="00AD33E8">
              <w:rPr>
                <w:snapToGrid w:val="0"/>
                <w:lang w:eastAsia="sv-SE"/>
              </w:rPr>
              <w:t>5 844 100</w:t>
            </w:r>
          </w:p>
        </w:tc>
      </w:tr>
      <w:tr w:rsidR="00000000" w:rsidRPr="00AD33E8">
        <w:tblPrEx>
          <w:tblCellMar>
            <w:top w:w="0" w:type="dxa"/>
            <w:bottom w:w="0" w:type="dxa"/>
          </w:tblCellMar>
        </w:tblPrEx>
        <w:trPr>
          <w:gridAfter w:val="1"/>
          <w:wAfter w:w="173" w:type="dxa"/>
          <w:trHeight w:val="247"/>
        </w:trPr>
        <w:tc>
          <w:tcPr>
            <w:tcW w:w="1731" w:type="dxa"/>
            <w:gridSpan w:val="3"/>
          </w:tcPr>
          <w:p w:rsidR="007B7A21" w:rsidRPr="00AD33E8" w:rsidRDefault="007B7A21">
            <w:pPr>
              <w:spacing w:before="0" w:line="240" w:lineRule="auto"/>
              <w:jc w:val="left"/>
              <w:rPr>
                <w:snapToGrid w:val="0"/>
                <w:lang w:eastAsia="sv-SE"/>
              </w:rPr>
            </w:pPr>
            <w:r w:rsidRPr="00AD33E8">
              <w:rPr>
                <w:snapToGrid w:val="0"/>
                <w:lang w:eastAsia="sv-SE"/>
              </w:rPr>
              <w:t>1998</w:t>
            </w:r>
          </w:p>
        </w:tc>
        <w:tc>
          <w:tcPr>
            <w:tcW w:w="1134" w:type="dxa"/>
          </w:tcPr>
          <w:p w:rsidR="007B7A21" w:rsidRPr="00AD33E8" w:rsidRDefault="007B7A21">
            <w:pPr>
              <w:spacing w:before="0" w:line="240" w:lineRule="auto"/>
              <w:jc w:val="right"/>
              <w:rPr>
                <w:snapToGrid w:val="0"/>
                <w:lang w:eastAsia="sv-SE"/>
              </w:rPr>
            </w:pPr>
            <w:r w:rsidRPr="00AD33E8">
              <w:rPr>
                <w:snapToGrid w:val="0"/>
                <w:lang w:eastAsia="sv-SE"/>
              </w:rPr>
              <w:t>215 768</w:t>
            </w:r>
          </w:p>
        </w:tc>
        <w:tc>
          <w:tcPr>
            <w:tcW w:w="2268" w:type="dxa"/>
            <w:gridSpan w:val="2"/>
          </w:tcPr>
          <w:p w:rsidR="007B7A21" w:rsidRPr="00AD33E8" w:rsidRDefault="007B7A21">
            <w:pPr>
              <w:spacing w:before="0" w:line="240" w:lineRule="auto"/>
              <w:jc w:val="right"/>
              <w:rPr>
                <w:snapToGrid w:val="0"/>
                <w:lang w:eastAsia="sv-SE"/>
              </w:rPr>
            </w:pPr>
            <w:r w:rsidRPr="00AD33E8">
              <w:rPr>
                <w:snapToGrid w:val="0"/>
                <w:lang w:eastAsia="sv-SE"/>
              </w:rPr>
              <w:t>5 801 500</w:t>
            </w:r>
          </w:p>
        </w:tc>
      </w:tr>
      <w:tr w:rsidR="00000000" w:rsidRPr="00AD33E8">
        <w:tblPrEx>
          <w:tblCellMar>
            <w:top w:w="0" w:type="dxa"/>
            <w:bottom w:w="0" w:type="dxa"/>
          </w:tblCellMar>
        </w:tblPrEx>
        <w:trPr>
          <w:gridAfter w:val="1"/>
          <w:wAfter w:w="173" w:type="dxa"/>
          <w:trHeight w:val="247"/>
        </w:trPr>
        <w:tc>
          <w:tcPr>
            <w:tcW w:w="1731" w:type="dxa"/>
            <w:gridSpan w:val="3"/>
          </w:tcPr>
          <w:p w:rsidR="007B7A21" w:rsidRPr="00AD33E8" w:rsidRDefault="007B7A21">
            <w:pPr>
              <w:spacing w:before="0" w:line="240" w:lineRule="auto"/>
              <w:jc w:val="left"/>
              <w:rPr>
                <w:snapToGrid w:val="0"/>
                <w:lang w:eastAsia="sv-SE"/>
              </w:rPr>
            </w:pPr>
            <w:r w:rsidRPr="00AD33E8">
              <w:rPr>
                <w:snapToGrid w:val="0"/>
                <w:lang w:eastAsia="sv-SE"/>
              </w:rPr>
              <w:t>1999</w:t>
            </w:r>
          </w:p>
        </w:tc>
        <w:tc>
          <w:tcPr>
            <w:tcW w:w="1134" w:type="dxa"/>
          </w:tcPr>
          <w:p w:rsidR="007B7A21" w:rsidRPr="00AD33E8" w:rsidRDefault="007B7A21">
            <w:pPr>
              <w:spacing w:before="0" w:line="240" w:lineRule="auto"/>
              <w:jc w:val="right"/>
              <w:rPr>
                <w:snapToGrid w:val="0"/>
                <w:lang w:eastAsia="sv-SE"/>
              </w:rPr>
            </w:pPr>
            <w:r w:rsidRPr="00AD33E8">
              <w:rPr>
                <w:snapToGrid w:val="0"/>
                <w:lang w:eastAsia="sv-SE"/>
              </w:rPr>
              <w:t>213 734</w:t>
            </w:r>
          </w:p>
        </w:tc>
        <w:tc>
          <w:tcPr>
            <w:tcW w:w="2268" w:type="dxa"/>
            <w:gridSpan w:val="2"/>
          </w:tcPr>
          <w:p w:rsidR="007B7A21" w:rsidRPr="00AD33E8" w:rsidRDefault="007B7A21">
            <w:pPr>
              <w:spacing w:before="0" w:line="240" w:lineRule="auto"/>
              <w:jc w:val="right"/>
              <w:rPr>
                <w:snapToGrid w:val="0"/>
                <w:lang w:eastAsia="sv-SE"/>
              </w:rPr>
            </w:pPr>
            <w:r w:rsidRPr="00AD33E8">
              <w:rPr>
                <w:snapToGrid w:val="0"/>
                <w:lang w:eastAsia="sv-SE"/>
              </w:rPr>
              <w:t>5 504 000</w:t>
            </w:r>
          </w:p>
        </w:tc>
      </w:tr>
      <w:tr w:rsidR="00000000" w:rsidRPr="00AD33E8">
        <w:tblPrEx>
          <w:tblCellMar>
            <w:top w:w="0" w:type="dxa"/>
            <w:bottom w:w="0" w:type="dxa"/>
          </w:tblCellMar>
        </w:tblPrEx>
        <w:trPr>
          <w:gridAfter w:val="1"/>
          <w:wAfter w:w="173" w:type="dxa"/>
          <w:trHeight w:val="247"/>
        </w:trPr>
        <w:tc>
          <w:tcPr>
            <w:tcW w:w="1731" w:type="dxa"/>
            <w:gridSpan w:val="3"/>
          </w:tcPr>
          <w:p w:rsidR="007B7A21" w:rsidRPr="00AD33E8" w:rsidRDefault="007B7A21">
            <w:pPr>
              <w:spacing w:before="0" w:line="240" w:lineRule="auto"/>
              <w:jc w:val="left"/>
              <w:rPr>
                <w:snapToGrid w:val="0"/>
                <w:lang w:eastAsia="sv-SE"/>
              </w:rPr>
            </w:pPr>
            <w:r w:rsidRPr="00AD33E8">
              <w:rPr>
                <w:snapToGrid w:val="0"/>
                <w:lang w:eastAsia="sv-SE"/>
              </w:rPr>
              <w:t>2000</w:t>
            </w:r>
          </w:p>
        </w:tc>
        <w:tc>
          <w:tcPr>
            <w:tcW w:w="1134" w:type="dxa"/>
          </w:tcPr>
          <w:p w:rsidR="007B7A21" w:rsidRPr="00AD33E8" w:rsidRDefault="007B7A21">
            <w:pPr>
              <w:spacing w:before="0" w:line="240" w:lineRule="auto"/>
              <w:jc w:val="right"/>
              <w:rPr>
                <w:snapToGrid w:val="0"/>
                <w:lang w:eastAsia="sv-SE"/>
              </w:rPr>
            </w:pPr>
            <w:r w:rsidRPr="00AD33E8">
              <w:rPr>
                <w:snapToGrid w:val="0"/>
                <w:lang w:eastAsia="sv-SE"/>
              </w:rPr>
              <w:t>211 726</w:t>
            </w:r>
          </w:p>
        </w:tc>
        <w:tc>
          <w:tcPr>
            <w:tcW w:w="2268" w:type="dxa"/>
            <w:gridSpan w:val="2"/>
          </w:tcPr>
          <w:p w:rsidR="007B7A21" w:rsidRPr="00AD33E8" w:rsidRDefault="007B7A21">
            <w:pPr>
              <w:spacing w:before="0" w:line="240" w:lineRule="auto"/>
              <w:jc w:val="right"/>
              <w:rPr>
                <w:snapToGrid w:val="0"/>
                <w:lang w:eastAsia="sv-SE"/>
              </w:rPr>
            </w:pPr>
            <w:r w:rsidRPr="00AD33E8">
              <w:rPr>
                <w:snapToGrid w:val="0"/>
                <w:lang w:eastAsia="sv-SE"/>
              </w:rPr>
              <w:t>5 532 500</w:t>
            </w:r>
          </w:p>
        </w:tc>
      </w:tr>
      <w:tr w:rsidR="00000000" w:rsidRPr="00AD33E8">
        <w:tblPrEx>
          <w:tblCellMar>
            <w:top w:w="0" w:type="dxa"/>
            <w:bottom w:w="0" w:type="dxa"/>
          </w:tblCellMar>
        </w:tblPrEx>
        <w:trPr>
          <w:gridAfter w:val="1"/>
          <w:wAfter w:w="173" w:type="dxa"/>
          <w:trHeight w:val="247"/>
        </w:trPr>
        <w:tc>
          <w:tcPr>
            <w:tcW w:w="1731" w:type="dxa"/>
            <w:gridSpan w:val="3"/>
          </w:tcPr>
          <w:p w:rsidR="007B7A21" w:rsidRPr="00AD33E8" w:rsidRDefault="007B7A21">
            <w:pPr>
              <w:spacing w:before="0" w:line="240" w:lineRule="auto"/>
              <w:jc w:val="left"/>
              <w:rPr>
                <w:snapToGrid w:val="0"/>
                <w:lang w:eastAsia="sv-SE"/>
              </w:rPr>
            </w:pPr>
            <w:r w:rsidRPr="00AD33E8">
              <w:rPr>
                <w:snapToGrid w:val="0"/>
                <w:lang w:eastAsia="sv-SE"/>
              </w:rPr>
              <w:t>Källa: SPV</w:t>
            </w:r>
          </w:p>
        </w:tc>
        <w:tc>
          <w:tcPr>
            <w:tcW w:w="3006" w:type="dxa"/>
            <w:gridSpan w:val="2"/>
          </w:tcPr>
          <w:p w:rsidR="007B7A21" w:rsidRPr="00AD33E8" w:rsidRDefault="007B7A21">
            <w:pPr>
              <w:spacing w:before="0" w:line="240" w:lineRule="auto"/>
              <w:jc w:val="right"/>
              <w:rPr>
                <w:snapToGrid w:val="0"/>
                <w:lang w:eastAsia="sv-SE"/>
              </w:rPr>
            </w:pPr>
          </w:p>
        </w:tc>
        <w:tc>
          <w:tcPr>
            <w:tcW w:w="396" w:type="dxa"/>
          </w:tcPr>
          <w:p w:rsidR="007B7A21" w:rsidRPr="00AD33E8" w:rsidRDefault="007B7A21">
            <w:pPr>
              <w:spacing w:before="0"/>
              <w:jc w:val="right"/>
              <w:rPr>
                <w:rFonts w:ascii="Arial" w:hAnsi="Arial"/>
                <w:snapToGrid w:val="0"/>
                <w:lang w:eastAsia="sv-SE"/>
              </w:rPr>
            </w:pPr>
          </w:p>
        </w:tc>
      </w:tr>
    </w:tbl>
    <w:p w:rsidR="007B7A21" w:rsidRPr="00AD33E8" w:rsidRDefault="007B7A21">
      <w:r w:rsidRPr="00AD33E8">
        <w:t>I en forskningsrapport av arbetslinjen för den äldre arbetskraften som genomfördes för revisorernas räkning i granskningen Arbetslinjens tilläm</w:t>
      </w:r>
      <w:r w:rsidRPr="00AD33E8">
        <w:t>p</w:t>
      </w:r>
      <w:r w:rsidRPr="00AD33E8">
        <w:t>ning för de äldre (1999/2000:7) framkom att staten verkade vara lika ben</w:t>
      </w:r>
      <w:r w:rsidRPr="00AD33E8">
        <w:t>ä</w:t>
      </w:r>
      <w:r w:rsidRPr="00AD33E8">
        <w:t>gen som andra arbetsgivare att söka olika avtalslösningar för att vid pers</w:t>
      </w:r>
      <w:r w:rsidRPr="00AD33E8">
        <w:t>o</w:t>
      </w:r>
      <w:r w:rsidRPr="00AD33E8">
        <w:t>nalneddragningar låta den äldre arbetskraften gå först. Flertalet statsanställda lämnade sin anställning några år före ordinarie pensionsålder. Dessutom användes enligt studien flera olika åtgärder som syftar till att hjälpa personal som ska avvecklas till ett nytt arbete. Myndigheter som upplevde en trängd finansiell situation använde pensionslösningar som med</w:t>
      </w:r>
      <w:r w:rsidRPr="00AD33E8">
        <w:t>el för att minska personalkostnaderna. Med detta perspektiv kan det sägas finnas en diskr</w:t>
      </w:r>
      <w:r w:rsidRPr="00AD33E8">
        <w:t>e</w:t>
      </w:r>
      <w:r w:rsidRPr="00AD33E8">
        <w:t>pans mellan mål och förväntat utfall. Enligt en personalpolitisk norm, u</w:t>
      </w:r>
      <w:r w:rsidRPr="00AD33E8">
        <w:t>t</w:t>
      </w:r>
      <w:r w:rsidRPr="00AD33E8">
        <w:t>tryckt av revisorerna, bör inte antalet pensioner öka under en omställningsp</w:t>
      </w:r>
      <w:r w:rsidRPr="00AD33E8">
        <w:t>e</w:t>
      </w:r>
      <w:r w:rsidRPr="00AD33E8">
        <w:t>riod. Staten som föredömlig arbetsgivare bör inte nyttja förtida pensionering som omställning</w:t>
      </w:r>
      <w:r w:rsidRPr="00AD33E8">
        <w:t>s</w:t>
      </w:r>
      <w:r w:rsidRPr="00AD33E8">
        <w:t xml:space="preserve">medel. </w:t>
      </w:r>
    </w:p>
    <w:p w:rsidR="007B7A21" w:rsidRPr="00AD33E8" w:rsidRDefault="007B7A21">
      <w:pPr>
        <w:pStyle w:val="Normaltindrag"/>
      </w:pPr>
      <w:r w:rsidRPr="00AD33E8">
        <w:t>I den nämnda forskningsrapporten visades hur staten under 1990-talet u</w:t>
      </w:r>
      <w:r w:rsidRPr="00AD33E8">
        <w:t>t</w:t>
      </w:r>
      <w:r w:rsidRPr="00AD33E8">
        <w:t xml:space="preserve">nyttjat olika pensionsformer i den pågående omstruktureringen, se tabell 13. Några olika typer av pensionsmöjligheter visar en ökad frekvens under det tidiga 1990-talet. </w:t>
      </w:r>
    </w:p>
    <w:p w:rsidR="007B7A21" w:rsidRPr="00AD33E8" w:rsidRDefault="007B7A21">
      <w:pPr>
        <w:pStyle w:val="Normaltindrag"/>
      </w:pP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1"/>
        <w:gridCol w:w="1"/>
        <w:gridCol w:w="1"/>
        <w:gridCol w:w="736"/>
        <w:gridCol w:w="1418"/>
        <w:gridCol w:w="1701"/>
        <w:gridCol w:w="1701"/>
      </w:tblGrid>
      <w:tr w:rsidR="00000000" w:rsidRPr="00AD33E8">
        <w:tblPrEx>
          <w:tblCellMar>
            <w:top w:w="0" w:type="dxa"/>
            <w:bottom w:w="0" w:type="dxa"/>
          </w:tblCellMar>
        </w:tblPrEx>
        <w:trPr>
          <w:trHeight w:val="247"/>
        </w:trPr>
        <w:tc>
          <w:tcPr>
            <w:tcW w:w="5559" w:type="dxa"/>
            <w:hMerge w:val="restart"/>
            <w:tcBorders>
              <w:bottom w:val="single" w:sz="6" w:space="0" w:color="008000"/>
            </w:tcBorders>
          </w:tcPr>
          <w:p w:rsidR="007B7A21" w:rsidRPr="00AD33E8" w:rsidRDefault="007B7A21">
            <w:pPr>
              <w:spacing w:before="0" w:line="240" w:lineRule="auto"/>
              <w:rPr>
                <w:b/>
                <w:snapToGrid w:val="0"/>
                <w:lang w:eastAsia="sv-SE"/>
              </w:rPr>
            </w:pPr>
            <w:r w:rsidRPr="00AD33E8">
              <w:rPr>
                <w:b/>
                <w:snapToGrid w:val="0"/>
                <w:lang w:eastAsia="sv-SE"/>
              </w:rPr>
              <w:t>Tabell 13: Utveckling för olika pensionsformer åren 1992-1998, staten.</w:t>
            </w:r>
          </w:p>
        </w:tc>
        <w:tc>
          <w:tcPr>
            <w:hMerge/>
            <w:tcBorders>
              <w:bottom w:val="single" w:sz="6" w:space="0" w:color="008000"/>
            </w:tcBorders>
          </w:tcPr>
          <w:p w:rsidR="007B7A21" w:rsidRPr="00AD33E8" w:rsidRDefault="007B7A21">
            <w:pPr>
              <w:spacing w:before="0" w:line="240" w:lineRule="auto"/>
              <w:jc w:val="right"/>
              <w:rPr>
                <w:snapToGrid w:val="0"/>
                <w:lang w:eastAsia="sv-SE"/>
              </w:rPr>
            </w:pPr>
          </w:p>
        </w:tc>
        <w:tc>
          <w:tcPr>
            <w:hMerge/>
            <w:tcBorders>
              <w:bottom w:val="single" w:sz="6" w:space="0" w:color="008000"/>
            </w:tcBorders>
          </w:tcPr>
          <w:p w:rsidR="007B7A21" w:rsidRPr="00AD33E8" w:rsidRDefault="007B7A21">
            <w:pPr>
              <w:spacing w:before="0" w:line="240" w:lineRule="auto"/>
              <w:jc w:val="right"/>
              <w:rPr>
                <w:snapToGrid w:val="0"/>
                <w:lang w:eastAsia="sv-SE"/>
              </w:rPr>
            </w:pPr>
          </w:p>
        </w:tc>
        <w:tc>
          <w:tcPr>
            <w:gridSpan w:val="4"/>
            <w:hMerge/>
            <w:tcBorders>
              <w:bottom w:val="single" w:sz="6" w:space="0" w:color="008000"/>
            </w:tcBorders>
          </w:tcPr>
          <w:p w:rsidR="007B7A21" w:rsidRPr="00AD33E8" w:rsidRDefault="007B7A21">
            <w:pPr>
              <w:spacing w:before="0" w:line="240" w:lineRule="auto"/>
              <w:jc w:val="right"/>
              <w:rPr>
                <w:snapToGrid w:val="0"/>
                <w:lang w:eastAsia="sv-SE"/>
              </w:rPr>
            </w:pPr>
          </w:p>
        </w:tc>
      </w:tr>
      <w:tr w:rsidR="00000000" w:rsidRPr="00AD33E8">
        <w:tblPrEx>
          <w:tblCellMar>
            <w:top w:w="0" w:type="dxa"/>
            <w:bottom w:w="0" w:type="dxa"/>
          </w:tblCellMar>
        </w:tblPrEx>
        <w:tc>
          <w:tcPr>
            <w:tcW w:w="739" w:type="dxa"/>
            <w:gridSpan w:val="4"/>
            <w:tcBorders>
              <w:top w:val="nil"/>
            </w:tcBorders>
          </w:tcPr>
          <w:p w:rsidR="007B7A21" w:rsidRPr="00AD33E8" w:rsidRDefault="007B7A21">
            <w:pPr>
              <w:spacing w:before="120" w:line="240" w:lineRule="auto"/>
              <w:jc w:val="left"/>
              <w:rPr>
                <w:snapToGrid w:val="0"/>
                <w:lang w:eastAsia="sv-SE"/>
              </w:rPr>
            </w:pPr>
          </w:p>
        </w:tc>
        <w:tc>
          <w:tcPr>
            <w:tcW w:w="1418" w:type="dxa"/>
            <w:tcBorders>
              <w:top w:val="nil"/>
            </w:tcBorders>
          </w:tcPr>
          <w:p w:rsidR="007B7A21" w:rsidRPr="00AD33E8" w:rsidRDefault="007B7A21">
            <w:pPr>
              <w:spacing w:before="120" w:line="240" w:lineRule="auto"/>
              <w:jc w:val="left"/>
              <w:rPr>
                <w:snapToGrid w:val="0"/>
                <w:lang w:eastAsia="sv-SE"/>
              </w:rPr>
            </w:pPr>
            <w:r w:rsidRPr="00AD33E8">
              <w:rPr>
                <w:snapToGrid w:val="0"/>
                <w:lang w:eastAsia="sv-SE"/>
              </w:rPr>
              <w:t>Nybeviljade pen-sionsersät</w:t>
            </w:r>
            <w:r w:rsidRPr="00AD33E8">
              <w:rPr>
                <w:snapToGrid w:val="0"/>
                <w:lang w:eastAsia="sv-SE"/>
              </w:rPr>
              <w:t>t</w:t>
            </w:r>
            <w:r w:rsidRPr="00AD33E8">
              <w:rPr>
                <w:snapToGrid w:val="0"/>
                <w:lang w:eastAsia="sv-SE"/>
              </w:rPr>
              <w:t>ningar</w:t>
            </w:r>
          </w:p>
        </w:tc>
        <w:tc>
          <w:tcPr>
            <w:tcW w:w="1701" w:type="dxa"/>
            <w:tcBorders>
              <w:top w:val="nil"/>
            </w:tcBorders>
          </w:tcPr>
          <w:p w:rsidR="007B7A21" w:rsidRPr="00AD33E8" w:rsidRDefault="007B7A21">
            <w:pPr>
              <w:spacing w:before="120" w:line="240" w:lineRule="auto"/>
              <w:jc w:val="left"/>
              <w:rPr>
                <w:snapToGrid w:val="0"/>
                <w:lang w:eastAsia="sv-SE"/>
              </w:rPr>
            </w:pPr>
            <w:r w:rsidRPr="00AD33E8">
              <w:rPr>
                <w:snapToGrid w:val="0"/>
                <w:lang w:eastAsia="sv-SE"/>
              </w:rPr>
              <w:t>Antal tjänstepensi</w:t>
            </w:r>
            <w:r w:rsidRPr="00AD33E8">
              <w:rPr>
                <w:snapToGrid w:val="0"/>
                <w:lang w:eastAsia="sv-SE"/>
              </w:rPr>
              <w:t>o</w:t>
            </w:r>
            <w:r w:rsidRPr="00AD33E8">
              <w:rPr>
                <w:snapToGrid w:val="0"/>
                <w:lang w:eastAsia="sv-SE"/>
              </w:rPr>
              <w:t>ner med förtida uttag</w:t>
            </w:r>
          </w:p>
        </w:tc>
        <w:tc>
          <w:tcPr>
            <w:tcW w:w="1701" w:type="dxa"/>
            <w:tcBorders>
              <w:top w:val="nil"/>
            </w:tcBorders>
          </w:tcPr>
          <w:p w:rsidR="007B7A21" w:rsidRPr="00AD33E8" w:rsidRDefault="007B7A21">
            <w:pPr>
              <w:spacing w:before="120" w:line="240" w:lineRule="auto"/>
              <w:jc w:val="left"/>
              <w:rPr>
                <w:snapToGrid w:val="0"/>
                <w:lang w:eastAsia="sv-SE"/>
              </w:rPr>
            </w:pPr>
            <w:r w:rsidRPr="00AD33E8">
              <w:rPr>
                <w:snapToGrid w:val="0"/>
                <w:lang w:eastAsia="sv-SE"/>
              </w:rPr>
              <w:t>Sjukpenningsa</w:t>
            </w:r>
            <w:r w:rsidRPr="00AD33E8">
              <w:rPr>
                <w:snapToGrid w:val="0"/>
                <w:lang w:eastAsia="sv-SE"/>
              </w:rPr>
              <w:t>v</w:t>
            </w:r>
            <w:r w:rsidRPr="00AD33E8">
              <w:rPr>
                <w:snapToGrid w:val="0"/>
                <w:lang w:eastAsia="sv-SE"/>
              </w:rPr>
              <w:t>gångar enligt PA-91</w:t>
            </w:r>
          </w:p>
        </w:tc>
      </w:tr>
      <w:tr w:rsidR="00000000" w:rsidRPr="00AD33E8">
        <w:tblPrEx>
          <w:tblCellMar>
            <w:top w:w="0" w:type="dxa"/>
            <w:bottom w:w="0" w:type="dxa"/>
          </w:tblCellMar>
        </w:tblPrEx>
        <w:trPr>
          <w:trHeight w:val="247"/>
        </w:trPr>
        <w:tc>
          <w:tcPr>
            <w:tcW w:w="739" w:type="dxa"/>
            <w:gridSpan w:val="4"/>
          </w:tcPr>
          <w:p w:rsidR="007B7A21" w:rsidRPr="00AD33E8" w:rsidRDefault="007B7A21">
            <w:pPr>
              <w:spacing w:before="0" w:line="240" w:lineRule="auto"/>
              <w:jc w:val="left"/>
              <w:rPr>
                <w:snapToGrid w:val="0"/>
                <w:lang w:eastAsia="sv-SE"/>
              </w:rPr>
            </w:pPr>
            <w:r w:rsidRPr="00AD33E8">
              <w:rPr>
                <w:snapToGrid w:val="0"/>
                <w:lang w:eastAsia="sv-SE"/>
              </w:rPr>
              <w:t>1992</w:t>
            </w:r>
          </w:p>
        </w:tc>
        <w:tc>
          <w:tcPr>
            <w:tcW w:w="1418" w:type="dxa"/>
          </w:tcPr>
          <w:p w:rsidR="007B7A21" w:rsidRPr="00AD33E8" w:rsidRDefault="007B7A21">
            <w:pPr>
              <w:spacing w:before="0" w:line="240" w:lineRule="auto"/>
              <w:jc w:val="center"/>
              <w:rPr>
                <w:snapToGrid w:val="0"/>
                <w:lang w:eastAsia="sv-SE"/>
              </w:rPr>
            </w:pPr>
            <w:r w:rsidRPr="00AD33E8">
              <w:rPr>
                <w:snapToGrid w:val="0"/>
                <w:lang w:eastAsia="sv-SE"/>
              </w:rPr>
              <w:t>2 967</w:t>
            </w:r>
          </w:p>
        </w:tc>
        <w:tc>
          <w:tcPr>
            <w:tcW w:w="1701" w:type="dxa"/>
          </w:tcPr>
          <w:p w:rsidR="007B7A21" w:rsidRPr="00AD33E8" w:rsidRDefault="007B7A21">
            <w:pPr>
              <w:spacing w:before="0" w:line="240" w:lineRule="auto"/>
              <w:jc w:val="center"/>
              <w:rPr>
                <w:snapToGrid w:val="0"/>
                <w:lang w:eastAsia="sv-SE"/>
              </w:rPr>
            </w:pPr>
            <w:r w:rsidRPr="00AD33E8">
              <w:rPr>
                <w:snapToGrid w:val="0"/>
                <w:lang w:eastAsia="sv-SE"/>
              </w:rPr>
              <w:t xml:space="preserve">  53</w:t>
            </w:r>
          </w:p>
        </w:tc>
        <w:tc>
          <w:tcPr>
            <w:tcW w:w="1701" w:type="dxa"/>
          </w:tcPr>
          <w:p w:rsidR="007B7A21" w:rsidRPr="00AD33E8" w:rsidRDefault="007B7A21">
            <w:pPr>
              <w:spacing w:before="0" w:line="240" w:lineRule="auto"/>
              <w:jc w:val="center"/>
              <w:rPr>
                <w:snapToGrid w:val="0"/>
                <w:lang w:eastAsia="sv-SE"/>
              </w:rPr>
            </w:pPr>
            <w:r w:rsidRPr="00AD33E8">
              <w:rPr>
                <w:snapToGrid w:val="0"/>
                <w:lang w:eastAsia="sv-SE"/>
              </w:rPr>
              <w:t>2 339</w:t>
            </w:r>
          </w:p>
        </w:tc>
      </w:tr>
      <w:tr w:rsidR="00000000" w:rsidRPr="00AD33E8">
        <w:tblPrEx>
          <w:tblCellMar>
            <w:top w:w="0" w:type="dxa"/>
            <w:bottom w:w="0" w:type="dxa"/>
          </w:tblCellMar>
        </w:tblPrEx>
        <w:trPr>
          <w:trHeight w:val="247"/>
        </w:trPr>
        <w:tc>
          <w:tcPr>
            <w:tcW w:w="739" w:type="dxa"/>
            <w:gridSpan w:val="4"/>
          </w:tcPr>
          <w:p w:rsidR="007B7A21" w:rsidRPr="00AD33E8" w:rsidRDefault="007B7A21">
            <w:pPr>
              <w:spacing w:before="0" w:line="240" w:lineRule="auto"/>
              <w:jc w:val="left"/>
              <w:rPr>
                <w:snapToGrid w:val="0"/>
                <w:lang w:eastAsia="sv-SE"/>
              </w:rPr>
            </w:pPr>
            <w:r w:rsidRPr="00AD33E8">
              <w:rPr>
                <w:snapToGrid w:val="0"/>
                <w:lang w:eastAsia="sv-SE"/>
              </w:rPr>
              <w:t>1993</w:t>
            </w:r>
          </w:p>
        </w:tc>
        <w:tc>
          <w:tcPr>
            <w:tcW w:w="1418" w:type="dxa"/>
          </w:tcPr>
          <w:p w:rsidR="007B7A21" w:rsidRPr="00AD33E8" w:rsidRDefault="007B7A21">
            <w:pPr>
              <w:spacing w:before="0" w:line="240" w:lineRule="auto"/>
              <w:jc w:val="center"/>
              <w:rPr>
                <w:snapToGrid w:val="0"/>
                <w:lang w:eastAsia="sv-SE"/>
              </w:rPr>
            </w:pPr>
            <w:r w:rsidRPr="00AD33E8">
              <w:rPr>
                <w:snapToGrid w:val="0"/>
                <w:lang w:eastAsia="sv-SE"/>
              </w:rPr>
              <w:t>4 151</w:t>
            </w:r>
          </w:p>
        </w:tc>
        <w:tc>
          <w:tcPr>
            <w:tcW w:w="1701" w:type="dxa"/>
          </w:tcPr>
          <w:p w:rsidR="007B7A21" w:rsidRPr="00AD33E8" w:rsidRDefault="007B7A21">
            <w:pPr>
              <w:spacing w:before="0" w:line="240" w:lineRule="auto"/>
              <w:jc w:val="center"/>
              <w:rPr>
                <w:snapToGrid w:val="0"/>
                <w:lang w:eastAsia="sv-SE"/>
              </w:rPr>
            </w:pPr>
            <w:r w:rsidRPr="00AD33E8">
              <w:rPr>
                <w:snapToGrid w:val="0"/>
                <w:lang w:eastAsia="sv-SE"/>
              </w:rPr>
              <w:t>145</w:t>
            </w:r>
          </w:p>
        </w:tc>
        <w:tc>
          <w:tcPr>
            <w:tcW w:w="1701" w:type="dxa"/>
          </w:tcPr>
          <w:p w:rsidR="007B7A21" w:rsidRPr="00AD33E8" w:rsidRDefault="007B7A21">
            <w:pPr>
              <w:spacing w:before="0" w:line="240" w:lineRule="auto"/>
              <w:jc w:val="center"/>
              <w:rPr>
                <w:snapToGrid w:val="0"/>
                <w:lang w:eastAsia="sv-SE"/>
              </w:rPr>
            </w:pPr>
            <w:r w:rsidRPr="00AD33E8">
              <w:rPr>
                <w:snapToGrid w:val="0"/>
                <w:lang w:eastAsia="sv-SE"/>
              </w:rPr>
              <w:t>3 088</w:t>
            </w:r>
          </w:p>
        </w:tc>
      </w:tr>
      <w:tr w:rsidR="00000000" w:rsidRPr="00AD33E8">
        <w:tblPrEx>
          <w:tblCellMar>
            <w:top w:w="0" w:type="dxa"/>
            <w:bottom w:w="0" w:type="dxa"/>
          </w:tblCellMar>
        </w:tblPrEx>
        <w:trPr>
          <w:trHeight w:val="247"/>
        </w:trPr>
        <w:tc>
          <w:tcPr>
            <w:tcW w:w="739" w:type="dxa"/>
            <w:gridSpan w:val="4"/>
          </w:tcPr>
          <w:p w:rsidR="007B7A21" w:rsidRPr="00AD33E8" w:rsidRDefault="007B7A21">
            <w:pPr>
              <w:spacing w:before="0" w:line="240" w:lineRule="auto"/>
              <w:jc w:val="left"/>
              <w:rPr>
                <w:snapToGrid w:val="0"/>
                <w:lang w:eastAsia="sv-SE"/>
              </w:rPr>
            </w:pPr>
            <w:r w:rsidRPr="00AD33E8">
              <w:rPr>
                <w:snapToGrid w:val="0"/>
                <w:lang w:eastAsia="sv-SE"/>
              </w:rPr>
              <w:t>1994</w:t>
            </w:r>
          </w:p>
        </w:tc>
        <w:tc>
          <w:tcPr>
            <w:tcW w:w="1418" w:type="dxa"/>
          </w:tcPr>
          <w:p w:rsidR="007B7A21" w:rsidRPr="00AD33E8" w:rsidRDefault="007B7A21">
            <w:pPr>
              <w:spacing w:before="0" w:line="240" w:lineRule="auto"/>
              <w:jc w:val="center"/>
              <w:rPr>
                <w:snapToGrid w:val="0"/>
                <w:lang w:eastAsia="sv-SE"/>
              </w:rPr>
            </w:pPr>
            <w:r w:rsidRPr="00AD33E8">
              <w:rPr>
                <w:snapToGrid w:val="0"/>
                <w:lang w:eastAsia="sv-SE"/>
              </w:rPr>
              <w:t>3 683</w:t>
            </w:r>
          </w:p>
        </w:tc>
        <w:tc>
          <w:tcPr>
            <w:tcW w:w="1701" w:type="dxa"/>
          </w:tcPr>
          <w:p w:rsidR="007B7A21" w:rsidRPr="00AD33E8" w:rsidRDefault="007B7A21">
            <w:pPr>
              <w:spacing w:before="0" w:line="240" w:lineRule="auto"/>
              <w:jc w:val="center"/>
              <w:rPr>
                <w:snapToGrid w:val="0"/>
                <w:lang w:eastAsia="sv-SE"/>
              </w:rPr>
            </w:pPr>
            <w:r w:rsidRPr="00AD33E8">
              <w:rPr>
                <w:snapToGrid w:val="0"/>
                <w:lang w:eastAsia="sv-SE"/>
              </w:rPr>
              <w:t>162</w:t>
            </w:r>
          </w:p>
        </w:tc>
        <w:tc>
          <w:tcPr>
            <w:tcW w:w="1701" w:type="dxa"/>
          </w:tcPr>
          <w:p w:rsidR="007B7A21" w:rsidRPr="00AD33E8" w:rsidRDefault="007B7A21">
            <w:pPr>
              <w:spacing w:before="0" w:line="240" w:lineRule="auto"/>
              <w:jc w:val="center"/>
              <w:rPr>
                <w:snapToGrid w:val="0"/>
                <w:lang w:eastAsia="sv-SE"/>
              </w:rPr>
            </w:pPr>
            <w:r w:rsidRPr="00AD33E8">
              <w:rPr>
                <w:snapToGrid w:val="0"/>
                <w:lang w:eastAsia="sv-SE"/>
              </w:rPr>
              <w:t>2 224</w:t>
            </w:r>
          </w:p>
        </w:tc>
      </w:tr>
      <w:tr w:rsidR="00000000" w:rsidRPr="00AD33E8">
        <w:tblPrEx>
          <w:tblCellMar>
            <w:top w:w="0" w:type="dxa"/>
            <w:bottom w:w="0" w:type="dxa"/>
          </w:tblCellMar>
        </w:tblPrEx>
        <w:trPr>
          <w:trHeight w:val="247"/>
        </w:trPr>
        <w:tc>
          <w:tcPr>
            <w:tcW w:w="739" w:type="dxa"/>
            <w:gridSpan w:val="4"/>
          </w:tcPr>
          <w:p w:rsidR="007B7A21" w:rsidRPr="00AD33E8" w:rsidRDefault="007B7A21">
            <w:pPr>
              <w:spacing w:before="0" w:line="240" w:lineRule="auto"/>
              <w:jc w:val="left"/>
              <w:rPr>
                <w:snapToGrid w:val="0"/>
                <w:lang w:eastAsia="sv-SE"/>
              </w:rPr>
            </w:pPr>
            <w:r w:rsidRPr="00AD33E8">
              <w:rPr>
                <w:snapToGrid w:val="0"/>
                <w:lang w:eastAsia="sv-SE"/>
              </w:rPr>
              <w:t>1995</w:t>
            </w:r>
          </w:p>
        </w:tc>
        <w:tc>
          <w:tcPr>
            <w:tcW w:w="1418" w:type="dxa"/>
          </w:tcPr>
          <w:p w:rsidR="007B7A21" w:rsidRPr="00AD33E8" w:rsidRDefault="007B7A21">
            <w:pPr>
              <w:spacing w:before="0" w:line="240" w:lineRule="auto"/>
              <w:jc w:val="center"/>
              <w:rPr>
                <w:snapToGrid w:val="0"/>
                <w:lang w:eastAsia="sv-SE"/>
              </w:rPr>
            </w:pPr>
            <w:r w:rsidRPr="00AD33E8">
              <w:rPr>
                <w:snapToGrid w:val="0"/>
                <w:lang w:eastAsia="sv-SE"/>
              </w:rPr>
              <w:t>2 037</w:t>
            </w:r>
          </w:p>
        </w:tc>
        <w:tc>
          <w:tcPr>
            <w:tcW w:w="1701" w:type="dxa"/>
          </w:tcPr>
          <w:p w:rsidR="007B7A21" w:rsidRPr="00AD33E8" w:rsidRDefault="007B7A21">
            <w:pPr>
              <w:spacing w:before="0" w:line="240" w:lineRule="auto"/>
              <w:jc w:val="center"/>
              <w:rPr>
                <w:snapToGrid w:val="0"/>
                <w:lang w:eastAsia="sv-SE"/>
              </w:rPr>
            </w:pPr>
            <w:r w:rsidRPr="00AD33E8">
              <w:rPr>
                <w:snapToGrid w:val="0"/>
                <w:lang w:eastAsia="sv-SE"/>
              </w:rPr>
              <w:t>159</w:t>
            </w:r>
          </w:p>
        </w:tc>
        <w:tc>
          <w:tcPr>
            <w:tcW w:w="1701" w:type="dxa"/>
          </w:tcPr>
          <w:p w:rsidR="007B7A21" w:rsidRPr="00AD33E8" w:rsidRDefault="007B7A21">
            <w:pPr>
              <w:spacing w:before="0" w:line="240" w:lineRule="auto"/>
              <w:jc w:val="center"/>
              <w:rPr>
                <w:snapToGrid w:val="0"/>
                <w:lang w:eastAsia="sv-SE"/>
              </w:rPr>
            </w:pPr>
            <w:r w:rsidRPr="00AD33E8">
              <w:rPr>
                <w:snapToGrid w:val="0"/>
                <w:lang w:eastAsia="sv-SE"/>
              </w:rPr>
              <w:t>1 657</w:t>
            </w:r>
          </w:p>
        </w:tc>
      </w:tr>
      <w:tr w:rsidR="00000000" w:rsidRPr="00AD33E8">
        <w:tblPrEx>
          <w:tblCellMar>
            <w:top w:w="0" w:type="dxa"/>
            <w:bottom w:w="0" w:type="dxa"/>
          </w:tblCellMar>
        </w:tblPrEx>
        <w:trPr>
          <w:trHeight w:val="247"/>
        </w:trPr>
        <w:tc>
          <w:tcPr>
            <w:tcW w:w="739" w:type="dxa"/>
            <w:gridSpan w:val="4"/>
          </w:tcPr>
          <w:p w:rsidR="007B7A21" w:rsidRPr="00AD33E8" w:rsidRDefault="007B7A21">
            <w:pPr>
              <w:spacing w:before="0" w:line="240" w:lineRule="auto"/>
              <w:jc w:val="left"/>
              <w:rPr>
                <w:snapToGrid w:val="0"/>
                <w:lang w:eastAsia="sv-SE"/>
              </w:rPr>
            </w:pPr>
            <w:r w:rsidRPr="00AD33E8">
              <w:rPr>
                <w:snapToGrid w:val="0"/>
                <w:lang w:eastAsia="sv-SE"/>
              </w:rPr>
              <w:t>1996</w:t>
            </w:r>
          </w:p>
        </w:tc>
        <w:tc>
          <w:tcPr>
            <w:tcW w:w="1418" w:type="dxa"/>
          </w:tcPr>
          <w:p w:rsidR="007B7A21" w:rsidRPr="00AD33E8" w:rsidRDefault="007B7A21">
            <w:pPr>
              <w:spacing w:before="0" w:line="240" w:lineRule="auto"/>
              <w:jc w:val="center"/>
              <w:rPr>
                <w:snapToGrid w:val="0"/>
                <w:lang w:eastAsia="sv-SE"/>
              </w:rPr>
            </w:pPr>
            <w:r w:rsidRPr="00AD33E8">
              <w:rPr>
                <w:snapToGrid w:val="0"/>
                <w:lang w:eastAsia="sv-SE"/>
              </w:rPr>
              <w:t>2 179</w:t>
            </w:r>
          </w:p>
        </w:tc>
        <w:tc>
          <w:tcPr>
            <w:tcW w:w="1701" w:type="dxa"/>
          </w:tcPr>
          <w:p w:rsidR="007B7A21" w:rsidRPr="00AD33E8" w:rsidRDefault="007B7A21">
            <w:pPr>
              <w:spacing w:before="0" w:line="240" w:lineRule="auto"/>
              <w:jc w:val="center"/>
              <w:rPr>
                <w:snapToGrid w:val="0"/>
                <w:lang w:eastAsia="sv-SE"/>
              </w:rPr>
            </w:pPr>
            <w:r w:rsidRPr="00AD33E8">
              <w:rPr>
                <w:snapToGrid w:val="0"/>
                <w:lang w:eastAsia="sv-SE"/>
              </w:rPr>
              <w:t>133</w:t>
            </w:r>
          </w:p>
        </w:tc>
        <w:tc>
          <w:tcPr>
            <w:tcW w:w="1701" w:type="dxa"/>
          </w:tcPr>
          <w:p w:rsidR="007B7A21" w:rsidRPr="00AD33E8" w:rsidRDefault="007B7A21">
            <w:pPr>
              <w:spacing w:before="0" w:line="240" w:lineRule="auto"/>
              <w:jc w:val="center"/>
              <w:rPr>
                <w:snapToGrid w:val="0"/>
                <w:lang w:eastAsia="sv-SE"/>
              </w:rPr>
            </w:pPr>
            <w:r w:rsidRPr="00AD33E8">
              <w:rPr>
                <w:snapToGrid w:val="0"/>
                <w:lang w:eastAsia="sv-SE"/>
              </w:rPr>
              <w:t>1 378</w:t>
            </w:r>
          </w:p>
        </w:tc>
      </w:tr>
      <w:tr w:rsidR="00000000" w:rsidRPr="00AD33E8">
        <w:tblPrEx>
          <w:tblCellMar>
            <w:top w:w="0" w:type="dxa"/>
            <w:bottom w:w="0" w:type="dxa"/>
          </w:tblCellMar>
        </w:tblPrEx>
        <w:trPr>
          <w:trHeight w:val="247"/>
        </w:trPr>
        <w:tc>
          <w:tcPr>
            <w:tcW w:w="739" w:type="dxa"/>
            <w:gridSpan w:val="4"/>
          </w:tcPr>
          <w:p w:rsidR="007B7A21" w:rsidRPr="00AD33E8" w:rsidRDefault="007B7A21">
            <w:pPr>
              <w:spacing w:before="0" w:line="240" w:lineRule="auto"/>
              <w:jc w:val="left"/>
              <w:rPr>
                <w:snapToGrid w:val="0"/>
                <w:lang w:eastAsia="sv-SE"/>
              </w:rPr>
            </w:pPr>
            <w:r w:rsidRPr="00AD33E8">
              <w:rPr>
                <w:snapToGrid w:val="0"/>
                <w:lang w:eastAsia="sv-SE"/>
              </w:rPr>
              <w:t>1997</w:t>
            </w:r>
          </w:p>
        </w:tc>
        <w:tc>
          <w:tcPr>
            <w:tcW w:w="1418" w:type="dxa"/>
          </w:tcPr>
          <w:p w:rsidR="007B7A21" w:rsidRPr="00AD33E8" w:rsidRDefault="007B7A21">
            <w:pPr>
              <w:spacing w:before="0" w:line="240" w:lineRule="auto"/>
              <w:jc w:val="center"/>
              <w:rPr>
                <w:snapToGrid w:val="0"/>
                <w:lang w:eastAsia="sv-SE"/>
              </w:rPr>
            </w:pPr>
            <w:r w:rsidRPr="00AD33E8">
              <w:rPr>
                <w:snapToGrid w:val="0"/>
                <w:lang w:eastAsia="sv-SE"/>
              </w:rPr>
              <w:t>1 404</w:t>
            </w:r>
          </w:p>
        </w:tc>
        <w:tc>
          <w:tcPr>
            <w:tcW w:w="1701" w:type="dxa"/>
          </w:tcPr>
          <w:p w:rsidR="007B7A21" w:rsidRPr="00AD33E8" w:rsidRDefault="007B7A21">
            <w:pPr>
              <w:spacing w:before="0" w:line="240" w:lineRule="auto"/>
              <w:jc w:val="center"/>
              <w:rPr>
                <w:snapToGrid w:val="0"/>
                <w:lang w:eastAsia="sv-SE"/>
              </w:rPr>
            </w:pPr>
            <w:r w:rsidRPr="00AD33E8">
              <w:rPr>
                <w:snapToGrid w:val="0"/>
                <w:lang w:eastAsia="sv-SE"/>
              </w:rPr>
              <w:t>225</w:t>
            </w:r>
          </w:p>
        </w:tc>
        <w:tc>
          <w:tcPr>
            <w:tcW w:w="1701" w:type="dxa"/>
          </w:tcPr>
          <w:p w:rsidR="007B7A21" w:rsidRPr="00AD33E8" w:rsidRDefault="007B7A21">
            <w:pPr>
              <w:spacing w:before="0" w:line="240" w:lineRule="auto"/>
              <w:jc w:val="center"/>
              <w:rPr>
                <w:snapToGrid w:val="0"/>
                <w:lang w:eastAsia="sv-SE"/>
              </w:rPr>
            </w:pPr>
          </w:p>
        </w:tc>
      </w:tr>
      <w:tr w:rsidR="00000000" w:rsidRPr="00AD33E8">
        <w:tblPrEx>
          <w:tblCellMar>
            <w:top w:w="0" w:type="dxa"/>
            <w:bottom w:w="0" w:type="dxa"/>
          </w:tblCellMar>
        </w:tblPrEx>
        <w:trPr>
          <w:trHeight w:val="247"/>
        </w:trPr>
        <w:tc>
          <w:tcPr>
            <w:tcW w:w="739" w:type="dxa"/>
            <w:gridSpan w:val="4"/>
          </w:tcPr>
          <w:p w:rsidR="007B7A21" w:rsidRPr="00AD33E8" w:rsidRDefault="007B7A21">
            <w:pPr>
              <w:spacing w:before="0" w:line="240" w:lineRule="auto"/>
              <w:jc w:val="left"/>
              <w:rPr>
                <w:snapToGrid w:val="0"/>
                <w:lang w:eastAsia="sv-SE"/>
              </w:rPr>
            </w:pPr>
            <w:r w:rsidRPr="00AD33E8">
              <w:rPr>
                <w:snapToGrid w:val="0"/>
                <w:lang w:eastAsia="sv-SE"/>
              </w:rPr>
              <w:t>1998</w:t>
            </w:r>
          </w:p>
        </w:tc>
        <w:tc>
          <w:tcPr>
            <w:tcW w:w="1418" w:type="dxa"/>
          </w:tcPr>
          <w:p w:rsidR="007B7A21" w:rsidRPr="00AD33E8" w:rsidRDefault="007B7A21">
            <w:pPr>
              <w:spacing w:before="0" w:line="240" w:lineRule="auto"/>
              <w:jc w:val="center"/>
              <w:rPr>
                <w:snapToGrid w:val="0"/>
                <w:lang w:eastAsia="sv-SE"/>
              </w:rPr>
            </w:pPr>
            <w:r w:rsidRPr="00AD33E8">
              <w:rPr>
                <w:snapToGrid w:val="0"/>
                <w:lang w:eastAsia="sv-SE"/>
              </w:rPr>
              <w:t>1 604</w:t>
            </w:r>
          </w:p>
        </w:tc>
        <w:tc>
          <w:tcPr>
            <w:tcW w:w="1701" w:type="dxa"/>
          </w:tcPr>
          <w:p w:rsidR="007B7A21" w:rsidRPr="00AD33E8" w:rsidRDefault="007B7A21">
            <w:pPr>
              <w:spacing w:before="0" w:line="240" w:lineRule="auto"/>
              <w:jc w:val="center"/>
              <w:rPr>
                <w:snapToGrid w:val="0"/>
                <w:lang w:eastAsia="sv-SE"/>
              </w:rPr>
            </w:pPr>
            <w:r w:rsidRPr="00AD33E8">
              <w:rPr>
                <w:snapToGrid w:val="0"/>
                <w:lang w:eastAsia="sv-SE"/>
              </w:rPr>
              <w:t>173</w:t>
            </w:r>
          </w:p>
        </w:tc>
        <w:tc>
          <w:tcPr>
            <w:tcW w:w="1701" w:type="dxa"/>
          </w:tcPr>
          <w:p w:rsidR="007B7A21" w:rsidRPr="00AD33E8" w:rsidRDefault="007B7A21">
            <w:pPr>
              <w:spacing w:before="0" w:line="240" w:lineRule="auto"/>
              <w:jc w:val="center"/>
              <w:rPr>
                <w:snapToGrid w:val="0"/>
                <w:lang w:eastAsia="sv-SE"/>
              </w:rPr>
            </w:pPr>
          </w:p>
        </w:tc>
      </w:tr>
      <w:tr w:rsidR="00000000" w:rsidRPr="00AD33E8">
        <w:tblPrEx>
          <w:tblCellMar>
            <w:top w:w="0" w:type="dxa"/>
            <w:bottom w:w="0" w:type="dxa"/>
          </w:tblCellMar>
        </w:tblPrEx>
        <w:trPr>
          <w:cantSplit/>
          <w:trHeight w:val="247"/>
        </w:trPr>
        <w:tc>
          <w:tcPr>
            <w:tcW w:w="5559" w:type="dxa"/>
            <w:gridSpan w:val="7"/>
          </w:tcPr>
          <w:p w:rsidR="007B7A21" w:rsidRPr="00AD33E8" w:rsidRDefault="007B7A21">
            <w:pPr>
              <w:spacing w:before="0" w:line="240" w:lineRule="auto"/>
              <w:jc w:val="left"/>
              <w:rPr>
                <w:snapToGrid w:val="0"/>
                <w:lang w:eastAsia="sv-SE"/>
              </w:rPr>
            </w:pPr>
            <w:r w:rsidRPr="00AD33E8">
              <w:rPr>
                <w:snapToGrid w:val="0"/>
                <w:lang w:eastAsia="sv-SE"/>
              </w:rPr>
              <w:t>Källa: Wadensjö och Sjögren, Arbetslinjen för äldre i praktiken (2000), kapitel 8.</w:t>
            </w:r>
          </w:p>
        </w:tc>
      </w:tr>
    </w:tbl>
    <w:p w:rsidR="007B7A21" w:rsidRPr="00AD33E8" w:rsidRDefault="007B7A21">
      <w:r w:rsidRPr="00AD33E8">
        <w:t>Antalet förtidspensioner för samhället i sin helhet har ökat kraftigt under de allra senaste åren. Ökningen är dock från en lägre nivå än vad som gällde på till exempel 70-talet. Det saknas emellertid en särredovisning av förtidspe</w:t>
      </w:r>
      <w:r w:rsidRPr="00AD33E8">
        <w:t>n</w:t>
      </w:r>
      <w:r w:rsidRPr="00AD33E8">
        <w:t xml:space="preserve">sioner för grupper av arbetsgivare. </w:t>
      </w:r>
    </w:p>
    <w:p w:rsidR="007B7A21" w:rsidRPr="00AD33E8" w:rsidRDefault="007B7A21">
      <w:pPr>
        <w:pStyle w:val="Rubrik3"/>
      </w:pPr>
      <w:bookmarkStart w:id="198" w:name="_Toc3887394"/>
      <w:bookmarkStart w:id="199" w:name="_Toc21425307"/>
      <w:r w:rsidRPr="00AD33E8">
        <w:t>Kompetensutveckling</w:t>
      </w:r>
      <w:bookmarkEnd w:id="198"/>
      <w:bookmarkEnd w:id="199"/>
    </w:p>
    <w:p w:rsidR="007B7A21" w:rsidRPr="00AD33E8" w:rsidRDefault="007B7A21">
      <w:pPr>
        <w:pStyle w:val="Rubrik4-Utannumrering"/>
      </w:pPr>
      <w:bookmarkStart w:id="200" w:name="_Toc3887395"/>
      <w:bookmarkStart w:id="201" w:name="_Toc21425308"/>
      <w:r w:rsidRPr="00AD33E8">
        <w:t>Utbildningskostnaderna i förhållande till persona</w:t>
      </w:r>
      <w:r w:rsidRPr="00AD33E8">
        <w:t>l</w:t>
      </w:r>
      <w:r w:rsidRPr="00AD33E8">
        <w:t>kostnaderna</w:t>
      </w:r>
      <w:bookmarkEnd w:id="200"/>
      <w:bookmarkEnd w:id="201"/>
    </w:p>
    <w:p w:rsidR="007B7A21" w:rsidRPr="00AD33E8" w:rsidRDefault="007B7A21">
      <w:r w:rsidRPr="00AD33E8">
        <w:t>Ett behov av löpande kompetensutveckling framhölls i flera av de propos</w:t>
      </w:r>
      <w:r w:rsidRPr="00AD33E8">
        <w:t>i</w:t>
      </w:r>
      <w:r w:rsidRPr="00AD33E8">
        <w:t>tioner som vid 1980-talets mitt behandlade personal- och förvaltningsrefo</w:t>
      </w:r>
      <w:r w:rsidRPr="00AD33E8">
        <w:t>r</w:t>
      </w:r>
      <w:r w:rsidRPr="00AD33E8">
        <w:t>mer. Många reformer inom olika sakområden hade utbildning av befintlig personal som ett viktigt delmoment. Det gäller t.ex. den arbetsinriktade reh</w:t>
      </w:r>
      <w:r w:rsidRPr="00AD33E8">
        <w:t>a</w:t>
      </w:r>
      <w:r w:rsidRPr="00AD33E8">
        <w:t>biliteringen på försäkringskassorna eller det problemorienterade polisarbetet i närpolisreformen. Utbildning av personal var ett medel för att genomföra sakpolitiska reformer, därmed ett personalpolitiskt medel. Ett delmål var därför utbildningen av redan anställd personal. Ökade utbildni</w:t>
      </w:r>
      <w:r w:rsidRPr="00AD33E8">
        <w:t>ngsinsatser var ett mål som kunde förväntas bli uppnått under 1990-talet. Ett sätt att mäta detta är att följa utvecklingen av kostnader för intern utbildning.</w:t>
      </w:r>
    </w:p>
    <w:p w:rsidR="007B7A21" w:rsidRPr="00AD33E8" w:rsidRDefault="007B7A21">
      <w:pPr>
        <w:pStyle w:val="Normaltindrag"/>
      </w:pPr>
      <w:r w:rsidRPr="00AD33E8">
        <w:t>På förfrågan har 20 myndigheter redovisat sina direkta kostnader för u</w:t>
      </w:r>
      <w:r w:rsidRPr="00AD33E8">
        <w:t>t</w:t>
      </w:r>
      <w:r w:rsidRPr="00AD33E8">
        <w:t>bildning som andel av personalkostnaderna. Därvid ingår inte de interna kostnaderna</w:t>
      </w:r>
      <w:r w:rsidRPr="00AD33E8">
        <w:rPr>
          <w:b/>
        </w:rPr>
        <w:t xml:space="preserve"> </w:t>
      </w:r>
      <w:r w:rsidRPr="00AD33E8">
        <w:t>(lönekostnader för egen personal, utnyttjande av egna lokaler, utbildningsdeltagarnas löner och andra kostnader). Kostnaderna är i stort sett oförändrade under 1990-talet. De direkta utbildningskostnaderna motsvarar en andel på ca 2 % av personalkostnaderna. En förväntad ökning kan mö</w:t>
      </w:r>
      <w:r w:rsidRPr="00AD33E8">
        <w:t>j</w:t>
      </w:r>
      <w:r w:rsidRPr="00AD33E8">
        <w:t>ligtvis anas för den senare delen av 1990-talet. Under åren 1995 och 1996, då nedskärningarna i statens verksamhet var som mest påtagliga, sj</w:t>
      </w:r>
      <w:r w:rsidRPr="00AD33E8">
        <w:t>önk utbil</w:t>
      </w:r>
      <w:r w:rsidRPr="00AD33E8">
        <w:t>d</w:t>
      </w:r>
      <w:r w:rsidRPr="00AD33E8">
        <w:t>ning</w:t>
      </w:r>
      <w:r w:rsidRPr="00AD33E8">
        <w:t>s</w:t>
      </w:r>
      <w:r w:rsidRPr="00AD33E8">
        <w:t>kostnaderna, se tabell 14.</w:t>
      </w:r>
    </w:p>
    <w:p w:rsidR="007B7A21" w:rsidRPr="00AD33E8" w:rsidRDefault="007B7A21">
      <w:pPr>
        <w:pStyle w:val="Normaltindrag"/>
      </w:pP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1"/>
        <w:gridCol w:w="2014"/>
        <w:gridCol w:w="3685"/>
      </w:tblGrid>
      <w:tr w:rsidR="00000000" w:rsidRPr="00AD33E8">
        <w:tblPrEx>
          <w:tblCellMar>
            <w:top w:w="0" w:type="dxa"/>
            <w:bottom w:w="0" w:type="dxa"/>
          </w:tblCellMar>
        </w:tblPrEx>
        <w:trPr>
          <w:trHeight w:val="247"/>
        </w:trPr>
        <w:tc>
          <w:tcPr>
            <w:tcW w:w="5700" w:type="dxa"/>
            <w:hMerge w:val="restart"/>
            <w:tcBorders>
              <w:bottom w:val="single" w:sz="6" w:space="0" w:color="008000"/>
            </w:tcBorders>
          </w:tcPr>
          <w:p w:rsidR="007B7A21" w:rsidRPr="00AD33E8" w:rsidRDefault="007B7A21">
            <w:pPr>
              <w:spacing w:before="0" w:line="240" w:lineRule="auto"/>
              <w:rPr>
                <w:b/>
                <w:snapToGrid w:val="0"/>
                <w:lang w:eastAsia="sv-SE"/>
              </w:rPr>
            </w:pPr>
            <w:r w:rsidRPr="00AD33E8">
              <w:rPr>
                <w:b/>
                <w:snapToGrid w:val="0"/>
                <w:lang w:eastAsia="sv-SE"/>
              </w:rPr>
              <w:t>Tabell 14: Utbildningskostnader i procent av totala personalkostn</w:t>
            </w:r>
            <w:r w:rsidRPr="00AD33E8">
              <w:rPr>
                <w:b/>
                <w:snapToGrid w:val="0"/>
                <w:lang w:eastAsia="sv-SE"/>
              </w:rPr>
              <w:t>a</w:t>
            </w:r>
            <w:r w:rsidRPr="00AD33E8">
              <w:rPr>
                <w:b/>
                <w:snapToGrid w:val="0"/>
                <w:lang w:eastAsia="sv-SE"/>
              </w:rPr>
              <w:t>derna</w:t>
            </w:r>
          </w:p>
        </w:tc>
        <w:tc>
          <w:tcPr>
            <w:gridSpan w:val="2"/>
            <w:hMerge/>
            <w:tcBorders>
              <w:bottom w:val="single" w:sz="6" w:space="0" w:color="008000"/>
            </w:tcBorders>
          </w:tcPr>
          <w:p w:rsidR="007B7A21" w:rsidRPr="00AD33E8" w:rsidRDefault="007B7A21">
            <w:pPr>
              <w:spacing w:before="0" w:line="240" w:lineRule="auto"/>
              <w:jc w:val="right"/>
              <w:rPr>
                <w:snapToGrid w:val="0"/>
                <w:lang w:eastAsia="sv-SE"/>
              </w:rPr>
            </w:pPr>
          </w:p>
        </w:tc>
      </w:tr>
      <w:tr w:rsidR="00000000" w:rsidRPr="00AD33E8">
        <w:tblPrEx>
          <w:tblCellMar>
            <w:top w:w="0" w:type="dxa"/>
            <w:bottom w:w="0" w:type="dxa"/>
          </w:tblCellMar>
        </w:tblPrEx>
        <w:trPr>
          <w:trHeight w:val="247"/>
        </w:trPr>
        <w:tc>
          <w:tcPr>
            <w:tcW w:w="2015" w:type="dxa"/>
            <w:gridSpan w:val="2"/>
            <w:tcBorders>
              <w:top w:val="nil"/>
            </w:tcBorders>
          </w:tcPr>
          <w:p w:rsidR="007B7A21" w:rsidRPr="00AD33E8" w:rsidRDefault="007B7A21">
            <w:pPr>
              <w:spacing w:before="0" w:line="240" w:lineRule="auto"/>
              <w:rPr>
                <w:snapToGrid w:val="0"/>
                <w:lang w:eastAsia="sv-SE"/>
              </w:rPr>
            </w:pPr>
            <w:r w:rsidRPr="00AD33E8">
              <w:rPr>
                <w:snapToGrid w:val="0"/>
                <w:lang w:eastAsia="sv-SE"/>
              </w:rPr>
              <w:t>År</w:t>
            </w:r>
          </w:p>
        </w:tc>
        <w:tc>
          <w:tcPr>
            <w:tcW w:w="3685" w:type="dxa"/>
            <w:tcBorders>
              <w:top w:val="nil"/>
            </w:tcBorders>
          </w:tcPr>
          <w:p w:rsidR="007B7A21" w:rsidRPr="00AD33E8" w:rsidRDefault="007B7A21">
            <w:pPr>
              <w:spacing w:before="0" w:line="240" w:lineRule="auto"/>
              <w:jc w:val="center"/>
              <w:rPr>
                <w:snapToGrid w:val="0"/>
                <w:lang w:eastAsia="sv-SE"/>
              </w:rPr>
            </w:pPr>
            <w:r w:rsidRPr="00AD33E8">
              <w:rPr>
                <w:snapToGrid w:val="0"/>
                <w:lang w:eastAsia="sv-SE"/>
              </w:rPr>
              <w:t>%</w:t>
            </w:r>
          </w:p>
        </w:tc>
      </w:tr>
      <w:tr w:rsidR="00000000" w:rsidRPr="00AD33E8">
        <w:tblPrEx>
          <w:tblCellMar>
            <w:top w:w="0" w:type="dxa"/>
            <w:bottom w:w="0" w:type="dxa"/>
          </w:tblCellMar>
        </w:tblPrEx>
        <w:trPr>
          <w:trHeight w:val="247"/>
        </w:trPr>
        <w:tc>
          <w:tcPr>
            <w:tcW w:w="2015" w:type="dxa"/>
            <w:gridSpan w:val="2"/>
          </w:tcPr>
          <w:p w:rsidR="007B7A21" w:rsidRPr="00AD33E8" w:rsidRDefault="007B7A21">
            <w:pPr>
              <w:spacing w:before="0" w:line="240" w:lineRule="auto"/>
              <w:jc w:val="left"/>
              <w:rPr>
                <w:snapToGrid w:val="0"/>
                <w:lang w:eastAsia="sv-SE"/>
              </w:rPr>
            </w:pPr>
            <w:r w:rsidRPr="00AD33E8">
              <w:rPr>
                <w:snapToGrid w:val="0"/>
                <w:lang w:eastAsia="sv-SE"/>
              </w:rPr>
              <w:t>1992-93</w:t>
            </w:r>
          </w:p>
        </w:tc>
        <w:tc>
          <w:tcPr>
            <w:tcW w:w="3685" w:type="dxa"/>
          </w:tcPr>
          <w:p w:rsidR="007B7A21" w:rsidRPr="00AD33E8" w:rsidRDefault="007B7A21">
            <w:pPr>
              <w:spacing w:before="0" w:line="240" w:lineRule="auto"/>
              <w:jc w:val="center"/>
              <w:rPr>
                <w:snapToGrid w:val="0"/>
                <w:lang w:eastAsia="sv-SE"/>
              </w:rPr>
            </w:pPr>
            <w:r w:rsidRPr="00AD33E8">
              <w:rPr>
                <w:snapToGrid w:val="0"/>
                <w:lang w:eastAsia="sv-SE"/>
              </w:rPr>
              <w:t>2,0</w:t>
            </w:r>
          </w:p>
        </w:tc>
      </w:tr>
      <w:tr w:rsidR="00000000" w:rsidRPr="00AD33E8">
        <w:tblPrEx>
          <w:tblCellMar>
            <w:top w:w="0" w:type="dxa"/>
            <w:bottom w:w="0" w:type="dxa"/>
          </w:tblCellMar>
        </w:tblPrEx>
        <w:trPr>
          <w:trHeight w:val="247"/>
        </w:trPr>
        <w:tc>
          <w:tcPr>
            <w:tcW w:w="2015" w:type="dxa"/>
            <w:gridSpan w:val="2"/>
          </w:tcPr>
          <w:p w:rsidR="007B7A21" w:rsidRPr="00AD33E8" w:rsidRDefault="007B7A21">
            <w:pPr>
              <w:spacing w:before="0" w:line="240" w:lineRule="auto"/>
              <w:jc w:val="left"/>
              <w:rPr>
                <w:snapToGrid w:val="0"/>
                <w:lang w:eastAsia="sv-SE"/>
              </w:rPr>
            </w:pPr>
            <w:r w:rsidRPr="00AD33E8">
              <w:rPr>
                <w:snapToGrid w:val="0"/>
                <w:lang w:eastAsia="sv-SE"/>
              </w:rPr>
              <w:t>1993-94</w:t>
            </w:r>
          </w:p>
        </w:tc>
        <w:tc>
          <w:tcPr>
            <w:tcW w:w="3685" w:type="dxa"/>
          </w:tcPr>
          <w:p w:rsidR="007B7A21" w:rsidRPr="00AD33E8" w:rsidRDefault="007B7A21">
            <w:pPr>
              <w:spacing w:before="0" w:line="240" w:lineRule="auto"/>
              <w:jc w:val="center"/>
              <w:rPr>
                <w:snapToGrid w:val="0"/>
                <w:lang w:eastAsia="sv-SE"/>
              </w:rPr>
            </w:pPr>
            <w:r w:rsidRPr="00AD33E8">
              <w:rPr>
                <w:snapToGrid w:val="0"/>
                <w:lang w:eastAsia="sv-SE"/>
              </w:rPr>
              <w:t>2,0</w:t>
            </w:r>
          </w:p>
        </w:tc>
      </w:tr>
      <w:tr w:rsidR="00000000" w:rsidRPr="00AD33E8">
        <w:tblPrEx>
          <w:tblCellMar>
            <w:top w:w="0" w:type="dxa"/>
            <w:bottom w:w="0" w:type="dxa"/>
          </w:tblCellMar>
        </w:tblPrEx>
        <w:trPr>
          <w:trHeight w:val="247"/>
        </w:trPr>
        <w:tc>
          <w:tcPr>
            <w:tcW w:w="2015" w:type="dxa"/>
            <w:gridSpan w:val="2"/>
          </w:tcPr>
          <w:p w:rsidR="007B7A21" w:rsidRPr="00AD33E8" w:rsidRDefault="007B7A21">
            <w:pPr>
              <w:spacing w:before="0" w:line="240" w:lineRule="auto"/>
              <w:jc w:val="left"/>
              <w:rPr>
                <w:snapToGrid w:val="0"/>
                <w:lang w:eastAsia="sv-SE"/>
              </w:rPr>
            </w:pPr>
            <w:r w:rsidRPr="00AD33E8">
              <w:rPr>
                <w:snapToGrid w:val="0"/>
                <w:lang w:eastAsia="sv-SE"/>
              </w:rPr>
              <w:t>1994-95</w:t>
            </w:r>
          </w:p>
        </w:tc>
        <w:tc>
          <w:tcPr>
            <w:tcW w:w="3685" w:type="dxa"/>
          </w:tcPr>
          <w:p w:rsidR="007B7A21" w:rsidRPr="00AD33E8" w:rsidRDefault="007B7A21">
            <w:pPr>
              <w:spacing w:before="0" w:line="240" w:lineRule="auto"/>
              <w:jc w:val="center"/>
              <w:rPr>
                <w:snapToGrid w:val="0"/>
                <w:lang w:eastAsia="sv-SE"/>
              </w:rPr>
            </w:pPr>
            <w:r w:rsidRPr="00AD33E8">
              <w:rPr>
                <w:snapToGrid w:val="0"/>
                <w:lang w:eastAsia="sv-SE"/>
              </w:rPr>
              <w:t>2,1</w:t>
            </w:r>
          </w:p>
        </w:tc>
      </w:tr>
      <w:tr w:rsidR="00000000" w:rsidRPr="00AD33E8">
        <w:tblPrEx>
          <w:tblCellMar>
            <w:top w:w="0" w:type="dxa"/>
            <w:bottom w:w="0" w:type="dxa"/>
          </w:tblCellMar>
        </w:tblPrEx>
        <w:trPr>
          <w:trHeight w:val="247"/>
        </w:trPr>
        <w:tc>
          <w:tcPr>
            <w:tcW w:w="2015" w:type="dxa"/>
            <w:gridSpan w:val="2"/>
          </w:tcPr>
          <w:p w:rsidR="007B7A21" w:rsidRPr="00AD33E8" w:rsidRDefault="007B7A21">
            <w:pPr>
              <w:spacing w:before="0" w:line="240" w:lineRule="auto"/>
              <w:jc w:val="left"/>
              <w:rPr>
                <w:snapToGrid w:val="0"/>
                <w:lang w:eastAsia="sv-SE"/>
              </w:rPr>
            </w:pPr>
            <w:r w:rsidRPr="00AD33E8">
              <w:rPr>
                <w:snapToGrid w:val="0"/>
                <w:lang w:eastAsia="sv-SE"/>
              </w:rPr>
              <w:t>1995-96</w:t>
            </w:r>
          </w:p>
        </w:tc>
        <w:tc>
          <w:tcPr>
            <w:tcW w:w="3685" w:type="dxa"/>
          </w:tcPr>
          <w:p w:rsidR="007B7A21" w:rsidRPr="00AD33E8" w:rsidRDefault="007B7A21">
            <w:pPr>
              <w:spacing w:before="0" w:line="240" w:lineRule="auto"/>
              <w:jc w:val="center"/>
              <w:rPr>
                <w:snapToGrid w:val="0"/>
                <w:lang w:eastAsia="sv-SE"/>
              </w:rPr>
            </w:pPr>
            <w:r w:rsidRPr="00AD33E8">
              <w:rPr>
                <w:snapToGrid w:val="0"/>
                <w:lang w:eastAsia="sv-SE"/>
              </w:rPr>
              <w:t>1,7</w:t>
            </w:r>
          </w:p>
        </w:tc>
      </w:tr>
      <w:tr w:rsidR="00000000" w:rsidRPr="00AD33E8">
        <w:tblPrEx>
          <w:tblCellMar>
            <w:top w:w="0" w:type="dxa"/>
            <w:bottom w:w="0" w:type="dxa"/>
          </w:tblCellMar>
        </w:tblPrEx>
        <w:trPr>
          <w:trHeight w:val="247"/>
        </w:trPr>
        <w:tc>
          <w:tcPr>
            <w:tcW w:w="2015" w:type="dxa"/>
            <w:gridSpan w:val="2"/>
          </w:tcPr>
          <w:p w:rsidR="007B7A21" w:rsidRPr="00AD33E8" w:rsidRDefault="007B7A21">
            <w:pPr>
              <w:spacing w:before="0" w:line="240" w:lineRule="auto"/>
              <w:jc w:val="left"/>
              <w:rPr>
                <w:snapToGrid w:val="0"/>
                <w:lang w:eastAsia="sv-SE"/>
              </w:rPr>
            </w:pPr>
            <w:r w:rsidRPr="00AD33E8">
              <w:rPr>
                <w:snapToGrid w:val="0"/>
                <w:lang w:eastAsia="sv-SE"/>
              </w:rPr>
              <w:t>1997</w:t>
            </w:r>
          </w:p>
        </w:tc>
        <w:tc>
          <w:tcPr>
            <w:tcW w:w="3685" w:type="dxa"/>
          </w:tcPr>
          <w:p w:rsidR="007B7A21" w:rsidRPr="00AD33E8" w:rsidRDefault="007B7A21">
            <w:pPr>
              <w:spacing w:before="0" w:line="240" w:lineRule="auto"/>
              <w:jc w:val="center"/>
              <w:rPr>
                <w:snapToGrid w:val="0"/>
                <w:lang w:eastAsia="sv-SE"/>
              </w:rPr>
            </w:pPr>
            <w:r w:rsidRPr="00AD33E8">
              <w:rPr>
                <w:snapToGrid w:val="0"/>
                <w:lang w:eastAsia="sv-SE"/>
              </w:rPr>
              <w:t>2,0</w:t>
            </w:r>
          </w:p>
        </w:tc>
      </w:tr>
      <w:tr w:rsidR="00000000" w:rsidRPr="00AD33E8">
        <w:tblPrEx>
          <w:tblCellMar>
            <w:top w:w="0" w:type="dxa"/>
            <w:bottom w:w="0" w:type="dxa"/>
          </w:tblCellMar>
        </w:tblPrEx>
        <w:trPr>
          <w:trHeight w:val="247"/>
        </w:trPr>
        <w:tc>
          <w:tcPr>
            <w:tcW w:w="2015" w:type="dxa"/>
            <w:gridSpan w:val="2"/>
          </w:tcPr>
          <w:p w:rsidR="007B7A21" w:rsidRPr="00AD33E8" w:rsidRDefault="007B7A21">
            <w:pPr>
              <w:spacing w:before="0" w:line="240" w:lineRule="auto"/>
              <w:jc w:val="left"/>
              <w:rPr>
                <w:snapToGrid w:val="0"/>
                <w:lang w:eastAsia="sv-SE"/>
              </w:rPr>
            </w:pPr>
            <w:r w:rsidRPr="00AD33E8">
              <w:rPr>
                <w:snapToGrid w:val="0"/>
                <w:lang w:eastAsia="sv-SE"/>
              </w:rPr>
              <w:t>1998</w:t>
            </w:r>
          </w:p>
        </w:tc>
        <w:tc>
          <w:tcPr>
            <w:tcW w:w="3685" w:type="dxa"/>
          </w:tcPr>
          <w:p w:rsidR="007B7A21" w:rsidRPr="00AD33E8" w:rsidRDefault="007B7A21">
            <w:pPr>
              <w:spacing w:before="0" w:line="240" w:lineRule="auto"/>
              <w:jc w:val="center"/>
              <w:rPr>
                <w:snapToGrid w:val="0"/>
                <w:lang w:eastAsia="sv-SE"/>
              </w:rPr>
            </w:pPr>
            <w:r w:rsidRPr="00AD33E8">
              <w:rPr>
                <w:snapToGrid w:val="0"/>
                <w:lang w:eastAsia="sv-SE"/>
              </w:rPr>
              <w:t>2,1</w:t>
            </w:r>
          </w:p>
        </w:tc>
      </w:tr>
      <w:tr w:rsidR="00000000" w:rsidRPr="00AD33E8">
        <w:tblPrEx>
          <w:tblCellMar>
            <w:top w:w="0" w:type="dxa"/>
            <w:bottom w:w="0" w:type="dxa"/>
          </w:tblCellMar>
        </w:tblPrEx>
        <w:trPr>
          <w:trHeight w:val="247"/>
        </w:trPr>
        <w:tc>
          <w:tcPr>
            <w:tcW w:w="2015" w:type="dxa"/>
            <w:gridSpan w:val="2"/>
          </w:tcPr>
          <w:p w:rsidR="007B7A21" w:rsidRPr="00AD33E8" w:rsidRDefault="007B7A21">
            <w:pPr>
              <w:spacing w:before="0" w:line="240" w:lineRule="auto"/>
              <w:jc w:val="left"/>
              <w:rPr>
                <w:snapToGrid w:val="0"/>
                <w:lang w:eastAsia="sv-SE"/>
              </w:rPr>
            </w:pPr>
            <w:r w:rsidRPr="00AD33E8">
              <w:rPr>
                <w:snapToGrid w:val="0"/>
                <w:lang w:eastAsia="sv-SE"/>
              </w:rPr>
              <w:t>1999</w:t>
            </w:r>
          </w:p>
        </w:tc>
        <w:tc>
          <w:tcPr>
            <w:tcW w:w="3685" w:type="dxa"/>
          </w:tcPr>
          <w:p w:rsidR="007B7A21" w:rsidRPr="00AD33E8" w:rsidRDefault="007B7A21">
            <w:pPr>
              <w:spacing w:before="0" w:line="240" w:lineRule="auto"/>
              <w:jc w:val="center"/>
              <w:rPr>
                <w:snapToGrid w:val="0"/>
                <w:lang w:eastAsia="sv-SE"/>
              </w:rPr>
            </w:pPr>
            <w:r w:rsidRPr="00AD33E8">
              <w:rPr>
                <w:snapToGrid w:val="0"/>
                <w:lang w:eastAsia="sv-SE"/>
              </w:rPr>
              <w:t>2,0</w:t>
            </w:r>
          </w:p>
        </w:tc>
      </w:tr>
      <w:tr w:rsidR="00000000" w:rsidRPr="00AD33E8">
        <w:tblPrEx>
          <w:tblCellMar>
            <w:top w:w="0" w:type="dxa"/>
            <w:bottom w:w="0" w:type="dxa"/>
          </w:tblCellMar>
        </w:tblPrEx>
        <w:trPr>
          <w:trHeight w:val="247"/>
        </w:trPr>
        <w:tc>
          <w:tcPr>
            <w:tcW w:w="2015" w:type="dxa"/>
            <w:gridSpan w:val="2"/>
          </w:tcPr>
          <w:p w:rsidR="007B7A21" w:rsidRPr="00AD33E8" w:rsidRDefault="007B7A21">
            <w:pPr>
              <w:spacing w:before="0" w:line="240" w:lineRule="auto"/>
              <w:jc w:val="left"/>
              <w:rPr>
                <w:snapToGrid w:val="0"/>
                <w:lang w:eastAsia="sv-SE"/>
              </w:rPr>
            </w:pPr>
            <w:r w:rsidRPr="00AD33E8">
              <w:rPr>
                <w:snapToGrid w:val="0"/>
                <w:lang w:eastAsia="sv-SE"/>
              </w:rPr>
              <w:t>2000</w:t>
            </w:r>
          </w:p>
        </w:tc>
        <w:tc>
          <w:tcPr>
            <w:tcW w:w="3685" w:type="dxa"/>
          </w:tcPr>
          <w:p w:rsidR="007B7A21" w:rsidRPr="00AD33E8" w:rsidRDefault="007B7A21">
            <w:pPr>
              <w:spacing w:before="0" w:line="240" w:lineRule="auto"/>
              <w:jc w:val="center"/>
              <w:rPr>
                <w:snapToGrid w:val="0"/>
                <w:lang w:eastAsia="sv-SE"/>
              </w:rPr>
            </w:pPr>
            <w:r w:rsidRPr="00AD33E8">
              <w:rPr>
                <w:snapToGrid w:val="0"/>
                <w:lang w:eastAsia="sv-SE"/>
              </w:rPr>
              <w:t>2,1</w:t>
            </w:r>
          </w:p>
        </w:tc>
      </w:tr>
      <w:tr w:rsidR="00000000" w:rsidRPr="00AD33E8">
        <w:tblPrEx>
          <w:tblCellMar>
            <w:top w:w="0" w:type="dxa"/>
            <w:bottom w:w="0" w:type="dxa"/>
          </w:tblCellMar>
        </w:tblPrEx>
        <w:trPr>
          <w:trHeight w:val="247"/>
        </w:trPr>
        <w:tc>
          <w:tcPr>
            <w:tcW w:w="5700" w:type="dxa"/>
            <w:hMerge w:val="restart"/>
          </w:tcPr>
          <w:p w:rsidR="007B7A21" w:rsidRPr="00AD33E8" w:rsidRDefault="007B7A21">
            <w:pPr>
              <w:spacing w:before="0" w:line="240" w:lineRule="auto"/>
              <w:rPr>
                <w:snapToGrid w:val="0"/>
                <w:lang w:eastAsia="sv-SE"/>
              </w:rPr>
            </w:pPr>
            <w:r w:rsidRPr="00AD33E8">
              <w:rPr>
                <w:snapToGrid w:val="0"/>
                <w:lang w:eastAsia="sv-SE"/>
              </w:rPr>
              <w:t>Källa: Frågor till myndigheter.</w:t>
            </w:r>
          </w:p>
        </w:tc>
        <w:tc>
          <w:tcPr>
            <w:gridSpan w:val="2"/>
            <w:hMerge/>
          </w:tcPr>
          <w:p w:rsidR="007B7A21" w:rsidRPr="00AD33E8" w:rsidRDefault="007B7A21">
            <w:pPr>
              <w:spacing w:before="0" w:line="240" w:lineRule="auto"/>
              <w:jc w:val="right"/>
              <w:rPr>
                <w:snapToGrid w:val="0"/>
                <w:lang w:eastAsia="sv-SE"/>
              </w:rPr>
            </w:pPr>
          </w:p>
        </w:tc>
      </w:tr>
    </w:tbl>
    <w:p w:rsidR="007B7A21" w:rsidRPr="00AD33E8" w:rsidRDefault="007B7A21">
      <w:pPr>
        <w:pStyle w:val="Rubrik4-Utannumrering"/>
      </w:pPr>
      <w:bookmarkStart w:id="202" w:name="_Toc3887396"/>
      <w:bookmarkStart w:id="203" w:name="_Toc21425309"/>
      <w:r w:rsidRPr="00AD33E8">
        <w:t>Utbildningsvolym</w:t>
      </w:r>
      <w:bookmarkEnd w:id="202"/>
      <w:bookmarkEnd w:id="203"/>
    </w:p>
    <w:p w:rsidR="007B7A21" w:rsidRPr="00AD33E8" w:rsidRDefault="007B7A21">
      <w:r w:rsidRPr="00AD33E8">
        <w:t>Ökade utbildningsinsatser, med t.ex. syftet att öka kompetensen eller förnya verksamheten, kan speglas av utvecklingen av den interna utbildningsvol</w:t>
      </w:r>
      <w:r w:rsidRPr="00AD33E8">
        <w:t>y</w:t>
      </w:r>
      <w:r w:rsidRPr="00AD33E8">
        <w:t>men. Det kan vara fråga om andel deltagare i personalutbildning. Det kan också vara fråga om antal utbil</w:t>
      </w:r>
      <w:r w:rsidRPr="00AD33E8">
        <w:t>d</w:t>
      </w:r>
      <w:r w:rsidRPr="00AD33E8">
        <w:t>ningsdagar per anställd, tabell 15.</w:t>
      </w:r>
    </w:p>
    <w:p w:rsidR="007B7A21" w:rsidRPr="00AD33E8" w:rsidRDefault="007B7A21">
      <w:pPr>
        <w:pStyle w:val="Normaltindrag"/>
      </w:pP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1"/>
        <w:gridCol w:w="1"/>
        <w:gridCol w:w="595"/>
        <w:gridCol w:w="2977"/>
        <w:gridCol w:w="2268"/>
      </w:tblGrid>
      <w:tr w:rsidR="00000000" w:rsidRPr="00AD33E8">
        <w:tblPrEx>
          <w:tblCellMar>
            <w:top w:w="0" w:type="dxa"/>
            <w:bottom w:w="0" w:type="dxa"/>
          </w:tblCellMar>
        </w:tblPrEx>
        <w:trPr>
          <w:trHeight w:val="247"/>
        </w:trPr>
        <w:tc>
          <w:tcPr>
            <w:tcW w:w="5842" w:type="dxa"/>
            <w:hMerge w:val="restart"/>
            <w:tcBorders>
              <w:bottom w:val="single" w:sz="6" w:space="0" w:color="008000"/>
            </w:tcBorders>
          </w:tcPr>
          <w:p w:rsidR="007B7A21" w:rsidRPr="00AD33E8" w:rsidRDefault="007B7A21">
            <w:pPr>
              <w:spacing w:before="0" w:line="240" w:lineRule="auto"/>
              <w:rPr>
                <w:b/>
                <w:snapToGrid w:val="0"/>
                <w:lang w:eastAsia="sv-SE"/>
              </w:rPr>
            </w:pPr>
            <w:r w:rsidRPr="00AD33E8">
              <w:rPr>
                <w:b/>
                <w:snapToGrid w:val="0"/>
                <w:lang w:eastAsia="sv-SE"/>
              </w:rPr>
              <w:t>Tabell 15: Statlig personalutbildning under de första hal</w:t>
            </w:r>
            <w:r w:rsidRPr="00AD33E8">
              <w:rPr>
                <w:b/>
                <w:snapToGrid w:val="0"/>
                <w:lang w:eastAsia="sv-SE"/>
              </w:rPr>
              <w:t>v</w:t>
            </w:r>
            <w:r w:rsidRPr="00AD33E8">
              <w:rPr>
                <w:b/>
                <w:snapToGrid w:val="0"/>
                <w:lang w:eastAsia="sv-SE"/>
              </w:rPr>
              <w:t>åren 1990-1999. Källa: SCB</w:t>
            </w:r>
          </w:p>
        </w:tc>
        <w:tc>
          <w:tcPr>
            <w:hMerge/>
            <w:tcBorders>
              <w:bottom w:val="single" w:sz="6" w:space="0" w:color="008000"/>
            </w:tcBorders>
          </w:tcPr>
          <w:p w:rsidR="007B7A21" w:rsidRPr="00AD33E8" w:rsidRDefault="007B7A21">
            <w:pPr>
              <w:spacing w:before="0" w:line="240" w:lineRule="auto"/>
              <w:jc w:val="right"/>
              <w:rPr>
                <w:snapToGrid w:val="0"/>
                <w:lang w:eastAsia="sv-SE"/>
              </w:rPr>
            </w:pPr>
          </w:p>
        </w:tc>
        <w:tc>
          <w:tcPr>
            <w:gridSpan w:val="3"/>
            <w:hMerge/>
            <w:tcBorders>
              <w:bottom w:val="single" w:sz="6" w:space="0" w:color="008000"/>
            </w:tcBorders>
          </w:tcPr>
          <w:p w:rsidR="007B7A21" w:rsidRPr="00AD33E8" w:rsidRDefault="007B7A21">
            <w:pPr>
              <w:spacing w:before="0" w:line="240" w:lineRule="auto"/>
              <w:jc w:val="right"/>
              <w:rPr>
                <w:snapToGrid w:val="0"/>
                <w:lang w:eastAsia="sv-SE"/>
              </w:rPr>
            </w:pPr>
          </w:p>
        </w:tc>
      </w:tr>
      <w:tr w:rsidR="00000000" w:rsidRPr="00AD33E8">
        <w:tblPrEx>
          <w:tblCellMar>
            <w:top w:w="0" w:type="dxa"/>
            <w:bottom w:w="0" w:type="dxa"/>
          </w:tblCellMar>
        </w:tblPrEx>
        <w:tc>
          <w:tcPr>
            <w:tcW w:w="597" w:type="dxa"/>
            <w:gridSpan w:val="3"/>
            <w:tcBorders>
              <w:top w:val="nil"/>
            </w:tcBorders>
          </w:tcPr>
          <w:p w:rsidR="007B7A21" w:rsidRPr="00AD33E8" w:rsidRDefault="007B7A21">
            <w:pPr>
              <w:spacing w:before="0" w:line="240" w:lineRule="auto"/>
              <w:jc w:val="left"/>
              <w:rPr>
                <w:snapToGrid w:val="0"/>
                <w:lang w:eastAsia="sv-SE"/>
              </w:rPr>
            </w:pPr>
          </w:p>
        </w:tc>
        <w:tc>
          <w:tcPr>
            <w:tcW w:w="2977" w:type="dxa"/>
            <w:tcBorders>
              <w:top w:val="nil"/>
            </w:tcBorders>
          </w:tcPr>
          <w:p w:rsidR="007B7A21" w:rsidRPr="00AD33E8" w:rsidRDefault="007B7A21">
            <w:pPr>
              <w:spacing w:before="0" w:line="240" w:lineRule="auto"/>
              <w:jc w:val="left"/>
              <w:rPr>
                <w:snapToGrid w:val="0"/>
                <w:lang w:eastAsia="sv-SE"/>
              </w:rPr>
            </w:pPr>
            <w:r w:rsidRPr="00AD33E8">
              <w:rPr>
                <w:snapToGrid w:val="0"/>
                <w:lang w:eastAsia="sv-SE"/>
              </w:rPr>
              <w:t xml:space="preserve">Deltagare i statlig personalutbildning i procent av antalet anställda </w:t>
            </w:r>
          </w:p>
        </w:tc>
        <w:tc>
          <w:tcPr>
            <w:tcW w:w="2268" w:type="dxa"/>
            <w:tcBorders>
              <w:top w:val="nil"/>
            </w:tcBorders>
          </w:tcPr>
          <w:p w:rsidR="007B7A21" w:rsidRPr="00AD33E8" w:rsidRDefault="007B7A21">
            <w:pPr>
              <w:spacing w:before="0" w:line="240" w:lineRule="auto"/>
              <w:jc w:val="left"/>
              <w:rPr>
                <w:snapToGrid w:val="0"/>
                <w:lang w:eastAsia="sv-SE"/>
              </w:rPr>
            </w:pPr>
            <w:r w:rsidRPr="00AD33E8">
              <w:rPr>
                <w:snapToGrid w:val="0"/>
                <w:lang w:eastAsia="sv-SE"/>
              </w:rPr>
              <w:t>Genomsnittligt antal utbil</w:t>
            </w:r>
            <w:r w:rsidRPr="00AD33E8">
              <w:rPr>
                <w:snapToGrid w:val="0"/>
                <w:lang w:eastAsia="sv-SE"/>
              </w:rPr>
              <w:t>d</w:t>
            </w:r>
            <w:r w:rsidRPr="00AD33E8">
              <w:rPr>
                <w:snapToGrid w:val="0"/>
                <w:lang w:eastAsia="sv-SE"/>
              </w:rPr>
              <w:t>ningsdagar per delt</w:t>
            </w:r>
            <w:r w:rsidRPr="00AD33E8">
              <w:rPr>
                <w:snapToGrid w:val="0"/>
                <w:lang w:eastAsia="sv-SE"/>
              </w:rPr>
              <w:t>a</w:t>
            </w:r>
            <w:r w:rsidRPr="00AD33E8">
              <w:rPr>
                <w:snapToGrid w:val="0"/>
                <w:lang w:eastAsia="sv-SE"/>
              </w:rPr>
              <w:t>gare</w:t>
            </w:r>
          </w:p>
        </w:tc>
      </w:tr>
      <w:tr w:rsidR="00000000" w:rsidRPr="00AD33E8">
        <w:tblPrEx>
          <w:tblCellMar>
            <w:top w:w="0" w:type="dxa"/>
            <w:bottom w:w="0" w:type="dxa"/>
          </w:tblCellMar>
        </w:tblPrEx>
        <w:trPr>
          <w:trHeight w:val="247"/>
        </w:trPr>
        <w:tc>
          <w:tcPr>
            <w:tcW w:w="597" w:type="dxa"/>
            <w:gridSpan w:val="3"/>
          </w:tcPr>
          <w:p w:rsidR="007B7A21" w:rsidRPr="00AD33E8" w:rsidRDefault="007B7A21">
            <w:pPr>
              <w:spacing w:before="0" w:line="240" w:lineRule="auto"/>
              <w:rPr>
                <w:snapToGrid w:val="0"/>
                <w:lang w:eastAsia="sv-SE"/>
              </w:rPr>
            </w:pPr>
            <w:r w:rsidRPr="00AD33E8">
              <w:rPr>
                <w:snapToGrid w:val="0"/>
                <w:lang w:eastAsia="sv-SE"/>
              </w:rPr>
              <w:t>1990</w:t>
            </w:r>
          </w:p>
        </w:tc>
        <w:tc>
          <w:tcPr>
            <w:tcW w:w="2977" w:type="dxa"/>
          </w:tcPr>
          <w:p w:rsidR="007B7A21" w:rsidRPr="00AD33E8" w:rsidRDefault="007B7A21">
            <w:pPr>
              <w:spacing w:before="0" w:line="240" w:lineRule="auto"/>
              <w:jc w:val="center"/>
              <w:rPr>
                <w:snapToGrid w:val="0"/>
                <w:lang w:eastAsia="sv-SE"/>
              </w:rPr>
            </w:pPr>
            <w:r w:rsidRPr="00AD33E8">
              <w:rPr>
                <w:snapToGrid w:val="0"/>
                <w:lang w:eastAsia="sv-SE"/>
              </w:rPr>
              <w:t>46</w:t>
            </w:r>
          </w:p>
        </w:tc>
        <w:tc>
          <w:tcPr>
            <w:tcW w:w="2268" w:type="dxa"/>
          </w:tcPr>
          <w:p w:rsidR="007B7A21" w:rsidRPr="00AD33E8" w:rsidRDefault="007B7A21">
            <w:pPr>
              <w:spacing w:before="0" w:line="240" w:lineRule="auto"/>
              <w:jc w:val="center"/>
              <w:rPr>
                <w:snapToGrid w:val="0"/>
                <w:lang w:eastAsia="sv-SE"/>
              </w:rPr>
            </w:pPr>
            <w:r w:rsidRPr="00AD33E8">
              <w:rPr>
                <w:snapToGrid w:val="0"/>
                <w:lang w:eastAsia="sv-SE"/>
              </w:rPr>
              <w:t>9,5</w:t>
            </w:r>
          </w:p>
        </w:tc>
      </w:tr>
      <w:tr w:rsidR="00000000" w:rsidRPr="00AD33E8">
        <w:tblPrEx>
          <w:tblCellMar>
            <w:top w:w="0" w:type="dxa"/>
            <w:bottom w:w="0" w:type="dxa"/>
          </w:tblCellMar>
        </w:tblPrEx>
        <w:trPr>
          <w:trHeight w:val="247"/>
        </w:trPr>
        <w:tc>
          <w:tcPr>
            <w:tcW w:w="597" w:type="dxa"/>
            <w:gridSpan w:val="3"/>
          </w:tcPr>
          <w:p w:rsidR="007B7A21" w:rsidRPr="00AD33E8" w:rsidRDefault="007B7A21">
            <w:pPr>
              <w:spacing w:before="0" w:line="240" w:lineRule="auto"/>
              <w:rPr>
                <w:snapToGrid w:val="0"/>
                <w:lang w:eastAsia="sv-SE"/>
              </w:rPr>
            </w:pPr>
            <w:r w:rsidRPr="00AD33E8">
              <w:rPr>
                <w:snapToGrid w:val="0"/>
                <w:lang w:eastAsia="sv-SE"/>
              </w:rPr>
              <w:t>1992</w:t>
            </w:r>
          </w:p>
        </w:tc>
        <w:tc>
          <w:tcPr>
            <w:tcW w:w="2977" w:type="dxa"/>
          </w:tcPr>
          <w:p w:rsidR="007B7A21" w:rsidRPr="00AD33E8" w:rsidRDefault="007B7A21">
            <w:pPr>
              <w:spacing w:before="0" w:line="240" w:lineRule="auto"/>
              <w:jc w:val="center"/>
              <w:rPr>
                <w:snapToGrid w:val="0"/>
                <w:lang w:eastAsia="sv-SE"/>
              </w:rPr>
            </w:pPr>
            <w:r w:rsidRPr="00AD33E8">
              <w:rPr>
                <w:snapToGrid w:val="0"/>
                <w:lang w:eastAsia="sv-SE"/>
              </w:rPr>
              <w:t>44</w:t>
            </w:r>
          </w:p>
        </w:tc>
        <w:tc>
          <w:tcPr>
            <w:tcW w:w="2268" w:type="dxa"/>
          </w:tcPr>
          <w:p w:rsidR="007B7A21" w:rsidRPr="00AD33E8" w:rsidRDefault="007B7A21">
            <w:pPr>
              <w:spacing w:before="0" w:line="240" w:lineRule="auto"/>
              <w:jc w:val="center"/>
              <w:rPr>
                <w:snapToGrid w:val="0"/>
                <w:lang w:eastAsia="sv-SE"/>
              </w:rPr>
            </w:pPr>
            <w:r w:rsidRPr="00AD33E8">
              <w:rPr>
                <w:snapToGrid w:val="0"/>
                <w:lang w:eastAsia="sv-SE"/>
              </w:rPr>
              <w:t>7,8</w:t>
            </w:r>
          </w:p>
        </w:tc>
      </w:tr>
      <w:tr w:rsidR="00000000" w:rsidRPr="00AD33E8">
        <w:tblPrEx>
          <w:tblCellMar>
            <w:top w:w="0" w:type="dxa"/>
            <w:bottom w:w="0" w:type="dxa"/>
          </w:tblCellMar>
        </w:tblPrEx>
        <w:trPr>
          <w:trHeight w:val="247"/>
        </w:trPr>
        <w:tc>
          <w:tcPr>
            <w:tcW w:w="597" w:type="dxa"/>
            <w:gridSpan w:val="3"/>
          </w:tcPr>
          <w:p w:rsidR="007B7A21" w:rsidRPr="00AD33E8" w:rsidRDefault="007B7A21">
            <w:pPr>
              <w:spacing w:before="0" w:line="240" w:lineRule="auto"/>
              <w:rPr>
                <w:snapToGrid w:val="0"/>
                <w:lang w:eastAsia="sv-SE"/>
              </w:rPr>
            </w:pPr>
            <w:r w:rsidRPr="00AD33E8">
              <w:rPr>
                <w:snapToGrid w:val="0"/>
                <w:lang w:eastAsia="sv-SE"/>
              </w:rPr>
              <w:t>1993</w:t>
            </w:r>
          </w:p>
        </w:tc>
        <w:tc>
          <w:tcPr>
            <w:tcW w:w="2977" w:type="dxa"/>
          </w:tcPr>
          <w:p w:rsidR="007B7A21" w:rsidRPr="00AD33E8" w:rsidRDefault="007B7A21">
            <w:pPr>
              <w:spacing w:before="0" w:line="240" w:lineRule="auto"/>
              <w:jc w:val="center"/>
              <w:rPr>
                <w:snapToGrid w:val="0"/>
                <w:lang w:eastAsia="sv-SE"/>
              </w:rPr>
            </w:pPr>
            <w:r w:rsidRPr="00AD33E8">
              <w:rPr>
                <w:snapToGrid w:val="0"/>
                <w:lang w:eastAsia="sv-SE"/>
              </w:rPr>
              <w:t>33</w:t>
            </w:r>
          </w:p>
        </w:tc>
        <w:tc>
          <w:tcPr>
            <w:tcW w:w="2268" w:type="dxa"/>
          </w:tcPr>
          <w:p w:rsidR="007B7A21" w:rsidRPr="00AD33E8" w:rsidRDefault="007B7A21">
            <w:pPr>
              <w:spacing w:before="0" w:line="240" w:lineRule="auto"/>
              <w:jc w:val="center"/>
              <w:rPr>
                <w:snapToGrid w:val="0"/>
                <w:lang w:eastAsia="sv-SE"/>
              </w:rPr>
            </w:pPr>
            <w:r w:rsidRPr="00AD33E8">
              <w:rPr>
                <w:snapToGrid w:val="0"/>
                <w:lang w:eastAsia="sv-SE"/>
              </w:rPr>
              <w:t>8,3</w:t>
            </w:r>
          </w:p>
        </w:tc>
      </w:tr>
      <w:tr w:rsidR="00000000" w:rsidRPr="00AD33E8">
        <w:tblPrEx>
          <w:tblCellMar>
            <w:top w:w="0" w:type="dxa"/>
            <w:bottom w:w="0" w:type="dxa"/>
          </w:tblCellMar>
        </w:tblPrEx>
        <w:trPr>
          <w:trHeight w:val="247"/>
        </w:trPr>
        <w:tc>
          <w:tcPr>
            <w:tcW w:w="597" w:type="dxa"/>
            <w:gridSpan w:val="3"/>
          </w:tcPr>
          <w:p w:rsidR="007B7A21" w:rsidRPr="00AD33E8" w:rsidRDefault="007B7A21">
            <w:pPr>
              <w:spacing w:before="0" w:line="240" w:lineRule="auto"/>
              <w:rPr>
                <w:snapToGrid w:val="0"/>
                <w:lang w:eastAsia="sv-SE"/>
              </w:rPr>
            </w:pPr>
            <w:r w:rsidRPr="00AD33E8">
              <w:rPr>
                <w:snapToGrid w:val="0"/>
                <w:lang w:eastAsia="sv-SE"/>
              </w:rPr>
              <w:t>1994</w:t>
            </w:r>
          </w:p>
        </w:tc>
        <w:tc>
          <w:tcPr>
            <w:tcW w:w="2977" w:type="dxa"/>
          </w:tcPr>
          <w:p w:rsidR="007B7A21" w:rsidRPr="00AD33E8" w:rsidRDefault="007B7A21">
            <w:pPr>
              <w:spacing w:before="0" w:line="240" w:lineRule="auto"/>
              <w:jc w:val="center"/>
              <w:rPr>
                <w:snapToGrid w:val="0"/>
                <w:lang w:eastAsia="sv-SE"/>
              </w:rPr>
            </w:pPr>
            <w:r w:rsidRPr="00AD33E8">
              <w:rPr>
                <w:snapToGrid w:val="0"/>
                <w:lang w:eastAsia="sv-SE"/>
              </w:rPr>
              <w:t>55</w:t>
            </w:r>
          </w:p>
        </w:tc>
        <w:tc>
          <w:tcPr>
            <w:tcW w:w="2268" w:type="dxa"/>
          </w:tcPr>
          <w:p w:rsidR="007B7A21" w:rsidRPr="00AD33E8" w:rsidRDefault="007B7A21">
            <w:pPr>
              <w:spacing w:before="0" w:line="240" w:lineRule="auto"/>
              <w:jc w:val="center"/>
              <w:rPr>
                <w:snapToGrid w:val="0"/>
                <w:lang w:eastAsia="sv-SE"/>
              </w:rPr>
            </w:pPr>
            <w:r w:rsidRPr="00AD33E8">
              <w:rPr>
                <w:snapToGrid w:val="0"/>
                <w:lang w:eastAsia="sv-SE"/>
              </w:rPr>
              <w:t>8,5</w:t>
            </w:r>
          </w:p>
        </w:tc>
      </w:tr>
      <w:tr w:rsidR="00000000" w:rsidRPr="00AD33E8">
        <w:tblPrEx>
          <w:tblCellMar>
            <w:top w:w="0" w:type="dxa"/>
            <w:bottom w:w="0" w:type="dxa"/>
          </w:tblCellMar>
        </w:tblPrEx>
        <w:trPr>
          <w:trHeight w:val="247"/>
        </w:trPr>
        <w:tc>
          <w:tcPr>
            <w:tcW w:w="597" w:type="dxa"/>
            <w:gridSpan w:val="3"/>
          </w:tcPr>
          <w:p w:rsidR="007B7A21" w:rsidRPr="00AD33E8" w:rsidRDefault="007B7A21">
            <w:pPr>
              <w:spacing w:before="0" w:line="240" w:lineRule="auto"/>
              <w:rPr>
                <w:snapToGrid w:val="0"/>
                <w:lang w:eastAsia="sv-SE"/>
              </w:rPr>
            </w:pPr>
            <w:r w:rsidRPr="00AD33E8">
              <w:rPr>
                <w:snapToGrid w:val="0"/>
                <w:lang w:eastAsia="sv-SE"/>
              </w:rPr>
              <w:t>1995</w:t>
            </w:r>
          </w:p>
        </w:tc>
        <w:tc>
          <w:tcPr>
            <w:tcW w:w="2977" w:type="dxa"/>
          </w:tcPr>
          <w:p w:rsidR="007B7A21" w:rsidRPr="00AD33E8" w:rsidRDefault="007B7A21">
            <w:pPr>
              <w:spacing w:before="0" w:line="240" w:lineRule="auto"/>
              <w:jc w:val="center"/>
              <w:rPr>
                <w:snapToGrid w:val="0"/>
                <w:lang w:eastAsia="sv-SE"/>
              </w:rPr>
            </w:pPr>
            <w:r w:rsidRPr="00AD33E8">
              <w:rPr>
                <w:snapToGrid w:val="0"/>
                <w:lang w:eastAsia="sv-SE"/>
              </w:rPr>
              <w:t>57</w:t>
            </w:r>
          </w:p>
        </w:tc>
        <w:tc>
          <w:tcPr>
            <w:tcW w:w="2268" w:type="dxa"/>
          </w:tcPr>
          <w:p w:rsidR="007B7A21" w:rsidRPr="00AD33E8" w:rsidRDefault="007B7A21">
            <w:pPr>
              <w:spacing w:before="0" w:line="240" w:lineRule="auto"/>
              <w:jc w:val="center"/>
              <w:rPr>
                <w:snapToGrid w:val="0"/>
                <w:lang w:eastAsia="sv-SE"/>
              </w:rPr>
            </w:pPr>
            <w:r w:rsidRPr="00AD33E8">
              <w:rPr>
                <w:snapToGrid w:val="0"/>
                <w:lang w:eastAsia="sv-SE"/>
              </w:rPr>
              <w:t>9,9</w:t>
            </w:r>
          </w:p>
        </w:tc>
      </w:tr>
      <w:tr w:rsidR="00000000" w:rsidRPr="00AD33E8">
        <w:tblPrEx>
          <w:tblCellMar>
            <w:top w:w="0" w:type="dxa"/>
            <w:bottom w:w="0" w:type="dxa"/>
          </w:tblCellMar>
        </w:tblPrEx>
        <w:trPr>
          <w:trHeight w:val="247"/>
        </w:trPr>
        <w:tc>
          <w:tcPr>
            <w:tcW w:w="597" w:type="dxa"/>
            <w:gridSpan w:val="3"/>
          </w:tcPr>
          <w:p w:rsidR="007B7A21" w:rsidRPr="00AD33E8" w:rsidRDefault="007B7A21">
            <w:pPr>
              <w:spacing w:before="0" w:line="240" w:lineRule="auto"/>
              <w:rPr>
                <w:snapToGrid w:val="0"/>
                <w:lang w:eastAsia="sv-SE"/>
              </w:rPr>
            </w:pPr>
            <w:r w:rsidRPr="00AD33E8">
              <w:rPr>
                <w:snapToGrid w:val="0"/>
                <w:lang w:eastAsia="sv-SE"/>
              </w:rPr>
              <w:t>1996</w:t>
            </w:r>
          </w:p>
        </w:tc>
        <w:tc>
          <w:tcPr>
            <w:tcW w:w="2977" w:type="dxa"/>
          </w:tcPr>
          <w:p w:rsidR="007B7A21" w:rsidRPr="00AD33E8" w:rsidRDefault="007B7A21">
            <w:pPr>
              <w:spacing w:before="0" w:line="240" w:lineRule="auto"/>
              <w:jc w:val="center"/>
              <w:rPr>
                <w:snapToGrid w:val="0"/>
                <w:lang w:eastAsia="sv-SE"/>
              </w:rPr>
            </w:pPr>
            <w:r w:rsidRPr="00AD33E8">
              <w:rPr>
                <w:snapToGrid w:val="0"/>
                <w:lang w:eastAsia="sv-SE"/>
              </w:rPr>
              <w:t>55</w:t>
            </w:r>
          </w:p>
        </w:tc>
        <w:tc>
          <w:tcPr>
            <w:tcW w:w="2268" w:type="dxa"/>
          </w:tcPr>
          <w:p w:rsidR="007B7A21" w:rsidRPr="00AD33E8" w:rsidRDefault="007B7A21">
            <w:pPr>
              <w:spacing w:before="0" w:line="240" w:lineRule="auto"/>
              <w:jc w:val="center"/>
              <w:rPr>
                <w:snapToGrid w:val="0"/>
                <w:lang w:eastAsia="sv-SE"/>
              </w:rPr>
            </w:pPr>
            <w:r w:rsidRPr="00AD33E8">
              <w:rPr>
                <w:snapToGrid w:val="0"/>
                <w:lang w:eastAsia="sv-SE"/>
              </w:rPr>
              <w:t>10,7</w:t>
            </w:r>
          </w:p>
        </w:tc>
      </w:tr>
      <w:tr w:rsidR="00000000" w:rsidRPr="00AD33E8">
        <w:tblPrEx>
          <w:tblCellMar>
            <w:top w:w="0" w:type="dxa"/>
            <w:bottom w:w="0" w:type="dxa"/>
          </w:tblCellMar>
        </w:tblPrEx>
        <w:trPr>
          <w:trHeight w:val="247"/>
        </w:trPr>
        <w:tc>
          <w:tcPr>
            <w:tcW w:w="597" w:type="dxa"/>
            <w:gridSpan w:val="3"/>
          </w:tcPr>
          <w:p w:rsidR="007B7A21" w:rsidRPr="00AD33E8" w:rsidRDefault="007B7A21">
            <w:pPr>
              <w:spacing w:before="0" w:line="240" w:lineRule="auto"/>
              <w:rPr>
                <w:snapToGrid w:val="0"/>
                <w:lang w:eastAsia="sv-SE"/>
              </w:rPr>
            </w:pPr>
            <w:r w:rsidRPr="00AD33E8">
              <w:rPr>
                <w:snapToGrid w:val="0"/>
                <w:lang w:eastAsia="sv-SE"/>
              </w:rPr>
              <w:t>1997</w:t>
            </w:r>
          </w:p>
        </w:tc>
        <w:tc>
          <w:tcPr>
            <w:tcW w:w="2977" w:type="dxa"/>
          </w:tcPr>
          <w:p w:rsidR="007B7A21" w:rsidRPr="00AD33E8" w:rsidRDefault="007B7A21">
            <w:pPr>
              <w:spacing w:before="0" w:line="240" w:lineRule="auto"/>
              <w:jc w:val="center"/>
              <w:rPr>
                <w:snapToGrid w:val="0"/>
                <w:lang w:eastAsia="sv-SE"/>
              </w:rPr>
            </w:pPr>
            <w:r w:rsidRPr="00AD33E8">
              <w:rPr>
                <w:snapToGrid w:val="0"/>
                <w:lang w:eastAsia="sv-SE"/>
              </w:rPr>
              <w:t>52</w:t>
            </w:r>
          </w:p>
        </w:tc>
        <w:tc>
          <w:tcPr>
            <w:tcW w:w="2268" w:type="dxa"/>
          </w:tcPr>
          <w:p w:rsidR="007B7A21" w:rsidRPr="00AD33E8" w:rsidRDefault="007B7A21">
            <w:pPr>
              <w:spacing w:before="0" w:line="240" w:lineRule="auto"/>
              <w:jc w:val="center"/>
              <w:rPr>
                <w:snapToGrid w:val="0"/>
                <w:lang w:eastAsia="sv-SE"/>
              </w:rPr>
            </w:pPr>
            <w:r w:rsidRPr="00AD33E8">
              <w:rPr>
                <w:snapToGrid w:val="0"/>
                <w:lang w:eastAsia="sv-SE"/>
              </w:rPr>
              <w:t>8,8</w:t>
            </w:r>
          </w:p>
        </w:tc>
      </w:tr>
      <w:tr w:rsidR="00000000" w:rsidRPr="00AD33E8">
        <w:tblPrEx>
          <w:tblCellMar>
            <w:top w:w="0" w:type="dxa"/>
            <w:bottom w:w="0" w:type="dxa"/>
          </w:tblCellMar>
        </w:tblPrEx>
        <w:trPr>
          <w:trHeight w:val="247"/>
        </w:trPr>
        <w:tc>
          <w:tcPr>
            <w:tcW w:w="597" w:type="dxa"/>
            <w:gridSpan w:val="3"/>
          </w:tcPr>
          <w:p w:rsidR="007B7A21" w:rsidRPr="00AD33E8" w:rsidRDefault="007B7A21">
            <w:pPr>
              <w:spacing w:before="0" w:line="240" w:lineRule="auto"/>
              <w:rPr>
                <w:snapToGrid w:val="0"/>
                <w:lang w:eastAsia="sv-SE"/>
              </w:rPr>
            </w:pPr>
            <w:r w:rsidRPr="00AD33E8">
              <w:rPr>
                <w:snapToGrid w:val="0"/>
                <w:lang w:eastAsia="sv-SE"/>
              </w:rPr>
              <w:t>1998</w:t>
            </w:r>
          </w:p>
        </w:tc>
        <w:tc>
          <w:tcPr>
            <w:tcW w:w="2977" w:type="dxa"/>
          </w:tcPr>
          <w:p w:rsidR="007B7A21" w:rsidRPr="00AD33E8" w:rsidRDefault="007B7A21">
            <w:pPr>
              <w:spacing w:before="0" w:line="240" w:lineRule="auto"/>
              <w:jc w:val="center"/>
              <w:rPr>
                <w:snapToGrid w:val="0"/>
                <w:lang w:eastAsia="sv-SE"/>
              </w:rPr>
            </w:pPr>
            <w:r w:rsidRPr="00AD33E8">
              <w:rPr>
                <w:snapToGrid w:val="0"/>
                <w:lang w:eastAsia="sv-SE"/>
              </w:rPr>
              <w:t>54</w:t>
            </w:r>
          </w:p>
        </w:tc>
        <w:tc>
          <w:tcPr>
            <w:tcW w:w="2268" w:type="dxa"/>
          </w:tcPr>
          <w:p w:rsidR="007B7A21" w:rsidRPr="00AD33E8" w:rsidRDefault="007B7A21">
            <w:pPr>
              <w:spacing w:before="0" w:line="240" w:lineRule="auto"/>
              <w:jc w:val="center"/>
              <w:rPr>
                <w:snapToGrid w:val="0"/>
                <w:lang w:eastAsia="sv-SE"/>
              </w:rPr>
            </w:pPr>
            <w:r w:rsidRPr="00AD33E8">
              <w:rPr>
                <w:snapToGrid w:val="0"/>
                <w:lang w:eastAsia="sv-SE"/>
              </w:rPr>
              <w:t>7,5</w:t>
            </w:r>
          </w:p>
        </w:tc>
      </w:tr>
      <w:tr w:rsidR="00000000" w:rsidRPr="00AD33E8">
        <w:tblPrEx>
          <w:tblCellMar>
            <w:top w:w="0" w:type="dxa"/>
            <w:bottom w:w="0" w:type="dxa"/>
          </w:tblCellMar>
        </w:tblPrEx>
        <w:trPr>
          <w:trHeight w:val="247"/>
        </w:trPr>
        <w:tc>
          <w:tcPr>
            <w:tcW w:w="597" w:type="dxa"/>
            <w:gridSpan w:val="3"/>
          </w:tcPr>
          <w:p w:rsidR="007B7A21" w:rsidRPr="00AD33E8" w:rsidRDefault="007B7A21">
            <w:pPr>
              <w:spacing w:before="0" w:line="240" w:lineRule="auto"/>
              <w:rPr>
                <w:snapToGrid w:val="0"/>
                <w:lang w:eastAsia="sv-SE"/>
              </w:rPr>
            </w:pPr>
            <w:r w:rsidRPr="00AD33E8">
              <w:rPr>
                <w:snapToGrid w:val="0"/>
                <w:lang w:eastAsia="sv-SE"/>
              </w:rPr>
              <w:t>1999</w:t>
            </w:r>
          </w:p>
        </w:tc>
        <w:tc>
          <w:tcPr>
            <w:tcW w:w="2977" w:type="dxa"/>
          </w:tcPr>
          <w:p w:rsidR="007B7A21" w:rsidRPr="00AD33E8" w:rsidRDefault="007B7A21">
            <w:pPr>
              <w:spacing w:before="0" w:line="240" w:lineRule="auto"/>
              <w:jc w:val="center"/>
              <w:rPr>
                <w:snapToGrid w:val="0"/>
                <w:lang w:eastAsia="sv-SE"/>
              </w:rPr>
            </w:pPr>
            <w:r w:rsidRPr="00AD33E8">
              <w:rPr>
                <w:snapToGrid w:val="0"/>
                <w:lang w:eastAsia="sv-SE"/>
              </w:rPr>
              <w:t>56</w:t>
            </w:r>
          </w:p>
        </w:tc>
        <w:tc>
          <w:tcPr>
            <w:tcW w:w="2268" w:type="dxa"/>
          </w:tcPr>
          <w:p w:rsidR="007B7A21" w:rsidRPr="00AD33E8" w:rsidRDefault="007B7A21">
            <w:pPr>
              <w:spacing w:before="0" w:line="240" w:lineRule="auto"/>
              <w:jc w:val="center"/>
              <w:rPr>
                <w:snapToGrid w:val="0"/>
                <w:lang w:eastAsia="sv-SE"/>
              </w:rPr>
            </w:pPr>
            <w:r w:rsidRPr="00AD33E8">
              <w:rPr>
                <w:snapToGrid w:val="0"/>
                <w:lang w:eastAsia="sv-SE"/>
              </w:rPr>
              <w:t>7,2</w:t>
            </w:r>
          </w:p>
        </w:tc>
      </w:tr>
    </w:tbl>
    <w:p w:rsidR="007B7A21" w:rsidRPr="00AD33E8" w:rsidRDefault="007B7A21">
      <w:r w:rsidRPr="00AD33E8">
        <w:t>Andelen anställda som deltagit i personalutbildning ökar under 1990-talet. Antalet utbildningsdagar per anställd varierar utan mönster under samma tid. Siffrorna speglar inte någon successivt ökad utbildningsinsats. Det går inte heller att urskilja om det är fråga om normala utbildningsinsatser. Den stora omfattningen av antalet deltagare liksom den korta utbildningstiden per deltagare skulle därför tala för att det kan vara fråga om introduktionsutbil</w:t>
      </w:r>
      <w:r w:rsidRPr="00AD33E8">
        <w:t>d</w:t>
      </w:r>
      <w:r w:rsidRPr="00AD33E8">
        <w:t>ning eller kortare utbildning i t.ex. nya dataprogram. Om det skulle vara insatser i samband med omställning går det inte att avläsa vilka som omfa</w:t>
      </w:r>
      <w:r w:rsidRPr="00AD33E8">
        <w:t>t</w:t>
      </w:r>
      <w:r w:rsidRPr="00AD33E8">
        <w:t>tas. Inte heller går det att svara på frågor om utbildningars syfte. I vilken grad är det fråga om utbildning för dem som sagts upp eller är med i ett omställningsprogram? Eller är det fråga om strategisk kompetensutveckling för personal som skall vara kvar i myndi</w:t>
      </w:r>
      <w:r w:rsidRPr="00AD33E8">
        <w:t>g</w:t>
      </w:r>
      <w:r w:rsidRPr="00AD33E8">
        <w:t>heten?</w:t>
      </w:r>
    </w:p>
    <w:p w:rsidR="007B7A21" w:rsidRPr="00AD33E8" w:rsidRDefault="007B7A21">
      <w:pPr>
        <w:pStyle w:val="Rubrik3"/>
      </w:pPr>
      <w:bookmarkStart w:id="204" w:name="_Toc3887397"/>
      <w:bookmarkStart w:id="205" w:name="_Toc21425310"/>
      <w:r w:rsidRPr="00AD33E8">
        <w:t>Förändringar i myndighetsstrukturen</w:t>
      </w:r>
      <w:bookmarkEnd w:id="204"/>
      <w:bookmarkEnd w:id="205"/>
    </w:p>
    <w:p w:rsidR="007B7A21" w:rsidRPr="00AD33E8" w:rsidRDefault="007B7A21">
      <w:r w:rsidRPr="00AD33E8">
        <w:t>Under 1990-talet har regeringen gjort flera ändringar i myndighetsstrukturen, den har centraliserats. Antalet statliga myndigheter har mer än halverats under 1990-talet, från 1 360 myndigheter år 1990 till 590 år 1998. Inom flera sektorer har antalet regionala eller lokala enheter minskat. Regeringen red</w:t>
      </w:r>
      <w:r w:rsidRPr="00AD33E8">
        <w:t>o</w:t>
      </w:r>
      <w:r w:rsidRPr="00AD33E8">
        <w:t>visar i sin förvaltningspolitiska rapport till regeringen för år 2000 att denna löpande omstrukturering ska fortsätta (skr. 2000/01:151), se tabell 16.</w:t>
      </w:r>
    </w:p>
    <w:p w:rsidR="007B7A21" w:rsidRPr="00AD33E8" w:rsidRDefault="007B7A21">
      <w:pPr>
        <w:pStyle w:val="Normaltindrag"/>
      </w:pP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1"/>
        <w:gridCol w:w="1"/>
        <w:gridCol w:w="3967"/>
        <w:gridCol w:w="992"/>
        <w:gridCol w:w="1023"/>
        <w:gridCol w:w="83"/>
      </w:tblGrid>
      <w:tr w:rsidR="00000000" w:rsidRPr="00AD33E8">
        <w:tblPrEx>
          <w:tblCellMar>
            <w:top w:w="0" w:type="dxa"/>
            <w:bottom w:w="0" w:type="dxa"/>
          </w:tblCellMar>
        </w:tblPrEx>
        <w:trPr>
          <w:gridAfter w:val="1"/>
          <w:wAfter w:w="83" w:type="dxa"/>
          <w:trHeight w:val="247"/>
        </w:trPr>
        <w:tc>
          <w:tcPr>
            <w:tcW w:w="5984" w:type="dxa"/>
            <w:hMerge w:val="restart"/>
            <w:tcBorders>
              <w:bottom w:val="single" w:sz="6" w:space="0" w:color="008000"/>
            </w:tcBorders>
          </w:tcPr>
          <w:p w:rsidR="007B7A21" w:rsidRPr="00AD33E8" w:rsidRDefault="007B7A21">
            <w:pPr>
              <w:spacing w:line="240" w:lineRule="auto"/>
              <w:rPr>
                <w:b/>
                <w:snapToGrid w:val="0"/>
                <w:lang w:eastAsia="sv-SE"/>
              </w:rPr>
            </w:pPr>
            <w:r w:rsidRPr="00AD33E8">
              <w:rPr>
                <w:b/>
                <w:snapToGrid w:val="0"/>
                <w:lang w:eastAsia="sv-SE"/>
              </w:rPr>
              <w:t>Tabell 16: Rikets administrativa indelningar för olika sektorer 1991 och 1999, antal</w:t>
            </w:r>
          </w:p>
        </w:tc>
        <w:tc>
          <w:tcPr>
            <w:hMerge/>
            <w:tcBorders>
              <w:bottom w:val="single" w:sz="6" w:space="0" w:color="008000"/>
            </w:tcBorders>
          </w:tcPr>
          <w:p w:rsidR="007B7A21" w:rsidRPr="00AD33E8" w:rsidRDefault="007B7A21">
            <w:pPr>
              <w:spacing w:line="240" w:lineRule="auto"/>
              <w:jc w:val="right"/>
              <w:rPr>
                <w:snapToGrid w:val="0"/>
                <w:lang w:eastAsia="sv-SE"/>
              </w:rPr>
            </w:pPr>
          </w:p>
        </w:tc>
        <w:tc>
          <w:tcPr>
            <w:gridSpan w:val="3"/>
            <w:hMerge/>
            <w:tcBorders>
              <w:bottom w:val="single" w:sz="6" w:space="0" w:color="008000"/>
            </w:tcBorders>
          </w:tcPr>
          <w:p w:rsidR="007B7A21" w:rsidRPr="00AD33E8" w:rsidRDefault="007B7A21">
            <w:pPr>
              <w:spacing w:line="240" w:lineRule="auto"/>
              <w:jc w:val="right"/>
              <w:rPr>
                <w:snapToGrid w:val="0"/>
                <w:lang w:eastAsia="sv-SE"/>
              </w:rPr>
            </w:pPr>
          </w:p>
        </w:tc>
      </w:tr>
      <w:tr w:rsidR="00000000" w:rsidRPr="00AD33E8">
        <w:tblPrEx>
          <w:tblCellMar>
            <w:top w:w="0" w:type="dxa"/>
            <w:bottom w:w="0" w:type="dxa"/>
          </w:tblCellMar>
        </w:tblPrEx>
        <w:trPr>
          <w:trHeight w:val="247"/>
        </w:trPr>
        <w:tc>
          <w:tcPr>
            <w:tcW w:w="3969" w:type="dxa"/>
            <w:gridSpan w:val="3"/>
          </w:tcPr>
          <w:p w:rsidR="007B7A21" w:rsidRPr="00AD33E8" w:rsidRDefault="007B7A21">
            <w:pPr>
              <w:spacing w:before="0" w:line="240" w:lineRule="auto"/>
              <w:jc w:val="right"/>
              <w:rPr>
                <w:snapToGrid w:val="0"/>
                <w:lang w:eastAsia="sv-SE"/>
              </w:rPr>
            </w:pP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1991</w:t>
            </w:r>
          </w:p>
        </w:tc>
        <w:tc>
          <w:tcPr>
            <w:tcW w:w="1106" w:type="dxa"/>
            <w:gridSpan w:val="2"/>
          </w:tcPr>
          <w:p w:rsidR="007B7A21" w:rsidRPr="00AD33E8" w:rsidRDefault="007B7A21">
            <w:pPr>
              <w:spacing w:before="0" w:line="240" w:lineRule="auto"/>
              <w:jc w:val="right"/>
              <w:rPr>
                <w:snapToGrid w:val="0"/>
                <w:lang w:eastAsia="sv-SE"/>
              </w:rPr>
            </w:pPr>
            <w:r w:rsidRPr="00AD33E8">
              <w:rPr>
                <w:snapToGrid w:val="0"/>
                <w:lang w:eastAsia="sv-SE"/>
              </w:rPr>
              <w:t>1999</w:t>
            </w:r>
          </w:p>
        </w:tc>
      </w:tr>
      <w:tr w:rsidR="00000000" w:rsidRPr="00AD33E8">
        <w:tblPrEx>
          <w:tblCellMar>
            <w:top w:w="0" w:type="dxa"/>
            <w:bottom w:w="0" w:type="dxa"/>
          </w:tblCellMar>
        </w:tblPrEx>
        <w:trPr>
          <w:trHeight w:val="247"/>
        </w:trPr>
        <w:tc>
          <w:tcPr>
            <w:tcW w:w="3969" w:type="dxa"/>
            <w:gridSpan w:val="3"/>
          </w:tcPr>
          <w:p w:rsidR="007B7A21" w:rsidRPr="00AD33E8" w:rsidRDefault="007B7A21">
            <w:pPr>
              <w:spacing w:before="0" w:line="240" w:lineRule="auto"/>
              <w:rPr>
                <w:snapToGrid w:val="0"/>
                <w:lang w:eastAsia="sv-SE"/>
              </w:rPr>
            </w:pPr>
            <w:r w:rsidRPr="00AD33E8">
              <w:rPr>
                <w:snapToGrid w:val="0"/>
                <w:lang w:eastAsia="sv-SE"/>
              </w:rPr>
              <w:t>Försäkringskassor</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26</w:t>
            </w:r>
          </w:p>
        </w:tc>
        <w:tc>
          <w:tcPr>
            <w:tcW w:w="1106" w:type="dxa"/>
            <w:gridSpan w:val="2"/>
          </w:tcPr>
          <w:p w:rsidR="007B7A21" w:rsidRPr="00AD33E8" w:rsidRDefault="007B7A21">
            <w:pPr>
              <w:spacing w:before="0" w:line="240" w:lineRule="auto"/>
              <w:jc w:val="right"/>
              <w:rPr>
                <w:snapToGrid w:val="0"/>
                <w:lang w:eastAsia="sv-SE"/>
              </w:rPr>
            </w:pPr>
            <w:r w:rsidRPr="00AD33E8">
              <w:rPr>
                <w:snapToGrid w:val="0"/>
                <w:lang w:eastAsia="sv-SE"/>
              </w:rPr>
              <w:t>21</w:t>
            </w:r>
          </w:p>
        </w:tc>
      </w:tr>
      <w:tr w:rsidR="00000000" w:rsidRPr="00AD33E8">
        <w:tblPrEx>
          <w:tblCellMar>
            <w:top w:w="0" w:type="dxa"/>
            <w:bottom w:w="0" w:type="dxa"/>
          </w:tblCellMar>
        </w:tblPrEx>
        <w:trPr>
          <w:trHeight w:val="247"/>
        </w:trPr>
        <w:tc>
          <w:tcPr>
            <w:tcW w:w="3969" w:type="dxa"/>
            <w:gridSpan w:val="3"/>
          </w:tcPr>
          <w:p w:rsidR="007B7A21" w:rsidRPr="00AD33E8" w:rsidRDefault="007B7A21">
            <w:pPr>
              <w:spacing w:before="0" w:line="240" w:lineRule="auto"/>
              <w:rPr>
                <w:snapToGrid w:val="0"/>
                <w:lang w:eastAsia="sv-SE"/>
              </w:rPr>
            </w:pPr>
            <w:r w:rsidRPr="00AD33E8">
              <w:rPr>
                <w:snapToGrid w:val="0"/>
                <w:lang w:eastAsia="sv-SE"/>
              </w:rPr>
              <w:t>Kronofogdemyndigheter</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24</w:t>
            </w:r>
          </w:p>
        </w:tc>
        <w:tc>
          <w:tcPr>
            <w:tcW w:w="1106" w:type="dxa"/>
            <w:gridSpan w:val="2"/>
          </w:tcPr>
          <w:p w:rsidR="007B7A21" w:rsidRPr="00AD33E8" w:rsidRDefault="007B7A21">
            <w:pPr>
              <w:spacing w:before="0" w:line="240" w:lineRule="auto"/>
              <w:jc w:val="right"/>
              <w:rPr>
                <w:snapToGrid w:val="0"/>
                <w:lang w:eastAsia="sv-SE"/>
              </w:rPr>
            </w:pPr>
            <w:r w:rsidRPr="00AD33E8">
              <w:rPr>
                <w:snapToGrid w:val="0"/>
                <w:lang w:eastAsia="sv-SE"/>
              </w:rPr>
              <w:t>10</w:t>
            </w:r>
          </w:p>
        </w:tc>
      </w:tr>
      <w:tr w:rsidR="00000000" w:rsidRPr="00AD33E8">
        <w:tblPrEx>
          <w:tblCellMar>
            <w:top w:w="0" w:type="dxa"/>
            <w:bottom w:w="0" w:type="dxa"/>
          </w:tblCellMar>
        </w:tblPrEx>
        <w:trPr>
          <w:trHeight w:val="247"/>
        </w:trPr>
        <w:tc>
          <w:tcPr>
            <w:tcW w:w="3969" w:type="dxa"/>
            <w:gridSpan w:val="3"/>
          </w:tcPr>
          <w:p w:rsidR="007B7A21" w:rsidRPr="00AD33E8" w:rsidRDefault="007B7A21">
            <w:pPr>
              <w:spacing w:before="0" w:line="240" w:lineRule="auto"/>
              <w:rPr>
                <w:snapToGrid w:val="0"/>
                <w:lang w:eastAsia="sv-SE"/>
              </w:rPr>
            </w:pPr>
            <w:r w:rsidRPr="00AD33E8">
              <w:rPr>
                <w:snapToGrid w:val="0"/>
                <w:lang w:eastAsia="sv-SE"/>
              </w:rPr>
              <w:t>Lantmäterimyndigheter</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24</w:t>
            </w:r>
          </w:p>
        </w:tc>
        <w:tc>
          <w:tcPr>
            <w:tcW w:w="1106" w:type="dxa"/>
            <w:gridSpan w:val="2"/>
          </w:tcPr>
          <w:p w:rsidR="007B7A21" w:rsidRPr="00AD33E8" w:rsidRDefault="007B7A21">
            <w:pPr>
              <w:spacing w:before="0" w:line="240" w:lineRule="auto"/>
              <w:jc w:val="right"/>
              <w:rPr>
                <w:snapToGrid w:val="0"/>
                <w:lang w:eastAsia="sv-SE"/>
              </w:rPr>
            </w:pPr>
            <w:r w:rsidRPr="00AD33E8">
              <w:rPr>
                <w:snapToGrid w:val="0"/>
                <w:lang w:eastAsia="sv-SE"/>
              </w:rPr>
              <w:t>21</w:t>
            </w:r>
          </w:p>
        </w:tc>
      </w:tr>
      <w:tr w:rsidR="00000000" w:rsidRPr="00AD33E8">
        <w:tblPrEx>
          <w:tblCellMar>
            <w:top w:w="0" w:type="dxa"/>
            <w:bottom w:w="0" w:type="dxa"/>
          </w:tblCellMar>
        </w:tblPrEx>
        <w:trPr>
          <w:trHeight w:val="247"/>
        </w:trPr>
        <w:tc>
          <w:tcPr>
            <w:tcW w:w="3969" w:type="dxa"/>
            <w:gridSpan w:val="3"/>
          </w:tcPr>
          <w:p w:rsidR="007B7A21" w:rsidRPr="00AD33E8" w:rsidRDefault="007B7A21">
            <w:pPr>
              <w:spacing w:before="0" w:line="240" w:lineRule="auto"/>
              <w:rPr>
                <w:snapToGrid w:val="0"/>
                <w:lang w:eastAsia="sv-SE"/>
              </w:rPr>
            </w:pPr>
            <w:r w:rsidRPr="00AD33E8">
              <w:rPr>
                <w:snapToGrid w:val="0"/>
                <w:lang w:eastAsia="sv-SE"/>
              </w:rPr>
              <w:t>Län</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24</w:t>
            </w:r>
          </w:p>
        </w:tc>
        <w:tc>
          <w:tcPr>
            <w:tcW w:w="1106" w:type="dxa"/>
            <w:gridSpan w:val="2"/>
          </w:tcPr>
          <w:p w:rsidR="007B7A21" w:rsidRPr="00AD33E8" w:rsidRDefault="007B7A21">
            <w:pPr>
              <w:spacing w:before="0" w:line="240" w:lineRule="auto"/>
              <w:jc w:val="right"/>
              <w:rPr>
                <w:snapToGrid w:val="0"/>
                <w:lang w:eastAsia="sv-SE"/>
              </w:rPr>
            </w:pPr>
            <w:r w:rsidRPr="00AD33E8">
              <w:rPr>
                <w:snapToGrid w:val="0"/>
                <w:lang w:eastAsia="sv-SE"/>
              </w:rPr>
              <w:t>21</w:t>
            </w:r>
          </w:p>
        </w:tc>
      </w:tr>
      <w:tr w:rsidR="00000000" w:rsidRPr="00AD33E8">
        <w:tblPrEx>
          <w:tblCellMar>
            <w:top w:w="0" w:type="dxa"/>
            <w:bottom w:w="0" w:type="dxa"/>
          </w:tblCellMar>
        </w:tblPrEx>
        <w:trPr>
          <w:trHeight w:val="247"/>
        </w:trPr>
        <w:tc>
          <w:tcPr>
            <w:tcW w:w="3969" w:type="dxa"/>
            <w:gridSpan w:val="3"/>
          </w:tcPr>
          <w:p w:rsidR="007B7A21" w:rsidRPr="00AD33E8" w:rsidRDefault="007B7A21">
            <w:pPr>
              <w:spacing w:before="0" w:line="240" w:lineRule="auto"/>
              <w:rPr>
                <w:snapToGrid w:val="0"/>
                <w:lang w:eastAsia="sv-SE"/>
              </w:rPr>
            </w:pPr>
            <w:r w:rsidRPr="00AD33E8">
              <w:rPr>
                <w:snapToGrid w:val="0"/>
                <w:lang w:eastAsia="sv-SE"/>
              </w:rPr>
              <w:t>Polismyndigheter</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118</w:t>
            </w:r>
          </w:p>
        </w:tc>
        <w:tc>
          <w:tcPr>
            <w:tcW w:w="1106" w:type="dxa"/>
            <w:gridSpan w:val="2"/>
          </w:tcPr>
          <w:p w:rsidR="007B7A21" w:rsidRPr="00AD33E8" w:rsidRDefault="007B7A21">
            <w:pPr>
              <w:spacing w:before="0" w:line="240" w:lineRule="auto"/>
              <w:jc w:val="right"/>
              <w:rPr>
                <w:snapToGrid w:val="0"/>
                <w:lang w:eastAsia="sv-SE"/>
              </w:rPr>
            </w:pPr>
            <w:r w:rsidRPr="00AD33E8">
              <w:rPr>
                <w:snapToGrid w:val="0"/>
                <w:lang w:eastAsia="sv-SE"/>
              </w:rPr>
              <w:t>21</w:t>
            </w:r>
          </w:p>
        </w:tc>
      </w:tr>
      <w:tr w:rsidR="00000000" w:rsidRPr="00AD33E8">
        <w:tblPrEx>
          <w:tblCellMar>
            <w:top w:w="0" w:type="dxa"/>
            <w:bottom w:w="0" w:type="dxa"/>
          </w:tblCellMar>
        </w:tblPrEx>
        <w:trPr>
          <w:trHeight w:val="247"/>
        </w:trPr>
        <w:tc>
          <w:tcPr>
            <w:tcW w:w="3969" w:type="dxa"/>
            <w:gridSpan w:val="3"/>
          </w:tcPr>
          <w:p w:rsidR="007B7A21" w:rsidRPr="00AD33E8" w:rsidRDefault="007B7A21">
            <w:pPr>
              <w:spacing w:before="0" w:line="240" w:lineRule="auto"/>
              <w:rPr>
                <w:snapToGrid w:val="0"/>
                <w:lang w:eastAsia="sv-SE"/>
              </w:rPr>
            </w:pPr>
            <w:r w:rsidRPr="00AD33E8">
              <w:rPr>
                <w:snapToGrid w:val="0"/>
                <w:lang w:eastAsia="sv-SE"/>
              </w:rPr>
              <w:t>Skattemyndigheter</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24</w:t>
            </w:r>
          </w:p>
        </w:tc>
        <w:tc>
          <w:tcPr>
            <w:tcW w:w="1106" w:type="dxa"/>
            <w:gridSpan w:val="2"/>
          </w:tcPr>
          <w:p w:rsidR="007B7A21" w:rsidRPr="00AD33E8" w:rsidRDefault="007B7A21">
            <w:pPr>
              <w:spacing w:before="0" w:line="240" w:lineRule="auto"/>
              <w:jc w:val="right"/>
              <w:rPr>
                <w:snapToGrid w:val="0"/>
                <w:lang w:eastAsia="sv-SE"/>
              </w:rPr>
            </w:pPr>
            <w:r w:rsidRPr="00AD33E8">
              <w:rPr>
                <w:snapToGrid w:val="0"/>
                <w:lang w:eastAsia="sv-SE"/>
              </w:rPr>
              <w:t>10</w:t>
            </w:r>
          </w:p>
        </w:tc>
      </w:tr>
      <w:tr w:rsidR="00000000" w:rsidRPr="00AD33E8">
        <w:tblPrEx>
          <w:tblCellMar>
            <w:top w:w="0" w:type="dxa"/>
            <w:bottom w:w="0" w:type="dxa"/>
          </w:tblCellMar>
        </w:tblPrEx>
        <w:trPr>
          <w:trHeight w:val="247"/>
        </w:trPr>
        <w:tc>
          <w:tcPr>
            <w:tcW w:w="3969" w:type="dxa"/>
            <w:gridSpan w:val="3"/>
          </w:tcPr>
          <w:p w:rsidR="007B7A21" w:rsidRPr="00AD33E8" w:rsidRDefault="007B7A21">
            <w:pPr>
              <w:spacing w:before="0" w:line="240" w:lineRule="auto"/>
              <w:rPr>
                <w:snapToGrid w:val="0"/>
                <w:lang w:eastAsia="sv-SE"/>
              </w:rPr>
            </w:pPr>
            <w:r w:rsidRPr="00AD33E8">
              <w:rPr>
                <w:snapToGrid w:val="0"/>
                <w:lang w:eastAsia="sv-SE"/>
              </w:rPr>
              <w:t>Skattekontor</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120</w:t>
            </w:r>
          </w:p>
        </w:tc>
        <w:tc>
          <w:tcPr>
            <w:tcW w:w="1106" w:type="dxa"/>
            <w:gridSpan w:val="2"/>
          </w:tcPr>
          <w:p w:rsidR="007B7A21" w:rsidRPr="00AD33E8" w:rsidRDefault="007B7A21">
            <w:pPr>
              <w:spacing w:before="0" w:line="240" w:lineRule="auto"/>
              <w:jc w:val="right"/>
              <w:rPr>
                <w:snapToGrid w:val="0"/>
                <w:lang w:eastAsia="sv-SE"/>
              </w:rPr>
            </w:pPr>
            <w:r w:rsidRPr="00AD33E8">
              <w:rPr>
                <w:snapToGrid w:val="0"/>
                <w:lang w:eastAsia="sv-SE"/>
              </w:rPr>
              <w:t>116</w:t>
            </w:r>
          </w:p>
        </w:tc>
      </w:tr>
      <w:tr w:rsidR="00000000" w:rsidRPr="00AD33E8">
        <w:tblPrEx>
          <w:tblCellMar>
            <w:top w:w="0" w:type="dxa"/>
            <w:bottom w:w="0" w:type="dxa"/>
          </w:tblCellMar>
        </w:tblPrEx>
        <w:trPr>
          <w:trHeight w:val="247"/>
        </w:trPr>
        <w:tc>
          <w:tcPr>
            <w:tcW w:w="3969" w:type="dxa"/>
            <w:gridSpan w:val="3"/>
          </w:tcPr>
          <w:p w:rsidR="007B7A21" w:rsidRPr="00AD33E8" w:rsidRDefault="007B7A21">
            <w:pPr>
              <w:spacing w:before="0" w:line="240" w:lineRule="auto"/>
              <w:rPr>
                <w:snapToGrid w:val="0"/>
                <w:lang w:eastAsia="sv-SE"/>
              </w:rPr>
            </w:pPr>
            <w:r w:rsidRPr="00AD33E8">
              <w:rPr>
                <w:snapToGrid w:val="0"/>
                <w:lang w:eastAsia="sv-SE"/>
              </w:rPr>
              <w:t>Tulldistrikt</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21</w:t>
            </w:r>
          </w:p>
        </w:tc>
        <w:tc>
          <w:tcPr>
            <w:tcW w:w="1106" w:type="dxa"/>
            <w:gridSpan w:val="2"/>
          </w:tcPr>
          <w:p w:rsidR="007B7A21" w:rsidRPr="00AD33E8" w:rsidRDefault="007B7A21">
            <w:pPr>
              <w:spacing w:before="0" w:line="240" w:lineRule="auto"/>
              <w:jc w:val="right"/>
              <w:rPr>
                <w:snapToGrid w:val="0"/>
                <w:lang w:eastAsia="sv-SE"/>
              </w:rPr>
            </w:pPr>
            <w:r w:rsidRPr="00AD33E8">
              <w:rPr>
                <w:snapToGrid w:val="0"/>
                <w:lang w:eastAsia="sv-SE"/>
              </w:rPr>
              <w:t>12</w:t>
            </w:r>
          </w:p>
        </w:tc>
      </w:tr>
      <w:tr w:rsidR="00000000" w:rsidRPr="00AD33E8">
        <w:tblPrEx>
          <w:tblCellMar>
            <w:top w:w="0" w:type="dxa"/>
            <w:bottom w:w="0" w:type="dxa"/>
          </w:tblCellMar>
        </w:tblPrEx>
        <w:trPr>
          <w:trHeight w:val="247"/>
        </w:trPr>
        <w:tc>
          <w:tcPr>
            <w:tcW w:w="3969" w:type="dxa"/>
            <w:gridSpan w:val="3"/>
          </w:tcPr>
          <w:p w:rsidR="007B7A21" w:rsidRPr="00AD33E8" w:rsidRDefault="007B7A21">
            <w:pPr>
              <w:spacing w:before="0" w:line="240" w:lineRule="auto"/>
              <w:rPr>
                <w:snapToGrid w:val="0"/>
                <w:lang w:eastAsia="sv-SE"/>
              </w:rPr>
            </w:pPr>
            <w:r w:rsidRPr="00AD33E8">
              <w:rPr>
                <w:snapToGrid w:val="0"/>
                <w:lang w:eastAsia="sv-SE"/>
              </w:rPr>
              <w:t>Yrkesinspektionsdistrikt</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19</w:t>
            </w:r>
          </w:p>
        </w:tc>
        <w:tc>
          <w:tcPr>
            <w:tcW w:w="1106" w:type="dxa"/>
            <w:gridSpan w:val="2"/>
          </w:tcPr>
          <w:p w:rsidR="007B7A21" w:rsidRPr="00AD33E8" w:rsidRDefault="007B7A21">
            <w:pPr>
              <w:spacing w:before="0" w:line="240" w:lineRule="auto"/>
              <w:jc w:val="right"/>
              <w:rPr>
                <w:snapToGrid w:val="0"/>
                <w:lang w:eastAsia="sv-SE"/>
              </w:rPr>
            </w:pPr>
            <w:r w:rsidRPr="00AD33E8">
              <w:rPr>
                <w:snapToGrid w:val="0"/>
                <w:lang w:eastAsia="sv-SE"/>
              </w:rPr>
              <w:t>10</w:t>
            </w:r>
          </w:p>
        </w:tc>
      </w:tr>
      <w:tr w:rsidR="00000000" w:rsidRPr="00AD33E8">
        <w:tblPrEx>
          <w:tblCellMar>
            <w:top w:w="0" w:type="dxa"/>
            <w:bottom w:w="0" w:type="dxa"/>
          </w:tblCellMar>
        </w:tblPrEx>
        <w:trPr>
          <w:trHeight w:val="247"/>
        </w:trPr>
        <w:tc>
          <w:tcPr>
            <w:tcW w:w="3969" w:type="dxa"/>
            <w:gridSpan w:val="3"/>
          </w:tcPr>
          <w:p w:rsidR="007B7A21" w:rsidRPr="00AD33E8" w:rsidRDefault="007B7A21">
            <w:pPr>
              <w:spacing w:before="0" w:line="240" w:lineRule="auto"/>
              <w:rPr>
                <w:snapToGrid w:val="0"/>
                <w:lang w:eastAsia="sv-SE"/>
              </w:rPr>
            </w:pPr>
            <w:r w:rsidRPr="00AD33E8">
              <w:rPr>
                <w:snapToGrid w:val="0"/>
                <w:lang w:eastAsia="sv-SE"/>
              </w:rPr>
              <w:t>Åklagarmyndigheter</w:t>
            </w:r>
          </w:p>
        </w:tc>
        <w:tc>
          <w:tcPr>
            <w:tcW w:w="992" w:type="dxa"/>
          </w:tcPr>
          <w:p w:rsidR="007B7A21" w:rsidRPr="00AD33E8" w:rsidRDefault="007B7A21">
            <w:pPr>
              <w:spacing w:before="0" w:line="240" w:lineRule="auto"/>
              <w:jc w:val="right"/>
              <w:rPr>
                <w:snapToGrid w:val="0"/>
                <w:lang w:eastAsia="sv-SE"/>
              </w:rPr>
            </w:pPr>
            <w:r w:rsidRPr="00AD33E8">
              <w:rPr>
                <w:snapToGrid w:val="0"/>
                <w:lang w:eastAsia="sv-SE"/>
              </w:rPr>
              <w:t>86</w:t>
            </w:r>
          </w:p>
        </w:tc>
        <w:tc>
          <w:tcPr>
            <w:tcW w:w="1106" w:type="dxa"/>
            <w:gridSpan w:val="2"/>
          </w:tcPr>
          <w:p w:rsidR="007B7A21" w:rsidRPr="00AD33E8" w:rsidRDefault="007B7A21">
            <w:pPr>
              <w:spacing w:before="0" w:line="240" w:lineRule="auto"/>
              <w:jc w:val="right"/>
              <w:rPr>
                <w:snapToGrid w:val="0"/>
                <w:lang w:eastAsia="sv-SE"/>
              </w:rPr>
            </w:pPr>
            <w:r w:rsidRPr="00AD33E8">
              <w:rPr>
                <w:snapToGrid w:val="0"/>
                <w:lang w:eastAsia="sv-SE"/>
              </w:rPr>
              <w:t>7</w:t>
            </w:r>
          </w:p>
        </w:tc>
      </w:tr>
      <w:tr w:rsidR="00000000" w:rsidRPr="00AD33E8">
        <w:tblPrEx>
          <w:tblCellMar>
            <w:top w:w="0" w:type="dxa"/>
            <w:bottom w:w="0" w:type="dxa"/>
          </w:tblCellMar>
        </w:tblPrEx>
        <w:trPr>
          <w:trHeight w:val="247"/>
        </w:trPr>
        <w:tc>
          <w:tcPr>
            <w:tcW w:w="3969" w:type="dxa"/>
            <w:gridSpan w:val="3"/>
          </w:tcPr>
          <w:p w:rsidR="007B7A21" w:rsidRPr="00AD33E8" w:rsidRDefault="007B7A21">
            <w:pPr>
              <w:spacing w:line="240" w:lineRule="auto"/>
              <w:rPr>
                <w:snapToGrid w:val="0"/>
                <w:lang w:eastAsia="sv-SE"/>
              </w:rPr>
            </w:pPr>
            <w:r w:rsidRPr="00AD33E8">
              <w:rPr>
                <w:snapToGrid w:val="0"/>
                <w:lang w:eastAsia="sv-SE"/>
              </w:rPr>
              <w:t>Källa: Statistisk årsbok</w:t>
            </w:r>
          </w:p>
        </w:tc>
        <w:tc>
          <w:tcPr>
            <w:tcW w:w="992" w:type="dxa"/>
          </w:tcPr>
          <w:p w:rsidR="007B7A21" w:rsidRPr="00AD33E8" w:rsidRDefault="007B7A21">
            <w:pPr>
              <w:spacing w:line="240" w:lineRule="auto"/>
              <w:jc w:val="right"/>
              <w:rPr>
                <w:snapToGrid w:val="0"/>
                <w:lang w:eastAsia="sv-SE"/>
              </w:rPr>
            </w:pPr>
          </w:p>
        </w:tc>
        <w:tc>
          <w:tcPr>
            <w:tcW w:w="1106" w:type="dxa"/>
            <w:gridSpan w:val="2"/>
          </w:tcPr>
          <w:p w:rsidR="007B7A21" w:rsidRPr="00AD33E8" w:rsidRDefault="007B7A21">
            <w:pPr>
              <w:spacing w:line="240" w:lineRule="auto"/>
              <w:jc w:val="right"/>
              <w:rPr>
                <w:snapToGrid w:val="0"/>
                <w:lang w:eastAsia="sv-SE"/>
              </w:rPr>
            </w:pPr>
          </w:p>
        </w:tc>
      </w:tr>
    </w:tbl>
    <w:p w:rsidR="007B7A21" w:rsidRPr="00AD33E8" w:rsidRDefault="007B7A21">
      <w:r w:rsidRPr="00AD33E8">
        <w:t>Huvudorsaken är att flera ”myndighetskoncerner” som har en regional org</w:t>
      </w:r>
      <w:r w:rsidRPr="00AD33E8">
        <w:t>a</w:t>
      </w:r>
      <w:r w:rsidRPr="00AD33E8">
        <w:t>nisation har slagits samman till större enheter.</w:t>
      </w:r>
    </w:p>
    <w:p w:rsidR="007B7A21" w:rsidRPr="00AD33E8" w:rsidRDefault="007B7A21">
      <w:pPr>
        <w:pStyle w:val="Rubrik2"/>
      </w:pPr>
      <w:bookmarkStart w:id="206" w:name="_Toc3887398"/>
      <w:bookmarkStart w:id="207" w:name="_Toc21425311"/>
      <w:r w:rsidRPr="00AD33E8">
        <w:t>Kostnadsutveckling och sjukfrånvaro</w:t>
      </w:r>
      <w:bookmarkEnd w:id="206"/>
      <w:bookmarkEnd w:id="207"/>
    </w:p>
    <w:p w:rsidR="007B7A21" w:rsidRPr="00AD33E8" w:rsidRDefault="007B7A21">
      <w:r w:rsidRPr="00AD33E8">
        <w:t>Ett argument för såväl den förvaltningspolitiska förnyelsen som den nya statliga personalpolitiken var att utgifts- och kostnads</w:t>
      </w:r>
      <w:r w:rsidRPr="00AD33E8">
        <w:softHyphen/>
        <w:t>utveck</w:t>
      </w:r>
      <w:r w:rsidRPr="00AD33E8">
        <w:softHyphen/>
        <w:t>lingen inom den offentliga sektorn som helhet började nå ett kostnadstak. Den statliga pers</w:t>
      </w:r>
      <w:r w:rsidRPr="00AD33E8">
        <w:t>o</w:t>
      </w:r>
      <w:r w:rsidRPr="00AD33E8">
        <w:t>nalpolitikens roll i den önskade kostnadsdämpningen kan ses i två perspe</w:t>
      </w:r>
      <w:r w:rsidRPr="00AD33E8">
        <w:t>k</w:t>
      </w:r>
      <w:r w:rsidRPr="00AD33E8">
        <w:t>tiv, dels det tryck som kostnaderna för de statliga tjänsterna utövade på u</w:t>
      </w:r>
      <w:r w:rsidRPr="00AD33E8">
        <w:t>t</w:t>
      </w:r>
      <w:r w:rsidRPr="00AD33E8">
        <w:t>giftsvolymen, dels de effekter på det samlade offentliga kostnadstrycket som de statliga tjänstemännens verksamhet hade. I detta avsnitt redovisas några nyckeltal som speglar utvecklingen sedd i det första perspektivet. Däremot är underlaget för uppgifter som vis</w:t>
      </w:r>
      <w:r w:rsidRPr="00AD33E8">
        <w:t>ar samband mellan den statliga verksamh</w:t>
      </w:r>
      <w:r w:rsidRPr="00AD33E8">
        <w:t>e</w:t>
      </w:r>
      <w:r w:rsidRPr="00AD33E8">
        <w:t>tens genomförande och den lån</w:t>
      </w:r>
      <w:r w:rsidRPr="00AD33E8">
        <w:t>g</w:t>
      </w:r>
      <w:r w:rsidRPr="00AD33E8">
        <w:t>siktiga kostnadsutvecklingen begränsat.</w:t>
      </w:r>
    </w:p>
    <w:p w:rsidR="007B7A21" w:rsidRPr="00AD33E8" w:rsidRDefault="007B7A21">
      <w:pPr>
        <w:pStyle w:val="Normaltindrag"/>
      </w:pPr>
      <w:r w:rsidRPr="00AD33E8">
        <w:t>Därtill redovisas uppgifter om sjuktalsutvecklingen inom staten. Den har flera samband med kostnadsutvecklingen. Ökad sjukfrånvaro leder till ökade statliga utgifterna för sjukpenning, kostnader för produktionsbortfall, vikarier eller rehabilitering. Det finns vidare forskningsrapporter som pekar på sa</w:t>
      </w:r>
      <w:r w:rsidRPr="00AD33E8">
        <w:t>m</w:t>
      </w:r>
      <w:r w:rsidRPr="00AD33E8">
        <w:t>band mellan långt gående besparingsprogram och sjukskrivningar med stressymtom.</w:t>
      </w:r>
    </w:p>
    <w:p w:rsidR="007B7A21" w:rsidRPr="00AD33E8" w:rsidRDefault="007B7A21">
      <w:pPr>
        <w:pStyle w:val="Rubrik3"/>
      </w:pPr>
      <w:bookmarkStart w:id="208" w:name="_Toc3887399"/>
      <w:bookmarkStart w:id="209" w:name="_Toc21425312"/>
      <w:r w:rsidRPr="00AD33E8">
        <w:t>Statsbudgetens utgifter</w:t>
      </w:r>
      <w:bookmarkEnd w:id="208"/>
      <w:bookmarkEnd w:id="209"/>
    </w:p>
    <w:p w:rsidR="007B7A21" w:rsidRPr="00AD33E8" w:rsidRDefault="007B7A21">
      <w:r w:rsidRPr="00AD33E8">
        <w:t xml:space="preserve">Personalkostnaderna i sin helhet finns inte redovisade förrän Årsredovisning för staten introducerades för år 1997. Utvecklingen för statliga löner med lönekostnadspålägg har däremot redovisats löpande i Statistisk årsbok, se tabell 17. En jämförelse mellan lönekostnaderna för budgetåren 1984/85 och 1998 visar dels att dessa minskat som andel av såväl totala utgifter som utgifterna för statens konsumtion. </w:t>
      </w:r>
    </w:p>
    <w:p w:rsidR="007B7A21" w:rsidRPr="00AD33E8" w:rsidRDefault="007B7A21">
      <w:pPr>
        <w:pStyle w:val="Normaltindrag"/>
      </w:pP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1"/>
        <w:gridCol w:w="1"/>
        <w:gridCol w:w="3430"/>
        <w:gridCol w:w="1134"/>
        <w:gridCol w:w="993"/>
        <w:gridCol w:w="102"/>
      </w:tblGrid>
      <w:tr w:rsidR="00000000" w:rsidRPr="00AD33E8">
        <w:tblPrEx>
          <w:tblCellMar>
            <w:top w:w="0" w:type="dxa"/>
            <w:bottom w:w="0" w:type="dxa"/>
          </w:tblCellMar>
        </w:tblPrEx>
        <w:trPr>
          <w:trHeight w:val="247"/>
        </w:trPr>
        <w:tc>
          <w:tcPr>
            <w:tcW w:w="5661" w:type="dxa"/>
            <w:hMerge w:val="restart"/>
            <w:tcBorders>
              <w:bottom w:val="single" w:sz="6" w:space="0" w:color="008000"/>
            </w:tcBorders>
          </w:tcPr>
          <w:p w:rsidR="007B7A21" w:rsidRPr="00AD33E8" w:rsidRDefault="007B7A21">
            <w:pPr>
              <w:spacing w:before="0" w:line="240" w:lineRule="auto"/>
              <w:rPr>
                <w:b/>
                <w:snapToGrid w:val="0"/>
                <w:lang w:eastAsia="sv-SE"/>
              </w:rPr>
            </w:pPr>
            <w:r w:rsidRPr="00AD33E8">
              <w:rPr>
                <w:b/>
                <w:snapToGrid w:val="0"/>
                <w:lang w:eastAsia="sv-SE"/>
              </w:rPr>
              <w:t>Tabell 17: Realekonomisk fördelning av statsbudgetens utgifter; totalt, konsumtion samt lönekostnader 1984/85 och 1998, miljarder kronor, löpande priser</w:t>
            </w:r>
          </w:p>
        </w:tc>
        <w:tc>
          <w:tcPr>
            <w:hMerge/>
            <w:tcBorders>
              <w:bottom w:val="single" w:sz="6" w:space="0" w:color="008000"/>
            </w:tcBorders>
          </w:tcPr>
          <w:p w:rsidR="007B7A21" w:rsidRPr="00AD33E8" w:rsidRDefault="007B7A21">
            <w:pPr>
              <w:spacing w:before="0" w:line="240" w:lineRule="auto"/>
              <w:jc w:val="right"/>
              <w:rPr>
                <w:snapToGrid w:val="0"/>
                <w:lang w:eastAsia="sv-SE"/>
              </w:rPr>
            </w:pPr>
          </w:p>
        </w:tc>
        <w:tc>
          <w:tcPr>
            <w:gridSpan w:val="4"/>
            <w:hMerge/>
            <w:tcBorders>
              <w:bottom w:val="single" w:sz="6" w:space="0" w:color="008000"/>
            </w:tcBorders>
          </w:tcPr>
          <w:p w:rsidR="007B7A21" w:rsidRPr="00AD33E8" w:rsidRDefault="007B7A21">
            <w:pPr>
              <w:spacing w:before="0" w:line="240" w:lineRule="auto"/>
              <w:jc w:val="right"/>
              <w:rPr>
                <w:snapToGrid w:val="0"/>
                <w:lang w:eastAsia="sv-SE"/>
              </w:rPr>
            </w:pPr>
          </w:p>
        </w:tc>
      </w:tr>
      <w:tr w:rsidR="00000000" w:rsidRPr="00AD33E8">
        <w:tblPrEx>
          <w:tblCellMar>
            <w:top w:w="0" w:type="dxa"/>
            <w:bottom w:w="0" w:type="dxa"/>
          </w:tblCellMar>
        </w:tblPrEx>
        <w:trPr>
          <w:gridAfter w:val="1"/>
          <w:wAfter w:w="102" w:type="dxa"/>
          <w:trHeight w:val="247"/>
        </w:trPr>
        <w:tc>
          <w:tcPr>
            <w:tcW w:w="3432" w:type="dxa"/>
            <w:gridSpan w:val="3"/>
            <w:tcBorders>
              <w:top w:val="nil"/>
            </w:tcBorders>
          </w:tcPr>
          <w:p w:rsidR="007B7A21" w:rsidRPr="00AD33E8" w:rsidRDefault="007B7A21">
            <w:pPr>
              <w:spacing w:before="0" w:line="240" w:lineRule="auto"/>
              <w:jc w:val="right"/>
              <w:rPr>
                <w:snapToGrid w:val="0"/>
                <w:lang w:eastAsia="sv-SE"/>
              </w:rPr>
            </w:pPr>
          </w:p>
        </w:tc>
        <w:tc>
          <w:tcPr>
            <w:tcW w:w="1134" w:type="dxa"/>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1984/85</w:t>
            </w:r>
          </w:p>
        </w:tc>
        <w:tc>
          <w:tcPr>
            <w:tcW w:w="993" w:type="dxa"/>
            <w:tcBorders>
              <w:top w:val="nil"/>
            </w:tcBorders>
          </w:tcPr>
          <w:p w:rsidR="007B7A21" w:rsidRPr="00AD33E8" w:rsidRDefault="007B7A21">
            <w:pPr>
              <w:spacing w:before="0" w:line="240" w:lineRule="auto"/>
              <w:jc w:val="right"/>
              <w:rPr>
                <w:snapToGrid w:val="0"/>
                <w:lang w:eastAsia="sv-SE"/>
              </w:rPr>
            </w:pPr>
            <w:r w:rsidRPr="00AD33E8">
              <w:rPr>
                <w:snapToGrid w:val="0"/>
                <w:lang w:eastAsia="sv-SE"/>
              </w:rPr>
              <w:t>1998</w:t>
            </w:r>
          </w:p>
        </w:tc>
      </w:tr>
      <w:tr w:rsidR="00000000" w:rsidRPr="00AD33E8">
        <w:tblPrEx>
          <w:tblCellMar>
            <w:top w:w="0" w:type="dxa"/>
            <w:bottom w:w="0" w:type="dxa"/>
          </w:tblCellMar>
        </w:tblPrEx>
        <w:trPr>
          <w:gridAfter w:val="1"/>
          <w:wAfter w:w="102" w:type="dxa"/>
          <w:trHeight w:val="247"/>
        </w:trPr>
        <w:tc>
          <w:tcPr>
            <w:tcW w:w="3432" w:type="dxa"/>
            <w:gridSpan w:val="3"/>
          </w:tcPr>
          <w:p w:rsidR="007B7A21" w:rsidRPr="00AD33E8" w:rsidRDefault="007B7A21">
            <w:pPr>
              <w:spacing w:before="0" w:line="240" w:lineRule="auto"/>
              <w:rPr>
                <w:snapToGrid w:val="0"/>
                <w:lang w:eastAsia="sv-SE"/>
              </w:rPr>
            </w:pPr>
            <w:r w:rsidRPr="00AD33E8">
              <w:rPr>
                <w:snapToGrid w:val="0"/>
                <w:lang w:eastAsia="sv-SE"/>
              </w:rPr>
              <w:t>Löner (inkl. lönekostnadspålägg)</w:t>
            </w:r>
          </w:p>
        </w:tc>
        <w:tc>
          <w:tcPr>
            <w:tcW w:w="1134" w:type="dxa"/>
          </w:tcPr>
          <w:p w:rsidR="007B7A21" w:rsidRPr="00AD33E8" w:rsidRDefault="007B7A21">
            <w:pPr>
              <w:spacing w:before="0" w:line="240" w:lineRule="auto"/>
              <w:jc w:val="right"/>
              <w:rPr>
                <w:snapToGrid w:val="0"/>
                <w:lang w:eastAsia="sv-SE"/>
              </w:rPr>
            </w:pPr>
            <w:r w:rsidRPr="00AD33E8">
              <w:rPr>
                <w:snapToGrid w:val="0"/>
                <w:lang w:eastAsia="sv-SE"/>
              </w:rPr>
              <w:t>31</w:t>
            </w:r>
          </w:p>
        </w:tc>
        <w:tc>
          <w:tcPr>
            <w:tcW w:w="993" w:type="dxa"/>
          </w:tcPr>
          <w:p w:rsidR="007B7A21" w:rsidRPr="00AD33E8" w:rsidRDefault="007B7A21">
            <w:pPr>
              <w:spacing w:before="0" w:line="240" w:lineRule="auto"/>
              <w:jc w:val="right"/>
              <w:rPr>
                <w:snapToGrid w:val="0"/>
                <w:lang w:eastAsia="sv-SE"/>
              </w:rPr>
            </w:pPr>
            <w:r w:rsidRPr="00AD33E8">
              <w:rPr>
                <w:snapToGrid w:val="0"/>
                <w:lang w:eastAsia="sv-SE"/>
              </w:rPr>
              <w:t>62</w:t>
            </w:r>
          </w:p>
        </w:tc>
      </w:tr>
      <w:tr w:rsidR="00000000" w:rsidRPr="00AD33E8">
        <w:tblPrEx>
          <w:tblCellMar>
            <w:top w:w="0" w:type="dxa"/>
            <w:bottom w:w="0" w:type="dxa"/>
          </w:tblCellMar>
        </w:tblPrEx>
        <w:trPr>
          <w:gridAfter w:val="1"/>
          <w:wAfter w:w="102" w:type="dxa"/>
          <w:trHeight w:val="247"/>
        </w:trPr>
        <w:tc>
          <w:tcPr>
            <w:tcW w:w="3432" w:type="dxa"/>
            <w:gridSpan w:val="3"/>
          </w:tcPr>
          <w:p w:rsidR="007B7A21" w:rsidRPr="00AD33E8" w:rsidRDefault="007B7A21">
            <w:pPr>
              <w:spacing w:before="0" w:line="240" w:lineRule="auto"/>
              <w:rPr>
                <w:snapToGrid w:val="0"/>
                <w:lang w:eastAsia="sv-SE"/>
              </w:rPr>
            </w:pPr>
            <w:r w:rsidRPr="00AD33E8">
              <w:rPr>
                <w:snapToGrid w:val="0"/>
                <w:lang w:eastAsia="sv-SE"/>
              </w:rPr>
              <w:t>Statlig konsumtion</w:t>
            </w:r>
          </w:p>
        </w:tc>
        <w:tc>
          <w:tcPr>
            <w:tcW w:w="1134" w:type="dxa"/>
          </w:tcPr>
          <w:p w:rsidR="007B7A21" w:rsidRPr="00AD33E8" w:rsidRDefault="007B7A21">
            <w:pPr>
              <w:spacing w:before="0" w:line="240" w:lineRule="auto"/>
              <w:jc w:val="right"/>
              <w:rPr>
                <w:snapToGrid w:val="0"/>
                <w:lang w:eastAsia="sv-SE"/>
              </w:rPr>
            </w:pPr>
            <w:r w:rsidRPr="00AD33E8">
              <w:rPr>
                <w:snapToGrid w:val="0"/>
                <w:lang w:eastAsia="sv-SE"/>
              </w:rPr>
              <w:t>57</w:t>
            </w:r>
          </w:p>
        </w:tc>
        <w:tc>
          <w:tcPr>
            <w:tcW w:w="993" w:type="dxa"/>
          </w:tcPr>
          <w:p w:rsidR="007B7A21" w:rsidRPr="00AD33E8" w:rsidRDefault="007B7A21">
            <w:pPr>
              <w:spacing w:before="0" w:line="240" w:lineRule="auto"/>
              <w:jc w:val="right"/>
              <w:rPr>
                <w:snapToGrid w:val="0"/>
                <w:lang w:eastAsia="sv-SE"/>
              </w:rPr>
            </w:pPr>
            <w:r w:rsidRPr="00AD33E8">
              <w:rPr>
                <w:snapToGrid w:val="0"/>
                <w:lang w:eastAsia="sv-SE"/>
              </w:rPr>
              <w:t>129</w:t>
            </w:r>
          </w:p>
        </w:tc>
      </w:tr>
      <w:tr w:rsidR="00000000" w:rsidRPr="00AD33E8">
        <w:tblPrEx>
          <w:tblCellMar>
            <w:top w:w="0" w:type="dxa"/>
            <w:bottom w:w="0" w:type="dxa"/>
          </w:tblCellMar>
        </w:tblPrEx>
        <w:trPr>
          <w:gridAfter w:val="1"/>
          <w:wAfter w:w="102" w:type="dxa"/>
          <w:trHeight w:val="247"/>
        </w:trPr>
        <w:tc>
          <w:tcPr>
            <w:tcW w:w="3432" w:type="dxa"/>
            <w:gridSpan w:val="3"/>
          </w:tcPr>
          <w:p w:rsidR="007B7A21" w:rsidRPr="00AD33E8" w:rsidRDefault="007B7A21">
            <w:pPr>
              <w:spacing w:before="0" w:line="240" w:lineRule="auto"/>
              <w:rPr>
                <w:i/>
                <w:snapToGrid w:val="0"/>
                <w:sz w:val="18"/>
                <w:lang w:eastAsia="sv-SE"/>
              </w:rPr>
            </w:pPr>
            <w:r w:rsidRPr="00AD33E8">
              <w:rPr>
                <w:i/>
                <w:snapToGrid w:val="0"/>
                <w:sz w:val="18"/>
                <w:lang w:eastAsia="sv-SE"/>
              </w:rPr>
              <w:t>Löneandel</w:t>
            </w:r>
          </w:p>
        </w:tc>
        <w:tc>
          <w:tcPr>
            <w:tcW w:w="1134" w:type="dxa"/>
          </w:tcPr>
          <w:p w:rsidR="007B7A21" w:rsidRPr="00AD33E8" w:rsidRDefault="007B7A21">
            <w:pPr>
              <w:spacing w:before="0" w:line="240" w:lineRule="auto"/>
              <w:jc w:val="right"/>
              <w:rPr>
                <w:i/>
                <w:snapToGrid w:val="0"/>
                <w:sz w:val="18"/>
                <w:lang w:eastAsia="sv-SE"/>
              </w:rPr>
            </w:pPr>
            <w:r w:rsidRPr="00AD33E8">
              <w:rPr>
                <w:i/>
                <w:snapToGrid w:val="0"/>
                <w:sz w:val="18"/>
                <w:lang w:eastAsia="sv-SE"/>
              </w:rPr>
              <w:t>54,4 %</w:t>
            </w:r>
          </w:p>
        </w:tc>
        <w:tc>
          <w:tcPr>
            <w:tcW w:w="993" w:type="dxa"/>
          </w:tcPr>
          <w:p w:rsidR="007B7A21" w:rsidRPr="00AD33E8" w:rsidRDefault="007B7A21">
            <w:pPr>
              <w:spacing w:before="0" w:line="240" w:lineRule="auto"/>
              <w:jc w:val="right"/>
              <w:rPr>
                <w:i/>
                <w:snapToGrid w:val="0"/>
                <w:sz w:val="18"/>
                <w:lang w:eastAsia="sv-SE"/>
              </w:rPr>
            </w:pPr>
            <w:r w:rsidRPr="00AD33E8">
              <w:rPr>
                <w:i/>
                <w:snapToGrid w:val="0"/>
                <w:sz w:val="18"/>
                <w:lang w:eastAsia="sv-SE"/>
              </w:rPr>
              <w:t>48,1 %</w:t>
            </w:r>
          </w:p>
        </w:tc>
      </w:tr>
      <w:tr w:rsidR="00000000" w:rsidRPr="00AD33E8">
        <w:tblPrEx>
          <w:tblCellMar>
            <w:top w:w="0" w:type="dxa"/>
            <w:bottom w:w="0" w:type="dxa"/>
          </w:tblCellMar>
        </w:tblPrEx>
        <w:trPr>
          <w:gridAfter w:val="1"/>
          <w:wAfter w:w="102" w:type="dxa"/>
          <w:trHeight w:val="247"/>
        </w:trPr>
        <w:tc>
          <w:tcPr>
            <w:tcW w:w="3432" w:type="dxa"/>
            <w:gridSpan w:val="3"/>
          </w:tcPr>
          <w:p w:rsidR="007B7A21" w:rsidRPr="00AD33E8" w:rsidRDefault="007B7A21">
            <w:pPr>
              <w:spacing w:before="0" w:line="240" w:lineRule="auto"/>
              <w:rPr>
                <w:snapToGrid w:val="0"/>
                <w:lang w:eastAsia="sv-SE"/>
              </w:rPr>
            </w:pPr>
            <w:r w:rsidRPr="00AD33E8">
              <w:rPr>
                <w:snapToGrid w:val="0"/>
                <w:lang w:eastAsia="sv-SE"/>
              </w:rPr>
              <w:t>Statsbudgetens totala utgifter</w:t>
            </w:r>
          </w:p>
        </w:tc>
        <w:tc>
          <w:tcPr>
            <w:tcW w:w="1134" w:type="dxa"/>
          </w:tcPr>
          <w:p w:rsidR="007B7A21" w:rsidRPr="00AD33E8" w:rsidRDefault="007B7A21">
            <w:pPr>
              <w:spacing w:before="0" w:line="240" w:lineRule="auto"/>
              <w:jc w:val="right"/>
              <w:rPr>
                <w:snapToGrid w:val="0"/>
                <w:lang w:eastAsia="sv-SE"/>
              </w:rPr>
            </w:pPr>
            <w:r w:rsidRPr="00AD33E8">
              <w:rPr>
                <w:snapToGrid w:val="0"/>
                <w:lang w:eastAsia="sv-SE"/>
              </w:rPr>
              <w:t>329</w:t>
            </w:r>
          </w:p>
        </w:tc>
        <w:tc>
          <w:tcPr>
            <w:tcW w:w="993" w:type="dxa"/>
          </w:tcPr>
          <w:p w:rsidR="007B7A21" w:rsidRPr="00AD33E8" w:rsidRDefault="007B7A21">
            <w:pPr>
              <w:spacing w:before="0" w:line="240" w:lineRule="auto"/>
              <w:jc w:val="right"/>
              <w:rPr>
                <w:snapToGrid w:val="0"/>
                <w:lang w:eastAsia="sv-SE"/>
              </w:rPr>
            </w:pPr>
            <w:r w:rsidRPr="00AD33E8">
              <w:rPr>
                <w:snapToGrid w:val="0"/>
                <w:lang w:eastAsia="sv-SE"/>
              </w:rPr>
              <w:t>699</w:t>
            </w:r>
          </w:p>
        </w:tc>
      </w:tr>
      <w:tr w:rsidR="00000000" w:rsidRPr="00AD33E8">
        <w:tblPrEx>
          <w:tblCellMar>
            <w:top w:w="0" w:type="dxa"/>
            <w:bottom w:w="0" w:type="dxa"/>
          </w:tblCellMar>
        </w:tblPrEx>
        <w:trPr>
          <w:gridAfter w:val="1"/>
          <w:wAfter w:w="102" w:type="dxa"/>
          <w:trHeight w:val="247"/>
        </w:trPr>
        <w:tc>
          <w:tcPr>
            <w:tcW w:w="3432" w:type="dxa"/>
            <w:gridSpan w:val="3"/>
          </w:tcPr>
          <w:p w:rsidR="007B7A21" w:rsidRPr="00AD33E8" w:rsidRDefault="007B7A21">
            <w:pPr>
              <w:spacing w:before="0" w:line="240" w:lineRule="auto"/>
              <w:rPr>
                <w:i/>
                <w:snapToGrid w:val="0"/>
                <w:sz w:val="18"/>
                <w:lang w:eastAsia="sv-SE"/>
              </w:rPr>
            </w:pPr>
            <w:r w:rsidRPr="00AD33E8">
              <w:rPr>
                <w:i/>
                <w:snapToGrid w:val="0"/>
                <w:sz w:val="18"/>
                <w:lang w:eastAsia="sv-SE"/>
              </w:rPr>
              <w:t>Löneandel</w:t>
            </w:r>
          </w:p>
        </w:tc>
        <w:tc>
          <w:tcPr>
            <w:tcW w:w="1134" w:type="dxa"/>
          </w:tcPr>
          <w:p w:rsidR="007B7A21" w:rsidRPr="00AD33E8" w:rsidRDefault="007B7A21">
            <w:pPr>
              <w:spacing w:before="0" w:line="240" w:lineRule="auto"/>
              <w:jc w:val="right"/>
              <w:rPr>
                <w:i/>
                <w:snapToGrid w:val="0"/>
                <w:sz w:val="18"/>
                <w:lang w:eastAsia="sv-SE"/>
              </w:rPr>
            </w:pPr>
            <w:r w:rsidRPr="00AD33E8">
              <w:rPr>
                <w:i/>
                <w:snapToGrid w:val="0"/>
                <w:sz w:val="18"/>
                <w:lang w:eastAsia="sv-SE"/>
              </w:rPr>
              <w:t>9,4 %</w:t>
            </w:r>
          </w:p>
        </w:tc>
        <w:tc>
          <w:tcPr>
            <w:tcW w:w="993" w:type="dxa"/>
          </w:tcPr>
          <w:p w:rsidR="007B7A21" w:rsidRPr="00AD33E8" w:rsidRDefault="007B7A21">
            <w:pPr>
              <w:spacing w:before="0" w:line="240" w:lineRule="auto"/>
              <w:jc w:val="right"/>
              <w:rPr>
                <w:i/>
                <w:snapToGrid w:val="0"/>
                <w:sz w:val="18"/>
                <w:lang w:eastAsia="sv-SE"/>
              </w:rPr>
            </w:pPr>
            <w:r w:rsidRPr="00AD33E8">
              <w:rPr>
                <w:i/>
                <w:snapToGrid w:val="0"/>
                <w:sz w:val="18"/>
                <w:lang w:eastAsia="sv-SE"/>
              </w:rPr>
              <w:t>8,9 %</w:t>
            </w:r>
          </w:p>
        </w:tc>
      </w:tr>
      <w:tr w:rsidR="00000000" w:rsidRPr="00AD33E8">
        <w:tblPrEx>
          <w:tblCellMar>
            <w:top w:w="0" w:type="dxa"/>
            <w:bottom w:w="0" w:type="dxa"/>
          </w:tblCellMar>
        </w:tblPrEx>
        <w:trPr>
          <w:gridAfter w:val="1"/>
          <w:wAfter w:w="102" w:type="dxa"/>
          <w:trHeight w:val="247"/>
        </w:trPr>
        <w:tc>
          <w:tcPr>
            <w:tcW w:w="3432" w:type="dxa"/>
            <w:gridSpan w:val="3"/>
          </w:tcPr>
          <w:p w:rsidR="007B7A21" w:rsidRPr="00AD33E8" w:rsidRDefault="007B7A21">
            <w:pPr>
              <w:spacing w:before="0" w:line="240" w:lineRule="auto"/>
              <w:rPr>
                <w:snapToGrid w:val="0"/>
                <w:lang w:eastAsia="sv-SE"/>
              </w:rPr>
            </w:pPr>
            <w:r w:rsidRPr="00AD33E8">
              <w:rPr>
                <w:snapToGrid w:val="0"/>
                <w:lang w:eastAsia="sv-SE"/>
              </w:rPr>
              <w:t>Källa Statistisk årsbok</w:t>
            </w:r>
          </w:p>
        </w:tc>
        <w:tc>
          <w:tcPr>
            <w:tcW w:w="1134" w:type="dxa"/>
          </w:tcPr>
          <w:p w:rsidR="007B7A21" w:rsidRPr="00AD33E8" w:rsidRDefault="007B7A21">
            <w:pPr>
              <w:spacing w:before="0" w:line="240" w:lineRule="auto"/>
              <w:jc w:val="right"/>
              <w:rPr>
                <w:snapToGrid w:val="0"/>
                <w:lang w:eastAsia="sv-SE"/>
              </w:rPr>
            </w:pPr>
          </w:p>
        </w:tc>
        <w:tc>
          <w:tcPr>
            <w:tcW w:w="993" w:type="dxa"/>
          </w:tcPr>
          <w:p w:rsidR="007B7A21" w:rsidRPr="00AD33E8" w:rsidRDefault="007B7A21">
            <w:pPr>
              <w:spacing w:before="0" w:line="240" w:lineRule="auto"/>
              <w:jc w:val="right"/>
              <w:rPr>
                <w:snapToGrid w:val="0"/>
                <w:lang w:eastAsia="sv-SE"/>
              </w:rPr>
            </w:pPr>
          </w:p>
        </w:tc>
      </w:tr>
    </w:tbl>
    <w:p w:rsidR="007B7A21" w:rsidRPr="00AD33E8" w:rsidRDefault="007B7A21">
      <w:r w:rsidRPr="00AD33E8">
        <w:t>Under den period som omfattas av Årsredovisning för staten, sista hälften av 1990-talet, är personalkostnadernas andel av driftskostnaderna relativt stabil, se tabell 18.</w:t>
      </w:r>
    </w:p>
    <w:p w:rsidR="007B7A21" w:rsidRPr="00AD33E8" w:rsidRDefault="007B7A21">
      <w:pPr>
        <w:pStyle w:val="Normaltindrag"/>
      </w:pP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1"/>
        <w:gridCol w:w="1"/>
        <w:gridCol w:w="1"/>
        <w:gridCol w:w="1"/>
        <w:gridCol w:w="1"/>
        <w:gridCol w:w="2093"/>
        <w:gridCol w:w="680"/>
        <w:gridCol w:w="680"/>
        <w:gridCol w:w="680"/>
        <w:gridCol w:w="680"/>
        <w:gridCol w:w="680"/>
        <w:gridCol w:w="570"/>
      </w:tblGrid>
      <w:tr w:rsidR="00000000" w:rsidRPr="00AD33E8">
        <w:tblPrEx>
          <w:tblCellMar>
            <w:top w:w="0" w:type="dxa"/>
            <w:bottom w:w="0" w:type="dxa"/>
          </w:tblCellMar>
        </w:tblPrEx>
        <w:trPr>
          <w:trHeight w:val="247"/>
        </w:trPr>
        <w:tc>
          <w:tcPr>
            <w:tcW w:w="6068" w:type="dxa"/>
            <w:hMerge w:val="restart"/>
            <w:tcBorders>
              <w:bottom w:val="single" w:sz="6" w:space="0" w:color="008000"/>
            </w:tcBorders>
          </w:tcPr>
          <w:p w:rsidR="007B7A21" w:rsidRPr="00AD33E8" w:rsidRDefault="007B7A21">
            <w:pPr>
              <w:spacing w:before="0" w:line="240" w:lineRule="auto"/>
              <w:jc w:val="left"/>
              <w:rPr>
                <w:b/>
                <w:snapToGrid w:val="0"/>
                <w:lang w:eastAsia="sv-SE"/>
              </w:rPr>
            </w:pPr>
            <w:r w:rsidRPr="00AD33E8">
              <w:rPr>
                <w:b/>
                <w:snapToGrid w:val="0"/>
                <w:lang w:eastAsia="sv-SE"/>
              </w:rPr>
              <w:t>Tabell 18: Personalkostnader som andel av kostnader för statens egen verk</w:t>
            </w:r>
            <w:r w:rsidRPr="00AD33E8">
              <w:rPr>
                <w:b/>
                <w:snapToGrid w:val="0"/>
                <w:lang w:eastAsia="sv-SE"/>
              </w:rPr>
              <w:softHyphen/>
              <w:t>sam</w:t>
            </w:r>
            <w:r w:rsidRPr="00AD33E8">
              <w:rPr>
                <w:b/>
                <w:snapToGrid w:val="0"/>
                <w:lang w:eastAsia="sv-SE"/>
              </w:rPr>
              <w:softHyphen/>
              <w:t>het och statens totala utgifter 1996-2000, miljarder kronor, l</w:t>
            </w:r>
            <w:r w:rsidRPr="00AD33E8">
              <w:rPr>
                <w:b/>
                <w:snapToGrid w:val="0"/>
                <w:lang w:eastAsia="sv-SE"/>
              </w:rPr>
              <w:t>ö</w:t>
            </w:r>
            <w:r w:rsidRPr="00AD33E8">
              <w:rPr>
                <w:b/>
                <w:snapToGrid w:val="0"/>
                <w:lang w:eastAsia="sv-SE"/>
              </w:rPr>
              <w:t>pande priser</w:t>
            </w:r>
          </w:p>
        </w:tc>
        <w:tc>
          <w:tcPr>
            <w:hMerge/>
            <w:tcBorders>
              <w:bottom w:val="single" w:sz="6" w:space="0" w:color="008000"/>
            </w:tcBorders>
          </w:tcPr>
          <w:p w:rsidR="007B7A21" w:rsidRPr="00AD33E8" w:rsidRDefault="007B7A21">
            <w:pPr>
              <w:spacing w:before="0" w:line="240" w:lineRule="auto"/>
              <w:rPr>
                <w:snapToGrid w:val="0"/>
                <w:lang w:eastAsia="sv-SE"/>
              </w:rPr>
            </w:pPr>
          </w:p>
        </w:tc>
        <w:tc>
          <w:tcPr>
            <w:hMerge/>
            <w:tcBorders>
              <w:bottom w:val="single" w:sz="6" w:space="0" w:color="008000"/>
            </w:tcBorders>
          </w:tcPr>
          <w:p w:rsidR="007B7A21" w:rsidRPr="00AD33E8" w:rsidRDefault="007B7A21">
            <w:pPr>
              <w:spacing w:before="0" w:line="240" w:lineRule="auto"/>
              <w:rPr>
                <w:snapToGrid w:val="0"/>
                <w:lang w:eastAsia="sv-SE"/>
              </w:rPr>
            </w:pPr>
          </w:p>
        </w:tc>
        <w:tc>
          <w:tcPr>
            <w:hMerge/>
            <w:tcBorders>
              <w:bottom w:val="single" w:sz="6" w:space="0" w:color="008000"/>
            </w:tcBorders>
          </w:tcPr>
          <w:p w:rsidR="007B7A21" w:rsidRPr="00AD33E8" w:rsidRDefault="007B7A21">
            <w:pPr>
              <w:spacing w:before="0" w:line="240" w:lineRule="auto"/>
              <w:rPr>
                <w:snapToGrid w:val="0"/>
                <w:lang w:eastAsia="sv-SE"/>
              </w:rPr>
            </w:pPr>
          </w:p>
        </w:tc>
        <w:tc>
          <w:tcPr>
            <w:hMerge/>
            <w:tcBorders>
              <w:bottom w:val="single" w:sz="6" w:space="0" w:color="008000"/>
            </w:tcBorders>
          </w:tcPr>
          <w:p w:rsidR="007B7A21" w:rsidRPr="00AD33E8" w:rsidRDefault="007B7A21">
            <w:pPr>
              <w:spacing w:before="0" w:line="240" w:lineRule="auto"/>
              <w:rPr>
                <w:snapToGrid w:val="0"/>
                <w:lang w:eastAsia="sv-SE"/>
              </w:rPr>
            </w:pPr>
          </w:p>
        </w:tc>
        <w:tc>
          <w:tcPr>
            <w:gridSpan w:val="7"/>
            <w:hMerge/>
            <w:tcBorders>
              <w:bottom w:val="single" w:sz="6" w:space="0" w:color="008000"/>
            </w:tcBorders>
          </w:tcPr>
          <w:p w:rsidR="007B7A21" w:rsidRPr="00AD33E8" w:rsidRDefault="007B7A21">
            <w:pPr>
              <w:spacing w:before="0" w:line="240" w:lineRule="auto"/>
              <w:rPr>
                <w:snapToGrid w:val="0"/>
                <w:lang w:eastAsia="sv-SE"/>
              </w:rPr>
            </w:pPr>
          </w:p>
        </w:tc>
      </w:tr>
      <w:tr w:rsidR="00000000" w:rsidRPr="00AD33E8">
        <w:tblPrEx>
          <w:tblCellMar>
            <w:top w:w="0" w:type="dxa"/>
            <w:bottom w:w="0" w:type="dxa"/>
          </w:tblCellMar>
        </w:tblPrEx>
        <w:trPr>
          <w:gridAfter w:val="1"/>
          <w:wAfter w:w="570" w:type="dxa"/>
          <w:trHeight w:val="247"/>
        </w:trPr>
        <w:tc>
          <w:tcPr>
            <w:tcW w:w="2098" w:type="dxa"/>
            <w:gridSpan w:val="6"/>
          </w:tcPr>
          <w:p w:rsidR="007B7A21" w:rsidRPr="00AD33E8" w:rsidRDefault="007B7A21">
            <w:pPr>
              <w:spacing w:before="0" w:line="240" w:lineRule="auto"/>
              <w:rPr>
                <w:snapToGrid w:val="0"/>
                <w:lang w:eastAsia="sv-SE"/>
              </w:rPr>
            </w:pP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1996</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1997</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1998</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1999</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2000</w:t>
            </w:r>
          </w:p>
        </w:tc>
      </w:tr>
      <w:tr w:rsidR="00000000" w:rsidRPr="00AD33E8">
        <w:tblPrEx>
          <w:tblCellMar>
            <w:top w:w="0" w:type="dxa"/>
            <w:bottom w:w="0" w:type="dxa"/>
          </w:tblCellMar>
        </w:tblPrEx>
        <w:trPr>
          <w:gridAfter w:val="1"/>
          <w:wAfter w:w="570" w:type="dxa"/>
          <w:trHeight w:val="247"/>
        </w:trPr>
        <w:tc>
          <w:tcPr>
            <w:tcW w:w="2098" w:type="dxa"/>
            <w:gridSpan w:val="6"/>
          </w:tcPr>
          <w:p w:rsidR="007B7A21" w:rsidRPr="00AD33E8" w:rsidRDefault="007B7A21">
            <w:pPr>
              <w:spacing w:before="0" w:line="240" w:lineRule="auto"/>
              <w:jc w:val="left"/>
              <w:rPr>
                <w:snapToGrid w:val="0"/>
                <w:lang w:eastAsia="sv-SE"/>
              </w:rPr>
            </w:pPr>
            <w:r w:rsidRPr="00AD33E8">
              <w:rPr>
                <w:snapToGrid w:val="0"/>
                <w:lang w:eastAsia="sv-SE"/>
              </w:rPr>
              <w:t>Personalkostnader</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70</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69</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67</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72</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76</w:t>
            </w:r>
          </w:p>
        </w:tc>
      </w:tr>
      <w:tr w:rsidR="00000000" w:rsidRPr="00AD33E8">
        <w:tblPrEx>
          <w:tblCellMar>
            <w:top w:w="0" w:type="dxa"/>
            <w:bottom w:w="0" w:type="dxa"/>
          </w:tblCellMar>
        </w:tblPrEx>
        <w:trPr>
          <w:gridAfter w:val="1"/>
          <w:wAfter w:w="570" w:type="dxa"/>
          <w:trHeight w:val="494"/>
        </w:trPr>
        <w:tc>
          <w:tcPr>
            <w:tcW w:w="2098" w:type="dxa"/>
            <w:gridSpan w:val="6"/>
          </w:tcPr>
          <w:p w:rsidR="007B7A21" w:rsidRPr="00AD33E8" w:rsidRDefault="007B7A21">
            <w:pPr>
              <w:spacing w:before="0" w:line="240" w:lineRule="auto"/>
              <w:jc w:val="left"/>
              <w:rPr>
                <w:snapToGrid w:val="0"/>
                <w:lang w:eastAsia="sv-SE"/>
              </w:rPr>
            </w:pPr>
            <w:r w:rsidRPr="00AD33E8">
              <w:rPr>
                <w:snapToGrid w:val="0"/>
                <w:lang w:eastAsia="sv-SE"/>
              </w:rPr>
              <w:t>Statens driftskostnader och avskri</w:t>
            </w:r>
            <w:r w:rsidRPr="00AD33E8">
              <w:rPr>
                <w:snapToGrid w:val="0"/>
                <w:lang w:eastAsia="sv-SE"/>
              </w:rPr>
              <w:t>v</w:t>
            </w:r>
            <w:r w:rsidRPr="00AD33E8">
              <w:rPr>
                <w:snapToGrid w:val="0"/>
                <w:lang w:eastAsia="sv-SE"/>
              </w:rPr>
              <w:t>ningar</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150</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150</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157</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152</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162</w:t>
            </w:r>
          </w:p>
        </w:tc>
      </w:tr>
      <w:tr w:rsidR="00000000" w:rsidRPr="00AD33E8">
        <w:tblPrEx>
          <w:tblCellMar>
            <w:top w:w="0" w:type="dxa"/>
            <w:bottom w:w="0" w:type="dxa"/>
          </w:tblCellMar>
        </w:tblPrEx>
        <w:trPr>
          <w:gridAfter w:val="1"/>
          <w:wAfter w:w="570" w:type="dxa"/>
          <w:trHeight w:val="247"/>
        </w:trPr>
        <w:tc>
          <w:tcPr>
            <w:tcW w:w="2098" w:type="dxa"/>
            <w:gridSpan w:val="6"/>
          </w:tcPr>
          <w:p w:rsidR="007B7A21" w:rsidRPr="00AD33E8" w:rsidRDefault="007B7A21">
            <w:pPr>
              <w:spacing w:before="0" w:line="240" w:lineRule="auto"/>
              <w:jc w:val="left"/>
              <w:rPr>
                <w:i/>
                <w:snapToGrid w:val="0"/>
                <w:lang w:eastAsia="sv-SE"/>
              </w:rPr>
            </w:pPr>
            <w:r w:rsidRPr="00AD33E8">
              <w:rPr>
                <w:i/>
                <w:snapToGrid w:val="0"/>
                <w:lang w:eastAsia="sv-SE"/>
              </w:rPr>
              <w:t>Personalkostnadsa</w:t>
            </w:r>
            <w:r w:rsidRPr="00AD33E8">
              <w:rPr>
                <w:i/>
                <w:snapToGrid w:val="0"/>
                <w:lang w:eastAsia="sv-SE"/>
              </w:rPr>
              <w:t>n</w:t>
            </w:r>
            <w:r w:rsidRPr="00AD33E8">
              <w:rPr>
                <w:i/>
                <w:snapToGrid w:val="0"/>
                <w:lang w:eastAsia="sv-SE"/>
              </w:rPr>
              <w:t>del</w:t>
            </w:r>
          </w:p>
        </w:tc>
        <w:tc>
          <w:tcPr>
            <w:tcW w:w="680" w:type="dxa"/>
          </w:tcPr>
          <w:p w:rsidR="007B7A21" w:rsidRPr="00AD33E8" w:rsidRDefault="007B7A21">
            <w:pPr>
              <w:spacing w:before="0" w:line="240" w:lineRule="auto"/>
              <w:jc w:val="right"/>
              <w:rPr>
                <w:i/>
                <w:snapToGrid w:val="0"/>
                <w:lang w:eastAsia="sv-SE"/>
              </w:rPr>
            </w:pPr>
            <w:r w:rsidRPr="00AD33E8">
              <w:rPr>
                <w:i/>
                <w:snapToGrid w:val="0"/>
                <w:lang w:eastAsia="sv-SE"/>
              </w:rPr>
              <w:t>47 %</w:t>
            </w:r>
          </w:p>
        </w:tc>
        <w:tc>
          <w:tcPr>
            <w:tcW w:w="680" w:type="dxa"/>
          </w:tcPr>
          <w:p w:rsidR="007B7A21" w:rsidRPr="00AD33E8" w:rsidRDefault="007B7A21">
            <w:pPr>
              <w:spacing w:before="0" w:line="240" w:lineRule="auto"/>
              <w:jc w:val="right"/>
              <w:rPr>
                <w:i/>
                <w:snapToGrid w:val="0"/>
                <w:lang w:eastAsia="sv-SE"/>
              </w:rPr>
            </w:pPr>
            <w:r w:rsidRPr="00AD33E8">
              <w:rPr>
                <w:i/>
                <w:snapToGrid w:val="0"/>
                <w:lang w:eastAsia="sv-SE"/>
              </w:rPr>
              <w:t>46 %</w:t>
            </w:r>
          </w:p>
        </w:tc>
        <w:tc>
          <w:tcPr>
            <w:tcW w:w="680" w:type="dxa"/>
          </w:tcPr>
          <w:p w:rsidR="007B7A21" w:rsidRPr="00AD33E8" w:rsidRDefault="007B7A21">
            <w:pPr>
              <w:spacing w:before="0" w:line="240" w:lineRule="auto"/>
              <w:jc w:val="right"/>
              <w:rPr>
                <w:i/>
                <w:snapToGrid w:val="0"/>
                <w:lang w:eastAsia="sv-SE"/>
              </w:rPr>
            </w:pPr>
            <w:r w:rsidRPr="00AD33E8">
              <w:rPr>
                <w:i/>
                <w:snapToGrid w:val="0"/>
                <w:lang w:eastAsia="sv-SE"/>
              </w:rPr>
              <w:t>43 %</w:t>
            </w:r>
          </w:p>
        </w:tc>
        <w:tc>
          <w:tcPr>
            <w:tcW w:w="680" w:type="dxa"/>
          </w:tcPr>
          <w:p w:rsidR="007B7A21" w:rsidRPr="00AD33E8" w:rsidRDefault="007B7A21">
            <w:pPr>
              <w:spacing w:before="0" w:line="240" w:lineRule="auto"/>
              <w:jc w:val="right"/>
              <w:rPr>
                <w:i/>
                <w:snapToGrid w:val="0"/>
                <w:lang w:eastAsia="sv-SE"/>
              </w:rPr>
            </w:pPr>
            <w:r w:rsidRPr="00AD33E8">
              <w:rPr>
                <w:i/>
                <w:snapToGrid w:val="0"/>
                <w:lang w:eastAsia="sv-SE"/>
              </w:rPr>
              <w:t>47 %</w:t>
            </w:r>
          </w:p>
        </w:tc>
        <w:tc>
          <w:tcPr>
            <w:tcW w:w="680" w:type="dxa"/>
          </w:tcPr>
          <w:p w:rsidR="007B7A21" w:rsidRPr="00AD33E8" w:rsidRDefault="007B7A21">
            <w:pPr>
              <w:spacing w:before="0" w:line="240" w:lineRule="auto"/>
              <w:jc w:val="right"/>
              <w:rPr>
                <w:i/>
                <w:snapToGrid w:val="0"/>
                <w:lang w:eastAsia="sv-SE"/>
              </w:rPr>
            </w:pPr>
            <w:r w:rsidRPr="00AD33E8">
              <w:rPr>
                <w:i/>
                <w:snapToGrid w:val="0"/>
                <w:lang w:eastAsia="sv-SE"/>
              </w:rPr>
              <w:t>47 %</w:t>
            </w:r>
          </w:p>
        </w:tc>
      </w:tr>
      <w:tr w:rsidR="00000000" w:rsidRPr="00AD33E8">
        <w:tblPrEx>
          <w:tblCellMar>
            <w:top w:w="0" w:type="dxa"/>
            <w:bottom w:w="0" w:type="dxa"/>
          </w:tblCellMar>
        </w:tblPrEx>
        <w:trPr>
          <w:gridAfter w:val="1"/>
          <w:wAfter w:w="570" w:type="dxa"/>
          <w:trHeight w:val="494"/>
        </w:trPr>
        <w:tc>
          <w:tcPr>
            <w:tcW w:w="2098" w:type="dxa"/>
            <w:gridSpan w:val="6"/>
          </w:tcPr>
          <w:p w:rsidR="007B7A21" w:rsidRPr="00AD33E8" w:rsidRDefault="007B7A21">
            <w:pPr>
              <w:spacing w:before="0" w:line="240" w:lineRule="auto"/>
              <w:jc w:val="left"/>
              <w:rPr>
                <w:snapToGrid w:val="0"/>
                <w:lang w:eastAsia="sv-SE"/>
              </w:rPr>
            </w:pPr>
            <w:r w:rsidRPr="00AD33E8">
              <w:rPr>
                <w:snapToGrid w:val="0"/>
                <w:lang w:eastAsia="sv-SE"/>
              </w:rPr>
              <w:t>Statens totala utgifter, inkl. transfereringar och bidrag</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695</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700</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729</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760</w:t>
            </w:r>
          </w:p>
        </w:tc>
        <w:tc>
          <w:tcPr>
            <w:tcW w:w="680" w:type="dxa"/>
          </w:tcPr>
          <w:p w:rsidR="007B7A21" w:rsidRPr="00AD33E8" w:rsidRDefault="007B7A21">
            <w:pPr>
              <w:spacing w:before="0" w:line="240" w:lineRule="auto"/>
              <w:jc w:val="right"/>
              <w:rPr>
                <w:snapToGrid w:val="0"/>
                <w:lang w:eastAsia="sv-SE"/>
              </w:rPr>
            </w:pPr>
            <w:r w:rsidRPr="00AD33E8">
              <w:rPr>
                <w:snapToGrid w:val="0"/>
                <w:lang w:eastAsia="sv-SE"/>
              </w:rPr>
              <w:t>782</w:t>
            </w:r>
          </w:p>
        </w:tc>
      </w:tr>
      <w:tr w:rsidR="00000000" w:rsidRPr="00AD33E8">
        <w:tblPrEx>
          <w:tblCellMar>
            <w:top w:w="0" w:type="dxa"/>
            <w:bottom w:w="0" w:type="dxa"/>
          </w:tblCellMar>
        </w:tblPrEx>
        <w:trPr>
          <w:gridAfter w:val="1"/>
          <w:wAfter w:w="570" w:type="dxa"/>
          <w:trHeight w:val="247"/>
        </w:trPr>
        <w:tc>
          <w:tcPr>
            <w:tcW w:w="2098" w:type="dxa"/>
            <w:gridSpan w:val="6"/>
          </w:tcPr>
          <w:p w:rsidR="007B7A21" w:rsidRPr="00AD33E8" w:rsidRDefault="007B7A21">
            <w:pPr>
              <w:spacing w:before="0" w:line="240" w:lineRule="auto"/>
              <w:jc w:val="left"/>
              <w:rPr>
                <w:i/>
                <w:snapToGrid w:val="0"/>
                <w:lang w:eastAsia="sv-SE"/>
              </w:rPr>
            </w:pPr>
            <w:r w:rsidRPr="00AD33E8">
              <w:rPr>
                <w:i/>
                <w:snapToGrid w:val="0"/>
                <w:lang w:eastAsia="sv-SE"/>
              </w:rPr>
              <w:t>Personalkostnadsa</w:t>
            </w:r>
            <w:r w:rsidRPr="00AD33E8">
              <w:rPr>
                <w:i/>
                <w:snapToGrid w:val="0"/>
                <w:lang w:eastAsia="sv-SE"/>
              </w:rPr>
              <w:t>n</w:t>
            </w:r>
            <w:r w:rsidRPr="00AD33E8">
              <w:rPr>
                <w:i/>
                <w:snapToGrid w:val="0"/>
                <w:lang w:eastAsia="sv-SE"/>
              </w:rPr>
              <w:t>del</w:t>
            </w:r>
          </w:p>
        </w:tc>
        <w:tc>
          <w:tcPr>
            <w:tcW w:w="680" w:type="dxa"/>
          </w:tcPr>
          <w:p w:rsidR="007B7A21" w:rsidRPr="00AD33E8" w:rsidRDefault="007B7A21">
            <w:pPr>
              <w:spacing w:before="0" w:line="240" w:lineRule="auto"/>
              <w:jc w:val="right"/>
              <w:rPr>
                <w:i/>
                <w:snapToGrid w:val="0"/>
                <w:lang w:eastAsia="sv-SE"/>
              </w:rPr>
            </w:pPr>
            <w:r w:rsidRPr="00AD33E8">
              <w:rPr>
                <w:i/>
                <w:snapToGrid w:val="0"/>
                <w:lang w:eastAsia="sv-SE"/>
              </w:rPr>
              <w:t>10 %</w:t>
            </w:r>
          </w:p>
        </w:tc>
        <w:tc>
          <w:tcPr>
            <w:tcW w:w="680" w:type="dxa"/>
          </w:tcPr>
          <w:p w:rsidR="007B7A21" w:rsidRPr="00AD33E8" w:rsidRDefault="007B7A21">
            <w:pPr>
              <w:spacing w:before="0" w:line="240" w:lineRule="auto"/>
              <w:jc w:val="right"/>
              <w:rPr>
                <w:i/>
                <w:snapToGrid w:val="0"/>
                <w:lang w:eastAsia="sv-SE"/>
              </w:rPr>
            </w:pPr>
            <w:r w:rsidRPr="00AD33E8">
              <w:rPr>
                <w:i/>
                <w:snapToGrid w:val="0"/>
                <w:lang w:eastAsia="sv-SE"/>
              </w:rPr>
              <w:t>10 %</w:t>
            </w:r>
          </w:p>
        </w:tc>
        <w:tc>
          <w:tcPr>
            <w:tcW w:w="680" w:type="dxa"/>
          </w:tcPr>
          <w:p w:rsidR="007B7A21" w:rsidRPr="00AD33E8" w:rsidRDefault="007B7A21">
            <w:pPr>
              <w:spacing w:before="0" w:line="240" w:lineRule="auto"/>
              <w:jc w:val="right"/>
              <w:rPr>
                <w:i/>
                <w:snapToGrid w:val="0"/>
                <w:lang w:eastAsia="sv-SE"/>
              </w:rPr>
            </w:pPr>
            <w:r w:rsidRPr="00AD33E8">
              <w:rPr>
                <w:i/>
                <w:snapToGrid w:val="0"/>
                <w:lang w:eastAsia="sv-SE"/>
              </w:rPr>
              <w:t>9 %</w:t>
            </w:r>
          </w:p>
        </w:tc>
        <w:tc>
          <w:tcPr>
            <w:tcW w:w="680" w:type="dxa"/>
          </w:tcPr>
          <w:p w:rsidR="007B7A21" w:rsidRPr="00AD33E8" w:rsidRDefault="007B7A21">
            <w:pPr>
              <w:spacing w:before="0" w:line="240" w:lineRule="auto"/>
              <w:jc w:val="right"/>
              <w:rPr>
                <w:i/>
                <w:snapToGrid w:val="0"/>
                <w:lang w:eastAsia="sv-SE"/>
              </w:rPr>
            </w:pPr>
            <w:r w:rsidRPr="00AD33E8">
              <w:rPr>
                <w:i/>
                <w:snapToGrid w:val="0"/>
                <w:lang w:eastAsia="sv-SE"/>
              </w:rPr>
              <w:t>9 %</w:t>
            </w:r>
          </w:p>
        </w:tc>
        <w:tc>
          <w:tcPr>
            <w:tcW w:w="680" w:type="dxa"/>
          </w:tcPr>
          <w:p w:rsidR="007B7A21" w:rsidRPr="00AD33E8" w:rsidRDefault="007B7A21">
            <w:pPr>
              <w:spacing w:before="0" w:line="240" w:lineRule="auto"/>
              <w:jc w:val="right"/>
              <w:rPr>
                <w:i/>
                <w:snapToGrid w:val="0"/>
                <w:lang w:eastAsia="sv-SE"/>
              </w:rPr>
            </w:pPr>
            <w:r w:rsidRPr="00AD33E8">
              <w:rPr>
                <w:i/>
                <w:snapToGrid w:val="0"/>
                <w:lang w:eastAsia="sv-SE"/>
              </w:rPr>
              <w:t>10 %</w:t>
            </w:r>
          </w:p>
        </w:tc>
      </w:tr>
      <w:tr w:rsidR="00000000" w:rsidRPr="00AD33E8">
        <w:tblPrEx>
          <w:tblCellMar>
            <w:top w:w="0" w:type="dxa"/>
            <w:bottom w:w="0" w:type="dxa"/>
          </w:tblCellMar>
        </w:tblPrEx>
        <w:trPr>
          <w:gridAfter w:val="1"/>
          <w:wAfter w:w="570" w:type="dxa"/>
          <w:cantSplit/>
          <w:trHeight w:val="247"/>
        </w:trPr>
        <w:tc>
          <w:tcPr>
            <w:tcW w:w="5498" w:type="dxa"/>
            <w:gridSpan w:val="11"/>
          </w:tcPr>
          <w:p w:rsidR="007B7A21" w:rsidRPr="00AD33E8" w:rsidRDefault="007B7A21">
            <w:pPr>
              <w:spacing w:before="0" w:line="240" w:lineRule="auto"/>
              <w:rPr>
                <w:snapToGrid w:val="0"/>
                <w:lang w:eastAsia="sv-SE"/>
              </w:rPr>
            </w:pPr>
            <w:r w:rsidRPr="00AD33E8">
              <w:rPr>
                <w:snapToGrid w:val="0"/>
                <w:lang w:eastAsia="sv-SE"/>
              </w:rPr>
              <w:t>Källa: Årsredovisning för staten</w:t>
            </w:r>
          </w:p>
        </w:tc>
      </w:tr>
    </w:tbl>
    <w:p w:rsidR="007B7A21" w:rsidRPr="00AD33E8" w:rsidRDefault="007B7A21">
      <w:r w:rsidRPr="00AD33E8">
        <w:t>Enligt Årsredovisning för staten fördelades statens kostnader för drift och avskrivningar år 2000 enligt följande: Kostnader för personal 47 procent, lokaler 7 procent, övriga driftkostnader 36 procent samt avskrivningar och nedskrivningar 10 procent. Sänkningen av nivån för de statliga löne- och personalkostnaderna är sannolikt en nettoeffekt av flera faktorer. Den min</w:t>
      </w:r>
      <w:r w:rsidRPr="00AD33E8">
        <w:t>s</w:t>
      </w:r>
      <w:r w:rsidRPr="00AD33E8">
        <w:t>kade bemanningen, redovisad tidigare i kapitlet, är en faktor som minskar personalkostnader och lönekostnader. Löneökningar kan vara en faktor som påverkar de aktuella kostnaderna uppåt. I t.ex. revisorernas granskning My</w:t>
      </w:r>
      <w:r w:rsidRPr="00AD33E8">
        <w:t>n</w:t>
      </w:r>
      <w:r w:rsidRPr="00AD33E8">
        <w:t>digheternas lönekostnader (1998/99:5) visas att den genomsnittliga månad</w:t>
      </w:r>
      <w:r w:rsidRPr="00AD33E8">
        <w:t>s</w:t>
      </w:r>
      <w:r w:rsidRPr="00AD33E8">
        <w:t>lönen ökade med 13 procent mel</w:t>
      </w:r>
      <w:r w:rsidRPr="00AD33E8">
        <w:softHyphen/>
        <w:t>lan 1995 och 1997. En tredje faktor i sa</w:t>
      </w:r>
      <w:r w:rsidRPr="00AD33E8">
        <w:t>m</w:t>
      </w:r>
      <w:r w:rsidRPr="00AD33E8">
        <w:t>manhanget är de verksamhets</w:t>
      </w:r>
      <w:r w:rsidRPr="00AD33E8">
        <w:softHyphen/>
        <w:t>förändringar som medfört att uppgifter som tidigare genomfördes med egen personal numera utförs av konsulter eller t</w:t>
      </w:r>
      <w:r w:rsidRPr="00AD33E8">
        <w:t>jänst</w:t>
      </w:r>
      <w:r w:rsidRPr="00AD33E8">
        <w:t>e</w:t>
      </w:r>
      <w:r w:rsidRPr="00AD33E8">
        <w:t>företag.</w:t>
      </w:r>
    </w:p>
    <w:p w:rsidR="007B7A21" w:rsidRPr="00AD33E8" w:rsidRDefault="007B7A21">
      <w:pPr>
        <w:pStyle w:val="Normaltindrag"/>
      </w:pPr>
      <w:r w:rsidRPr="00AD33E8">
        <w:t>De möjligheter att utveckla den statliga redovisningen som finns i och med den nya redovisningsmodellen från den 1 juli 1993 utnyttjas ännu i begrä</w:t>
      </w:r>
      <w:r w:rsidRPr="00AD33E8">
        <w:t>n</w:t>
      </w:r>
      <w:r w:rsidRPr="00AD33E8">
        <w:t xml:space="preserve">sad omfattning. Cirka en tredjedel av myndigheterna har tidredovisning. Med ändringarna i reglerna för årsredovisningarna år 1996 avstod regeringen från möjligheterna att samlat få uppgifter om kostnaden för myndigheternas, och därmed deras personals, prestationer. </w:t>
      </w:r>
    </w:p>
    <w:p w:rsidR="007B7A21" w:rsidRPr="00AD33E8" w:rsidRDefault="007B7A21">
      <w:pPr>
        <w:pStyle w:val="Rubrik3"/>
      </w:pPr>
      <w:r w:rsidRPr="00AD33E8">
        <w:t xml:space="preserve"> </w:t>
      </w:r>
      <w:bookmarkStart w:id="210" w:name="_Toc3887400"/>
      <w:bookmarkStart w:id="211" w:name="_Toc21425313"/>
      <w:r w:rsidRPr="00AD33E8">
        <w:t>Statskontorets mätningar</w:t>
      </w:r>
      <w:bookmarkEnd w:id="210"/>
      <w:bookmarkEnd w:id="211"/>
    </w:p>
    <w:p w:rsidR="007B7A21" w:rsidRPr="00AD33E8" w:rsidRDefault="007B7A21">
      <w:r w:rsidRPr="00AD33E8">
        <w:t>Statskontoret har i flera omgångar sedan mitten av 1980-talet gjort berä</w:t>
      </w:r>
      <w:r w:rsidRPr="00AD33E8">
        <w:t>k</w:t>
      </w:r>
      <w:r w:rsidRPr="00AD33E8">
        <w:t>ningar för att spegla produktiviteten i statsförvaltningen. Det är fråga om att för olika verksamheter ställa kostnader mot prestationer och sedan aggregera dessa till ett totalt mått för staten som helhet. Vad som därmed redovisas är en uppskattning av genomsnittliga kostnader för statens prestationer. Måttet ska tolkas med stora reservationer och några slutsatser om effektivitetsu</w:t>
      </w:r>
      <w:r w:rsidRPr="00AD33E8">
        <w:t>t</w:t>
      </w:r>
      <w:r w:rsidRPr="00AD33E8">
        <w:t>veckling kan inte dras. Förändringar av principer för kostnads</w:t>
      </w:r>
      <w:r w:rsidRPr="00AD33E8">
        <w:softHyphen/>
        <w:t>redo</w:t>
      </w:r>
      <w:r w:rsidRPr="00AD33E8">
        <w:softHyphen/>
        <w:t>visningen är t.ex. inte medräknade. Det är heller inte fr</w:t>
      </w:r>
      <w:r w:rsidRPr="00AD33E8">
        <w:t>åga om enhetliga prestationer över tiden, dessa kan ha växlat i komplexitet och svårighetsgrad beroende på såväl regeländringar och reformer som förändringar i externa krav. Också ändrade förhållanden i omvärlden, s.k. händelsestyrd utveckling, gör att innehållet i en prestationstyp skiftar över åren. Kvalitetsutvecklingen är inte inräknad. En annan begränsning är att beräkningarna inte omfattar hela stat</w:t>
      </w:r>
      <w:r w:rsidRPr="00AD33E8">
        <w:t>s</w:t>
      </w:r>
      <w:r w:rsidRPr="00AD33E8">
        <w:t>förvaltningen. Underlaget motsvarar cirka 60 % av den civila statsförval</w:t>
      </w:r>
      <w:r w:rsidRPr="00AD33E8">
        <w:t>t</w:t>
      </w:r>
      <w:r w:rsidRPr="00AD33E8">
        <w:t>ningen (Stats</w:t>
      </w:r>
      <w:r w:rsidRPr="00AD33E8">
        <w:softHyphen/>
        <w:t>kon</w:t>
      </w:r>
      <w:r w:rsidRPr="00AD33E8">
        <w:softHyphen/>
        <w:t>toret 1998:2</w:t>
      </w:r>
      <w:r w:rsidRPr="00AD33E8">
        <w:t xml:space="preserve">3). </w:t>
      </w:r>
    </w:p>
    <w:p w:rsidR="007B7A21" w:rsidRPr="00AD33E8" w:rsidRDefault="007B7A21">
      <w:pPr>
        <w:pStyle w:val="Normaltindrag"/>
      </w:pPr>
      <w:r w:rsidRPr="00AD33E8">
        <w:t>Vad siffrorna däremot speglar är ett, grovt mätt, förhållande mellan input och output, mellan resursförbrukning och produktion. Mätningarna kan dä</w:t>
      </w:r>
      <w:r w:rsidRPr="00AD33E8">
        <w:t>r</w:t>
      </w:r>
      <w:r w:rsidRPr="00AD33E8">
        <w:t xml:space="preserve">med ge en fingervisning om kostnadsutvecklingen i staten. Beräkningarna beskrivs som aggregerade inverterade styckkostnader. Det innebär att minus i tabellen innebär att prestationen blivit dyrare, se tabellerna 19 och 20. </w:t>
      </w:r>
    </w:p>
    <w:p w:rsidR="007B7A21" w:rsidRPr="00AD33E8" w:rsidRDefault="007B7A21">
      <w:pPr>
        <w:pStyle w:val="Normaltindrag"/>
      </w:pPr>
      <w:r w:rsidRPr="00AD33E8">
        <w:br w:type="page"/>
      </w: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1"/>
        <w:gridCol w:w="1"/>
        <w:gridCol w:w="1"/>
        <w:gridCol w:w="1587"/>
        <w:gridCol w:w="1899"/>
        <w:gridCol w:w="510"/>
        <w:gridCol w:w="1555"/>
      </w:tblGrid>
      <w:tr w:rsidR="00000000" w:rsidRPr="00AD33E8">
        <w:tblPrEx>
          <w:tblCellMar>
            <w:top w:w="0" w:type="dxa"/>
            <w:bottom w:w="0" w:type="dxa"/>
          </w:tblCellMar>
        </w:tblPrEx>
        <w:trPr>
          <w:trHeight w:val="247"/>
        </w:trPr>
        <w:tc>
          <w:tcPr>
            <w:tcW w:w="5554" w:type="dxa"/>
            <w:hMerge w:val="restart"/>
            <w:tcBorders>
              <w:bottom w:val="single" w:sz="6" w:space="0" w:color="008000"/>
            </w:tcBorders>
          </w:tcPr>
          <w:p w:rsidR="007B7A21" w:rsidRPr="00AD33E8" w:rsidRDefault="007B7A21">
            <w:pPr>
              <w:spacing w:before="0" w:line="240" w:lineRule="auto"/>
              <w:rPr>
                <w:b/>
                <w:snapToGrid w:val="0"/>
                <w:lang w:eastAsia="sv-SE"/>
              </w:rPr>
            </w:pPr>
            <w:r w:rsidRPr="00AD33E8">
              <w:rPr>
                <w:b/>
                <w:snapToGrid w:val="0"/>
                <w:lang w:eastAsia="sv-SE"/>
              </w:rPr>
              <w:t>Tabell 19: Kostnadsutveckling i den civila stats</w:t>
            </w:r>
            <w:r w:rsidRPr="00AD33E8">
              <w:rPr>
                <w:b/>
                <w:snapToGrid w:val="0"/>
                <w:lang w:eastAsia="sv-SE"/>
              </w:rPr>
              <w:softHyphen/>
              <w:t>förvaltningen 1960–1997, relativa förändringar i antalet prestationer per kostnadsenhet</w:t>
            </w:r>
          </w:p>
        </w:tc>
        <w:tc>
          <w:tcPr>
            <w:hMerge/>
            <w:tcBorders>
              <w:bottom w:val="single" w:sz="6" w:space="0" w:color="008000"/>
            </w:tcBorders>
          </w:tcPr>
          <w:p w:rsidR="007B7A21" w:rsidRPr="00AD33E8" w:rsidRDefault="007B7A21">
            <w:pPr>
              <w:spacing w:before="0" w:line="240" w:lineRule="auto"/>
              <w:jc w:val="right"/>
              <w:rPr>
                <w:snapToGrid w:val="0"/>
                <w:lang w:eastAsia="sv-SE"/>
              </w:rPr>
            </w:pPr>
          </w:p>
        </w:tc>
        <w:tc>
          <w:tcPr>
            <w:hMerge/>
            <w:tcBorders>
              <w:bottom w:val="single" w:sz="6" w:space="0" w:color="008000"/>
            </w:tcBorders>
          </w:tcPr>
          <w:p w:rsidR="007B7A21" w:rsidRPr="00AD33E8" w:rsidRDefault="007B7A21">
            <w:pPr>
              <w:spacing w:before="0" w:line="240" w:lineRule="auto"/>
              <w:rPr>
                <w:snapToGrid w:val="0"/>
                <w:lang w:eastAsia="sv-SE"/>
              </w:rPr>
            </w:pPr>
          </w:p>
        </w:tc>
        <w:tc>
          <w:tcPr>
            <w:gridSpan w:val="4"/>
            <w:hMerge/>
            <w:tcBorders>
              <w:bottom w:val="single" w:sz="6" w:space="0" w:color="008000"/>
            </w:tcBorders>
          </w:tcPr>
          <w:p w:rsidR="007B7A21" w:rsidRPr="00AD33E8" w:rsidRDefault="007B7A21">
            <w:pPr>
              <w:spacing w:before="0" w:line="240" w:lineRule="auto"/>
              <w:jc w:val="center"/>
              <w:rPr>
                <w:snapToGrid w:val="0"/>
                <w:lang w:eastAsia="sv-SE"/>
              </w:rPr>
            </w:pPr>
          </w:p>
        </w:tc>
      </w:tr>
      <w:tr w:rsidR="00000000" w:rsidRPr="00AD33E8">
        <w:tblPrEx>
          <w:tblCellMar>
            <w:top w:w="0" w:type="dxa"/>
            <w:bottom w:w="0" w:type="dxa"/>
          </w:tblCellMar>
        </w:tblPrEx>
        <w:trPr>
          <w:gridAfter w:val="1"/>
          <w:wAfter w:w="1555" w:type="dxa"/>
          <w:cantSplit/>
        </w:trPr>
        <w:tc>
          <w:tcPr>
            <w:tcW w:w="1590" w:type="dxa"/>
            <w:gridSpan w:val="4"/>
            <w:tcBorders>
              <w:top w:val="nil"/>
            </w:tcBorders>
          </w:tcPr>
          <w:p w:rsidR="007B7A21" w:rsidRPr="00AD33E8" w:rsidRDefault="007B7A21">
            <w:pPr>
              <w:spacing w:before="0" w:line="240" w:lineRule="auto"/>
              <w:rPr>
                <w:snapToGrid w:val="0"/>
                <w:lang w:eastAsia="sv-SE"/>
              </w:rPr>
            </w:pPr>
            <w:r w:rsidRPr="00AD33E8">
              <w:rPr>
                <w:snapToGrid w:val="0"/>
                <w:lang w:eastAsia="sv-SE"/>
              </w:rPr>
              <w:t>Period</w:t>
            </w:r>
          </w:p>
        </w:tc>
        <w:tc>
          <w:tcPr>
            <w:tcW w:w="2409" w:type="dxa"/>
            <w:gridSpan w:val="2"/>
            <w:tcBorders>
              <w:top w:val="nil"/>
            </w:tcBorders>
          </w:tcPr>
          <w:p w:rsidR="007B7A21" w:rsidRPr="00AD33E8" w:rsidRDefault="007B7A21">
            <w:pPr>
              <w:spacing w:before="0" w:line="240" w:lineRule="auto"/>
              <w:jc w:val="center"/>
              <w:rPr>
                <w:snapToGrid w:val="0"/>
                <w:lang w:eastAsia="sv-SE"/>
              </w:rPr>
            </w:pPr>
            <w:r w:rsidRPr="00AD33E8">
              <w:rPr>
                <w:snapToGrid w:val="0"/>
                <w:lang w:eastAsia="sv-SE"/>
              </w:rPr>
              <w:t>Årlig procentuell förän</w:t>
            </w:r>
            <w:r w:rsidRPr="00AD33E8">
              <w:rPr>
                <w:snapToGrid w:val="0"/>
                <w:lang w:eastAsia="sv-SE"/>
              </w:rPr>
              <w:t>d</w:t>
            </w:r>
            <w:r w:rsidRPr="00AD33E8">
              <w:rPr>
                <w:snapToGrid w:val="0"/>
                <w:lang w:eastAsia="sv-SE"/>
              </w:rPr>
              <w:t>ring</w:t>
            </w:r>
          </w:p>
        </w:tc>
      </w:tr>
      <w:tr w:rsidR="00000000" w:rsidRPr="00AD33E8">
        <w:tblPrEx>
          <w:tblCellMar>
            <w:top w:w="0" w:type="dxa"/>
            <w:bottom w:w="0" w:type="dxa"/>
          </w:tblCellMar>
        </w:tblPrEx>
        <w:trPr>
          <w:gridAfter w:val="1"/>
          <w:wAfter w:w="1555" w:type="dxa"/>
          <w:cantSplit/>
          <w:trHeight w:val="247"/>
        </w:trPr>
        <w:tc>
          <w:tcPr>
            <w:tcW w:w="1590" w:type="dxa"/>
            <w:gridSpan w:val="4"/>
          </w:tcPr>
          <w:p w:rsidR="007B7A21" w:rsidRPr="00AD33E8" w:rsidRDefault="007B7A21">
            <w:pPr>
              <w:spacing w:before="0" w:line="240" w:lineRule="auto"/>
              <w:jc w:val="left"/>
              <w:rPr>
                <w:snapToGrid w:val="0"/>
                <w:lang w:eastAsia="sv-SE"/>
              </w:rPr>
            </w:pPr>
            <w:r w:rsidRPr="00AD33E8">
              <w:rPr>
                <w:snapToGrid w:val="0"/>
                <w:lang w:eastAsia="sv-SE"/>
              </w:rPr>
              <w:t>1960 till 1965</w:t>
            </w:r>
          </w:p>
        </w:tc>
        <w:tc>
          <w:tcPr>
            <w:tcW w:w="2409" w:type="dxa"/>
            <w:gridSpan w:val="2"/>
          </w:tcPr>
          <w:p w:rsidR="007B7A21" w:rsidRPr="00AD33E8" w:rsidRDefault="007B7A21">
            <w:pPr>
              <w:spacing w:before="0" w:line="240" w:lineRule="auto"/>
              <w:jc w:val="center"/>
              <w:rPr>
                <w:snapToGrid w:val="0"/>
                <w:lang w:eastAsia="sv-SE"/>
              </w:rPr>
            </w:pPr>
            <w:r w:rsidRPr="00AD33E8">
              <w:rPr>
                <w:snapToGrid w:val="0"/>
                <w:lang w:eastAsia="sv-SE"/>
              </w:rPr>
              <w:t>-1,3</w:t>
            </w:r>
          </w:p>
        </w:tc>
      </w:tr>
      <w:tr w:rsidR="00000000" w:rsidRPr="00AD33E8">
        <w:tblPrEx>
          <w:tblCellMar>
            <w:top w:w="0" w:type="dxa"/>
            <w:bottom w:w="0" w:type="dxa"/>
          </w:tblCellMar>
        </w:tblPrEx>
        <w:trPr>
          <w:gridAfter w:val="1"/>
          <w:wAfter w:w="1555" w:type="dxa"/>
          <w:cantSplit/>
          <w:trHeight w:val="247"/>
        </w:trPr>
        <w:tc>
          <w:tcPr>
            <w:tcW w:w="1590" w:type="dxa"/>
            <w:gridSpan w:val="4"/>
          </w:tcPr>
          <w:p w:rsidR="007B7A21" w:rsidRPr="00AD33E8" w:rsidRDefault="007B7A21">
            <w:pPr>
              <w:spacing w:before="0" w:line="240" w:lineRule="auto"/>
              <w:jc w:val="left"/>
              <w:rPr>
                <w:snapToGrid w:val="0"/>
                <w:lang w:eastAsia="sv-SE"/>
              </w:rPr>
            </w:pPr>
            <w:r w:rsidRPr="00AD33E8">
              <w:rPr>
                <w:snapToGrid w:val="0"/>
                <w:lang w:eastAsia="sv-SE"/>
              </w:rPr>
              <w:t>1965 till 1970</w:t>
            </w:r>
          </w:p>
        </w:tc>
        <w:tc>
          <w:tcPr>
            <w:tcW w:w="2409" w:type="dxa"/>
            <w:gridSpan w:val="2"/>
          </w:tcPr>
          <w:p w:rsidR="007B7A21" w:rsidRPr="00AD33E8" w:rsidRDefault="007B7A21">
            <w:pPr>
              <w:spacing w:before="0" w:line="240" w:lineRule="auto"/>
              <w:jc w:val="center"/>
              <w:rPr>
                <w:snapToGrid w:val="0"/>
                <w:lang w:eastAsia="sv-SE"/>
              </w:rPr>
            </w:pPr>
            <w:r w:rsidRPr="00AD33E8">
              <w:rPr>
                <w:snapToGrid w:val="0"/>
                <w:lang w:eastAsia="sv-SE"/>
              </w:rPr>
              <w:t>-2,2</w:t>
            </w:r>
          </w:p>
        </w:tc>
      </w:tr>
      <w:tr w:rsidR="00000000" w:rsidRPr="00AD33E8">
        <w:tblPrEx>
          <w:tblCellMar>
            <w:top w:w="0" w:type="dxa"/>
            <w:bottom w:w="0" w:type="dxa"/>
          </w:tblCellMar>
        </w:tblPrEx>
        <w:trPr>
          <w:gridAfter w:val="1"/>
          <w:wAfter w:w="1555" w:type="dxa"/>
          <w:cantSplit/>
          <w:trHeight w:val="247"/>
        </w:trPr>
        <w:tc>
          <w:tcPr>
            <w:tcW w:w="1590" w:type="dxa"/>
            <w:gridSpan w:val="4"/>
          </w:tcPr>
          <w:p w:rsidR="007B7A21" w:rsidRPr="00AD33E8" w:rsidRDefault="007B7A21">
            <w:pPr>
              <w:spacing w:before="0" w:line="240" w:lineRule="auto"/>
              <w:jc w:val="left"/>
              <w:rPr>
                <w:snapToGrid w:val="0"/>
                <w:lang w:eastAsia="sv-SE"/>
              </w:rPr>
            </w:pPr>
            <w:r w:rsidRPr="00AD33E8">
              <w:rPr>
                <w:snapToGrid w:val="0"/>
                <w:lang w:eastAsia="sv-SE"/>
              </w:rPr>
              <w:t>1970 till 1975</w:t>
            </w:r>
          </w:p>
        </w:tc>
        <w:tc>
          <w:tcPr>
            <w:tcW w:w="2409" w:type="dxa"/>
            <w:gridSpan w:val="2"/>
          </w:tcPr>
          <w:p w:rsidR="007B7A21" w:rsidRPr="00AD33E8" w:rsidRDefault="007B7A21">
            <w:pPr>
              <w:spacing w:before="0" w:line="240" w:lineRule="auto"/>
              <w:jc w:val="center"/>
              <w:rPr>
                <w:snapToGrid w:val="0"/>
                <w:lang w:eastAsia="sv-SE"/>
              </w:rPr>
            </w:pPr>
            <w:r w:rsidRPr="00AD33E8">
              <w:rPr>
                <w:snapToGrid w:val="0"/>
                <w:lang w:eastAsia="sv-SE"/>
              </w:rPr>
              <w:t>-3</w:t>
            </w:r>
          </w:p>
        </w:tc>
      </w:tr>
      <w:tr w:rsidR="00000000" w:rsidRPr="00AD33E8">
        <w:tblPrEx>
          <w:tblCellMar>
            <w:top w:w="0" w:type="dxa"/>
            <w:bottom w:w="0" w:type="dxa"/>
          </w:tblCellMar>
        </w:tblPrEx>
        <w:trPr>
          <w:gridAfter w:val="1"/>
          <w:wAfter w:w="1555" w:type="dxa"/>
          <w:cantSplit/>
          <w:trHeight w:val="247"/>
        </w:trPr>
        <w:tc>
          <w:tcPr>
            <w:tcW w:w="1590" w:type="dxa"/>
            <w:gridSpan w:val="4"/>
          </w:tcPr>
          <w:p w:rsidR="007B7A21" w:rsidRPr="00AD33E8" w:rsidRDefault="007B7A21">
            <w:pPr>
              <w:spacing w:before="0" w:line="240" w:lineRule="auto"/>
              <w:jc w:val="left"/>
              <w:rPr>
                <w:snapToGrid w:val="0"/>
                <w:lang w:eastAsia="sv-SE"/>
              </w:rPr>
            </w:pPr>
            <w:r w:rsidRPr="00AD33E8">
              <w:rPr>
                <w:snapToGrid w:val="0"/>
                <w:lang w:eastAsia="sv-SE"/>
              </w:rPr>
              <w:t>1975 till 1980</w:t>
            </w:r>
          </w:p>
        </w:tc>
        <w:tc>
          <w:tcPr>
            <w:tcW w:w="2409" w:type="dxa"/>
            <w:gridSpan w:val="2"/>
          </w:tcPr>
          <w:p w:rsidR="007B7A21" w:rsidRPr="00AD33E8" w:rsidRDefault="007B7A21">
            <w:pPr>
              <w:spacing w:before="0" w:line="240" w:lineRule="auto"/>
              <w:jc w:val="center"/>
              <w:rPr>
                <w:snapToGrid w:val="0"/>
                <w:lang w:eastAsia="sv-SE"/>
              </w:rPr>
            </w:pPr>
            <w:r w:rsidRPr="00AD33E8">
              <w:rPr>
                <w:snapToGrid w:val="0"/>
                <w:lang w:eastAsia="sv-SE"/>
              </w:rPr>
              <w:t>1,9</w:t>
            </w:r>
          </w:p>
        </w:tc>
      </w:tr>
      <w:tr w:rsidR="00000000" w:rsidRPr="00AD33E8">
        <w:tblPrEx>
          <w:tblCellMar>
            <w:top w:w="0" w:type="dxa"/>
            <w:bottom w:w="0" w:type="dxa"/>
          </w:tblCellMar>
        </w:tblPrEx>
        <w:trPr>
          <w:gridAfter w:val="1"/>
          <w:wAfter w:w="1555" w:type="dxa"/>
          <w:cantSplit/>
          <w:trHeight w:val="247"/>
        </w:trPr>
        <w:tc>
          <w:tcPr>
            <w:tcW w:w="1590" w:type="dxa"/>
            <w:gridSpan w:val="4"/>
          </w:tcPr>
          <w:p w:rsidR="007B7A21" w:rsidRPr="00AD33E8" w:rsidRDefault="007B7A21">
            <w:pPr>
              <w:spacing w:before="0" w:line="240" w:lineRule="auto"/>
              <w:jc w:val="left"/>
              <w:rPr>
                <w:snapToGrid w:val="0"/>
                <w:lang w:eastAsia="sv-SE"/>
              </w:rPr>
            </w:pPr>
            <w:r w:rsidRPr="00AD33E8">
              <w:rPr>
                <w:snapToGrid w:val="0"/>
                <w:lang w:eastAsia="sv-SE"/>
              </w:rPr>
              <w:t>1980 till 1985</w:t>
            </w:r>
          </w:p>
        </w:tc>
        <w:tc>
          <w:tcPr>
            <w:tcW w:w="2409" w:type="dxa"/>
            <w:gridSpan w:val="2"/>
          </w:tcPr>
          <w:p w:rsidR="007B7A21" w:rsidRPr="00AD33E8" w:rsidRDefault="007B7A21">
            <w:pPr>
              <w:spacing w:before="0" w:line="240" w:lineRule="auto"/>
              <w:jc w:val="center"/>
              <w:rPr>
                <w:snapToGrid w:val="0"/>
                <w:lang w:eastAsia="sv-SE"/>
              </w:rPr>
            </w:pPr>
            <w:r w:rsidRPr="00AD33E8">
              <w:rPr>
                <w:snapToGrid w:val="0"/>
                <w:lang w:eastAsia="sv-SE"/>
              </w:rPr>
              <w:t>1,2</w:t>
            </w:r>
          </w:p>
        </w:tc>
      </w:tr>
      <w:tr w:rsidR="00000000" w:rsidRPr="00AD33E8">
        <w:tblPrEx>
          <w:tblCellMar>
            <w:top w:w="0" w:type="dxa"/>
            <w:bottom w:w="0" w:type="dxa"/>
          </w:tblCellMar>
        </w:tblPrEx>
        <w:trPr>
          <w:gridAfter w:val="1"/>
          <w:wAfter w:w="1555" w:type="dxa"/>
          <w:cantSplit/>
          <w:trHeight w:val="247"/>
        </w:trPr>
        <w:tc>
          <w:tcPr>
            <w:tcW w:w="1590" w:type="dxa"/>
            <w:gridSpan w:val="4"/>
          </w:tcPr>
          <w:p w:rsidR="007B7A21" w:rsidRPr="00AD33E8" w:rsidRDefault="007B7A21">
            <w:pPr>
              <w:spacing w:before="0" w:line="240" w:lineRule="auto"/>
              <w:jc w:val="left"/>
              <w:rPr>
                <w:snapToGrid w:val="0"/>
                <w:lang w:eastAsia="sv-SE"/>
              </w:rPr>
            </w:pPr>
            <w:r w:rsidRPr="00AD33E8">
              <w:rPr>
                <w:snapToGrid w:val="0"/>
                <w:lang w:eastAsia="sv-SE"/>
              </w:rPr>
              <w:t>1985 till 1990</w:t>
            </w:r>
          </w:p>
        </w:tc>
        <w:tc>
          <w:tcPr>
            <w:tcW w:w="2409" w:type="dxa"/>
            <w:gridSpan w:val="2"/>
          </w:tcPr>
          <w:p w:rsidR="007B7A21" w:rsidRPr="00AD33E8" w:rsidRDefault="007B7A21">
            <w:pPr>
              <w:spacing w:before="0" w:line="240" w:lineRule="auto"/>
              <w:jc w:val="center"/>
              <w:rPr>
                <w:snapToGrid w:val="0"/>
                <w:lang w:eastAsia="sv-SE"/>
              </w:rPr>
            </w:pPr>
            <w:r w:rsidRPr="00AD33E8">
              <w:rPr>
                <w:snapToGrid w:val="0"/>
                <w:lang w:eastAsia="sv-SE"/>
              </w:rPr>
              <w:t>0,1</w:t>
            </w:r>
          </w:p>
        </w:tc>
      </w:tr>
      <w:tr w:rsidR="00000000" w:rsidRPr="00AD33E8">
        <w:tblPrEx>
          <w:tblCellMar>
            <w:top w:w="0" w:type="dxa"/>
            <w:bottom w:w="0" w:type="dxa"/>
          </w:tblCellMar>
        </w:tblPrEx>
        <w:trPr>
          <w:gridAfter w:val="1"/>
          <w:wAfter w:w="1555" w:type="dxa"/>
          <w:cantSplit/>
          <w:trHeight w:val="247"/>
        </w:trPr>
        <w:tc>
          <w:tcPr>
            <w:tcW w:w="1590" w:type="dxa"/>
            <w:gridSpan w:val="4"/>
          </w:tcPr>
          <w:p w:rsidR="007B7A21" w:rsidRPr="00AD33E8" w:rsidRDefault="007B7A21">
            <w:pPr>
              <w:spacing w:before="0" w:line="240" w:lineRule="auto"/>
              <w:jc w:val="left"/>
              <w:rPr>
                <w:snapToGrid w:val="0"/>
                <w:lang w:eastAsia="sv-SE"/>
              </w:rPr>
            </w:pPr>
            <w:r w:rsidRPr="00AD33E8">
              <w:rPr>
                <w:snapToGrid w:val="0"/>
                <w:lang w:eastAsia="sv-SE"/>
              </w:rPr>
              <w:t>1990 till  1997</w:t>
            </w:r>
          </w:p>
        </w:tc>
        <w:tc>
          <w:tcPr>
            <w:tcW w:w="2409" w:type="dxa"/>
            <w:gridSpan w:val="2"/>
          </w:tcPr>
          <w:p w:rsidR="007B7A21" w:rsidRPr="00AD33E8" w:rsidRDefault="007B7A21">
            <w:pPr>
              <w:spacing w:before="0" w:line="240" w:lineRule="auto"/>
              <w:jc w:val="center"/>
              <w:rPr>
                <w:snapToGrid w:val="0"/>
                <w:lang w:eastAsia="sv-SE"/>
              </w:rPr>
            </w:pPr>
            <w:r w:rsidRPr="00AD33E8">
              <w:rPr>
                <w:snapToGrid w:val="0"/>
                <w:lang w:eastAsia="sv-SE"/>
              </w:rPr>
              <w:t>0,8</w:t>
            </w:r>
          </w:p>
        </w:tc>
      </w:tr>
      <w:tr w:rsidR="00000000" w:rsidRPr="00AD33E8">
        <w:tblPrEx>
          <w:tblCellMar>
            <w:top w:w="0" w:type="dxa"/>
            <w:bottom w:w="0" w:type="dxa"/>
          </w:tblCellMar>
        </w:tblPrEx>
        <w:trPr>
          <w:gridAfter w:val="1"/>
          <w:wAfter w:w="1555" w:type="dxa"/>
          <w:trHeight w:val="247"/>
        </w:trPr>
        <w:tc>
          <w:tcPr>
            <w:tcW w:w="3489" w:type="dxa"/>
            <w:hMerge w:val="restart"/>
          </w:tcPr>
          <w:p w:rsidR="007B7A21" w:rsidRPr="00AD33E8" w:rsidRDefault="007B7A21">
            <w:pPr>
              <w:spacing w:before="0" w:line="240" w:lineRule="auto"/>
              <w:rPr>
                <w:snapToGrid w:val="0"/>
                <w:lang w:eastAsia="sv-SE"/>
              </w:rPr>
            </w:pPr>
            <w:r w:rsidRPr="00AD33E8">
              <w:rPr>
                <w:snapToGrid w:val="0"/>
                <w:lang w:eastAsia="sv-SE"/>
              </w:rPr>
              <w:t>Källa: Statskontoret</w:t>
            </w:r>
          </w:p>
        </w:tc>
        <w:tc>
          <w:tcPr>
            <w:hMerge/>
          </w:tcPr>
          <w:p w:rsidR="007B7A21" w:rsidRPr="00AD33E8" w:rsidRDefault="007B7A21">
            <w:pPr>
              <w:spacing w:before="0" w:line="240" w:lineRule="auto"/>
              <w:jc w:val="right"/>
              <w:rPr>
                <w:snapToGrid w:val="0"/>
                <w:lang w:eastAsia="sv-SE"/>
              </w:rPr>
            </w:pPr>
          </w:p>
        </w:tc>
        <w:tc>
          <w:tcPr>
            <w:gridSpan w:val="3"/>
            <w:hMerge/>
          </w:tcPr>
          <w:p w:rsidR="007B7A21" w:rsidRPr="00AD33E8" w:rsidRDefault="007B7A21">
            <w:pPr>
              <w:spacing w:before="0" w:line="240" w:lineRule="auto"/>
              <w:rPr>
                <w:snapToGrid w:val="0"/>
                <w:lang w:eastAsia="sv-SE"/>
              </w:rPr>
            </w:pPr>
          </w:p>
        </w:tc>
        <w:tc>
          <w:tcPr>
            <w:tcW w:w="510" w:type="dxa"/>
          </w:tcPr>
          <w:p w:rsidR="007B7A21" w:rsidRPr="00AD33E8" w:rsidRDefault="007B7A21">
            <w:pPr>
              <w:spacing w:before="0" w:line="240" w:lineRule="auto"/>
              <w:jc w:val="center"/>
              <w:rPr>
                <w:snapToGrid w:val="0"/>
                <w:lang w:eastAsia="sv-SE"/>
              </w:rPr>
            </w:pPr>
          </w:p>
        </w:tc>
      </w:tr>
    </w:tbl>
    <w:p w:rsidR="007B7A21" w:rsidRPr="00AD33E8" w:rsidRDefault="007B7A21">
      <w:r w:rsidRPr="00AD33E8">
        <w:t>Tabell 20 är en detaljredovisning, år från år, för 1990-talet av den geno</w:t>
      </w:r>
      <w:r w:rsidRPr="00AD33E8">
        <w:t>m</w:t>
      </w:r>
      <w:r w:rsidRPr="00AD33E8">
        <w:t>snittliga förändring som redovisas i tabell 19. Enligt denna beräkning ökade kostnaderna i staten per producerad enhet från 1960 fram till 1975. Därefter minskade de fram till 1994, varefter en viss ökning  har skett. Den beräknade minskade kostnaden för den statliga produktionen mellan 1993 och 1994 sammanfaller i tiden med en omfattande reformering av den statliga redovi</w:t>
      </w:r>
      <w:r w:rsidRPr="00AD33E8">
        <w:t>s</w:t>
      </w:r>
      <w:r w:rsidRPr="00AD33E8">
        <w:t>nin</w:t>
      </w:r>
      <w:r w:rsidRPr="00AD33E8">
        <w:t>g</w:t>
      </w:r>
      <w:r w:rsidRPr="00AD33E8">
        <w:t xml:space="preserve">en. En helt ny redovisningsmodell infördes. </w:t>
      </w:r>
    </w:p>
    <w:p w:rsidR="007B7A21" w:rsidRPr="00AD33E8" w:rsidRDefault="007B7A21">
      <w:pPr>
        <w:pStyle w:val="Normaltindrag"/>
      </w:pP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1"/>
        <w:gridCol w:w="1022"/>
        <w:gridCol w:w="2693"/>
        <w:gridCol w:w="850"/>
        <w:gridCol w:w="993"/>
      </w:tblGrid>
      <w:tr w:rsidR="00000000" w:rsidRPr="00AD33E8">
        <w:tblPrEx>
          <w:tblCellMar>
            <w:top w:w="0" w:type="dxa"/>
            <w:bottom w:w="0" w:type="dxa"/>
          </w:tblCellMar>
        </w:tblPrEx>
        <w:trPr>
          <w:trHeight w:val="247"/>
        </w:trPr>
        <w:tc>
          <w:tcPr>
            <w:tcW w:w="5559" w:type="dxa"/>
            <w:hMerge w:val="restart"/>
            <w:tcBorders>
              <w:bottom w:val="single" w:sz="6" w:space="0" w:color="008000"/>
            </w:tcBorders>
          </w:tcPr>
          <w:p w:rsidR="007B7A21" w:rsidRPr="00AD33E8" w:rsidRDefault="007B7A21">
            <w:pPr>
              <w:spacing w:before="0" w:line="240" w:lineRule="auto"/>
              <w:rPr>
                <w:b/>
                <w:snapToGrid w:val="0"/>
                <w:lang w:eastAsia="sv-SE"/>
              </w:rPr>
            </w:pPr>
            <w:r w:rsidRPr="00AD33E8">
              <w:rPr>
                <w:b/>
                <w:snapToGrid w:val="0"/>
                <w:lang w:eastAsia="sv-SE"/>
              </w:rPr>
              <w:t>Tabell 20: Kostnadsutveckling i den civila stats</w:t>
            </w:r>
            <w:r w:rsidRPr="00AD33E8">
              <w:rPr>
                <w:b/>
                <w:snapToGrid w:val="0"/>
                <w:lang w:eastAsia="sv-SE"/>
              </w:rPr>
              <w:softHyphen/>
              <w:t>förvaltningen 1991 – 1997, relativa förändringar i antalet prestationer per kostnadse</w:t>
            </w:r>
            <w:r w:rsidRPr="00AD33E8">
              <w:rPr>
                <w:b/>
                <w:snapToGrid w:val="0"/>
                <w:lang w:eastAsia="sv-SE"/>
              </w:rPr>
              <w:t>n</w:t>
            </w:r>
            <w:r w:rsidRPr="00AD33E8">
              <w:rPr>
                <w:b/>
                <w:snapToGrid w:val="0"/>
                <w:lang w:eastAsia="sv-SE"/>
              </w:rPr>
              <w:t>het.</w:t>
            </w:r>
          </w:p>
        </w:tc>
        <w:tc>
          <w:tcPr>
            <w:gridSpan w:val="4"/>
            <w:hMerge/>
            <w:tcBorders>
              <w:bottom w:val="single" w:sz="6" w:space="0" w:color="008000"/>
            </w:tcBorders>
          </w:tcPr>
          <w:p w:rsidR="007B7A21" w:rsidRPr="00AD33E8" w:rsidRDefault="007B7A21">
            <w:pPr>
              <w:jc w:val="right"/>
              <w:rPr>
                <w:rFonts w:ascii="Arial" w:hAnsi="Arial"/>
                <w:snapToGrid w:val="0"/>
                <w:lang w:eastAsia="sv-SE"/>
              </w:rPr>
            </w:pPr>
          </w:p>
        </w:tc>
      </w:tr>
      <w:tr w:rsidR="00000000" w:rsidRPr="00AD33E8">
        <w:tblPrEx>
          <w:tblCellMar>
            <w:top w:w="0" w:type="dxa"/>
            <w:bottom w:w="0" w:type="dxa"/>
          </w:tblCellMar>
        </w:tblPrEx>
        <w:trPr>
          <w:gridAfter w:val="2"/>
          <w:wAfter w:w="1843" w:type="dxa"/>
        </w:trPr>
        <w:tc>
          <w:tcPr>
            <w:tcW w:w="1023" w:type="dxa"/>
            <w:gridSpan w:val="2"/>
            <w:tcBorders>
              <w:top w:val="nil"/>
            </w:tcBorders>
          </w:tcPr>
          <w:p w:rsidR="007B7A21" w:rsidRPr="00AD33E8" w:rsidRDefault="007B7A21">
            <w:pPr>
              <w:spacing w:before="0" w:line="240" w:lineRule="auto"/>
              <w:jc w:val="right"/>
              <w:rPr>
                <w:snapToGrid w:val="0"/>
                <w:lang w:eastAsia="sv-SE"/>
              </w:rPr>
            </w:pPr>
          </w:p>
        </w:tc>
        <w:tc>
          <w:tcPr>
            <w:tcW w:w="2693" w:type="dxa"/>
            <w:tcBorders>
              <w:top w:val="nil"/>
            </w:tcBorders>
          </w:tcPr>
          <w:p w:rsidR="007B7A21" w:rsidRPr="00AD33E8" w:rsidRDefault="007B7A21">
            <w:pPr>
              <w:spacing w:before="0" w:line="240" w:lineRule="auto"/>
              <w:jc w:val="center"/>
              <w:rPr>
                <w:snapToGrid w:val="0"/>
                <w:lang w:eastAsia="sv-SE"/>
              </w:rPr>
            </w:pPr>
            <w:r w:rsidRPr="00AD33E8">
              <w:rPr>
                <w:snapToGrid w:val="0"/>
                <w:lang w:eastAsia="sv-SE"/>
              </w:rPr>
              <w:t>Procentuell årlig förändring</w:t>
            </w:r>
          </w:p>
        </w:tc>
      </w:tr>
      <w:tr w:rsidR="00000000" w:rsidRPr="00AD33E8">
        <w:tblPrEx>
          <w:tblCellMar>
            <w:top w:w="0" w:type="dxa"/>
            <w:bottom w:w="0" w:type="dxa"/>
          </w:tblCellMar>
        </w:tblPrEx>
        <w:trPr>
          <w:gridAfter w:val="2"/>
          <w:wAfter w:w="1843" w:type="dxa"/>
          <w:trHeight w:val="247"/>
        </w:trPr>
        <w:tc>
          <w:tcPr>
            <w:tcW w:w="1023" w:type="dxa"/>
            <w:gridSpan w:val="2"/>
          </w:tcPr>
          <w:p w:rsidR="007B7A21" w:rsidRPr="00AD33E8" w:rsidRDefault="007B7A21">
            <w:pPr>
              <w:spacing w:before="0" w:line="240" w:lineRule="auto"/>
              <w:jc w:val="right"/>
              <w:rPr>
                <w:snapToGrid w:val="0"/>
                <w:lang w:eastAsia="sv-SE"/>
              </w:rPr>
            </w:pPr>
            <w:r w:rsidRPr="00AD33E8">
              <w:rPr>
                <w:snapToGrid w:val="0"/>
                <w:lang w:eastAsia="sv-SE"/>
              </w:rPr>
              <w:t>1991</w:t>
            </w:r>
          </w:p>
        </w:tc>
        <w:tc>
          <w:tcPr>
            <w:tcW w:w="2693" w:type="dxa"/>
          </w:tcPr>
          <w:p w:rsidR="007B7A21" w:rsidRPr="00AD33E8" w:rsidRDefault="007B7A21">
            <w:pPr>
              <w:spacing w:before="0"/>
              <w:jc w:val="center"/>
              <w:rPr>
                <w:snapToGrid w:val="0"/>
                <w:lang w:eastAsia="sv-SE"/>
              </w:rPr>
            </w:pPr>
            <w:r w:rsidRPr="00AD33E8">
              <w:rPr>
                <w:snapToGrid w:val="0"/>
                <w:lang w:eastAsia="sv-SE"/>
              </w:rPr>
              <w:t>2,0 %</w:t>
            </w:r>
          </w:p>
        </w:tc>
      </w:tr>
      <w:tr w:rsidR="00000000" w:rsidRPr="00AD33E8">
        <w:tblPrEx>
          <w:tblCellMar>
            <w:top w:w="0" w:type="dxa"/>
            <w:bottom w:w="0" w:type="dxa"/>
          </w:tblCellMar>
        </w:tblPrEx>
        <w:trPr>
          <w:gridAfter w:val="2"/>
          <w:wAfter w:w="1843" w:type="dxa"/>
          <w:trHeight w:val="247"/>
        </w:trPr>
        <w:tc>
          <w:tcPr>
            <w:tcW w:w="1023" w:type="dxa"/>
            <w:gridSpan w:val="2"/>
          </w:tcPr>
          <w:p w:rsidR="007B7A21" w:rsidRPr="00AD33E8" w:rsidRDefault="007B7A21">
            <w:pPr>
              <w:spacing w:before="0" w:line="240" w:lineRule="auto"/>
              <w:jc w:val="right"/>
              <w:rPr>
                <w:snapToGrid w:val="0"/>
                <w:lang w:eastAsia="sv-SE"/>
              </w:rPr>
            </w:pPr>
            <w:r w:rsidRPr="00AD33E8">
              <w:rPr>
                <w:snapToGrid w:val="0"/>
                <w:lang w:eastAsia="sv-SE"/>
              </w:rPr>
              <w:t>1992</w:t>
            </w:r>
          </w:p>
        </w:tc>
        <w:tc>
          <w:tcPr>
            <w:tcW w:w="2693" w:type="dxa"/>
          </w:tcPr>
          <w:p w:rsidR="007B7A21" w:rsidRPr="00AD33E8" w:rsidRDefault="007B7A21">
            <w:pPr>
              <w:spacing w:before="0"/>
              <w:jc w:val="center"/>
              <w:rPr>
                <w:snapToGrid w:val="0"/>
                <w:lang w:eastAsia="sv-SE"/>
              </w:rPr>
            </w:pPr>
            <w:r w:rsidRPr="00AD33E8">
              <w:rPr>
                <w:snapToGrid w:val="0"/>
                <w:lang w:eastAsia="sv-SE"/>
              </w:rPr>
              <w:t>-0,3 %</w:t>
            </w:r>
          </w:p>
        </w:tc>
      </w:tr>
      <w:tr w:rsidR="00000000" w:rsidRPr="00AD33E8">
        <w:tblPrEx>
          <w:tblCellMar>
            <w:top w:w="0" w:type="dxa"/>
            <w:bottom w:w="0" w:type="dxa"/>
          </w:tblCellMar>
        </w:tblPrEx>
        <w:trPr>
          <w:gridAfter w:val="2"/>
          <w:wAfter w:w="1843" w:type="dxa"/>
          <w:trHeight w:val="247"/>
        </w:trPr>
        <w:tc>
          <w:tcPr>
            <w:tcW w:w="1023" w:type="dxa"/>
            <w:gridSpan w:val="2"/>
          </w:tcPr>
          <w:p w:rsidR="007B7A21" w:rsidRPr="00AD33E8" w:rsidRDefault="007B7A21">
            <w:pPr>
              <w:spacing w:before="0" w:line="240" w:lineRule="auto"/>
              <w:jc w:val="right"/>
              <w:rPr>
                <w:snapToGrid w:val="0"/>
                <w:lang w:eastAsia="sv-SE"/>
              </w:rPr>
            </w:pPr>
            <w:r w:rsidRPr="00AD33E8">
              <w:rPr>
                <w:snapToGrid w:val="0"/>
                <w:lang w:eastAsia="sv-SE"/>
              </w:rPr>
              <w:t>1993</w:t>
            </w:r>
          </w:p>
        </w:tc>
        <w:tc>
          <w:tcPr>
            <w:tcW w:w="2693" w:type="dxa"/>
          </w:tcPr>
          <w:p w:rsidR="007B7A21" w:rsidRPr="00AD33E8" w:rsidRDefault="007B7A21">
            <w:pPr>
              <w:spacing w:before="0"/>
              <w:jc w:val="center"/>
              <w:rPr>
                <w:snapToGrid w:val="0"/>
                <w:lang w:eastAsia="sv-SE"/>
              </w:rPr>
            </w:pPr>
            <w:r w:rsidRPr="00AD33E8">
              <w:rPr>
                <w:snapToGrid w:val="0"/>
                <w:lang w:eastAsia="sv-SE"/>
              </w:rPr>
              <w:t>0,8 %</w:t>
            </w:r>
          </w:p>
        </w:tc>
      </w:tr>
      <w:tr w:rsidR="00000000" w:rsidRPr="00AD33E8">
        <w:tblPrEx>
          <w:tblCellMar>
            <w:top w:w="0" w:type="dxa"/>
            <w:bottom w:w="0" w:type="dxa"/>
          </w:tblCellMar>
        </w:tblPrEx>
        <w:trPr>
          <w:gridAfter w:val="2"/>
          <w:wAfter w:w="1843" w:type="dxa"/>
          <w:trHeight w:val="247"/>
        </w:trPr>
        <w:tc>
          <w:tcPr>
            <w:tcW w:w="1023" w:type="dxa"/>
            <w:gridSpan w:val="2"/>
          </w:tcPr>
          <w:p w:rsidR="007B7A21" w:rsidRPr="00AD33E8" w:rsidRDefault="007B7A21">
            <w:pPr>
              <w:spacing w:before="0" w:line="240" w:lineRule="auto"/>
              <w:jc w:val="right"/>
              <w:rPr>
                <w:snapToGrid w:val="0"/>
                <w:lang w:eastAsia="sv-SE"/>
              </w:rPr>
            </w:pPr>
            <w:r w:rsidRPr="00AD33E8">
              <w:rPr>
                <w:snapToGrid w:val="0"/>
                <w:lang w:eastAsia="sv-SE"/>
              </w:rPr>
              <w:t>1994</w:t>
            </w:r>
          </w:p>
        </w:tc>
        <w:tc>
          <w:tcPr>
            <w:tcW w:w="2693" w:type="dxa"/>
          </w:tcPr>
          <w:p w:rsidR="007B7A21" w:rsidRPr="00AD33E8" w:rsidRDefault="007B7A21">
            <w:pPr>
              <w:spacing w:before="0"/>
              <w:jc w:val="center"/>
              <w:rPr>
                <w:snapToGrid w:val="0"/>
                <w:lang w:eastAsia="sv-SE"/>
              </w:rPr>
            </w:pPr>
            <w:r w:rsidRPr="00AD33E8">
              <w:rPr>
                <w:snapToGrid w:val="0"/>
                <w:lang w:eastAsia="sv-SE"/>
              </w:rPr>
              <w:t>7,7 %</w:t>
            </w:r>
          </w:p>
        </w:tc>
      </w:tr>
      <w:tr w:rsidR="00000000" w:rsidRPr="00AD33E8">
        <w:tblPrEx>
          <w:tblCellMar>
            <w:top w:w="0" w:type="dxa"/>
            <w:bottom w:w="0" w:type="dxa"/>
          </w:tblCellMar>
        </w:tblPrEx>
        <w:trPr>
          <w:gridAfter w:val="2"/>
          <w:wAfter w:w="1843" w:type="dxa"/>
          <w:trHeight w:val="247"/>
        </w:trPr>
        <w:tc>
          <w:tcPr>
            <w:tcW w:w="1023" w:type="dxa"/>
            <w:gridSpan w:val="2"/>
          </w:tcPr>
          <w:p w:rsidR="007B7A21" w:rsidRPr="00AD33E8" w:rsidRDefault="007B7A21">
            <w:pPr>
              <w:spacing w:before="0" w:line="240" w:lineRule="auto"/>
              <w:jc w:val="right"/>
              <w:rPr>
                <w:snapToGrid w:val="0"/>
                <w:lang w:eastAsia="sv-SE"/>
              </w:rPr>
            </w:pPr>
            <w:r w:rsidRPr="00AD33E8">
              <w:rPr>
                <w:snapToGrid w:val="0"/>
                <w:lang w:eastAsia="sv-SE"/>
              </w:rPr>
              <w:t>1995</w:t>
            </w:r>
          </w:p>
        </w:tc>
        <w:tc>
          <w:tcPr>
            <w:tcW w:w="2693" w:type="dxa"/>
          </w:tcPr>
          <w:p w:rsidR="007B7A21" w:rsidRPr="00AD33E8" w:rsidRDefault="007B7A21">
            <w:pPr>
              <w:spacing w:before="0"/>
              <w:jc w:val="center"/>
              <w:rPr>
                <w:snapToGrid w:val="0"/>
                <w:lang w:eastAsia="sv-SE"/>
              </w:rPr>
            </w:pPr>
            <w:r w:rsidRPr="00AD33E8">
              <w:rPr>
                <w:snapToGrid w:val="0"/>
                <w:lang w:eastAsia="sv-SE"/>
              </w:rPr>
              <w:t>-1,2 %</w:t>
            </w:r>
          </w:p>
        </w:tc>
      </w:tr>
      <w:tr w:rsidR="00000000" w:rsidRPr="00AD33E8">
        <w:tblPrEx>
          <w:tblCellMar>
            <w:top w:w="0" w:type="dxa"/>
            <w:bottom w:w="0" w:type="dxa"/>
          </w:tblCellMar>
        </w:tblPrEx>
        <w:trPr>
          <w:gridAfter w:val="2"/>
          <w:wAfter w:w="1843" w:type="dxa"/>
          <w:trHeight w:val="247"/>
        </w:trPr>
        <w:tc>
          <w:tcPr>
            <w:tcW w:w="1023" w:type="dxa"/>
            <w:gridSpan w:val="2"/>
          </w:tcPr>
          <w:p w:rsidR="007B7A21" w:rsidRPr="00AD33E8" w:rsidRDefault="007B7A21">
            <w:pPr>
              <w:spacing w:before="0" w:line="240" w:lineRule="auto"/>
              <w:jc w:val="right"/>
              <w:rPr>
                <w:snapToGrid w:val="0"/>
                <w:lang w:eastAsia="sv-SE"/>
              </w:rPr>
            </w:pPr>
            <w:r w:rsidRPr="00AD33E8">
              <w:rPr>
                <w:snapToGrid w:val="0"/>
                <w:lang w:eastAsia="sv-SE"/>
              </w:rPr>
              <w:t>1996</w:t>
            </w:r>
          </w:p>
        </w:tc>
        <w:tc>
          <w:tcPr>
            <w:tcW w:w="2693" w:type="dxa"/>
          </w:tcPr>
          <w:p w:rsidR="007B7A21" w:rsidRPr="00AD33E8" w:rsidRDefault="007B7A21">
            <w:pPr>
              <w:spacing w:before="0"/>
              <w:jc w:val="center"/>
              <w:rPr>
                <w:snapToGrid w:val="0"/>
                <w:lang w:eastAsia="sv-SE"/>
              </w:rPr>
            </w:pPr>
            <w:r w:rsidRPr="00AD33E8">
              <w:rPr>
                <w:snapToGrid w:val="0"/>
                <w:lang w:eastAsia="sv-SE"/>
              </w:rPr>
              <w:t>-2,8 %</w:t>
            </w:r>
          </w:p>
        </w:tc>
      </w:tr>
      <w:tr w:rsidR="00000000" w:rsidRPr="00AD33E8">
        <w:tblPrEx>
          <w:tblCellMar>
            <w:top w:w="0" w:type="dxa"/>
            <w:bottom w:w="0" w:type="dxa"/>
          </w:tblCellMar>
        </w:tblPrEx>
        <w:trPr>
          <w:gridAfter w:val="2"/>
          <w:wAfter w:w="1843" w:type="dxa"/>
          <w:trHeight w:val="247"/>
        </w:trPr>
        <w:tc>
          <w:tcPr>
            <w:tcW w:w="1023" w:type="dxa"/>
            <w:gridSpan w:val="2"/>
          </w:tcPr>
          <w:p w:rsidR="007B7A21" w:rsidRPr="00AD33E8" w:rsidRDefault="007B7A21">
            <w:pPr>
              <w:spacing w:before="0" w:line="240" w:lineRule="auto"/>
              <w:jc w:val="right"/>
              <w:rPr>
                <w:snapToGrid w:val="0"/>
                <w:lang w:eastAsia="sv-SE"/>
              </w:rPr>
            </w:pPr>
            <w:r w:rsidRPr="00AD33E8">
              <w:rPr>
                <w:snapToGrid w:val="0"/>
                <w:lang w:eastAsia="sv-SE"/>
              </w:rPr>
              <w:t>1997</w:t>
            </w:r>
          </w:p>
        </w:tc>
        <w:tc>
          <w:tcPr>
            <w:tcW w:w="2693" w:type="dxa"/>
          </w:tcPr>
          <w:p w:rsidR="007B7A21" w:rsidRPr="00AD33E8" w:rsidRDefault="007B7A21">
            <w:pPr>
              <w:spacing w:before="0"/>
              <w:jc w:val="center"/>
              <w:rPr>
                <w:snapToGrid w:val="0"/>
                <w:lang w:eastAsia="sv-SE"/>
              </w:rPr>
            </w:pPr>
            <w:r w:rsidRPr="00AD33E8">
              <w:rPr>
                <w:snapToGrid w:val="0"/>
                <w:lang w:eastAsia="sv-SE"/>
              </w:rPr>
              <w:t>-0,2 %</w:t>
            </w:r>
          </w:p>
        </w:tc>
      </w:tr>
      <w:tr w:rsidR="00000000" w:rsidRPr="00AD33E8">
        <w:tblPrEx>
          <w:tblCellMar>
            <w:top w:w="0" w:type="dxa"/>
            <w:bottom w:w="0" w:type="dxa"/>
          </w:tblCellMar>
        </w:tblPrEx>
        <w:trPr>
          <w:gridAfter w:val="1"/>
          <w:wAfter w:w="993" w:type="dxa"/>
          <w:trHeight w:val="247"/>
        </w:trPr>
        <w:tc>
          <w:tcPr>
            <w:tcW w:w="4566" w:type="dxa"/>
            <w:hMerge w:val="restart"/>
          </w:tcPr>
          <w:p w:rsidR="007B7A21" w:rsidRPr="00AD33E8" w:rsidRDefault="007B7A21">
            <w:pPr>
              <w:spacing w:before="0" w:line="240" w:lineRule="auto"/>
              <w:rPr>
                <w:snapToGrid w:val="0"/>
                <w:lang w:eastAsia="sv-SE"/>
              </w:rPr>
            </w:pPr>
            <w:r w:rsidRPr="00AD33E8">
              <w:rPr>
                <w:snapToGrid w:val="0"/>
                <w:lang w:eastAsia="sv-SE"/>
              </w:rPr>
              <w:t>Källa: Statskontoret</w:t>
            </w:r>
          </w:p>
        </w:tc>
        <w:tc>
          <w:tcPr>
            <w:gridSpan w:val="3"/>
            <w:hMerge/>
          </w:tcPr>
          <w:p w:rsidR="007B7A21" w:rsidRPr="00AD33E8" w:rsidRDefault="007B7A21">
            <w:pPr>
              <w:spacing w:before="0"/>
              <w:jc w:val="right"/>
              <w:rPr>
                <w:rFonts w:ascii="Arial" w:hAnsi="Arial"/>
                <w:snapToGrid w:val="0"/>
                <w:lang w:eastAsia="sv-SE"/>
              </w:rPr>
            </w:pPr>
          </w:p>
        </w:tc>
      </w:tr>
    </w:tbl>
    <w:p w:rsidR="007B7A21" w:rsidRPr="00AD33E8" w:rsidRDefault="007B7A21">
      <w:r w:rsidRPr="00AD33E8">
        <w:t>De redovisade beräkningarna visar två förhållanden:</w:t>
      </w:r>
    </w:p>
    <w:p w:rsidR="007B7A21" w:rsidRPr="00AD33E8" w:rsidRDefault="007B7A21">
      <w:pPr>
        <w:pStyle w:val="Normaltindrag"/>
        <w:numPr>
          <w:ilvl w:val="0"/>
          <w:numId w:val="52"/>
        </w:numPr>
        <w:ind w:hanging="170"/>
      </w:pPr>
      <w:r w:rsidRPr="00AD33E8">
        <w:t>för den statliga kostnadsförbrukningen inleddes en positiv utveckling, i meningen sänkt styckkostnad, ungefär 10 år före de i granskningen akt</w:t>
      </w:r>
      <w:r w:rsidRPr="00AD33E8">
        <w:t>u</w:t>
      </w:r>
      <w:r w:rsidRPr="00AD33E8">
        <w:t>ella effektiviseringsreforme</w:t>
      </w:r>
      <w:r w:rsidRPr="00AD33E8">
        <w:t>r</w:t>
      </w:r>
      <w:r w:rsidRPr="00AD33E8">
        <w:t>na,</w:t>
      </w:r>
    </w:p>
    <w:p w:rsidR="007B7A21" w:rsidRPr="00AD33E8" w:rsidRDefault="007B7A21">
      <w:pPr>
        <w:pStyle w:val="Normaltindrag"/>
        <w:numPr>
          <w:ilvl w:val="0"/>
          <w:numId w:val="52"/>
        </w:numPr>
        <w:ind w:hanging="170"/>
      </w:pPr>
      <w:r w:rsidRPr="00AD33E8">
        <w:t>de omfattande, av kostnadsskäl motiverade, insatserna under 1990-talet får inget tydligt genomslag på kostnadsutvec</w:t>
      </w:r>
      <w:r w:rsidRPr="00AD33E8">
        <w:t>k</w:t>
      </w:r>
      <w:r w:rsidRPr="00AD33E8">
        <w:t>lingen.</w:t>
      </w:r>
    </w:p>
    <w:p w:rsidR="007B7A21" w:rsidRPr="00AD33E8" w:rsidRDefault="007B7A21">
      <w:pPr>
        <w:pStyle w:val="Rubrik3"/>
      </w:pPr>
      <w:bookmarkStart w:id="212" w:name="_Toc3887401"/>
      <w:bookmarkStart w:id="213" w:name="_Toc21425314"/>
      <w:r w:rsidRPr="00AD33E8">
        <w:t>Sjukfrånvaro</w:t>
      </w:r>
      <w:bookmarkEnd w:id="212"/>
      <w:bookmarkEnd w:id="213"/>
    </w:p>
    <w:p w:rsidR="007B7A21" w:rsidRPr="00AD33E8" w:rsidRDefault="007B7A21">
      <w:r w:rsidRPr="00AD33E8">
        <w:t>Under de senaste åren har sjukfrånvaron ökat i det svenska samhället. Det gäller för samtliga sektorer inom arbetsmarknaden, även för staten. Mönstret är lika mellan olika sektorer och mellan män och kvinnor. Explicita mål för utvecklingen av ohälsoarbetet i den statliga verksamheten formulerades inte vid det personalpolitiska beslutet. Däremot kan en minskad ohälsa följa av mål för såväl kostnadsutveckling som arbetsmiljö. Ett sänkt ohälsotal för samhället som helhet var ett av tre områden som särskilt pr</w:t>
      </w:r>
      <w:r w:rsidRPr="00AD33E8">
        <w:t>ioriterades när regeringen i kompletteringspropositionen 1989 redovisade inriktningen för det offentliga förnyelsearbetet.</w:t>
      </w:r>
    </w:p>
    <w:p w:rsidR="007B7A21" w:rsidRPr="00AD33E8" w:rsidRDefault="007B7A21">
      <w:pPr>
        <w:pStyle w:val="Normaltindrag"/>
      </w:pPr>
      <w:r w:rsidRPr="00AD33E8">
        <w:t>Utvecklingen under 1990-talet inleddes med en nedgång från höga nivåer, se tabell 21. Data baseras på SCB:s arbetskraftsundersökningar. Nedgången bröts år 1998 var</w:t>
      </w:r>
      <w:r w:rsidRPr="00AD33E8">
        <w:softHyphen/>
        <w:t>efter sjukfrånvaron har ökat. Nivån på sjukfrånvaron är högst inom landsting och ko</w:t>
      </w:r>
      <w:r w:rsidRPr="00AD33E8">
        <w:t>m</w:t>
      </w:r>
      <w:r w:rsidRPr="00AD33E8">
        <w:t>muner och lägst på den privata sidan.</w:t>
      </w:r>
    </w:p>
    <w:p w:rsidR="007B7A21" w:rsidRPr="00AD33E8" w:rsidRDefault="007B7A21">
      <w:pPr>
        <w:pStyle w:val="Normaltindrag"/>
      </w:pPr>
      <w:r w:rsidRPr="00AD33E8">
        <w:t>Ett antal olika förklaringar har framförts i den allmänna debatten, och r</w:t>
      </w:r>
      <w:r w:rsidRPr="00AD33E8">
        <w:t>e</w:t>
      </w:r>
      <w:r w:rsidRPr="00AD33E8">
        <w:t>geringen har tillsatt en utredning som redovisade sina bedömningar under år 2000. Den allmänna diskussionen har till viss del handlat om arbetsförhål</w:t>
      </w:r>
      <w:r w:rsidRPr="00AD33E8">
        <w:t>l</w:t>
      </w:r>
      <w:r w:rsidRPr="00AD33E8">
        <w:t>andens samband med sjukfrånvaron. Analyser av kopplingen mellan ohälsa och arbetsmiljö försvåras då statistiken från sjukförsäkringen inte löpande redovisas i kategorier som arbetsplatser eller diagnoser. (Uppgifterna i tabell 21 har samlats in och bearbetats för Sjukförsäkringsutredningen.) Regeringen har för att öka kunskapen om dessa samband föreslagit att</w:t>
      </w:r>
      <w:r w:rsidRPr="00AD33E8">
        <w:t xml:space="preserve"> s.k. hälsobokslut ska up</w:t>
      </w:r>
      <w:r w:rsidRPr="00AD33E8">
        <w:t>p</w:t>
      </w:r>
      <w:r w:rsidRPr="00AD33E8">
        <w:t xml:space="preserve">rättas. </w:t>
      </w:r>
    </w:p>
    <w:p w:rsidR="007B7A21" w:rsidRPr="00AD33E8" w:rsidRDefault="007B7A21">
      <w:pPr>
        <w:pStyle w:val="Normaltindrag"/>
      </w:pP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1"/>
        <w:gridCol w:w="1"/>
        <w:gridCol w:w="1304"/>
        <w:gridCol w:w="1559"/>
        <w:gridCol w:w="1701"/>
        <w:gridCol w:w="142"/>
      </w:tblGrid>
      <w:tr w:rsidR="00000000" w:rsidRPr="00AD33E8">
        <w:tblPrEx>
          <w:tblCellMar>
            <w:top w:w="0" w:type="dxa"/>
            <w:bottom w:w="0" w:type="dxa"/>
          </w:tblCellMar>
        </w:tblPrEx>
        <w:trPr>
          <w:trHeight w:val="247"/>
        </w:trPr>
        <w:tc>
          <w:tcPr>
            <w:tcW w:w="4708" w:type="dxa"/>
            <w:hMerge w:val="restart"/>
            <w:tcBorders>
              <w:bottom w:val="single" w:sz="6" w:space="0" w:color="008000"/>
            </w:tcBorders>
          </w:tcPr>
          <w:p w:rsidR="007B7A21" w:rsidRPr="00AD33E8" w:rsidRDefault="007B7A21">
            <w:pPr>
              <w:spacing w:before="0" w:line="240" w:lineRule="auto"/>
              <w:rPr>
                <w:b/>
                <w:snapToGrid w:val="0"/>
                <w:lang w:eastAsia="sv-SE"/>
              </w:rPr>
            </w:pPr>
            <w:r w:rsidRPr="00AD33E8">
              <w:rPr>
                <w:b/>
                <w:snapToGrid w:val="0"/>
                <w:lang w:eastAsia="sv-SE"/>
              </w:rPr>
              <w:t>Tabell 21. Kvinnor och män i statlig tjänst, sjukfrånvaro 1990-1999, andel av totalt antal anstäl</w:t>
            </w:r>
            <w:r w:rsidRPr="00AD33E8">
              <w:rPr>
                <w:b/>
                <w:snapToGrid w:val="0"/>
                <w:lang w:eastAsia="sv-SE"/>
              </w:rPr>
              <w:t>l</w:t>
            </w:r>
            <w:r w:rsidRPr="00AD33E8">
              <w:rPr>
                <w:b/>
                <w:snapToGrid w:val="0"/>
                <w:lang w:eastAsia="sv-SE"/>
              </w:rPr>
              <w:t>da, %</w:t>
            </w:r>
          </w:p>
        </w:tc>
        <w:tc>
          <w:tcPr>
            <w:hMerge/>
            <w:tcBorders>
              <w:bottom w:val="single" w:sz="6" w:space="0" w:color="008000"/>
            </w:tcBorders>
          </w:tcPr>
          <w:p w:rsidR="007B7A21" w:rsidRPr="00AD33E8" w:rsidRDefault="007B7A21">
            <w:pPr>
              <w:spacing w:before="0" w:line="240" w:lineRule="auto"/>
              <w:jc w:val="right"/>
              <w:rPr>
                <w:snapToGrid w:val="0"/>
                <w:lang w:eastAsia="sv-SE"/>
              </w:rPr>
            </w:pPr>
          </w:p>
        </w:tc>
        <w:tc>
          <w:tcPr>
            <w:gridSpan w:val="4"/>
            <w:hMerge/>
            <w:tcBorders>
              <w:bottom w:val="single" w:sz="6" w:space="0" w:color="008000"/>
            </w:tcBorders>
          </w:tcPr>
          <w:p w:rsidR="007B7A21" w:rsidRPr="00AD33E8" w:rsidRDefault="007B7A21">
            <w:pPr>
              <w:spacing w:before="0" w:line="240" w:lineRule="auto"/>
              <w:jc w:val="right"/>
              <w:rPr>
                <w:snapToGrid w:val="0"/>
                <w:lang w:eastAsia="sv-SE"/>
              </w:rPr>
            </w:pPr>
          </w:p>
        </w:tc>
      </w:tr>
      <w:tr w:rsidR="00000000" w:rsidRPr="00AD33E8">
        <w:tblPrEx>
          <w:tblCellMar>
            <w:top w:w="0" w:type="dxa"/>
            <w:bottom w:w="0" w:type="dxa"/>
          </w:tblCellMar>
        </w:tblPrEx>
        <w:trPr>
          <w:trHeight w:val="247"/>
        </w:trPr>
        <w:tc>
          <w:tcPr>
            <w:tcW w:w="1306" w:type="dxa"/>
            <w:gridSpan w:val="3"/>
            <w:tcBorders>
              <w:top w:val="nil"/>
            </w:tcBorders>
          </w:tcPr>
          <w:p w:rsidR="007B7A21" w:rsidRPr="00AD33E8" w:rsidRDefault="007B7A21">
            <w:pPr>
              <w:spacing w:before="0" w:line="240" w:lineRule="auto"/>
              <w:jc w:val="right"/>
              <w:rPr>
                <w:snapToGrid w:val="0"/>
                <w:lang w:eastAsia="sv-SE"/>
              </w:rPr>
            </w:pPr>
          </w:p>
        </w:tc>
        <w:tc>
          <w:tcPr>
            <w:tcW w:w="1559" w:type="dxa"/>
            <w:tcBorders>
              <w:top w:val="nil"/>
            </w:tcBorders>
          </w:tcPr>
          <w:p w:rsidR="007B7A21" w:rsidRPr="00AD33E8" w:rsidRDefault="007B7A21">
            <w:pPr>
              <w:spacing w:before="0" w:line="240" w:lineRule="auto"/>
              <w:jc w:val="center"/>
              <w:rPr>
                <w:snapToGrid w:val="0"/>
                <w:lang w:eastAsia="sv-SE"/>
              </w:rPr>
            </w:pPr>
            <w:r w:rsidRPr="00AD33E8">
              <w:rPr>
                <w:snapToGrid w:val="0"/>
                <w:lang w:eastAsia="sv-SE"/>
              </w:rPr>
              <w:t>Kvinnor</w:t>
            </w:r>
          </w:p>
        </w:tc>
        <w:tc>
          <w:tcPr>
            <w:tcW w:w="1843" w:type="dxa"/>
            <w:gridSpan w:val="2"/>
            <w:tcBorders>
              <w:top w:val="nil"/>
            </w:tcBorders>
          </w:tcPr>
          <w:p w:rsidR="007B7A21" w:rsidRPr="00AD33E8" w:rsidRDefault="007B7A21">
            <w:pPr>
              <w:spacing w:before="0" w:line="240" w:lineRule="auto"/>
              <w:jc w:val="center"/>
              <w:rPr>
                <w:snapToGrid w:val="0"/>
                <w:lang w:eastAsia="sv-SE"/>
              </w:rPr>
            </w:pPr>
            <w:r w:rsidRPr="00AD33E8">
              <w:rPr>
                <w:snapToGrid w:val="0"/>
                <w:lang w:eastAsia="sv-SE"/>
              </w:rPr>
              <w:t>Män</w:t>
            </w:r>
          </w:p>
        </w:tc>
      </w:tr>
      <w:tr w:rsidR="00000000" w:rsidRPr="00AD33E8">
        <w:tblPrEx>
          <w:tblCellMar>
            <w:top w:w="0" w:type="dxa"/>
            <w:bottom w:w="0" w:type="dxa"/>
          </w:tblCellMar>
        </w:tblPrEx>
        <w:trPr>
          <w:trHeight w:val="247"/>
        </w:trPr>
        <w:tc>
          <w:tcPr>
            <w:tcW w:w="1306" w:type="dxa"/>
            <w:gridSpan w:val="3"/>
          </w:tcPr>
          <w:p w:rsidR="007B7A21" w:rsidRPr="00AD33E8" w:rsidRDefault="007B7A21">
            <w:pPr>
              <w:spacing w:before="0" w:line="240" w:lineRule="auto"/>
              <w:jc w:val="left"/>
              <w:rPr>
                <w:snapToGrid w:val="0"/>
                <w:lang w:eastAsia="sv-SE"/>
              </w:rPr>
            </w:pPr>
            <w:r w:rsidRPr="00AD33E8">
              <w:rPr>
                <w:snapToGrid w:val="0"/>
                <w:lang w:eastAsia="sv-SE"/>
              </w:rPr>
              <w:t>1990</w:t>
            </w:r>
          </w:p>
        </w:tc>
        <w:tc>
          <w:tcPr>
            <w:tcW w:w="1559" w:type="dxa"/>
          </w:tcPr>
          <w:p w:rsidR="007B7A21" w:rsidRPr="00AD33E8" w:rsidRDefault="007B7A21">
            <w:pPr>
              <w:spacing w:before="0" w:line="240" w:lineRule="auto"/>
              <w:jc w:val="center"/>
              <w:rPr>
                <w:snapToGrid w:val="0"/>
                <w:lang w:eastAsia="sv-SE"/>
              </w:rPr>
            </w:pPr>
            <w:r w:rsidRPr="00AD33E8">
              <w:rPr>
                <w:snapToGrid w:val="0"/>
                <w:lang w:eastAsia="sv-SE"/>
              </w:rPr>
              <w:t>8,2</w:t>
            </w:r>
          </w:p>
        </w:tc>
        <w:tc>
          <w:tcPr>
            <w:tcW w:w="1843" w:type="dxa"/>
            <w:gridSpan w:val="2"/>
          </w:tcPr>
          <w:p w:rsidR="007B7A21" w:rsidRPr="00AD33E8" w:rsidRDefault="007B7A21">
            <w:pPr>
              <w:spacing w:before="0" w:line="240" w:lineRule="auto"/>
              <w:jc w:val="center"/>
              <w:rPr>
                <w:snapToGrid w:val="0"/>
                <w:lang w:eastAsia="sv-SE"/>
              </w:rPr>
            </w:pPr>
            <w:r w:rsidRPr="00AD33E8">
              <w:rPr>
                <w:snapToGrid w:val="0"/>
                <w:lang w:eastAsia="sv-SE"/>
              </w:rPr>
              <w:t>5,3</w:t>
            </w:r>
          </w:p>
        </w:tc>
      </w:tr>
      <w:tr w:rsidR="00000000" w:rsidRPr="00AD33E8">
        <w:tblPrEx>
          <w:tblCellMar>
            <w:top w:w="0" w:type="dxa"/>
            <w:bottom w:w="0" w:type="dxa"/>
          </w:tblCellMar>
        </w:tblPrEx>
        <w:trPr>
          <w:trHeight w:val="247"/>
        </w:trPr>
        <w:tc>
          <w:tcPr>
            <w:tcW w:w="1306" w:type="dxa"/>
            <w:gridSpan w:val="3"/>
          </w:tcPr>
          <w:p w:rsidR="007B7A21" w:rsidRPr="00AD33E8" w:rsidRDefault="007B7A21">
            <w:pPr>
              <w:spacing w:before="0" w:line="240" w:lineRule="auto"/>
              <w:jc w:val="left"/>
              <w:rPr>
                <w:snapToGrid w:val="0"/>
                <w:lang w:eastAsia="sv-SE"/>
              </w:rPr>
            </w:pPr>
            <w:r w:rsidRPr="00AD33E8">
              <w:rPr>
                <w:snapToGrid w:val="0"/>
                <w:lang w:eastAsia="sv-SE"/>
              </w:rPr>
              <w:t>1991</w:t>
            </w:r>
          </w:p>
        </w:tc>
        <w:tc>
          <w:tcPr>
            <w:tcW w:w="1559" w:type="dxa"/>
          </w:tcPr>
          <w:p w:rsidR="007B7A21" w:rsidRPr="00AD33E8" w:rsidRDefault="007B7A21">
            <w:pPr>
              <w:spacing w:before="0" w:line="240" w:lineRule="auto"/>
              <w:jc w:val="center"/>
              <w:rPr>
                <w:snapToGrid w:val="0"/>
                <w:lang w:eastAsia="sv-SE"/>
              </w:rPr>
            </w:pPr>
            <w:r w:rsidRPr="00AD33E8">
              <w:rPr>
                <w:snapToGrid w:val="0"/>
                <w:lang w:eastAsia="sv-SE"/>
              </w:rPr>
              <w:t>7,7</w:t>
            </w:r>
          </w:p>
        </w:tc>
        <w:tc>
          <w:tcPr>
            <w:tcW w:w="1843" w:type="dxa"/>
            <w:gridSpan w:val="2"/>
          </w:tcPr>
          <w:p w:rsidR="007B7A21" w:rsidRPr="00AD33E8" w:rsidRDefault="007B7A21">
            <w:pPr>
              <w:spacing w:before="0" w:line="240" w:lineRule="auto"/>
              <w:jc w:val="center"/>
              <w:rPr>
                <w:snapToGrid w:val="0"/>
                <w:lang w:eastAsia="sv-SE"/>
              </w:rPr>
            </w:pPr>
            <w:r w:rsidRPr="00AD33E8">
              <w:rPr>
                <w:snapToGrid w:val="0"/>
                <w:lang w:eastAsia="sv-SE"/>
              </w:rPr>
              <w:t>4,8</w:t>
            </w:r>
          </w:p>
        </w:tc>
      </w:tr>
      <w:tr w:rsidR="00000000" w:rsidRPr="00AD33E8">
        <w:tblPrEx>
          <w:tblCellMar>
            <w:top w:w="0" w:type="dxa"/>
            <w:bottom w:w="0" w:type="dxa"/>
          </w:tblCellMar>
        </w:tblPrEx>
        <w:trPr>
          <w:trHeight w:val="247"/>
        </w:trPr>
        <w:tc>
          <w:tcPr>
            <w:tcW w:w="1306" w:type="dxa"/>
            <w:gridSpan w:val="3"/>
          </w:tcPr>
          <w:p w:rsidR="007B7A21" w:rsidRPr="00AD33E8" w:rsidRDefault="007B7A21">
            <w:pPr>
              <w:spacing w:before="0" w:line="240" w:lineRule="auto"/>
              <w:jc w:val="left"/>
              <w:rPr>
                <w:snapToGrid w:val="0"/>
                <w:lang w:eastAsia="sv-SE"/>
              </w:rPr>
            </w:pPr>
            <w:r w:rsidRPr="00AD33E8">
              <w:rPr>
                <w:snapToGrid w:val="0"/>
                <w:lang w:eastAsia="sv-SE"/>
              </w:rPr>
              <w:t>1992</w:t>
            </w:r>
          </w:p>
        </w:tc>
        <w:tc>
          <w:tcPr>
            <w:tcW w:w="1559" w:type="dxa"/>
          </w:tcPr>
          <w:p w:rsidR="007B7A21" w:rsidRPr="00AD33E8" w:rsidRDefault="007B7A21">
            <w:pPr>
              <w:spacing w:before="0" w:line="240" w:lineRule="auto"/>
              <w:jc w:val="center"/>
              <w:rPr>
                <w:snapToGrid w:val="0"/>
                <w:lang w:eastAsia="sv-SE"/>
              </w:rPr>
            </w:pPr>
            <w:r w:rsidRPr="00AD33E8">
              <w:rPr>
                <w:snapToGrid w:val="0"/>
                <w:lang w:eastAsia="sv-SE"/>
              </w:rPr>
              <w:t>7,8</w:t>
            </w:r>
          </w:p>
        </w:tc>
        <w:tc>
          <w:tcPr>
            <w:tcW w:w="1843" w:type="dxa"/>
            <w:gridSpan w:val="2"/>
          </w:tcPr>
          <w:p w:rsidR="007B7A21" w:rsidRPr="00AD33E8" w:rsidRDefault="007B7A21">
            <w:pPr>
              <w:spacing w:before="0" w:line="240" w:lineRule="auto"/>
              <w:jc w:val="center"/>
              <w:rPr>
                <w:snapToGrid w:val="0"/>
                <w:lang w:eastAsia="sv-SE"/>
              </w:rPr>
            </w:pPr>
            <w:r w:rsidRPr="00AD33E8">
              <w:rPr>
                <w:snapToGrid w:val="0"/>
                <w:lang w:eastAsia="sv-SE"/>
              </w:rPr>
              <w:t>4,4</w:t>
            </w:r>
          </w:p>
        </w:tc>
      </w:tr>
      <w:tr w:rsidR="00000000" w:rsidRPr="00AD33E8">
        <w:tblPrEx>
          <w:tblCellMar>
            <w:top w:w="0" w:type="dxa"/>
            <w:bottom w:w="0" w:type="dxa"/>
          </w:tblCellMar>
        </w:tblPrEx>
        <w:trPr>
          <w:trHeight w:val="247"/>
        </w:trPr>
        <w:tc>
          <w:tcPr>
            <w:tcW w:w="1306" w:type="dxa"/>
            <w:gridSpan w:val="3"/>
          </w:tcPr>
          <w:p w:rsidR="007B7A21" w:rsidRPr="00AD33E8" w:rsidRDefault="007B7A21">
            <w:pPr>
              <w:spacing w:before="0" w:line="240" w:lineRule="auto"/>
              <w:jc w:val="left"/>
              <w:rPr>
                <w:snapToGrid w:val="0"/>
                <w:lang w:eastAsia="sv-SE"/>
              </w:rPr>
            </w:pPr>
            <w:r w:rsidRPr="00AD33E8">
              <w:rPr>
                <w:snapToGrid w:val="0"/>
                <w:lang w:eastAsia="sv-SE"/>
              </w:rPr>
              <w:t>1993</w:t>
            </w:r>
          </w:p>
        </w:tc>
        <w:tc>
          <w:tcPr>
            <w:tcW w:w="1559" w:type="dxa"/>
          </w:tcPr>
          <w:p w:rsidR="007B7A21" w:rsidRPr="00AD33E8" w:rsidRDefault="007B7A21">
            <w:pPr>
              <w:spacing w:before="0" w:line="240" w:lineRule="auto"/>
              <w:jc w:val="center"/>
              <w:rPr>
                <w:snapToGrid w:val="0"/>
                <w:lang w:eastAsia="sv-SE"/>
              </w:rPr>
            </w:pPr>
            <w:r w:rsidRPr="00AD33E8">
              <w:rPr>
                <w:snapToGrid w:val="0"/>
                <w:lang w:eastAsia="sv-SE"/>
              </w:rPr>
              <w:t>7,0</w:t>
            </w:r>
          </w:p>
        </w:tc>
        <w:tc>
          <w:tcPr>
            <w:tcW w:w="1843" w:type="dxa"/>
            <w:gridSpan w:val="2"/>
          </w:tcPr>
          <w:p w:rsidR="007B7A21" w:rsidRPr="00AD33E8" w:rsidRDefault="007B7A21">
            <w:pPr>
              <w:spacing w:before="0" w:line="240" w:lineRule="auto"/>
              <w:jc w:val="center"/>
              <w:rPr>
                <w:snapToGrid w:val="0"/>
                <w:lang w:eastAsia="sv-SE"/>
              </w:rPr>
            </w:pPr>
            <w:r w:rsidRPr="00AD33E8">
              <w:rPr>
                <w:snapToGrid w:val="0"/>
                <w:lang w:eastAsia="sv-SE"/>
              </w:rPr>
              <w:t>3,8</w:t>
            </w:r>
          </w:p>
        </w:tc>
      </w:tr>
      <w:tr w:rsidR="00000000" w:rsidRPr="00AD33E8">
        <w:tblPrEx>
          <w:tblCellMar>
            <w:top w:w="0" w:type="dxa"/>
            <w:bottom w:w="0" w:type="dxa"/>
          </w:tblCellMar>
        </w:tblPrEx>
        <w:trPr>
          <w:trHeight w:val="247"/>
        </w:trPr>
        <w:tc>
          <w:tcPr>
            <w:tcW w:w="1306" w:type="dxa"/>
            <w:gridSpan w:val="3"/>
          </w:tcPr>
          <w:p w:rsidR="007B7A21" w:rsidRPr="00AD33E8" w:rsidRDefault="007B7A21">
            <w:pPr>
              <w:spacing w:before="0" w:line="240" w:lineRule="auto"/>
              <w:jc w:val="left"/>
              <w:rPr>
                <w:snapToGrid w:val="0"/>
                <w:lang w:eastAsia="sv-SE"/>
              </w:rPr>
            </w:pPr>
            <w:r w:rsidRPr="00AD33E8">
              <w:rPr>
                <w:snapToGrid w:val="0"/>
                <w:lang w:eastAsia="sv-SE"/>
              </w:rPr>
              <w:t>1994</w:t>
            </w:r>
          </w:p>
        </w:tc>
        <w:tc>
          <w:tcPr>
            <w:tcW w:w="1559" w:type="dxa"/>
          </w:tcPr>
          <w:p w:rsidR="007B7A21" w:rsidRPr="00AD33E8" w:rsidRDefault="007B7A21">
            <w:pPr>
              <w:spacing w:before="0" w:line="240" w:lineRule="auto"/>
              <w:jc w:val="center"/>
              <w:rPr>
                <w:snapToGrid w:val="0"/>
                <w:lang w:eastAsia="sv-SE"/>
              </w:rPr>
            </w:pPr>
            <w:r w:rsidRPr="00AD33E8">
              <w:rPr>
                <w:snapToGrid w:val="0"/>
                <w:lang w:eastAsia="sv-SE"/>
              </w:rPr>
              <w:t>5,2</w:t>
            </w:r>
          </w:p>
        </w:tc>
        <w:tc>
          <w:tcPr>
            <w:tcW w:w="1843" w:type="dxa"/>
            <w:gridSpan w:val="2"/>
          </w:tcPr>
          <w:p w:rsidR="007B7A21" w:rsidRPr="00AD33E8" w:rsidRDefault="007B7A21">
            <w:pPr>
              <w:spacing w:before="0" w:line="240" w:lineRule="auto"/>
              <w:jc w:val="center"/>
              <w:rPr>
                <w:snapToGrid w:val="0"/>
                <w:lang w:eastAsia="sv-SE"/>
              </w:rPr>
            </w:pPr>
            <w:r w:rsidRPr="00AD33E8">
              <w:rPr>
                <w:snapToGrid w:val="0"/>
                <w:lang w:eastAsia="sv-SE"/>
              </w:rPr>
              <w:t>3,4</w:t>
            </w:r>
          </w:p>
        </w:tc>
      </w:tr>
      <w:tr w:rsidR="00000000" w:rsidRPr="00AD33E8">
        <w:tblPrEx>
          <w:tblCellMar>
            <w:top w:w="0" w:type="dxa"/>
            <w:bottom w:w="0" w:type="dxa"/>
          </w:tblCellMar>
        </w:tblPrEx>
        <w:trPr>
          <w:trHeight w:val="247"/>
        </w:trPr>
        <w:tc>
          <w:tcPr>
            <w:tcW w:w="1306" w:type="dxa"/>
            <w:gridSpan w:val="3"/>
          </w:tcPr>
          <w:p w:rsidR="007B7A21" w:rsidRPr="00AD33E8" w:rsidRDefault="007B7A21">
            <w:pPr>
              <w:spacing w:before="0" w:line="240" w:lineRule="auto"/>
              <w:jc w:val="left"/>
              <w:rPr>
                <w:snapToGrid w:val="0"/>
                <w:lang w:eastAsia="sv-SE"/>
              </w:rPr>
            </w:pPr>
            <w:r w:rsidRPr="00AD33E8">
              <w:rPr>
                <w:snapToGrid w:val="0"/>
                <w:lang w:eastAsia="sv-SE"/>
              </w:rPr>
              <w:t>1995</w:t>
            </w:r>
          </w:p>
        </w:tc>
        <w:tc>
          <w:tcPr>
            <w:tcW w:w="1559" w:type="dxa"/>
          </w:tcPr>
          <w:p w:rsidR="007B7A21" w:rsidRPr="00AD33E8" w:rsidRDefault="007B7A21">
            <w:pPr>
              <w:spacing w:before="0" w:line="240" w:lineRule="auto"/>
              <w:jc w:val="center"/>
              <w:rPr>
                <w:snapToGrid w:val="0"/>
                <w:lang w:eastAsia="sv-SE"/>
              </w:rPr>
            </w:pPr>
            <w:r w:rsidRPr="00AD33E8">
              <w:rPr>
                <w:snapToGrid w:val="0"/>
                <w:lang w:eastAsia="sv-SE"/>
              </w:rPr>
              <w:t>5,0</w:t>
            </w:r>
          </w:p>
        </w:tc>
        <w:tc>
          <w:tcPr>
            <w:tcW w:w="1843" w:type="dxa"/>
            <w:gridSpan w:val="2"/>
          </w:tcPr>
          <w:p w:rsidR="007B7A21" w:rsidRPr="00AD33E8" w:rsidRDefault="007B7A21">
            <w:pPr>
              <w:spacing w:before="0" w:line="240" w:lineRule="auto"/>
              <w:jc w:val="center"/>
              <w:rPr>
                <w:snapToGrid w:val="0"/>
                <w:lang w:eastAsia="sv-SE"/>
              </w:rPr>
            </w:pPr>
            <w:r w:rsidRPr="00AD33E8">
              <w:rPr>
                <w:snapToGrid w:val="0"/>
                <w:lang w:eastAsia="sv-SE"/>
              </w:rPr>
              <w:t>3,1</w:t>
            </w:r>
          </w:p>
        </w:tc>
      </w:tr>
      <w:tr w:rsidR="00000000" w:rsidRPr="00AD33E8">
        <w:tblPrEx>
          <w:tblCellMar>
            <w:top w:w="0" w:type="dxa"/>
            <w:bottom w:w="0" w:type="dxa"/>
          </w:tblCellMar>
        </w:tblPrEx>
        <w:trPr>
          <w:trHeight w:val="247"/>
        </w:trPr>
        <w:tc>
          <w:tcPr>
            <w:tcW w:w="1306" w:type="dxa"/>
            <w:gridSpan w:val="3"/>
          </w:tcPr>
          <w:p w:rsidR="007B7A21" w:rsidRPr="00AD33E8" w:rsidRDefault="007B7A21">
            <w:pPr>
              <w:spacing w:before="0" w:line="240" w:lineRule="auto"/>
              <w:jc w:val="left"/>
              <w:rPr>
                <w:snapToGrid w:val="0"/>
                <w:lang w:eastAsia="sv-SE"/>
              </w:rPr>
            </w:pPr>
            <w:r w:rsidRPr="00AD33E8">
              <w:rPr>
                <w:snapToGrid w:val="0"/>
                <w:lang w:eastAsia="sv-SE"/>
              </w:rPr>
              <w:t>1996</w:t>
            </w:r>
          </w:p>
        </w:tc>
        <w:tc>
          <w:tcPr>
            <w:tcW w:w="1559" w:type="dxa"/>
          </w:tcPr>
          <w:p w:rsidR="007B7A21" w:rsidRPr="00AD33E8" w:rsidRDefault="007B7A21">
            <w:pPr>
              <w:spacing w:before="0" w:line="240" w:lineRule="auto"/>
              <w:jc w:val="center"/>
              <w:rPr>
                <w:snapToGrid w:val="0"/>
                <w:lang w:eastAsia="sv-SE"/>
              </w:rPr>
            </w:pPr>
            <w:r w:rsidRPr="00AD33E8">
              <w:rPr>
                <w:snapToGrid w:val="0"/>
                <w:lang w:eastAsia="sv-SE"/>
              </w:rPr>
              <w:t>4,2</w:t>
            </w:r>
          </w:p>
        </w:tc>
        <w:tc>
          <w:tcPr>
            <w:tcW w:w="1843" w:type="dxa"/>
            <w:gridSpan w:val="2"/>
          </w:tcPr>
          <w:p w:rsidR="007B7A21" w:rsidRPr="00AD33E8" w:rsidRDefault="007B7A21">
            <w:pPr>
              <w:spacing w:before="0" w:line="240" w:lineRule="auto"/>
              <w:jc w:val="center"/>
              <w:rPr>
                <w:snapToGrid w:val="0"/>
                <w:lang w:eastAsia="sv-SE"/>
              </w:rPr>
            </w:pPr>
            <w:r w:rsidRPr="00AD33E8">
              <w:rPr>
                <w:snapToGrid w:val="0"/>
                <w:lang w:eastAsia="sv-SE"/>
              </w:rPr>
              <w:t>2,4</w:t>
            </w:r>
          </w:p>
        </w:tc>
      </w:tr>
      <w:tr w:rsidR="00000000" w:rsidRPr="00AD33E8">
        <w:tblPrEx>
          <w:tblCellMar>
            <w:top w:w="0" w:type="dxa"/>
            <w:bottom w:w="0" w:type="dxa"/>
          </w:tblCellMar>
        </w:tblPrEx>
        <w:trPr>
          <w:trHeight w:val="247"/>
        </w:trPr>
        <w:tc>
          <w:tcPr>
            <w:tcW w:w="1306" w:type="dxa"/>
            <w:gridSpan w:val="3"/>
          </w:tcPr>
          <w:p w:rsidR="007B7A21" w:rsidRPr="00AD33E8" w:rsidRDefault="007B7A21">
            <w:pPr>
              <w:spacing w:before="0" w:line="240" w:lineRule="auto"/>
              <w:jc w:val="left"/>
              <w:rPr>
                <w:snapToGrid w:val="0"/>
                <w:lang w:eastAsia="sv-SE"/>
              </w:rPr>
            </w:pPr>
            <w:r w:rsidRPr="00AD33E8">
              <w:rPr>
                <w:snapToGrid w:val="0"/>
                <w:lang w:eastAsia="sv-SE"/>
              </w:rPr>
              <w:t>1997</w:t>
            </w:r>
          </w:p>
        </w:tc>
        <w:tc>
          <w:tcPr>
            <w:tcW w:w="1559" w:type="dxa"/>
          </w:tcPr>
          <w:p w:rsidR="007B7A21" w:rsidRPr="00AD33E8" w:rsidRDefault="007B7A21">
            <w:pPr>
              <w:spacing w:before="0" w:line="240" w:lineRule="auto"/>
              <w:jc w:val="center"/>
              <w:rPr>
                <w:snapToGrid w:val="0"/>
                <w:lang w:eastAsia="sv-SE"/>
              </w:rPr>
            </w:pPr>
            <w:r w:rsidRPr="00AD33E8">
              <w:rPr>
                <w:snapToGrid w:val="0"/>
                <w:lang w:eastAsia="sv-SE"/>
              </w:rPr>
              <w:t>4,2</w:t>
            </w:r>
          </w:p>
        </w:tc>
        <w:tc>
          <w:tcPr>
            <w:tcW w:w="1843" w:type="dxa"/>
            <w:gridSpan w:val="2"/>
          </w:tcPr>
          <w:p w:rsidR="007B7A21" w:rsidRPr="00AD33E8" w:rsidRDefault="007B7A21">
            <w:pPr>
              <w:spacing w:before="0" w:line="240" w:lineRule="auto"/>
              <w:jc w:val="center"/>
              <w:rPr>
                <w:snapToGrid w:val="0"/>
                <w:lang w:eastAsia="sv-SE"/>
              </w:rPr>
            </w:pPr>
            <w:r w:rsidRPr="00AD33E8">
              <w:rPr>
                <w:snapToGrid w:val="0"/>
                <w:lang w:eastAsia="sv-SE"/>
              </w:rPr>
              <w:t>2,1</w:t>
            </w:r>
          </w:p>
        </w:tc>
      </w:tr>
      <w:tr w:rsidR="00000000" w:rsidRPr="00AD33E8">
        <w:tblPrEx>
          <w:tblCellMar>
            <w:top w:w="0" w:type="dxa"/>
            <w:bottom w:w="0" w:type="dxa"/>
          </w:tblCellMar>
        </w:tblPrEx>
        <w:trPr>
          <w:trHeight w:val="247"/>
        </w:trPr>
        <w:tc>
          <w:tcPr>
            <w:tcW w:w="1306" w:type="dxa"/>
            <w:gridSpan w:val="3"/>
          </w:tcPr>
          <w:p w:rsidR="007B7A21" w:rsidRPr="00AD33E8" w:rsidRDefault="007B7A21">
            <w:pPr>
              <w:spacing w:before="0" w:line="240" w:lineRule="auto"/>
              <w:jc w:val="left"/>
              <w:rPr>
                <w:snapToGrid w:val="0"/>
                <w:lang w:eastAsia="sv-SE"/>
              </w:rPr>
            </w:pPr>
            <w:r w:rsidRPr="00AD33E8">
              <w:rPr>
                <w:snapToGrid w:val="0"/>
                <w:lang w:eastAsia="sv-SE"/>
              </w:rPr>
              <w:t>1998</w:t>
            </w:r>
          </w:p>
        </w:tc>
        <w:tc>
          <w:tcPr>
            <w:tcW w:w="1559" w:type="dxa"/>
          </w:tcPr>
          <w:p w:rsidR="007B7A21" w:rsidRPr="00AD33E8" w:rsidRDefault="007B7A21">
            <w:pPr>
              <w:spacing w:before="0" w:line="240" w:lineRule="auto"/>
              <w:jc w:val="center"/>
              <w:rPr>
                <w:snapToGrid w:val="0"/>
                <w:lang w:eastAsia="sv-SE"/>
              </w:rPr>
            </w:pPr>
            <w:r w:rsidRPr="00AD33E8">
              <w:rPr>
                <w:snapToGrid w:val="0"/>
                <w:lang w:eastAsia="sv-SE"/>
              </w:rPr>
              <w:t>5,0</w:t>
            </w:r>
          </w:p>
        </w:tc>
        <w:tc>
          <w:tcPr>
            <w:tcW w:w="1843" w:type="dxa"/>
            <w:gridSpan w:val="2"/>
          </w:tcPr>
          <w:p w:rsidR="007B7A21" w:rsidRPr="00AD33E8" w:rsidRDefault="007B7A21">
            <w:pPr>
              <w:spacing w:before="0" w:line="240" w:lineRule="auto"/>
              <w:jc w:val="center"/>
              <w:rPr>
                <w:snapToGrid w:val="0"/>
                <w:lang w:eastAsia="sv-SE"/>
              </w:rPr>
            </w:pPr>
            <w:r w:rsidRPr="00AD33E8">
              <w:rPr>
                <w:snapToGrid w:val="0"/>
                <w:lang w:eastAsia="sv-SE"/>
              </w:rPr>
              <w:t>2,8</w:t>
            </w:r>
          </w:p>
        </w:tc>
      </w:tr>
      <w:tr w:rsidR="00000000" w:rsidRPr="00AD33E8">
        <w:tblPrEx>
          <w:tblCellMar>
            <w:top w:w="0" w:type="dxa"/>
            <w:bottom w:w="0" w:type="dxa"/>
          </w:tblCellMar>
        </w:tblPrEx>
        <w:trPr>
          <w:trHeight w:val="247"/>
        </w:trPr>
        <w:tc>
          <w:tcPr>
            <w:tcW w:w="1306" w:type="dxa"/>
            <w:gridSpan w:val="3"/>
          </w:tcPr>
          <w:p w:rsidR="007B7A21" w:rsidRPr="00AD33E8" w:rsidRDefault="007B7A21">
            <w:pPr>
              <w:spacing w:before="0" w:line="240" w:lineRule="auto"/>
              <w:jc w:val="left"/>
              <w:rPr>
                <w:snapToGrid w:val="0"/>
                <w:lang w:eastAsia="sv-SE"/>
              </w:rPr>
            </w:pPr>
            <w:r w:rsidRPr="00AD33E8">
              <w:rPr>
                <w:snapToGrid w:val="0"/>
                <w:lang w:eastAsia="sv-SE"/>
              </w:rPr>
              <w:t>1999</w:t>
            </w:r>
          </w:p>
        </w:tc>
        <w:tc>
          <w:tcPr>
            <w:tcW w:w="1559" w:type="dxa"/>
          </w:tcPr>
          <w:p w:rsidR="007B7A21" w:rsidRPr="00AD33E8" w:rsidRDefault="007B7A21">
            <w:pPr>
              <w:spacing w:before="0" w:line="240" w:lineRule="auto"/>
              <w:jc w:val="center"/>
              <w:rPr>
                <w:snapToGrid w:val="0"/>
                <w:lang w:eastAsia="sv-SE"/>
              </w:rPr>
            </w:pPr>
            <w:r w:rsidRPr="00AD33E8">
              <w:rPr>
                <w:snapToGrid w:val="0"/>
                <w:lang w:eastAsia="sv-SE"/>
              </w:rPr>
              <w:t>5,8</w:t>
            </w:r>
          </w:p>
        </w:tc>
        <w:tc>
          <w:tcPr>
            <w:tcW w:w="1843" w:type="dxa"/>
            <w:gridSpan w:val="2"/>
          </w:tcPr>
          <w:p w:rsidR="007B7A21" w:rsidRPr="00AD33E8" w:rsidRDefault="007B7A21">
            <w:pPr>
              <w:spacing w:before="0" w:line="240" w:lineRule="auto"/>
              <w:jc w:val="center"/>
              <w:rPr>
                <w:snapToGrid w:val="0"/>
                <w:lang w:eastAsia="sv-SE"/>
              </w:rPr>
            </w:pPr>
            <w:r w:rsidRPr="00AD33E8">
              <w:rPr>
                <w:snapToGrid w:val="0"/>
                <w:lang w:eastAsia="sv-SE"/>
              </w:rPr>
              <w:t>3,5</w:t>
            </w:r>
          </w:p>
        </w:tc>
      </w:tr>
      <w:tr w:rsidR="00000000" w:rsidRPr="00AD33E8">
        <w:tblPrEx>
          <w:tblCellMar>
            <w:top w:w="0" w:type="dxa"/>
            <w:bottom w:w="0" w:type="dxa"/>
          </w:tblCellMar>
        </w:tblPrEx>
        <w:trPr>
          <w:trHeight w:val="247"/>
        </w:trPr>
        <w:tc>
          <w:tcPr>
            <w:tcW w:w="4566" w:type="dxa"/>
            <w:hMerge w:val="restart"/>
          </w:tcPr>
          <w:p w:rsidR="007B7A21" w:rsidRPr="00AD33E8" w:rsidRDefault="007B7A21">
            <w:pPr>
              <w:spacing w:before="0" w:line="240" w:lineRule="auto"/>
              <w:rPr>
                <w:snapToGrid w:val="0"/>
                <w:lang w:eastAsia="sv-SE"/>
              </w:rPr>
            </w:pPr>
            <w:r w:rsidRPr="00AD33E8">
              <w:rPr>
                <w:snapToGrid w:val="0"/>
                <w:lang w:eastAsia="sv-SE"/>
              </w:rPr>
              <w:t>Källa: SOU 2000:121</w:t>
            </w:r>
          </w:p>
        </w:tc>
        <w:tc>
          <w:tcPr>
            <w:gridSpan w:val="4"/>
            <w:hMerge/>
          </w:tcPr>
          <w:p w:rsidR="007B7A21" w:rsidRPr="00AD33E8" w:rsidRDefault="007B7A21">
            <w:pPr>
              <w:spacing w:before="0" w:line="240" w:lineRule="auto"/>
              <w:jc w:val="right"/>
              <w:rPr>
                <w:snapToGrid w:val="0"/>
                <w:lang w:eastAsia="sv-SE"/>
              </w:rPr>
            </w:pPr>
          </w:p>
        </w:tc>
        <w:tc>
          <w:tcPr>
            <w:tcW w:w="142" w:type="dxa"/>
          </w:tcPr>
          <w:p w:rsidR="007B7A21" w:rsidRPr="00AD33E8" w:rsidRDefault="007B7A21">
            <w:pPr>
              <w:spacing w:before="0" w:line="240" w:lineRule="auto"/>
              <w:jc w:val="right"/>
              <w:rPr>
                <w:snapToGrid w:val="0"/>
                <w:lang w:eastAsia="sv-SE"/>
              </w:rPr>
            </w:pPr>
          </w:p>
        </w:tc>
      </w:tr>
    </w:tbl>
    <w:p w:rsidR="007B7A21" w:rsidRPr="00AD33E8" w:rsidRDefault="007B7A21">
      <w:r w:rsidRPr="00AD33E8">
        <w:rPr>
          <w:snapToGrid w:val="0"/>
          <w:lang w:eastAsia="sv-SE"/>
        </w:rPr>
        <w:t>Enligt regeringens analys i budgetpropositionen för år 2001 kunde man u</w:t>
      </w:r>
      <w:r w:rsidRPr="00AD33E8">
        <w:rPr>
          <w:snapToGrid w:val="0"/>
          <w:lang w:eastAsia="sv-SE"/>
        </w:rPr>
        <w:t>r</w:t>
      </w:r>
      <w:r w:rsidRPr="00AD33E8">
        <w:rPr>
          <w:snapToGrid w:val="0"/>
          <w:lang w:eastAsia="sv-SE"/>
        </w:rPr>
        <w:t>skilja minst åtta olika grupper av förklaringar till den ökande sjukskrivningen (prop. 2000/01:1, bilaga 9). En rimlig delförklaring var, enligt regeringen, försämrad arbetsmiljö i framför allt välfärdssektorn. Dels visade den s.k. ”4:e-september</w:t>
      </w:r>
      <w:r w:rsidRPr="00AD33E8">
        <w:rPr>
          <w:snapToGrid w:val="0"/>
          <w:lang w:eastAsia="sv-SE"/>
        </w:rPr>
        <w:softHyphen/>
        <w:t>under</w:t>
      </w:r>
      <w:r w:rsidRPr="00AD33E8">
        <w:rPr>
          <w:snapToGrid w:val="0"/>
          <w:lang w:eastAsia="sv-SE"/>
        </w:rPr>
        <w:softHyphen/>
        <w:t>sökningen”, som Riksförsäkringsverket genomfört på uppdrag av regeringen, att antalet sjukskrivna lärare, sjuksköterskor, unde</w:t>
      </w:r>
      <w:r w:rsidRPr="00AD33E8">
        <w:rPr>
          <w:snapToGrid w:val="0"/>
          <w:lang w:eastAsia="sv-SE"/>
        </w:rPr>
        <w:t>r</w:t>
      </w:r>
      <w:r w:rsidRPr="00AD33E8">
        <w:rPr>
          <w:snapToGrid w:val="0"/>
          <w:lang w:eastAsia="sv-SE"/>
        </w:rPr>
        <w:t>sköterskor och biträden har ökat under 1999 jämfört med 1998. Dels hade man inom forskningen kunnat visa på skillnader i arbetsvill</w:t>
      </w:r>
      <w:r w:rsidRPr="00AD33E8">
        <w:rPr>
          <w:snapToGrid w:val="0"/>
          <w:lang w:eastAsia="sv-SE"/>
        </w:rPr>
        <w:t>kor och hälsa mellan anställda i olika verksamhetsområden. Skillnaderna mellan dem som har goda, utvecklande arbeten och dem som har påfrestande arbeten ökar. Försämringar sker framför allt i offentlig sektor och inom den privata serv</w:t>
      </w:r>
      <w:r w:rsidRPr="00AD33E8">
        <w:rPr>
          <w:snapToGrid w:val="0"/>
          <w:lang w:eastAsia="sv-SE"/>
        </w:rPr>
        <w:t>i</w:t>
      </w:r>
      <w:r w:rsidRPr="00AD33E8">
        <w:rPr>
          <w:snapToGrid w:val="0"/>
          <w:lang w:eastAsia="sv-SE"/>
        </w:rPr>
        <w:t xml:space="preserve">ce- och tjänstesektorn. </w:t>
      </w:r>
      <w:r w:rsidRPr="00AD33E8">
        <w:t>I tabell 22 redovisas andelen av statligt anställda män och kvinnor som har hög anspänning i arbetet, åren 1989–1999. Kvinnorna låg inledningsvis på högre nivåer än männen. Andelarna varierar mellan åren men skillnaden mellan män och kvinnor tenderar at</w:t>
      </w:r>
      <w:r w:rsidRPr="00AD33E8">
        <w:t xml:space="preserve">t minska. </w:t>
      </w:r>
    </w:p>
    <w:p w:rsidR="007B7A21" w:rsidRPr="00AD33E8" w:rsidRDefault="007B7A21">
      <w:pPr>
        <w:pStyle w:val="Normaltindrag"/>
      </w:pPr>
      <w:r w:rsidRPr="00AD33E8">
        <w:br w:type="page"/>
      </w: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1"/>
        <w:gridCol w:w="1"/>
        <w:gridCol w:w="1132"/>
        <w:gridCol w:w="1011"/>
        <w:gridCol w:w="577"/>
        <w:gridCol w:w="1561"/>
        <w:gridCol w:w="27"/>
      </w:tblGrid>
      <w:tr w:rsidR="00000000" w:rsidRPr="00AD33E8">
        <w:tblPrEx>
          <w:tblCellMar>
            <w:top w:w="0" w:type="dxa"/>
            <w:bottom w:w="0" w:type="dxa"/>
          </w:tblCellMar>
        </w:tblPrEx>
        <w:trPr>
          <w:gridAfter w:val="1"/>
          <w:wAfter w:w="27" w:type="dxa"/>
          <w:trHeight w:val="247"/>
        </w:trPr>
        <w:tc>
          <w:tcPr>
            <w:tcW w:w="4283" w:type="dxa"/>
            <w:hMerge w:val="restart"/>
            <w:tcBorders>
              <w:bottom w:val="single" w:sz="6" w:space="0" w:color="008000"/>
            </w:tcBorders>
          </w:tcPr>
          <w:p w:rsidR="007B7A21" w:rsidRPr="00AD33E8" w:rsidRDefault="007B7A21">
            <w:pPr>
              <w:spacing w:before="0" w:line="240" w:lineRule="auto"/>
              <w:rPr>
                <w:b/>
                <w:snapToGrid w:val="0"/>
                <w:lang w:eastAsia="sv-SE"/>
              </w:rPr>
            </w:pPr>
            <w:r w:rsidRPr="00AD33E8">
              <w:rPr>
                <w:b/>
                <w:snapToGrid w:val="0"/>
                <w:lang w:eastAsia="sv-SE"/>
              </w:rPr>
              <w:t>Tabell 22: Andel kvinnor och män i staten som uppl</w:t>
            </w:r>
            <w:r w:rsidRPr="00AD33E8">
              <w:rPr>
                <w:b/>
                <w:snapToGrid w:val="0"/>
                <w:lang w:eastAsia="sv-SE"/>
              </w:rPr>
              <w:t>e</w:t>
            </w:r>
            <w:r w:rsidRPr="00AD33E8">
              <w:rPr>
                <w:b/>
                <w:snapToGrid w:val="0"/>
                <w:lang w:eastAsia="sv-SE"/>
              </w:rPr>
              <w:t>ver hög anspänning i arbetet</w:t>
            </w:r>
          </w:p>
        </w:tc>
        <w:tc>
          <w:tcPr>
            <w:hMerge/>
            <w:tcBorders>
              <w:bottom w:val="single" w:sz="6" w:space="0" w:color="008000"/>
            </w:tcBorders>
          </w:tcPr>
          <w:p w:rsidR="007B7A21" w:rsidRPr="00AD33E8" w:rsidRDefault="007B7A21">
            <w:pPr>
              <w:spacing w:before="0" w:line="240" w:lineRule="auto"/>
              <w:jc w:val="right"/>
              <w:rPr>
                <w:snapToGrid w:val="0"/>
                <w:lang w:eastAsia="sv-SE"/>
              </w:rPr>
            </w:pPr>
          </w:p>
        </w:tc>
        <w:tc>
          <w:tcPr>
            <w:gridSpan w:val="4"/>
            <w:hMerge/>
            <w:tcBorders>
              <w:bottom w:val="single" w:sz="6" w:space="0" w:color="008000"/>
            </w:tcBorders>
          </w:tcPr>
          <w:p w:rsidR="007B7A21" w:rsidRPr="00AD33E8" w:rsidRDefault="007B7A21">
            <w:pPr>
              <w:spacing w:before="0" w:line="240" w:lineRule="auto"/>
              <w:jc w:val="right"/>
              <w:rPr>
                <w:snapToGrid w:val="0"/>
                <w:lang w:eastAsia="sv-SE"/>
              </w:rPr>
            </w:pPr>
          </w:p>
        </w:tc>
      </w:tr>
      <w:tr w:rsidR="00000000" w:rsidRPr="00AD33E8">
        <w:tblPrEx>
          <w:tblCellMar>
            <w:top w:w="0" w:type="dxa"/>
            <w:bottom w:w="0" w:type="dxa"/>
          </w:tblCellMar>
        </w:tblPrEx>
        <w:trPr>
          <w:trHeight w:val="247"/>
        </w:trPr>
        <w:tc>
          <w:tcPr>
            <w:tcW w:w="1134" w:type="dxa"/>
            <w:gridSpan w:val="3"/>
            <w:tcBorders>
              <w:top w:val="nil"/>
            </w:tcBorders>
          </w:tcPr>
          <w:p w:rsidR="007B7A21" w:rsidRPr="00AD33E8" w:rsidRDefault="007B7A21">
            <w:pPr>
              <w:spacing w:before="0" w:line="240" w:lineRule="auto"/>
              <w:jc w:val="right"/>
              <w:rPr>
                <w:snapToGrid w:val="0"/>
                <w:lang w:eastAsia="sv-SE"/>
              </w:rPr>
            </w:pPr>
          </w:p>
        </w:tc>
        <w:tc>
          <w:tcPr>
            <w:tcW w:w="1588" w:type="dxa"/>
            <w:gridSpan w:val="2"/>
            <w:tcBorders>
              <w:top w:val="nil"/>
            </w:tcBorders>
          </w:tcPr>
          <w:p w:rsidR="007B7A21" w:rsidRPr="00AD33E8" w:rsidRDefault="007B7A21">
            <w:pPr>
              <w:spacing w:before="0" w:line="240" w:lineRule="auto"/>
              <w:jc w:val="center"/>
              <w:rPr>
                <w:snapToGrid w:val="0"/>
                <w:lang w:eastAsia="sv-SE"/>
              </w:rPr>
            </w:pPr>
            <w:r w:rsidRPr="00AD33E8">
              <w:rPr>
                <w:snapToGrid w:val="0"/>
                <w:lang w:eastAsia="sv-SE"/>
              </w:rPr>
              <w:t>Kvinnor</w:t>
            </w:r>
          </w:p>
        </w:tc>
        <w:tc>
          <w:tcPr>
            <w:tcW w:w="1588" w:type="dxa"/>
            <w:gridSpan w:val="2"/>
            <w:tcBorders>
              <w:top w:val="nil"/>
            </w:tcBorders>
          </w:tcPr>
          <w:p w:rsidR="007B7A21" w:rsidRPr="00AD33E8" w:rsidRDefault="007B7A21">
            <w:pPr>
              <w:spacing w:before="0" w:line="240" w:lineRule="auto"/>
              <w:jc w:val="center"/>
              <w:rPr>
                <w:snapToGrid w:val="0"/>
                <w:lang w:eastAsia="sv-SE"/>
              </w:rPr>
            </w:pPr>
            <w:r w:rsidRPr="00AD33E8">
              <w:rPr>
                <w:snapToGrid w:val="0"/>
                <w:lang w:eastAsia="sv-SE"/>
              </w:rPr>
              <w:t>Män</w:t>
            </w:r>
          </w:p>
        </w:tc>
      </w:tr>
      <w:tr w:rsidR="00000000" w:rsidRPr="00AD33E8">
        <w:tblPrEx>
          <w:tblCellMar>
            <w:top w:w="0" w:type="dxa"/>
            <w:bottom w:w="0" w:type="dxa"/>
          </w:tblCellMar>
        </w:tblPrEx>
        <w:trPr>
          <w:trHeight w:val="247"/>
        </w:trPr>
        <w:tc>
          <w:tcPr>
            <w:tcW w:w="1134" w:type="dxa"/>
            <w:gridSpan w:val="3"/>
          </w:tcPr>
          <w:p w:rsidR="007B7A21" w:rsidRPr="00AD33E8" w:rsidRDefault="007B7A21">
            <w:pPr>
              <w:spacing w:before="0" w:line="240" w:lineRule="auto"/>
              <w:jc w:val="left"/>
              <w:rPr>
                <w:snapToGrid w:val="0"/>
                <w:lang w:eastAsia="sv-SE"/>
              </w:rPr>
            </w:pPr>
            <w:r w:rsidRPr="00AD33E8">
              <w:rPr>
                <w:snapToGrid w:val="0"/>
                <w:lang w:eastAsia="sv-SE"/>
              </w:rPr>
              <w:t>1989</w:t>
            </w:r>
          </w:p>
        </w:tc>
        <w:tc>
          <w:tcPr>
            <w:tcW w:w="1588" w:type="dxa"/>
            <w:gridSpan w:val="2"/>
          </w:tcPr>
          <w:p w:rsidR="007B7A21" w:rsidRPr="00AD33E8" w:rsidRDefault="007B7A21">
            <w:pPr>
              <w:spacing w:before="0" w:line="240" w:lineRule="auto"/>
              <w:jc w:val="center"/>
              <w:rPr>
                <w:snapToGrid w:val="0"/>
                <w:lang w:eastAsia="sv-SE"/>
              </w:rPr>
            </w:pPr>
            <w:r w:rsidRPr="00AD33E8">
              <w:rPr>
                <w:snapToGrid w:val="0"/>
                <w:lang w:eastAsia="sv-SE"/>
              </w:rPr>
              <w:t>24</w:t>
            </w:r>
          </w:p>
        </w:tc>
        <w:tc>
          <w:tcPr>
            <w:tcW w:w="1588" w:type="dxa"/>
            <w:gridSpan w:val="2"/>
          </w:tcPr>
          <w:p w:rsidR="007B7A21" w:rsidRPr="00AD33E8" w:rsidRDefault="007B7A21">
            <w:pPr>
              <w:spacing w:before="0" w:line="240" w:lineRule="auto"/>
              <w:jc w:val="center"/>
              <w:rPr>
                <w:snapToGrid w:val="0"/>
                <w:lang w:eastAsia="sv-SE"/>
              </w:rPr>
            </w:pPr>
            <w:r w:rsidRPr="00AD33E8">
              <w:rPr>
                <w:snapToGrid w:val="0"/>
                <w:lang w:eastAsia="sv-SE"/>
              </w:rPr>
              <w:t>16</w:t>
            </w:r>
          </w:p>
        </w:tc>
      </w:tr>
      <w:tr w:rsidR="00000000" w:rsidRPr="00AD33E8">
        <w:tblPrEx>
          <w:tblCellMar>
            <w:top w:w="0" w:type="dxa"/>
            <w:bottom w:w="0" w:type="dxa"/>
          </w:tblCellMar>
        </w:tblPrEx>
        <w:trPr>
          <w:trHeight w:val="247"/>
        </w:trPr>
        <w:tc>
          <w:tcPr>
            <w:tcW w:w="1134" w:type="dxa"/>
            <w:gridSpan w:val="3"/>
          </w:tcPr>
          <w:p w:rsidR="007B7A21" w:rsidRPr="00AD33E8" w:rsidRDefault="007B7A21">
            <w:pPr>
              <w:spacing w:before="0" w:line="240" w:lineRule="auto"/>
              <w:jc w:val="left"/>
              <w:rPr>
                <w:snapToGrid w:val="0"/>
                <w:lang w:eastAsia="sv-SE"/>
              </w:rPr>
            </w:pPr>
            <w:r w:rsidRPr="00AD33E8">
              <w:rPr>
                <w:snapToGrid w:val="0"/>
                <w:lang w:eastAsia="sv-SE"/>
              </w:rPr>
              <w:t>1991</w:t>
            </w:r>
          </w:p>
        </w:tc>
        <w:tc>
          <w:tcPr>
            <w:tcW w:w="1588" w:type="dxa"/>
            <w:gridSpan w:val="2"/>
          </w:tcPr>
          <w:p w:rsidR="007B7A21" w:rsidRPr="00AD33E8" w:rsidRDefault="007B7A21">
            <w:pPr>
              <w:spacing w:before="0" w:line="240" w:lineRule="auto"/>
              <w:jc w:val="center"/>
              <w:rPr>
                <w:snapToGrid w:val="0"/>
                <w:lang w:eastAsia="sv-SE"/>
              </w:rPr>
            </w:pPr>
            <w:r w:rsidRPr="00AD33E8">
              <w:rPr>
                <w:snapToGrid w:val="0"/>
                <w:lang w:eastAsia="sv-SE"/>
              </w:rPr>
              <w:t>22</w:t>
            </w:r>
          </w:p>
        </w:tc>
        <w:tc>
          <w:tcPr>
            <w:tcW w:w="1588" w:type="dxa"/>
            <w:gridSpan w:val="2"/>
          </w:tcPr>
          <w:p w:rsidR="007B7A21" w:rsidRPr="00AD33E8" w:rsidRDefault="007B7A21">
            <w:pPr>
              <w:spacing w:before="0" w:line="240" w:lineRule="auto"/>
              <w:jc w:val="center"/>
              <w:rPr>
                <w:snapToGrid w:val="0"/>
                <w:lang w:eastAsia="sv-SE"/>
              </w:rPr>
            </w:pPr>
            <w:r w:rsidRPr="00AD33E8">
              <w:rPr>
                <w:snapToGrid w:val="0"/>
                <w:lang w:eastAsia="sv-SE"/>
              </w:rPr>
              <w:t>15</w:t>
            </w:r>
          </w:p>
        </w:tc>
      </w:tr>
      <w:tr w:rsidR="00000000" w:rsidRPr="00AD33E8">
        <w:tblPrEx>
          <w:tblCellMar>
            <w:top w:w="0" w:type="dxa"/>
            <w:bottom w:w="0" w:type="dxa"/>
          </w:tblCellMar>
        </w:tblPrEx>
        <w:trPr>
          <w:trHeight w:val="247"/>
        </w:trPr>
        <w:tc>
          <w:tcPr>
            <w:tcW w:w="1134" w:type="dxa"/>
            <w:gridSpan w:val="3"/>
          </w:tcPr>
          <w:p w:rsidR="007B7A21" w:rsidRPr="00AD33E8" w:rsidRDefault="007B7A21">
            <w:pPr>
              <w:spacing w:before="0" w:line="240" w:lineRule="auto"/>
              <w:jc w:val="left"/>
              <w:rPr>
                <w:snapToGrid w:val="0"/>
                <w:lang w:eastAsia="sv-SE"/>
              </w:rPr>
            </w:pPr>
            <w:r w:rsidRPr="00AD33E8">
              <w:rPr>
                <w:snapToGrid w:val="0"/>
                <w:lang w:eastAsia="sv-SE"/>
              </w:rPr>
              <w:t>1993</w:t>
            </w:r>
          </w:p>
        </w:tc>
        <w:tc>
          <w:tcPr>
            <w:tcW w:w="1588" w:type="dxa"/>
            <w:gridSpan w:val="2"/>
          </w:tcPr>
          <w:p w:rsidR="007B7A21" w:rsidRPr="00AD33E8" w:rsidRDefault="007B7A21">
            <w:pPr>
              <w:spacing w:before="0" w:line="240" w:lineRule="auto"/>
              <w:jc w:val="center"/>
              <w:rPr>
                <w:snapToGrid w:val="0"/>
                <w:lang w:eastAsia="sv-SE"/>
              </w:rPr>
            </w:pPr>
            <w:r w:rsidRPr="00AD33E8">
              <w:rPr>
                <w:snapToGrid w:val="0"/>
                <w:lang w:eastAsia="sv-SE"/>
              </w:rPr>
              <w:t>28</w:t>
            </w:r>
          </w:p>
        </w:tc>
        <w:tc>
          <w:tcPr>
            <w:tcW w:w="1588" w:type="dxa"/>
            <w:gridSpan w:val="2"/>
          </w:tcPr>
          <w:p w:rsidR="007B7A21" w:rsidRPr="00AD33E8" w:rsidRDefault="007B7A21">
            <w:pPr>
              <w:spacing w:before="0" w:line="240" w:lineRule="auto"/>
              <w:jc w:val="center"/>
              <w:rPr>
                <w:snapToGrid w:val="0"/>
                <w:lang w:eastAsia="sv-SE"/>
              </w:rPr>
            </w:pPr>
            <w:r w:rsidRPr="00AD33E8">
              <w:rPr>
                <w:snapToGrid w:val="0"/>
                <w:lang w:eastAsia="sv-SE"/>
              </w:rPr>
              <w:t>19</w:t>
            </w:r>
          </w:p>
        </w:tc>
      </w:tr>
      <w:tr w:rsidR="00000000" w:rsidRPr="00AD33E8">
        <w:tblPrEx>
          <w:tblCellMar>
            <w:top w:w="0" w:type="dxa"/>
            <w:bottom w:w="0" w:type="dxa"/>
          </w:tblCellMar>
        </w:tblPrEx>
        <w:trPr>
          <w:trHeight w:val="247"/>
        </w:trPr>
        <w:tc>
          <w:tcPr>
            <w:tcW w:w="1134" w:type="dxa"/>
            <w:gridSpan w:val="3"/>
          </w:tcPr>
          <w:p w:rsidR="007B7A21" w:rsidRPr="00AD33E8" w:rsidRDefault="007B7A21">
            <w:pPr>
              <w:spacing w:before="0" w:line="240" w:lineRule="auto"/>
              <w:jc w:val="left"/>
              <w:rPr>
                <w:snapToGrid w:val="0"/>
                <w:lang w:eastAsia="sv-SE"/>
              </w:rPr>
            </w:pPr>
            <w:r w:rsidRPr="00AD33E8">
              <w:rPr>
                <w:snapToGrid w:val="0"/>
                <w:lang w:eastAsia="sv-SE"/>
              </w:rPr>
              <w:t>1995</w:t>
            </w:r>
          </w:p>
        </w:tc>
        <w:tc>
          <w:tcPr>
            <w:tcW w:w="1588" w:type="dxa"/>
            <w:gridSpan w:val="2"/>
          </w:tcPr>
          <w:p w:rsidR="007B7A21" w:rsidRPr="00AD33E8" w:rsidRDefault="007B7A21">
            <w:pPr>
              <w:spacing w:before="0" w:line="240" w:lineRule="auto"/>
              <w:jc w:val="center"/>
              <w:rPr>
                <w:snapToGrid w:val="0"/>
                <w:lang w:eastAsia="sv-SE"/>
              </w:rPr>
            </w:pPr>
            <w:r w:rsidRPr="00AD33E8">
              <w:rPr>
                <w:snapToGrid w:val="0"/>
                <w:lang w:eastAsia="sv-SE"/>
              </w:rPr>
              <w:t>23</w:t>
            </w:r>
          </w:p>
        </w:tc>
        <w:tc>
          <w:tcPr>
            <w:tcW w:w="1588" w:type="dxa"/>
            <w:gridSpan w:val="2"/>
          </w:tcPr>
          <w:p w:rsidR="007B7A21" w:rsidRPr="00AD33E8" w:rsidRDefault="007B7A21">
            <w:pPr>
              <w:spacing w:before="0" w:line="240" w:lineRule="auto"/>
              <w:jc w:val="center"/>
              <w:rPr>
                <w:snapToGrid w:val="0"/>
                <w:lang w:eastAsia="sv-SE"/>
              </w:rPr>
            </w:pPr>
            <w:r w:rsidRPr="00AD33E8">
              <w:rPr>
                <w:snapToGrid w:val="0"/>
                <w:lang w:eastAsia="sv-SE"/>
              </w:rPr>
              <w:t>14</w:t>
            </w:r>
          </w:p>
        </w:tc>
      </w:tr>
      <w:tr w:rsidR="00000000" w:rsidRPr="00AD33E8">
        <w:tblPrEx>
          <w:tblCellMar>
            <w:top w:w="0" w:type="dxa"/>
            <w:bottom w:w="0" w:type="dxa"/>
          </w:tblCellMar>
        </w:tblPrEx>
        <w:trPr>
          <w:trHeight w:val="247"/>
        </w:trPr>
        <w:tc>
          <w:tcPr>
            <w:tcW w:w="1134" w:type="dxa"/>
            <w:gridSpan w:val="3"/>
          </w:tcPr>
          <w:p w:rsidR="007B7A21" w:rsidRPr="00AD33E8" w:rsidRDefault="007B7A21">
            <w:pPr>
              <w:spacing w:before="0" w:line="240" w:lineRule="auto"/>
              <w:jc w:val="left"/>
              <w:rPr>
                <w:snapToGrid w:val="0"/>
                <w:lang w:eastAsia="sv-SE"/>
              </w:rPr>
            </w:pPr>
            <w:r w:rsidRPr="00AD33E8">
              <w:rPr>
                <w:snapToGrid w:val="0"/>
                <w:lang w:eastAsia="sv-SE"/>
              </w:rPr>
              <w:t>1997</w:t>
            </w:r>
          </w:p>
        </w:tc>
        <w:tc>
          <w:tcPr>
            <w:tcW w:w="1588" w:type="dxa"/>
            <w:gridSpan w:val="2"/>
          </w:tcPr>
          <w:p w:rsidR="007B7A21" w:rsidRPr="00AD33E8" w:rsidRDefault="007B7A21">
            <w:pPr>
              <w:spacing w:before="0" w:line="240" w:lineRule="auto"/>
              <w:jc w:val="center"/>
              <w:rPr>
                <w:snapToGrid w:val="0"/>
                <w:lang w:eastAsia="sv-SE"/>
              </w:rPr>
            </w:pPr>
            <w:r w:rsidRPr="00AD33E8">
              <w:rPr>
                <w:snapToGrid w:val="0"/>
                <w:lang w:eastAsia="sv-SE"/>
              </w:rPr>
              <w:t>24</w:t>
            </w:r>
          </w:p>
        </w:tc>
        <w:tc>
          <w:tcPr>
            <w:tcW w:w="1588" w:type="dxa"/>
            <w:gridSpan w:val="2"/>
          </w:tcPr>
          <w:p w:rsidR="007B7A21" w:rsidRPr="00AD33E8" w:rsidRDefault="007B7A21">
            <w:pPr>
              <w:spacing w:before="0" w:line="240" w:lineRule="auto"/>
              <w:jc w:val="center"/>
              <w:rPr>
                <w:snapToGrid w:val="0"/>
                <w:lang w:eastAsia="sv-SE"/>
              </w:rPr>
            </w:pPr>
            <w:r w:rsidRPr="00AD33E8">
              <w:rPr>
                <w:snapToGrid w:val="0"/>
                <w:lang w:eastAsia="sv-SE"/>
              </w:rPr>
              <w:t>20</w:t>
            </w:r>
          </w:p>
        </w:tc>
      </w:tr>
      <w:tr w:rsidR="00000000" w:rsidRPr="00AD33E8">
        <w:tblPrEx>
          <w:tblCellMar>
            <w:top w:w="0" w:type="dxa"/>
            <w:bottom w:w="0" w:type="dxa"/>
          </w:tblCellMar>
        </w:tblPrEx>
        <w:trPr>
          <w:trHeight w:val="247"/>
        </w:trPr>
        <w:tc>
          <w:tcPr>
            <w:tcW w:w="1134" w:type="dxa"/>
            <w:gridSpan w:val="3"/>
          </w:tcPr>
          <w:p w:rsidR="007B7A21" w:rsidRPr="00AD33E8" w:rsidRDefault="007B7A21">
            <w:pPr>
              <w:spacing w:before="0" w:line="240" w:lineRule="auto"/>
              <w:jc w:val="left"/>
              <w:rPr>
                <w:snapToGrid w:val="0"/>
                <w:lang w:eastAsia="sv-SE"/>
              </w:rPr>
            </w:pPr>
            <w:r w:rsidRPr="00AD33E8">
              <w:rPr>
                <w:snapToGrid w:val="0"/>
                <w:lang w:eastAsia="sv-SE"/>
              </w:rPr>
              <w:t>1999</w:t>
            </w:r>
          </w:p>
        </w:tc>
        <w:tc>
          <w:tcPr>
            <w:tcW w:w="1588" w:type="dxa"/>
            <w:gridSpan w:val="2"/>
          </w:tcPr>
          <w:p w:rsidR="007B7A21" w:rsidRPr="00AD33E8" w:rsidRDefault="007B7A21">
            <w:pPr>
              <w:spacing w:before="0" w:line="240" w:lineRule="auto"/>
              <w:jc w:val="center"/>
              <w:rPr>
                <w:snapToGrid w:val="0"/>
                <w:lang w:eastAsia="sv-SE"/>
              </w:rPr>
            </w:pPr>
            <w:r w:rsidRPr="00AD33E8">
              <w:rPr>
                <w:snapToGrid w:val="0"/>
                <w:lang w:eastAsia="sv-SE"/>
              </w:rPr>
              <w:t>26</w:t>
            </w:r>
          </w:p>
        </w:tc>
        <w:tc>
          <w:tcPr>
            <w:tcW w:w="1588" w:type="dxa"/>
            <w:gridSpan w:val="2"/>
          </w:tcPr>
          <w:p w:rsidR="007B7A21" w:rsidRPr="00AD33E8" w:rsidRDefault="007B7A21">
            <w:pPr>
              <w:spacing w:before="0" w:line="240" w:lineRule="auto"/>
              <w:jc w:val="center"/>
              <w:rPr>
                <w:snapToGrid w:val="0"/>
                <w:lang w:eastAsia="sv-SE"/>
              </w:rPr>
            </w:pPr>
            <w:r w:rsidRPr="00AD33E8">
              <w:rPr>
                <w:snapToGrid w:val="0"/>
                <w:lang w:eastAsia="sv-SE"/>
              </w:rPr>
              <w:t>24</w:t>
            </w:r>
          </w:p>
        </w:tc>
      </w:tr>
      <w:tr w:rsidR="00000000" w:rsidRPr="00AD33E8">
        <w:tblPrEx>
          <w:tblCellMar>
            <w:top w:w="0" w:type="dxa"/>
            <w:bottom w:w="0" w:type="dxa"/>
          </w:tblCellMar>
        </w:tblPrEx>
        <w:trPr>
          <w:gridAfter w:val="1"/>
          <w:wAfter w:w="27" w:type="dxa"/>
          <w:trHeight w:val="247"/>
        </w:trPr>
        <w:tc>
          <w:tcPr>
            <w:tcW w:w="2145" w:type="dxa"/>
            <w:hMerge w:val="restart"/>
          </w:tcPr>
          <w:p w:rsidR="007B7A21" w:rsidRPr="00AD33E8" w:rsidRDefault="007B7A21">
            <w:pPr>
              <w:spacing w:before="0" w:line="240" w:lineRule="auto"/>
              <w:rPr>
                <w:snapToGrid w:val="0"/>
                <w:lang w:eastAsia="sv-SE"/>
              </w:rPr>
            </w:pPr>
            <w:r w:rsidRPr="00AD33E8">
              <w:rPr>
                <w:snapToGrid w:val="0"/>
                <w:lang w:eastAsia="sv-SE"/>
              </w:rPr>
              <w:t>Källa: SOU 2000:121</w:t>
            </w:r>
          </w:p>
        </w:tc>
        <w:tc>
          <w:tcPr>
            <w:gridSpan w:val="3"/>
            <w:hMerge/>
          </w:tcPr>
          <w:p w:rsidR="007B7A21" w:rsidRPr="00AD33E8" w:rsidRDefault="007B7A21">
            <w:pPr>
              <w:spacing w:before="0" w:line="240" w:lineRule="auto"/>
              <w:jc w:val="right"/>
              <w:rPr>
                <w:snapToGrid w:val="0"/>
                <w:lang w:eastAsia="sv-SE"/>
              </w:rPr>
            </w:pPr>
          </w:p>
        </w:tc>
        <w:tc>
          <w:tcPr>
            <w:tcW w:w="2138" w:type="dxa"/>
            <w:gridSpan w:val="2"/>
          </w:tcPr>
          <w:p w:rsidR="007B7A21" w:rsidRPr="00AD33E8" w:rsidRDefault="007B7A21">
            <w:pPr>
              <w:spacing w:before="0" w:line="240" w:lineRule="auto"/>
              <w:jc w:val="right"/>
              <w:rPr>
                <w:snapToGrid w:val="0"/>
                <w:lang w:eastAsia="sv-SE"/>
              </w:rPr>
            </w:pPr>
          </w:p>
        </w:tc>
      </w:tr>
    </w:tbl>
    <w:p w:rsidR="007B7A21" w:rsidRPr="00AD33E8" w:rsidRDefault="007B7A21">
      <w:pPr>
        <w:pStyle w:val="Rubrik2"/>
      </w:pPr>
      <w:bookmarkStart w:id="214" w:name="_Toc3887402"/>
      <w:bookmarkStart w:id="215" w:name="_Toc21425315"/>
      <w:r w:rsidRPr="00AD33E8">
        <w:t>Sammanfattning av iakttagelser</w:t>
      </w:r>
      <w:bookmarkEnd w:id="214"/>
      <w:bookmarkEnd w:id="215"/>
    </w:p>
    <w:p w:rsidR="007B7A21" w:rsidRPr="00AD33E8" w:rsidRDefault="007B7A21">
      <w:r w:rsidRPr="00AD33E8">
        <w:t>I kapitlet har utvecklingen, speglad i siffror, för ett antal förhållanden med anknytning till den statliga personalpolitiken visats. Några begränsade iak</w:t>
      </w:r>
      <w:r w:rsidRPr="00AD33E8">
        <w:t>t</w:t>
      </w:r>
      <w:r w:rsidRPr="00AD33E8">
        <w:t>tagelser kan göras. En strukturom</w:t>
      </w:r>
      <w:r w:rsidRPr="00AD33E8">
        <w:softHyphen/>
        <w:t>vandling genomfördes i statsförvaltningen under 1990-talet. Antalet myndigheter har minskat. Bemanningen i staten har genom privatis</w:t>
      </w:r>
      <w:r w:rsidRPr="00AD33E8">
        <w:t>e</w:t>
      </w:r>
      <w:r w:rsidRPr="00AD33E8">
        <w:t>ringar, huvudmannaskapsändringar och  uppsägningar min</w:t>
      </w:r>
      <w:r w:rsidRPr="00AD33E8">
        <w:softHyphen/>
        <w:t>skat. Samtidigt finns det spår av interna omorganisationer. Antalet anställda inom centrala administrativa specialfunktioner har ökat. Andelen chefer har ökat. Åldersstrukturen har förskjutits. De som sagts upp från statliga my</w:t>
      </w:r>
      <w:r w:rsidRPr="00AD33E8">
        <w:t>n</w:t>
      </w:r>
      <w:r w:rsidRPr="00AD33E8">
        <w:t>digheter tycks dock kunna hävda sig väl på a</w:t>
      </w:r>
      <w:r w:rsidRPr="00AD33E8">
        <w:t>r</w:t>
      </w:r>
      <w:r w:rsidRPr="00AD33E8">
        <w:t xml:space="preserve">betsmarknaden. </w:t>
      </w:r>
    </w:p>
    <w:p w:rsidR="007B7A21" w:rsidRPr="00AD33E8" w:rsidRDefault="007B7A21">
      <w:pPr>
        <w:pStyle w:val="Normaltindrag"/>
      </w:pPr>
      <w:r w:rsidRPr="00AD33E8">
        <w:t>I övrigt ger siffrorna på den aggregerade nivån en bild av stabilitet. Flera av de mål som uppsattes för personalreformen har inte uppnåtts. Persona</w:t>
      </w:r>
      <w:r w:rsidRPr="00AD33E8">
        <w:t>l</w:t>
      </w:r>
      <w:r w:rsidRPr="00AD33E8">
        <w:t>rörligheten har inte ökat, inte heller kompetensutvecklingen. Det framgår samtidigt, t.ex. för personalrörlighet, att bakom bilden av en till synes jämn utveckling för staten som helhet finns stora variationer mellan myndigheter och för enskilda år.</w:t>
      </w:r>
    </w:p>
    <w:p w:rsidR="007B7A21" w:rsidRPr="00AD33E8" w:rsidRDefault="007B7A21">
      <w:pPr>
        <w:pStyle w:val="Normaltindrag"/>
      </w:pPr>
      <w:r w:rsidRPr="00AD33E8">
        <w:t>Genomgången visar också att det finns ett stort utbud av såväl statistik och data. Mer systematisk upp</w:t>
      </w:r>
      <w:r w:rsidRPr="00AD33E8">
        <w:softHyphen/>
        <w:t>följning av kostnader eller nyckeltal, med fokus på statens personalpolitiska mål, är dels begränsade, dels av relativt sent datum. Det gäller t.ex. Årsredovisning för staten och den arbetsgivarpolitiska up</w:t>
      </w:r>
      <w:r w:rsidRPr="00AD33E8">
        <w:t>p</w:t>
      </w:r>
      <w:r w:rsidRPr="00AD33E8">
        <w:t>följningen. Vidare samordnas inte den arbetsgivarpolitiska uppföljningen med my</w:t>
      </w:r>
      <w:r w:rsidRPr="00AD33E8">
        <w:t>n</w:t>
      </w:r>
      <w:r w:rsidRPr="00AD33E8">
        <w:t>digheternas årsredovisningar.</w:t>
      </w:r>
    </w:p>
    <w:p w:rsidR="007B7A21" w:rsidRPr="00AD33E8" w:rsidRDefault="007B7A21">
      <w:pPr>
        <w:pStyle w:val="Normaltindrag"/>
      </w:pPr>
      <w:r w:rsidRPr="00AD33E8">
        <w:t>Ytterligare en iakttagelse är att olika statistikbaser inte utnyttjas till löpa</w:t>
      </w:r>
      <w:r w:rsidRPr="00AD33E8">
        <w:t>n</w:t>
      </w:r>
      <w:r w:rsidRPr="00AD33E8">
        <w:t>de bearbetning för belysning av personalpolitiska perspektiv. Det gäller t.ex. den arbetsmarknadsstatistik för staten som Arbetsgivarverket levererar till SCB. Det gäller också socialförsäkringsstatistiken som inte redovisas med avseende på t.ex. diagnoser eller arbetsplats. Den redovisning som finns för Årsredovisning för staten har inte utvecklats för att särskilt spegla pers</w:t>
      </w:r>
      <w:r w:rsidRPr="00AD33E8">
        <w:t>o</w:t>
      </w:r>
      <w:r w:rsidRPr="00AD33E8">
        <w:t>nal-ekonomiska förhållanden. Sådan data har inte heller efterfrågats av stat</w:t>
      </w:r>
      <w:r w:rsidRPr="00AD33E8">
        <w:t>s</w:t>
      </w:r>
      <w:r w:rsidRPr="00AD33E8">
        <w:t xml:space="preserve">makterna.  </w:t>
      </w:r>
    </w:p>
    <w:p w:rsidR="007B7A21" w:rsidRPr="00AD33E8" w:rsidRDefault="007B7A21">
      <w:pPr>
        <w:pStyle w:val="Rubrik1"/>
      </w:pPr>
      <w:r w:rsidRPr="00AD33E8">
        <w:br w:type="page"/>
      </w:r>
      <w:bookmarkStart w:id="216" w:name="_Toc535045359"/>
      <w:bookmarkStart w:id="217" w:name="_Toc3887403"/>
      <w:bookmarkStart w:id="218" w:name="_Toc21425316"/>
      <w:r w:rsidRPr="00AD33E8">
        <w:t>Utredningar om personal och förvaltningspolitik</w:t>
      </w:r>
      <w:bookmarkEnd w:id="216"/>
      <w:bookmarkEnd w:id="217"/>
      <w:bookmarkEnd w:id="218"/>
    </w:p>
    <w:p w:rsidR="007B7A21" w:rsidRPr="00AD33E8" w:rsidRDefault="007B7A21">
      <w:r w:rsidRPr="00AD33E8">
        <w:t>Föregående avsnitt var en sammanställning av olika nyckeltal som skulle redovisa den utveckling som följde med den statliga personalpolitikens r</w:t>
      </w:r>
      <w:r w:rsidRPr="00AD33E8">
        <w:t>e</w:t>
      </w:r>
      <w:r w:rsidRPr="00AD33E8">
        <w:t>formering under åren från 1985. I den uppföljningen kunde några tydliga förändringar urskiljas. Bemanningen i staten har främst genom strukturo</w:t>
      </w:r>
      <w:r w:rsidRPr="00AD33E8">
        <w:t>m</w:t>
      </w:r>
      <w:r w:rsidRPr="00AD33E8">
        <w:t>ställningar och i viss mån uppsägningar minskat. Åldersstrukturen har fö</w:t>
      </w:r>
      <w:r w:rsidRPr="00AD33E8">
        <w:t>r</w:t>
      </w:r>
      <w:r w:rsidRPr="00AD33E8">
        <w:t>skjutits. I övrigt ger det redovisade materialet en bild av stabilitet. Flera av de mål som följde av personalreformeringen har inte uppnåtts. Personalrörli</w:t>
      </w:r>
      <w:r w:rsidRPr="00AD33E8">
        <w:t>g</w:t>
      </w:r>
      <w:r w:rsidRPr="00AD33E8">
        <w:t>heten har inte ökat, inte heller kompetensutvecklingen. I detta kapitel utgörs materialet av olika utvärderingar med koppling till den st</w:t>
      </w:r>
      <w:r w:rsidRPr="00AD33E8">
        <w:t>atliga personalpol</w:t>
      </w:r>
      <w:r w:rsidRPr="00AD33E8">
        <w:t>i</w:t>
      </w:r>
      <w:r w:rsidRPr="00AD33E8">
        <w:t>tiken. Genomförandet av den personalpolitiska reformeringen följs upp med stöd av ett antal olika utredningar. Uppföljning sker här både mot explicit uttryckta och implicit underförstådda mål. Exempel på det senare är  mål som följer av grundlagens bestämmelser och de principer som skulle vägleda det förvaltningspolitiska reformarbetet. Det kan t.ex. vara regeringens up</w:t>
      </w:r>
      <w:r w:rsidRPr="00AD33E8">
        <w:t>p</w:t>
      </w:r>
      <w:r w:rsidRPr="00AD33E8">
        <w:t>fattning från år 1985 att det är samhällets uppgift att hålla en tjänsteorgan</w:t>
      </w:r>
      <w:r w:rsidRPr="00AD33E8">
        <w:t>i</w:t>
      </w:r>
      <w:r w:rsidRPr="00AD33E8">
        <w:t>sation som kan erbjuda en bred och god kv</w:t>
      </w:r>
      <w:r w:rsidRPr="00AD33E8">
        <w:t>a</w:t>
      </w:r>
      <w:r w:rsidRPr="00AD33E8">
        <w:t xml:space="preserve">litet på tjänsterna. </w:t>
      </w:r>
    </w:p>
    <w:p w:rsidR="007B7A21" w:rsidRPr="00AD33E8" w:rsidRDefault="007B7A21">
      <w:pPr>
        <w:pStyle w:val="Normaltindrag"/>
      </w:pPr>
      <w:r w:rsidRPr="00AD33E8">
        <w:t>I ett första avsnitt redogörs för utredningar där personalpolitiken är ämnet. Därefter görs en genomgång med utvärderingar där personalfrågor är delar i ekonomi-administrativa eller organisatoriska sammanhang. Slutligen up</w:t>
      </w:r>
      <w:r w:rsidRPr="00AD33E8">
        <w:t>p</w:t>
      </w:r>
      <w:r w:rsidRPr="00AD33E8">
        <w:t>märksammas undersökningar med den statliga personalens roll i förval</w:t>
      </w:r>
      <w:r w:rsidRPr="00AD33E8">
        <w:t>t</w:t>
      </w:r>
      <w:r w:rsidRPr="00AD33E8">
        <w:t>ningspol</w:t>
      </w:r>
      <w:r w:rsidRPr="00AD33E8">
        <w:t>i</w:t>
      </w:r>
      <w:r w:rsidRPr="00AD33E8">
        <w:t>tiken.</w:t>
      </w:r>
    </w:p>
    <w:p w:rsidR="007B7A21" w:rsidRPr="00AD33E8" w:rsidRDefault="007B7A21">
      <w:pPr>
        <w:pStyle w:val="Rubrik2"/>
      </w:pPr>
      <w:bookmarkStart w:id="219" w:name="_Toc535045360"/>
      <w:bookmarkStart w:id="220" w:name="_Toc3887404"/>
      <w:bookmarkStart w:id="221" w:name="_Toc21425317"/>
      <w:r w:rsidRPr="00AD33E8">
        <w:t>Personalpolitiska utvärderingar</w:t>
      </w:r>
      <w:bookmarkEnd w:id="219"/>
      <w:bookmarkEnd w:id="220"/>
      <w:bookmarkEnd w:id="221"/>
    </w:p>
    <w:p w:rsidR="007B7A21" w:rsidRPr="00AD33E8" w:rsidRDefault="007B7A21">
      <w:r w:rsidRPr="00AD33E8">
        <w:t>I avsnittet behandlas utredningar om statlig personal från framför allt 1990-talet. Frågor som ställs är: Hur har reformeringen beskrivits och värderats? Vilka iakttagelser har de respektive utredarna gjort? Vilka slutsatser har därefter dr</w:t>
      </w:r>
      <w:r w:rsidRPr="00AD33E8">
        <w:t>a</w:t>
      </w:r>
      <w:r w:rsidRPr="00AD33E8">
        <w:t>gits?</w:t>
      </w:r>
    </w:p>
    <w:p w:rsidR="007B7A21" w:rsidRPr="00AD33E8" w:rsidRDefault="007B7A21">
      <w:pPr>
        <w:pStyle w:val="Rubrik3"/>
      </w:pPr>
      <w:bookmarkStart w:id="222" w:name="_Toc522593263"/>
      <w:bookmarkStart w:id="223" w:name="_Toc535045361"/>
      <w:bookmarkStart w:id="224" w:name="_Toc3887405"/>
      <w:bookmarkStart w:id="225" w:name="_Toc21425318"/>
      <w:r w:rsidRPr="00AD33E8">
        <w:t>Riksrevisionsverket om kompetensförsörjning</w:t>
      </w:r>
      <w:bookmarkEnd w:id="223"/>
      <w:bookmarkEnd w:id="224"/>
      <w:bookmarkEnd w:id="225"/>
    </w:p>
    <w:p w:rsidR="007B7A21" w:rsidRPr="00AD33E8" w:rsidRDefault="007B7A21">
      <w:r w:rsidRPr="00AD33E8">
        <w:t>Riksrevisionsverket granskade den nya personalpolitiken i rapporten Ko</w:t>
      </w:r>
      <w:r w:rsidRPr="00AD33E8">
        <w:t>m</w:t>
      </w:r>
      <w:r w:rsidRPr="00AD33E8">
        <w:t>petensförsörjning i ett förändringsperspektiv (RRV Fg 1991:2). Det var en fallstudie som hämtat empirin från fyra myndigheter; AMU Kronoberg, Försäkringskassan i Kristianstads län, Statens kärnkraftinspektion och St</w:t>
      </w:r>
      <w:r w:rsidRPr="00AD33E8">
        <w:t>a</w:t>
      </w:r>
      <w:r w:rsidRPr="00AD33E8">
        <w:t>tens Pris- och konkurrensverk. RRV sammanfattade sina iakttagelser i fyra huvudpunkter.</w:t>
      </w:r>
    </w:p>
    <w:p w:rsidR="007B7A21" w:rsidRPr="00AD33E8" w:rsidRDefault="007B7A21">
      <w:pPr>
        <w:pStyle w:val="Normaltindrag"/>
        <w:numPr>
          <w:ilvl w:val="0"/>
          <w:numId w:val="57"/>
        </w:numPr>
        <w:tabs>
          <w:tab w:val="clear" w:pos="360"/>
          <w:tab w:val="num" w:pos="426"/>
        </w:tabs>
        <w:ind w:hanging="170"/>
      </w:pPr>
      <w:r w:rsidRPr="00AD33E8">
        <w:t>Myndigheterna hade stort eget handlingsutrymme. Decentraliseringen av arbetsgivaransvaret och avregleringen av personalfrågorna hade fått effekt. Myndigheterna hade stor möjlighet att agera i kompetensförsör</w:t>
      </w:r>
      <w:r w:rsidRPr="00AD33E8">
        <w:t>j</w:t>
      </w:r>
      <w:r w:rsidRPr="00AD33E8">
        <w:t>ningsfrågor. Även inom de studerade myndigheterna delegerades ansvar och befogenh</w:t>
      </w:r>
      <w:r w:rsidRPr="00AD33E8">
        <w:t>e</w:t>
      </w:r>
      <w:r w:rsidRPr="00AD33E8">
        <w:t>ter.</w:t>
      </w:r>
    </w:p>
    <w:p w:rsidR="007B7A21" w:rsidRPr="00AD33E8" w:rsidRDefault="007B7A21">
      <w:pPr>
        <w:pStyle w:val="Normaltindrag"/>
        <w:numPr>
          <w:ilvl w:val="0"/>
          <w:numId w:val="57"/>
        </w:numPr>
        <w:tabs>
          <w:tab w:val="clear" w:pos="360"/>
          <w:tab w:val="num" w:pos="426"/>
        </w:tabs>
        <w:ind w:hanging="170"/>
      </w:pPr>
      <w:r w:rsidRPr="00AD33E8">
        <w:t>Individuella förutsättningar, såväl verksamhetens art som sp</w:t>
      </w:r>
      <w:r w:rsidRPr="00AD33E8">
        <w:t>e</w:t>
      </w:r>
      <w:r w:rsidRPr="00AD33E8">
        <w:t>cifika si</w:t>
      </w:r>
      <w:r w:rsidRPr="00AD33E8">
        <w:softHyphen/>
        <w:t>tua</w:t>
      </w:r>
      <w:r w:rsidRPr="00AD33E8">
        <w:softHyphen/>
        <w:t>tioner, hade stor betydelse.</w:t>
      </w:r>
    </w:p>
    <w:p w:rsidR="007B7A21" w:rsidRPr="00AD33E8" w:rsidRDefault="007B7A21">
      <w:pPr>
        <w:pStyle w:val="Normaltindrag"/>
        <w:numPr>
          <w:ilvl w:val="0"/>
          <w:numId w:val="57"/>
        </w:numPr>
        <w:tabs>
          <w:tab w:val="clear" w:pos="360"/>
          <w:tab w:val="num" w:pos="426"/>
        </w:tabs>
        <w:ind w:hanging="170"/>
      </w:pPr>
      <w:r w:rsidRPr="00AD33E8">
        <w:t>Myndigheterna hade låg förändringsberedskap. Man hade begränsad erfarenhet av förändringsarbete och överraskades ofta av förändringss</w:t>
      </w:r>
      <w:r w:rsidRPr="00AD33E8">
        <w:t>i</w:t>
      </w:r>
      <w:r w:rsidRPr="00AD33E8">
        <w:t>tuationen. En betydande del av förändringskapaciteten fick användas för att bygga upp en ”infrastruktur” för förändringar.</w:t>
      </w:r>
    </w:p>
    <w:p w:rsidR="007B7A21" w:rsidRPr="00AD33E8" w:rsidRDefault="007B7A21">
      <w:pPr>
        <w:pStyle w:val="Normaltindrag"/>
        <w:numPr>
          <w:ilvl w:val="0"/>
          <w:numId w:val="57"/>
        </w:numPr>
        <w:tabs>
          <w:tab w:val="clear" w:pos="360"/>
          <w:tab w:val="num" w:pos="426"/>
        </w:tabs>
        <w:ind w:hanging="170"/>
      </w:pPr>
      <w:r w:rsidRPr="00AD33E8">
        <w:t>Kompetensförändring handlade om organisationsutveckling. Arbetet var en integrerad del i utvecklingen av bl.a. lednings- och styrfrågor eller arbet</w:t>
      </w:r>
      <w:r w:rsidRPr="00AD33E8">
        <w:t>s</w:t>
      </w:r>
      <w:r w:rsidRPr="00AD33E8">
        <w:t>former.</w:t>
      </w:r>
    </w:p>
    <w:p w:rsidR="007B7A21" w:rsidRPr="00AD33E8" w:rsidRDefault="007B7A21">
      <w:r w:rsidRPr="00AD33E8">
        <w:t>RRV identifierade också några kritiska faktorer för kompetensförändringen. Det handlade om motivation, administrativt stöd, ch</w:t>
      </w:r>
      <w:r w:rsidRPr="00AD33E8">
        <w:t>e</w:t>
      </w:r>
      <w:r w:rsidRPr="00AD33E8">
        <w:t>fer som förändrings-agenter samt den statliga omgivningen, dvs. statsmakternas beslut. RRV uppmärksammade hur beslut utan direkt koppling till förändringarna kunde få bieffekter som påve</w:t>
      </w:r>
      <w:r w:rsidRPr="00AD33E8">
        <w:t>r</w:t>
      </w:r>
      <w:r w:rsidRPr="00AD33E8">
        <w:t>kade myndigheterna.</w:t>
      </w:r>
    </w:p>
    <w:p w:rsidR="007B7A21" w:rsidRPr="00AD33E8" w:rsidRDefault="007B7A21">
      <w:pPr>
        <w:pStyle w:val="Rubrik3"/>
      </w:pPr>
      <w:bookmarkStart w:id="226" w:name="_Toc535045362"/>
      <w:bookmarkStart w:id="227" w:name="_Toc3887406"/>
      <w:bookmarkStart w:id="228" w:name="_Toc21425319"/>
      <w:r w:rsidRPr="00AD33E8">
        <w:t>Riksdagens revisorers granskning</w:t>
      </w:r>
      <w:bookmarkEnd w:id="222"/>
      <w:r w:rsidRPr="00AD33E8">
        <w:t xml:space="preserve"> av den statliga personalpolitiken</w:t>
      </w:r>
      <w:bookmarkEnd w:id="226"/>
      <w:bookmarkEnd w:id="227"/>
      <w:bookmarkEnd w:id="228"/>
    </w:p>
    <w:p w:rsidR="007B7A21" w:rsidRPr="00AD33E8" w:rsidRDefault="007B7A21">
      <w:r w:rsidRPr="00AD33E8">
        <w:t>Revisionen</w:t>
      </w:r>
      <w:r w:rsidRPr="00AD33E8">
        <w:rPr>
          <w:b/>
        </w:rPr>
        <w:t xml:space="preserve"> Den statliga personalpolitiken </w:t>
      </w:r>
      <w:r w:rsidRPr="00AD33E8">
        <w:t>(rapport 1994/95:12, skrivelse 1995/96:RR7) utgick från två perspektiv dels arbetsgivarperspektivet, dels ar</w:t>
      </w:r>
      <w:r w:rsidRPr="00AD33E8">
        <w:softHyphen/>
        <w:t>bets</w:t>
      </w:r>
      <w:r w:rsidRPr="00AD33E8">
        <w:softHyphen/>
        <w:t>tagarperspektivet. Balansen mellan dessa var ett tema i gransk</w:t>
      </w:r>
      <w:r w:rsidRPr="00AD33E8">
        <w:softHyphen/>
        <w:t>ningen. Statsförvaltningen består av många specialiserade yrkesgrupper med stor kunskap om sina områden. Samtidigt ska dessa grupper verka för uppdrag givna i en politisk process där yrkesgruppens bedöm</w:t>
      </w:r>
      <w:r w:rsidRPr="00AD33E8">
        <w:softHyphen/>
        <w:t>ningar är underordnade. Revisorernas överväganden sammanfattades i åtta pun</w:t>
      </w:r>
      <w:r w:rsidRPr="00AD33E8">
        <w:t>k</w:t>
      </w:r>
      <w:r w:rsidRPr="00AD33E8">
        <w:t>ter:</w:t>
      </w:r>
    </w:p>
    <w:p w:rsidR="007B7A21" w:rsidRPr="00AD33E8" w:rsidRDefault="007B7A21">
      <w:pPr>
        <w:numPr>
          <w:ilvl w:val="0"/>
          <w:numId w:val="95"/>
        </w:numPr>
      </w:pPr>
      <w:r w:rsidRPr="00AD33E8">
        <w:t>Översyn av mål</w:t>
      </w:r>
    </w:p>
    <w:p w:rsidR="007B7A21" w:rsidRPr="00AD33E8" w:rsidRDefault="007B7A21">
      <w:pPr>
        <w:numPr>
          <w:ilvl w:val="0"/>
          <w:numId w:val="95"/>
        </w:numPr>
      </w:pPr>
      <w:r w:rsidRPr="00AD33E8">
        <w:t xml:space="preserve">Uppföljningar och utvärderingar </w:t>
      </w:r>
    </w:p>
    <w:p w:rsidR="007B7A21" w:rsidRPr="00AD33E8" w:rsidRDefault="007B7A21">
      <w:pPr>
        <w:numPr>
          <w:ilvl w:val="0"/>
          <w:numId w:val="95"/>
        </w:numPr>
      </w:pPr>
      <w:r w:rsidRPr="00AD33E8">
        <w:t>Omfattning och inriktning på kompetensutvecklingen</w:t>
      </w:r>
    </w:p>
    <w:p w:rsidR="007B7A21" w:rsidRPr="00AD33E8" w:rsidRDefault="007B7A21">
      <w:pPr>
        <w:numPr>
          <w:ilvl w:val="0"/>
          <w:numId w:val="95"/>
        </w:numPr>
      </w:pPr>
      <w:r w:rsidRPr="00AD33E8">
        <w:t>Statlig strategi för att öka personalrörligheten</w:t>
      </w:r>
    </w:p>
    <w:p w:rsidR="007B7A21" w:rsidRPr="00AD33E8" w:rsidRDefault="007B7A21">
      <w:pPr>
        <w:numPr>
          <w:ilvl w:val="0"/>
          <w:numId w:val="95"/>
        </w:numPr>
      </w:pPr>
      <w:r w:rsidRPr="00AD33E8">
        <w:t>Tidsbegränsade chefsförordnanden</w:t>
      </w:r>
    </w:p>
    <w:p w:rsidR="007B7A21" w:rsidRPr="00AD33E8" w:rsidRDefault="007B7A21">
      <w:pPr>
        <w:numPr>
          <w:ilvl w:val="0"/>
          <w:numId w:val="95"/>
        </w:numPr>
      </w:pPr>
      <w:r w:rsidRPr="00AD33E8">
        <w:t>Utnämningar av verkschefer</w:t>
      </w:r>
    </w:p>
    <w:p w:rsidR="007B7A21" w:rsidRPr="00AD33E8" w:rsidRDefault="007B7A21">
      <w:pPr>
        <w:numPr>
          <w:ilvl w:val="0"/>
          <w:numId w:val="95"/>
        </w:numPr>
      </w:pPr>
      <w:r w:rsidRPr="00AD33E8">
        <w:t>Rekryteringspolitiken och ledarskapet i Regeringskansl</w:t>
      </w:r>
      <w:r w:rsidRPr="00AD33E8">
        <w:t>i</w:t>
      </w:r>
      <w:r w:rsidRPr="00AD33E8">
        <w:t>et</w:t>
      </w:r>
    </w:p>
    <w:p w:rsidR="007B7A21" w:rsidRPr="00AD33E8" w:rsidRDefault="007B7A21">
      <w:pPr>
        <w:numPr>
          <w:ilvl w:val="0"/>
          <w:numId w:val="95"/>
        </w:numPr>
      </w:pPr>
      <w:r w:rsidRPr="00AD33E8">
        <w:t>Sammanfattande åtgärdsförslag – handlingsplan</w:t>
      </w:r>
    </w:p>
    <w:p w:rsidR="007B7A21" w:rsidRPr="00AD33E8" w:rsidRDefault="007B7A21">
      <w:r w:rsidRPr="00AD33E8">
        <w:t>De två första punkterna avser den statliga personalpolitiken ur ett mål- och resultatstyrningsperspektiv. Revisorerna föreslog översyn av mål för pers</w:t>
      </w:r>
      <w:r w:rsidRPr="00AD33E8">
        <w:t>o</w:t>
      </w:r>
      <w:r w:rsidRPr="00AD33E8">
        <w:t>nalpolitiken samt bättre uppföljningar och utvärderingar. Det finns ett sa</w:t>
      </w:r>
      <w:r w:rsidRPr="00AD33E8">
        <w:t>m</w:t>
      </w:r>
      <w:r w:rsidRPr="00AD33E8">
        <w:t>band mellan målformulering och uppföljning. Revisore</w:t>
      </w:r>
      <w:r w:rsidRPr="00AD33E8">
        <w:t>r</w:t>
      </w:r>
      <w:r w:rsidRPr="00AD33E8">
        <w:t>na skrev:</w:t>
      </w:r>
    </w:p>
    <w:p w:rsidR="007B7A21" w:rsidRPr="00AD33E8" w:rsidRDefault="007B7A21">
      <w:r w:rsidRPr="00AD33E8">
        <w:t>”För att regeringen och dess kansli skall kunna följa upp och kvalitativt bedöma hur myndigheterna använder sina personalresurser och hur persona</w:t>
      </w:r>
      <w:r w:rsidRPr="00AD33E8">
        <w:t>l</w:t>
      </w:r>
      <w:r w:rsidRPr="00AD33E8">
        <w:t>kostnaderna utvecklas i relation till verksamhetsresultaten behövs tydligt formulerade mål för den statliga pers</w:t>
      </w:r>
      <w:r w:rsidRPr="00AD33E8">
        <w:t>o</w:t>
      </w:r>
      <w:r w:rsidRPr="00AD33E8">
        <w:t>nalpolitiken.”(1995/96:RR7, s. 2)</w:t>
      </w:r>
    </w:p>
    <w:p w:rsidR="007B7A21" w:rsidRPr="00AD33E8" w:rsidRDefault="007B7A21">
      <w:r w:rsidRPr="00AD33E8">
        <w:t>För att utveckla uppföljningen så att personalfrågorna kunde kopplas till verksamhet, kostnader och resul</w:t>
      </w:r>
      <w:r w:rsidRPr="00AD33E8">
        <w:softHyphen/>
        <w:t>tat föreslog revisorerna bl.a. att regeringen skulle ge Riksrevisionsverket och Arbetsg</w:t>
      </w:r>
      <w:r w:rsidRPr="00AD33E8">
        <w:t>i</w:t>
      </w:r>
      <w:r w:rsidRPr="00AD33E8">
        <w:t>varverket i uppdrag att vi</w:t>
      </w:r>
      <w:r w:rsidRPr="00AD33E8">
        <w:softHyphen/>
        <w:t>da</w:t>
      </w:r>
      <w:r w:rsidRPr="00AD33E8">
        <w:softHyphen/>
        <w:t>reutveckla myndigheternas årsredovi</w:t>
      </w:r>
      <w:r w:rsidRPr="00AD33E8">
        <w:t>s</w:t>
      </w:r>
      <w:r w:rsidRPr="00AD33E8">
        <w:t xml:space="preserve">ningar. </w:t>
      </w:r>
    </w:p>
    <w:p w:rsidR="007B7A21" w:rsidRPr="00AD33E8" w:rsidRDefault="007B7A21">
      <w:pPr>
        <w:pStyle w:val="Normaltindrag"/>
      </w:pPr>
      <w:r w:rsidRPr="00AD33E8">
        <w:t>Revisorernas förslag under punkterna 3 till 7 behandlar olika medel och mål i personalpolitiken, t.ex. kompetensutveckling som ett personalpolitiskt medel bland andra. Där efterlyste revisorerna att mål för kompetensutvec</w:t>
      </w:r>
      <w:r w:rsidRPr="00AD33E8">
        <w:t>k</w:t>
      </w:r>
      <w:r w:rsidRPr="00AD33E8">
        <w:t>lingen borde utformas med avseende dels på omfattningen, dels på inrik</w:t>
      </w:r>
      <w:r w:rsidRPr="00AD33E8">
        <w:t>t</w:t>
      </w:r>
      <w:r w:rsidRPr="00AD33E8">
        <w:t>ningen av respektive verksamhet. Personalrörlighet är ett annat personalpol</w:t>
      </w:r>
      <w:r w:rsidRPr="00AD33E8">
        <w:t>i</w:t>
      </w:r>
      <w:r w:rsidRPr="00AD33E8">
        <w:t>tiskt medel. Där uttalade revisorerna sig för målet att öka rörligheten varvid en strategi för genomförandet borde utformas. Att  tidsbegränsa chefsföror</w:t>
      </w:r>
      <w:r w:rsidRPr="00AD33E8">
        <w:t>d</w:t>
      </w:r>
      <w:r w:rsidRPr="00AD33E8">
        <w:t>nanden är ett annat exempel på hur ett personalpolitiskt medel ges ett mål. Utnämningar av verkschefer är ytterligare ett personalpolitiskt medel, där revisorerna föreslog förbättrade former bl.a. genom en ökad</w:t>
      </w:r>
      <w:r w:rsidRPr="00AD33E8">
        <w:t xml:space="preserve"> öppenhet. När det gällde rekryteringspolitiken och ledarskapet i Regeringskansliet föreslog revisorerna ökad betoning på ledarförmåga vid rekryteringen av chefer. </w:t>
      </w:r>
    </w:p>
    <w:p w:rsidR="007B7A21" w:rsidRPr="00AD33E8" w:rsidRDefault="007B7A21">
      <w:pPr>
        <w:pStyle w:val="Normaltindrag"/>
      </w:pPr>
      <w:r w:rsidRPr="00AD33E8">
        <w:t>Vid riksdagsbehandlingen av revisorernas skrivelse konstaterade arbet</w:t>
      </w:r>
      <w:r w:rsidRPr="00AD33E8">
        <w:t>s</w:t>
      </w:r>
      <w:r w:rsidRPr="00AD33E8">
        <w:t>marknadsutskottet (1995/96:AU10) att regeringen sedan förslagen överlä</w:t>
      </w:r>
      <w:r w:rsidRPr="00AD33E8">
        <w:t>m</w:t>
      </w:r>
      <w:r w:rsidRPr="00AD33E8">
        <w:t>nats till riksdagen hade gett en särskild utredare i uppdrag att utvärdera hur den arbetsgivarpolitiska delegeringen till myndigheterna under de senaste åren har fungerat. Utredaren skulle behandla flera av de frågor som tagits upp av revisorerna. Mot den bakgrunden gjordes bedömningen att några tillkännagivanden eller åtgärder från riksdagen med ett undantag inte erfor</w:t>
      </w:r>
      <w:r w:rsidRPr="00AD33E8">
        <w:t>d</w:t>
      </w:r>
      <w:r w:rsidRPr="00AD33E8">
        <w:t xml:space="preserve">rades. </w:t>
      </w:r>
    </w:p>
    <w:p w:rsidR="007B7A21" w:rsidRPr="00AD33E8" w:rsidRDefault="007B7A21">
      <w:pPr>
        <w:pStyle w:val="Normaltindrag"/>
      </w:pPr>
      <w:r w:rsidRPr="00AD33E8">
        <w:t>När det gällde chefslöner och avgångsvederlag föreslog utsk</w:t>
      </w:r>
      <w:r w:rsidRPr="00AD33E8">
        <w:t>ottet ett til</w:t>
      </w:r>
      <w:r w:rsidRPr="00AD33E8">
        <w:t>l</w:t>
      </w:r>
      <w:r w:rsidRPr="00AD33E8">
        <w:t>kän</w:t>
      </w:r>
      <w:r w:rsidRPr="00AD33E8">
        <w:softHyphen/>
        <w:t>na</w:t>
      </w:r>
      <w:r w:rsidRPr="00AD33E8">
        <w:softHyphen/>
        <w:t>givande. Den nya förvaltningspolitiken med resultatstyrning ställde större och delvis andra krav på chefer inom det statliga området. Det var därför enligt utskottet inte rimligt att mer eller mindre slentrianmässigt o</w:t>
      </w:r>
      <w:r w:rsidRPr="00AD33E8">
        <w:t>m</w:t>
      </w:r>
      <w:r w:rsidRPr="00AD33E8">
        <w:t>förordna chefer som kanske inte längre uppfyllde de krav som bör ställas på  myndigheten. Det är viktigt att staten gör tydligt varför det kan vara nödvä</w:t>
      </w:r>
      <w:r w:rsidRPr="00AD33E8">
        <w:t>n</w:t>
      </w:r>
      <w:r w:rsidRPr="00AD33E8">
        <w:t>digt med byte på chefsposten. Samtidigt ville utskottet, liksom revisorerna, understryka att chefsavveckling är en frå</w:t>
      </w:r>
      <w:r w:rsidRPr="00AD33E8">
        <w:t>ga som kräver ingående överväga</w:t>
      </w:r>
      <w:r w:rsidRPr="00AD33E8">
        <w:t>n</w:t>
      </w:r>
      <w:r w:rsidRPr="00AD33E8">
        <w:t>den. Utskottet framhöll att det saknades erforderlig kunskap i chefsavvec</w:t>
      </w:r>
      <w:r w:rsidRPr="00AD33E8">
        <w:t>k</w:t>
      </w:r>
      <w:r w:rsidRPr="00AD33E8">
        <w:t xml:space="preserve">lingsfrågor. </w:t>
      </w:r>
    </w:p>
    <w:p w:rsidR="007B7A21" w:rsidRPr="00AD33E8" w:rsidRDefault="007B7A21">
      <w:pPr>
        <w:pStyle w:val="Rubrik3"/>
      </w:pPr>
      <w:bookmarkStart w:id="229" w:name="_Toc3887407"/>
      <w:bookmarkStart w:id="230" w:name="_Toc21425320"/>
      <w:r w:rsidRPr="00AD33E8">
        <w:t>ELMA-rapporten</w:t>
      </w:r>
      <w:bookmarkEnd w:id="229"/>
      <w:bookmarkEnd w:id="230"/>
    </w:p>
    <w:p w:rsidR="007B7A21" w:rsidRPr="00AD33E8" w:rsidRDefault="007B7A21">
      <w:r w:rsidRPr="00AD33E8">
        <w:t>I en departementsskrivelse, ELMA, Åtgärder för att stärka resultatstyrningen (Ds 1995:6), redovisade en interdepartemental arbetsgrupp under ledning av planeringschefen i Finansdepartementet Göran Ekström förslag till åtgärder för att förbättra resultatstyrningen i staten. I ett avsnitt behandlades den del</w:t>
      </w:r>
      <w:r w:rsidRPr="00AD33E8">
        <w:t>e</w:t>
      </w:r>
      <w:r w:rsidRPr="00AD33E8">
        <w:t>gerade personalpolitiken och statens resultatutveckling. Arbetsgruppen bet</w:t>
      </w:r>
      <w:r w:rsidRPr="00AD33E8">
        <w:t>o</w:t>
      </w:r>
      <w:r w:rsidRPr="00AD33E8">
        <w:t>nade regeringens ansvar för att följa upp och styra när det gäller enskilda myndigheters agerande som arbetsgivare. Personal är, enligt utredningen, en central faktor för myndigheternas möjlighet att uppnå goda resultat. Pers</w:t>
      </w:r>
      <w:r w:rsidRPr="00AD33E8">
        <w:t>o</w:t>
      </w:r>
      <w:r w:rsidRPr="00AD33E8">
        <w:t>nal- och lönepolitiken måste därför uppmärksammas av regeringen.</w:t>
      </w:r>
    </w:p>
    <w:p w:rsidR="007B7A21" w:rsidRPr="00AD33E8" w:rsidRDefault="007B7A21">
      <w:pPr>
        <w:pStyle w:val="Normaltindrag"/>
      </w:pPr>
      <w:r w:rsidRPr="00AD33E8">
        <w:t>Regeringen borde vid analyser av myndigheternas effektivitet beakta deras funktion även som arbetsgivare. Om en myndighet inte fungerar tillfred</w:t>
      </w:r>
      <w:r w:rsidRPr="00AD33E8">
        <w:t>s</w:t>
      </w:r>
      <w:r w:rsidRPr="00AD33E8">
        <w:t>ställande kan det i första hand påtalas och i sista hand leda till förändringar i myndighetens ledning. Regeringen kan och bör, enligt utredningen, ställa uttalade krav på en myndighets funktion som arbetsgivare. Det kan t.ex. gälla myndighetens kompetens samt utbildnings- och utvecklingsinsa</w:t>
      </w:r>
      <w:r w:rsidRPr="00AD33E8">
        <w:t>t</w:t>
      </w:r>
      <w:r w:rsidRPr="00AD33E8">
        <w:t>ser.</w:t>
      </w:r>
    </w:p>
    <w:p w:rsidR="007B7A21" w:rsidRPr="00AD33E8" w:rsidRDefault="007B7A21">
      <w:pPr>
        <w:pStyle w:val="Rubrik3"/>
      </w:pPr>
      <w:bookmarkStart w:id="231" w:name="_Toc522593264"/>
      <w:bookmarkStart w:id="232" w:name="_Toc535045363"/>
      <w:bookmarkStart w:id="233" w:name="_Toc3887408"/>
      <w:bookmarkStart w:id="234" w:name="_Toc21425321"/>
      <w:r w:rsidRPr="00AD33E8">
        <w:t>Utredningen om arbetsgivarpolitik i staten</w:t>
      </w:r>
      <w:bookmarkEnd w:id="231"/>
      <w:bookmarkEnd w:id="232"/>
      <w:bookmarkEnd w:id="233"/>
      <w:bookmarkEnd w:id="234"/>
    </w:p>
    <w:p w:rsidR="007B7A21" w:rsidRPr="00AD33E8" w:rsidRDefault="007B7A21">
      <w:r w:rsidRPr="00AD33E8">
        <w:t xml:space="preserve">I mars 1997 överlämnades betänkandet </w:t>
      </w:r>
      <w:r w:rsidRPr="00AD33E8">
        <w:rPr>
          <w:b/>
        </w:rPr>
        <w:t>Arbetsgivarpolitik i staten – för kompetens och resultat</w:t>
      </w:r>
      <w:r w:rsidRPr="00AD33E8">
        <w:t xml:space="preserve"> (SOU 1997:48) till regeringen. Utredaren bedömde att den arbetsgivarpolitiska delegeringen i stort sett fungerat väl och att det inte fanns skäl att ändra i det befintliga systemet. Myndigheterna hade använt sig av de delegerade befogenheterna för att utveckla och förnya verksamh</w:t>
      </w:r>
      <w:r w:rsidRPr="00AD33E8">
        <w:t>e</w:t>
      </w:r>
      <w:r w:rsidRPr="00AD33E8">
        <w:t>ten. Det var dock det inte möjligt att precisera i vilken omfattning detta me</w:t>
      </w:r>
      <w:r w:rsidRPr="00AD33E8">
        <w:t>d</w:t>
      </w:r>
      <w:r w:rsidRPr="00AD33E8">
        <w:t>fört en effektivare statlig verksa</w:t>
      </w:r>
      <w:r w:rsidRPr="00AD33E8">
        <w:t>m</w:t>
      </w:r>
      <w:r w:rsidRPr="00AD33E8">
        <w:t xml:space="preserve">het. </w:t>
      </w:r>
    </w:p>
    <w:p w:rsidR="007B7A21" w:rsidRPr="00AD33E8" w:rsidRDefault="007B7A21">
      <w:pPr>
        <w:pStyle w:val="Normaltindrag"/>
      </w:pPr>
      <w:r w:rsidRPr="00AD33E8">
        <w:t xml:space="preserve">Utredningen identifierade vidare ett antal problem och </w:t>
      </w:r>
      <w:r w:rsidRPr="00AD33E8">
        <w:t>frågor inom det personalpolitiska området. Dessa problem kunde vara av olika karaktär och aktualitet, gemensamt var dock att problemen måste lösas av myndigheterna själva med de befogenheter som de förfogar över. Utredningen betonade särskilt den låga rörligheten hos anställda bland gruppen födda under 1940-talet. Mot denna ställdes en betydligt högre rörlighet i yngre grupper. Den statliga sektorn riskerade därmed en förstelning. Man kunde, enligt utre</w:t>
      </w:r>
      <w:r w:rsidRPr="00AD33E8">
        <w:t>d</w:t>
      </w:r>
      <w:r w:rsidRPr="00AD33E8">
        <w:t>ningen, om inte utvecklingen bröts förutse betydande k</w:t>
      </w:r>
      <w:r w:rsidRPr="00AD33E8">
        <w:t>ompetensproblem i den allt närmare framtid när den stora gruppen statligt anställda 50 år och äldre, började pensioneras.</w:t>
      </w:r>
    </w:p>
    <w:p w:rsidR="007B7A21" w:rsidRPr="00AD33E8" w:rsidRDefault="007B7A21">
      <w:pPr>
        <w:pStyle w:val="Normaltindrag"/>
      </w:pPr>
      <w:r w:rsidRPr="00AD33E8">
        <w:t>Regeringens ansvar, enligt utredningen, var att genom uppföljning fas</w:t>
      </w:r>
      <w:r w:rsidRPr="00AD33E8">
        <w:t>t</w:t>
      </w:r>
      <w:r w:rsidRPr="00AD33E8">
        <w:t xml:space="preserve">ställa om myndigheterna använt arbetsgivarpolitiken som ett verktyg för att uppnå verksamhetsmålen. </w:t>
      </w:r>
    </w:p>
    <w:p w:rsidR="007B7A21" w:rsidRPr="00AD33E8" w:rsidRDefault="007B7A21">
      <w:pPr>
        <w:pStyle w:val="Normaltindrag"/>
      </w:pPr>
      <w:r w:rsidRPr="00AD33E8">
        <w:t>Enligt utredningen är uppföljning ett verkningsfullt styrmedel. Vetskapen om att något följs upp motiverar ansvarig instans till ökad uppmärksamhet. Uppföljning är på så sätt förebyggande. Vidare sätter en genomförd upp</w:t>
      </w:r>
      <w:r w:rsidRPr="00AD33E8">
        <w:softHyphen/>
        <w:t>följning fokus på de problem och brister som förklarar att verksamhetsmål ej uppnåtts och att önskat resultat uteblivit. Uppföljningen bidrar därmed t.ex. till utveckling genom lärande och korrigering av brister. Utredningen fo</w:t>
      </w:r>
      <w:r w:rsidRPr="00AD33E8">
        <w:t>r</w:t>
      </w:r>
      <w:r w:rsidRPr="00AD33E8">
        <w:t>mulerade tre allmänna kriterier för att uppföljning ska nå styreffekt. I up</w:t>
      </w:r>
      <w:r w:rsidRPr="00AD33E8">
        <w:t>p</w:t>
      </w:r>
      <w:r w:rsidRPr="00AD33E8">
        <w:t>följningsprocessen måste det finnas krav på resultat, krav på redovisning samt att redov</w:t>
      </w:r>
      <w:r w:rsidRPr="00AD33E8">
        <w:t>i</w:t>
      </w:r>
      <w:r w:rsidRPr="00AD33E8">
        <w:t xml:space="preserve">sade resultat beaktas och behandlas. </w:t>
      </w:r>
    </w:p>
    <w:p w:rsidR="007B7A21" w:rsidRPr="00AD33E8" w:rsidRDefault="007B7A21">
      <w:pPr>
        <w:pStyle w:val="Rubrik3"/>
        <w:rPr>
          <w:snapToGrid w:val="0"/>
        </w:rPr>
      </w:pPr>
      <w:bookmarkStart w:id="235" w:name="_Toc535045364"/>
      <w:bookmarkStart w:id="236" w:name="_Toc3887409"/>
      <w:bookmarkStart w:id="237" w:name="_Toc21425322"/>
      <w:r w:rsidRPr="00AD33E8">
        <w:rPr>
          <w:snapToGrid w:val="0"/>
        </w:rPr>
        <w:t>Riksrevisionsverket om chefsförsörjning</w:t>
      </w:r>
      <w:bookmarkEnd w:id="235"/>
      <w:bookmarkEnd w:id="236"/>
      <w:bookmarkEnd w:id="237"/>
      <w:r w:rsidRPr="00AD33E8">
        <w:rPr>
          <w:snapToGrid w:val="0"/>
        </w:rPr>
        <w:t xml:space="preserve"> </w:t>
      </w:r>
    </w:p>
    <w:p w:rsidR="007B7A21" w:rsidRPr="00AD33E8" w:rsidRDefault="007B7A21">
      <w:pPr>
        <w:rPr>
          <w:snapToGrid w:val="0"/>
        </w:rPr>
      </w:pPr>
      <w:r w:rsidRPr="00AD33E8">
        <w:rPr>
          <w:snapToGrid w:val="0"/>
        </w:rPr>
        <w:t>I rapporten Arbetarskyddsverkets chefsförsörjning (RRV 2000:28) gransk</w:t>
      </w:r>
      <w:r w:rsidRPr="00AD33E8">
        <w:rPr>
          <w:snapToGrid w:val="0"/>
        </w:rPr>
        <w:t>a</w:t>
      </w:r>
      <w:r w:rsidRPr="00AD33E8">
        <w:rPr>
          <w:snapToGrid w:val="0"/>
        </w:rPr>
        <w:t>des tillämpning och utfall av regeringens chefspolicy i en fallstudie. Ba</w:t>
      </w:r>
      <w:r w:rsidRPr="00AD33E8">
        <w:rPr>
          <w:snapToGrid w:val="0"/>
        </w:rPr>
        <w:t>k</w:t>
      </w:r>
      <w:r w:rsidRPr="00AD33E8">
        <w:rPr>
          <w:snapToGrid w:val="0"/>
        </w:rPr>
        <w:t>grunden är att de enskilda myndigheterna sedan mitten av 1980-talet har fått ett allt större ansvar för den egna verksamhetens organisering, myndighet</w:t>
      </w:r>
      <w:r w:rsidRPr="00AD33E8">
        <w:rPr>
          <w:snapToGrid w:val="0"/>
        </w:rPr>
        <w:t>s</w:t>
      </w:r>
      <w:r w:rsidRPr="00AD33E8">
        <w:rPr>
          <w:snapToGrid w:val="0"/>
        </w:rPr>
        <w:t>anslagets användning, personalpolitik m.m. som tidigare reglerades av r</w:t>
      </w:r>
      <w:r w:rsidRPr="00AD33E8">
        <w:rPr>
          <w:snapToGrid w:val="0"/>
        </w:rPr>
        <w:t>e</w:t>
      </w:r>
      <w:r w:rsidRPr="00AD33E8">
        <w:rPr>
          <w:snapToGrid w:val="0"/>
        </w:rPr>
        <w:t xml:space="preserve">gering och riksdag. Sammantaget har förändringarna av myndigheternas arbetsvillkor medfört att större och förändrade krav ställs på personalen, inte minst på cheferna. </w:t>
      </w:r>
    </w:p>
    <w:p w:rsidR="007B7A21" w:rsidRPr="00AD33E8" w:rsidRDefault="007B7A21">
      <w:pPr>
        <w:pStyle w:val="Normaltindrag"/>
        <w:rPr>
          <w:snapToGrid w:val="0"/>
        </w:rPr>
      </w:pPr>
      <w:r w:rsidRPr="00AD33E8">
        <w:rPr>
          <w:snapToGrid w:val="0"/>
        </w:rPr>
        <w:t>Den övergripande revisionsfrågan har varit hu</w:t>
      </w:r>
      <w:r w:rsidRPr="00AD33E8">
        <w:rPr>
          <w:snapToGrid w:val="0"/>
        </w:rPr>
        <w:t>ruvida Arbetarskyddsverkets (AV) chefsförsörjning hanterats på ett för verksamheten ändamålsenligt sätt. Avsikten</w:t>
      </w:r>
      <w:r w:rsidRPr="00AD33E8">
        <w:rPr>
          <w:i/>
          <w:snapToGrid w:val="0"/>
        </w:rPr>
        <w:t xml:space="preserve"> </w:t>
      </w:r>
      <w:r w:rsidRPr="00AD33E8">
        <w:rPr>
          <w:snapToGrid w:val="0"/>
        </w:rPr>
        <w:t>var inte att granska om myndighetens chefer är lämpliga som såd</w:t>
      </w:r>
      <w:r w:rsidRPr="00AD33E8">
        <w:rPr>
          <w:snapToGrid w:val="0"/>
        </w:rPr>
        <w:t>a</w:t>
      </w:r>
      <w:r w:rsidRPr="00AD33E8">
        <w:rPr>
          <w:snapToGrid w:val="0"/>
        </w:rPr>
        <w:t>na eller ej. Syftet var att granska hur myndigheten agerar när det gäller b</w:t>
      </w:r>
      <w:r w:rsidRPr="00AD33E8">
        <w:rPr>
          <w:snapToGrid w:val="0"/>
        </w:rPr>
        <w:t>e</w:t>
      </w:r>
      <w:r w:rsidRPr="00AD33E8">
        <w:rPr>
          <w:snapToGrid w:val="0"/>
        </w:rPr>
        <w:t>dömning av verksamhetens behov av chefskompetens och hur man givet verksamhetsbehovet rekr</w:t>
      </w:r>
      <w:r w:rsidRPr="00AD33E8">
        <w:rPr>
          <w:snapToGrid w:val="0"/>
        </w:rPr>
        <w:t>y</w:t>
      </w:r>
      <w:r w:rsidRPr="00AD33E8">
        <w:rPr>
          <w:snapToGrid w:val="0"/>
        </w:rPr>
        <w:t xml:space="preserve">terar, utvecklar och avvecklar chefer. </w:t>
      </w:r>
    </w:p>
    <w:p w:rsidR="007B7A21" w:rsidRPr="00AD33E8" w:rsidRDefault="007B7A21">
      <w:pPr>
        <w:pStyle w:val="Normaltindrag"/>
        <w:rPr>
          <w:snapToGrid w:val="0"/>
        </w:rPr>
      </w:pPr>
      <w:r w:rsidRPr="00AD33E8">
        <w:rPr>
          <w:snapToGrid w:val="0"/>
        </w:rPr>
        <w:t>De policys</w:t>
      </w:r>
      <w:r w:rsidRPr="00AD33E8">
        <w:rPr>
          <w:i/>
          <w:snapToGrid w:val="0"/>
        </w:rPr>
        <w:t xml:space="preserve"> </w:t>
      </w:r>
      <w:r w:rsidRPr="00AD33E8">
        <w:rPr>
          <w:snapToGrid w:val="0"/>
        </w:rPr>
        <w:t>verket utarbetat överensstämmer i mycket med regeringens chefspolicy. AV:s planer har emellertid i många avseenden inte omsatts i praktiken. Förutom vissa insatser har verket inte genomfört de aviserade</w:t>
      </w:r>
      <w:r w:rsidRPr="00AD33E8">
        <w:rPr>
          <w:rFonts w:ascii="Times.New.Roman.Kursiv092" w:hAnsi="Times.New.Roman.Kursiv092"/>
          <w:snapToGrid w:val="0"/>
        </w:rPr>
        <w:t xml:space="preserve"> </w:t>
      </w:r>
      <w:r w:rsidRPr="00AD33E8">
        <w:rPr>
          <w:snapToGrid w:val="0"/>
        </w:rPr>
        <w:t>åtgärder man skulle vidta angående chefsförsörjningen. Avsaknaden av dokumenterad kunskap om i vilka avseenden och varför man inte levt upp till det man föresatt sig begränsar AV:s förutsättningar att lära av tidigare erf</w:t>
      </w:r>
      <w:r w:rsidRPr="00AD33E8">
        <w:rPr>
          <w:snapToGrid w:val="0"/>
        </w:rPr>
        <w:t>a</w:t>
      </w:r>
      <w:r w:rsidRPr="00AD33E8">
        <w:rPr>
          <w:snapToGrid w:val="0"/>
        </w:rPr>
        <w:t xml:space="preserve">renheter. Enligt RRV:s mening är det angeläget att AV mer systematiskt följer upp och </w:t>
      </w:r>
      <w:r w:rsidRPr="00AD33E8">
        <w:rPr>
          <w:snapToGrid w:val="0"/>
        </w:rPr>
        <w:t>utvärderar efterlevnaden av gällande riktlinjer avseende chef</w:t>
      </w:r>
      <w:r w:rsidRPr="00AD33E8">
        <w:rPr>
          <w:snapToGrid w:val="0"/>
        </w:rPr>
        <w:t>s</w:t>
      </w:r>
      <w:r w:rsidRPr="00AD33E8">
        <w:rPr>
          <w:snapToGrid w:val="0"/>
        </w:rPr>
        <w:t>försörjningen inom verket. Det saknades vidare en närmare analys av vilka krav dagens verksamhet ställer på AV:s chefskompetens och hur kommande förändringar i verksamheten påverkar verkets ledningsbehov framöver. E</w:t>
      </w:r>
      <w:r w:rsidRPr="00AD33E8">
        <w:rPr>
          <w:snapToGrid w:val="0"/>
        </w:rPr>
        <w:t>n</w:t>
      </w:r>
      <w:r w:rsidRPr="00AD33E8">
        <w:rPr>
          <w:snapToGrid w:val="0"/>
        </w:rPr>
        <w:t>ligt RRV:s mening kan denna oklarhet om sambandet mellan behov av chefskompetens och verksamhetsintresset påverka förutsättningarna för en effektiv chefsförsörjning, inte minst för verkets beredskap att möta förändr</w:t>
      </w:r>
      <w:r w:rsidRPr="00AD33E8">
        <w:rPr>
          <w:snapToGrid w:val="0"/>
        </w:rPr>
        <w:t>a</w:t>
      </w:r>
      <w:r w:rsidRPr="00AD33E8">
        <w:rPr>
          <w:snapToGrid w:val="0"/>
        </w:rPr>
        <w:t>de krav på ver</w:t>
      </w:r>
      <w:r w:rsidRPr="00AD33E8">
        <w:rPr>
          <w:snapToGrid w:val="0"/>
        </w:rPr>
        <w:t>k</w:t>
      </w:r>
      <w:r w:rsidRPr="00AD33E8">
        <w:rPr>
          <w:snapToGrid w:val="0"/>
        </w:rPr>
        <w:t>sam</w:t>
      </w:r>
      <w:r w:rsidRPr="00AD33E8">
        <w:rPr>
          <w:snapToGrid w:val="0"/>
        </w:rPr>
        <w:t xml:space="preserve">heten. </w:t>
      </w:r>
    </w:p>
    <w:p w:rsidR="007B7A21" w:rsidRPr="00AD33E8" w:rsidRDefault="007B7A21">
      <w:pPr>
        <w:pStyle w:val="Normaltindrag"/>
      </w:pPr>
      <w:r w:rsidRPr="00AD33E8">
        <w:t>AV hade under senare hälften av 1990-talet haft besvärliga arbetsvillkor, vilket har begränsat verkets möjligheter att fullfölja de planer angående chefsförsörjningen man utarbetat i början av decenniet. Chefsförsörjningen är emellertid enligt RRV:s mening av så vital betydelse för verksamhetens effektivitet att den bör ges prioritet även under svåra förhå</w:t>
      </w:r>
      <w:r w:rsidRPr="00AD33E8">
        <w:t>l</w:t>
      </w:r>
      <w:r w:rsidRPr="00AD33E8">
        <w:t>landen.</w:t>
      </w:r>
    </w:p>
    <w:p w:rsidR="007B7A21" w:rsidRPr="00AD33E8" w:rsidRDefault="007B7A21">
      <w:pPr>
        <w:pStyle w:val="Rubrik3"/>
      </w:pPr>
      <w:bookmarkStart w:id="238" w:name="_Toc535045365"/>
      <w:bookmarkStart w:id="239" w:name="_Toc3887410"/>
      <w:bookmarkStart w:id="240" w:name="_Toc21425323"/>
      <w:r w:rsidRPr="00AD33E8">
        <w:t>Riksdagens revisorer om myndigheternas lönekostnader</w:t>
      </w:r>
      <w:bookmarkEnd w:id="238"/>
      <w:bookmarkEnd w:id="239"/>
      <w:bookmarkEnd w:id="240"/>
    </w:p>
    <w:p w:rsidR="007B7A21" w:rsidRPr="00AD33E8" w:rsidRDefault="007B7A21">
      <w:r w:rsidRPr="00AD33E8">
        <w:t xml:space="preserve">Löneutvecklingen för statligt anställda har överskridit de lägsta nivåerna i de centrala avtalen på det statliga förhandlingsområdet. I rapporten </w:t>
      </w:r>
      <w:r w:rsidRPr="00AD33E8">
        <w:rPr>
          <w:b/>
        </w:rPr>
        <w:t>Myndigh</w:t>
      </w:r>
      <w:r w:rsidRPr="00AD33E8">
        <w:rPr>
          <w:b/>
        </w:rPr>
        <w:t>e</w:t>
      </w:r>
      <w:r w:rsidRPr="00AD33E8">
        <w:rPr>
          <w:b/>
        </w:rPr>
        <w:t xml:space="preserve">ternas lönekostnader </w:t>
      </w:r>
      <w:r w:rsidRPr="00AD33E8">
        <w:t>(1998/99:5) redovisades dels att myndigheternas och regeringens uppföljningar och utvärderingar av träffade kollektivavtal inte motsvarade riksdagens krav. Regeringen borde därför uppmärksamma lön</w:t>
      </w:r>
      <w:r w:rsidRPr="00AD33E8">
        <w:t>e</w:t>
      </w:r>
      <w:r w:rsidRPr="00AD33E8">
        <w:t>utvecklingen i staten mot bakgrund av myndigheternas stora befogenheter och handlingsfrihet. Detta skulle underlättas om myndigheterna i sina årsr</w:t>
      </w:r>
      <w:r w:rsidRPr="00AD33E8">
        <w:t>e</w:t>
      </w:r>
      <w:r w:rsidRPr="00AD33E8">
        <w:t>dovisningar redovisade dels lönekostnader och övriga personalkostnader var för sig, dels vilka kollektivavtal för löner och andra anställni</w:t>
      </w:r>
      <w:r w:rsidRPr="00AD33E8">
        <w:t>ngsvillkor som tillämpades. Revisorerna föreslog även att regeringen skall följa upp och analysera respektive myndighets löneutveckling och kostnaderna för denna i mål- och resultatd</w:t>
      </w:r>
      <w:r w:rsidRPr="00AD33E8">
        <w:t>i</w:t>
      </w:r>
      <w:r w:rsidRPr="00AD33E8">
        <w:t xml:space="preserve">alogen. </w:t>
      </w:r>
    </w:p>
    <w:p w:rsidR="007B7A21" w:rsidRPr="00AD33E8" w:rsidRDefault="007B7A21">
      <w:pPr>
        <w:pStyle w:val="Normaltindrag"/>
      </w:pPr>
      <w:r w:rsidRPr="00AD33E8">
        <w:t>Riksdagen ansåg att myndigheternas lönekostnader hade dels ett stort al</w:t>
      </w:r>
      <w:r w:rsidRPr="00AD33E8">
        <w:t>l</w:t>
      </w:r>
      <w:r w:rsidRPr="00AD33E8">
        <w:t xml:space="preserve">mänt intresse, dels utgjorde en stor del av myndigheternas kostnader. Det var därför motiverat med en bättre redovisning och uppföljning. </w:t>
      </w:r>
    </w:p>
    <w:p w:rsidR="007B7A21" w:rsidRPr="00AD33E8" w:rsidRDefault="007B7A21">
      <w:pPr>
        <w:pStyle w:val="Normaltindrag"/>
      </w:pPr>
      <w:r w:rsidRPr="00AD33E8">
        <w:t>I Årsredovisning för staten för år 1999 (skr. 1999/2000:150) hänvisar rege</w:t>
      </w:r>
      <w:r w:rsidRPr="00AD33E8">
        <w:softHyphen/>
        <w:t>ringen till revisorernas granskning. Från och med räkenskapsåret 2001 ska myn</w:t>
      </w:r>
      <w:r w:rsidRPr="00AD33E8">
        <w:softHyphen/>
        <w:t>dig</w:t>
      </w:r>
      <w:r w:rsidRPr="00AD33E8">
        <w:softHyphen/>
        <w:t>heterna särredovisa sina lön</w:t>
      </w:r>
      <w:r w:rsidRPr="00AD33E8">
        <w:t>e</w:t>
      </w:r>
      <w:r w:rsidRPr="00AD33E8">
        <w:t>kostnader i årsredovisningarna.</w:t>
      </w:r>
    </w:p>
    <w:p w:rsidR="007B7A21" w:rsidRPr="00AD33E8" w:rsidRDefault="007B7A21">
      <w:pPr>
        <w:pStyle w:val="Rubrik3"/>
      </w:pPr>
      <w:bookmarkStart w:id="241" w:name="_Toc535045366"/>
      <w:bookmarkStart w:id="242" w:name="_Toc3887411"/>
      <w:bookmarkStart w:id="243" w:name="_Toc21425324"/>
      <w:r w:rsidRPr="00AD33E8">
        <w:t>Kompetensförsörjning enligt Kompetensrådet</w:t>
      </w:r>
      <w:bookmarkEnd w:id="241"/>
      <w:bookmarkEnd w:id="242"/>
      <w:bookmarkEnd w:id="243"/>
    </w:p>
    <w:p w:rsidR="007B7A21" w:rsidRPr="00AD33E8" w:rsidRDefault="007B7A21">
      <w:r w:rsidRPr="00AD33E8">
        <w:t>Statens kvalitets- och kompetensråd (KKR) analyserade år 2000 kompe</w:t>
      </w:r>
      <w:r w:rsidRPr="00AD33E8">
        <w:softHyphen/>
        <w:t>tens</w:t>
      </w:r>
      <w:r w:rsidRPr="00AD33E8">
        <w:softHyphen/>
        <w:t>försörjningen i staten med utgångspunkt i data från den arbetsgivarpolitiska uppföljningen (dnr A 219-00). Enligt utredaren är s.k. kompetensanalyser en förutsättning för god kompetensförsörjning. En kompetensanalys ska besvara tre frågor. Vilket är dagens och framtidens behov av kompetens? Vilken kompetens finns idag? Vilket utvecklingsbehov följer av svaren på de tidig</w:t>
      </w:r>
      <w:r w:rsidRPr="00AD33E8">
        <w:t>a</w:t>
      </w:r>
      <w:r w:rsidRPr="00AD33E8">
        <w:t>re frågorna. Det finns i dag inget krav på myndigheterna att redovisa på vilket sätt man planerar sin kompetensförsörjning. Det finn</w:t>
      </w:r>
      <w:r w:rsidRPr="00AD33E8">
        <w:t>s därför inget material som visar i vilken utsträckning myndigheterna arbetar med samt analyserar och planerar sin kompetensförsörjning. Det finns därför, enligt utredaren, ett visst utvecklingsbehov hos statliga myndigheter när det gäller kompetensanalys. Det gäller dels metoder för analyser, dels användning av analysen. I rapporten redovisas en genomgång av de statliga myndigheternas kompetensförsörjning. Det framgår där att myndigheterna i sina uppgifter till regeringen redovisar stora problem med att at</w:t>
      </w:r>
      <w:r w:rsidRPr="00AD33E8">
        <w:t>trahera, rekrytera, behålla och utnyttja kompete</w:t>
      </w:r>
      <w:r w:rsidRPr="00AD33E8">
        <w:t>n</w:t>
      </w:r>
      <w:r w:rsidRPr="00AD33E8">
        <w:t>sen.</w:t>
      </w:r>
    </w:p>
    <w:p w:rsidR="007B7A21" w:rsidRPr="00AD33E8" w:rsidRDefault="007B7A21">
      <w:pPr>
        <w:pStyle w:val="Rubrik3"/>
        <w:rPr>
          <w:snapToGrid w:val="0"/>
        </w:rPr>
      </w:pPr>
      <w:bookmarkStart w:id="244" w:name="_Toc535045367"/>
      <w:bookmarkStart w:id="245" w:name="_Toc3887412"/>
      <w:bookmarkStart w:id="246" w:name="_Toc21425325"/>
      <w:r w:rsidRPr="00AD33E8">
        <w:rPr>
          <w:snapToGrid w:val="0"/>
        </w:rPr>
        <w:t>I rikets tjänst</w:t>
      </w:r>
      <w:bookmarkEnd w:id="244"/>
      <w:bookmarkEnd w:id="245"/>
      <w:bookmarkEnd w:id="246"/>
    </w:p>
    <w:p w:rsidR="007B7A21" w:rsidRPr="00AD33E8" w:rsidRDefault="007B7A21">
      <w:pPr>
        <w:rPr>
          <w:snapToGrid w:val="0"/>
        </w:rPr>
      </w:pPr>
      <w:r w:rsidRPr="00AD33E8">
        <w:rPr>
          <w:snapToGrid w:val="0"/>
        </w:rPr>
        <w:t xml:space="preserve">Historikern </w:t>
      </w:r>
      <w:r w:rsidRPr="00AD33E8">
        <w:rPr>
          <w:i/>
          <w:snapToGrid w:val="0"/>
        </w:rPr>
        <w:t xml:space="preserve">Ylva Hasselberg </w:t>
      </w:r>
      <w:r w:rsidRPr="00AD33E8">
        <w:rPr>
          <w:snapToGrid w:val="0"/>
        </w:rPr>
        <w:t xml:space="preserve">vid Uppsala universitet och civilekonomen </w:t>
      </w:r>
      <w:r w:rsidRPr="00AD33E8">
        <w:rPr>
          <w:i/>
          <w:snapToGrid w:val="0"/>
        </w:rPr>
        <w:t xml:space="preserve">Erik Kärnekull </w:t>
      </w:r>
      <w:r w:rsidRPr="00AD33E8">
        <w:rPr>
          <w:snapToGrid w:val="0"/>
        </w:rPr>
        <w:t>har på ESO:s uppdrag utrett statliga kårer (Ds 2001:45).</w:t>
      </w:r>
      <w:r w:rsidRPr="00AD33E8">
        <w:rPr>
          <w:i/>
          <w:snapToGrid w:val="0"/>
        </w:rPr>
        <w:t xml:space="preserve"> </w:t>
      </w:r>
      <w:r w:rsidRPr="00AD33E8">
        <w:rPr>
          <w:snapToGrid w:val="0"/>
        </w:rPr>
        <w:t>Utre</w:t>
      </w:r>
      <w:r w:rsidRPr="00AD33E8">
        <w:rPr>
          <w:snapToGrid w:val="0"/>
        </w:rPr>
        <w:t>d</w:t>
      </w:r>
      <w:r w:rsidRPr="00AD33E8">
        <w:rPr>
          <w:snapToGrid w:val="0"/>
        </w:rPr>
        <w:t>ningen behandlar vilken roll de statliga yrkeskårerna spelar i förvaltningen i dag. Begreppet kår emanerar från forskningen om professioner och profe</w:t>
      </w:r>
      <w:r w:rsidRPr="00AD33E8">
        <w:rPr>
          <w:snapToGrid w:val="0"/>
        </w:rPr>
        <w:t>s</w:t>
      </w:r>
      <w:r w:rsidRPr="00AD33E8">
        <w:rPr>
          <w:snapToGrid w:val="0"/>
        </w:rPr>
        <w:t>sionalisering. Med kår avses en grupp yrkesutövare under statligt huvu</w:t>
      </w:r>
      <w:r w:rsidRPr="00AD33E8">
        <w:rPr>
          <w:snapToGrid w:val="0"/>
        </w:rPr>
        <w:t>d</w:t>
      </w:r>
      <w:r w:rsidRPr="00AD33E8">
        <w:rPr>
          <w:snapToGrid w:val="0"/>
        </w:rPr>
        <w:t xml:space="preserve">mannaskap, vilka hålls samman genom gemensam utbildning, gemensam kultur och ett förhållningssätt till arbetet som präglas av tonvikt vid kårens monopol på </w:t>
      </w:r>
      <w:r w:rsidRPr="00AD33E8">
        <w:rPr>
          <w:snapToGrid w:val="0"/>
        </w:rPr>
        <w:t>vissa arbetsuppgifter inom yrkesområdet. Kårer som utvecklats under lång tid är vanligen också omgärdade med ett regelverk som, enligt utredarna, underbygger kårens position inom verksamheten. Att skapa en position som avskiljer kåren genom status såväl som regelverk är en föru</w:t>
      </w:r>
      <w:r w:rsidRPr="00AD33E8">
        <w:rPr>
          <w:snapToGrid w:val="0"/>
        </w:rPr>
        <w:t>t</w:t>
      </w:r>
      <w:r w:rsidRPr="00AD33E8">
        <w:rPr>
          <w:snapToGrid w:val="0"/>
        </w:rPr>
        <w:t xml:space="preserve">sättning för en lyckad etablering av en profession eller kår. Begreppet </w:t>
      </w:r>
      <w:r w:rsidRPr="00AD33E8">
        <w:rPr>
          <w:i/>
          <w:snapToGrid w:val="0"/>
        </w:rPr>
        <w:t xml:space="preserve">kår </w:t>
      </w:r>
      <w:r w:rsidRPr="00AD33E8">
        <w:rPr>
          <w:snapToGrid w:val="0"/>
        </w:rPr>
        <w:t>används i stället för profession med syfte att avgränsa de professioner som har statligt huvudmannaskap. Sex kårer urskiljs tydligt i dagens svenska samhälle</w:t>
      </w:r>
      <w:r w:rsidRPr="00AD33E8">
        <w:rPr>
          <w:snapToGrid w:val="0"/>
        </w:rPr>
        <w:t>: officerarna, polismännen, diplomaterna, tullarna, lantmätarna och domarna.</w:t>
      </w:r>
    </w:p>
    <w:p w:rsidR="007B7A21" w:rsidRPr="00AD33E8" w:rsidRDefault="007B7A21">
      <w:pPr>
        <w:pStyle w:val="Normaltindrag"/>
        <w:rPr>
          <w:snapToGrid w:val="0"/>
        </w:rPr>
      </w:pPr>
      <w:r w:rsidRPr="00AD33E8">
        <w:rPr>
          <w:snapToGrid w:val="0"/>
        </w:rPr>
        <w:t>Existensen av kårer står, enligt utredarna, potentiellt i konflikt med värden som demokrati och effektivitet. För demokrativärdet kan en yrkeskår som en självständig aktör inom en myndighet bli ett hot mot demokratiskt fattade beslut. En kårs monopolställning kan medföra en mindre effektiv förvaltning, där resursfördelningen är en följd av kårens intressen snarare än samhällsi</w:t>
      </w:r>
      <w:r w:rsidRPr="00AD33E8">
        <w:rPr>
          <w:snapToGrid w:val="0"/>
        </w:rPr>
        <w:t>n</w:t>
      </w:r>
      <w:r w:rsidRPr="00AD33E8">
        <w:rPr>
          <w:snapToGrid w:val="0"/>
        </w:rPr>
        <w:t xml:space="preserve">tresset. </w:t>
      </w:r>
    </w:p>
    <w:p w:rsidR="007B7A21" w:rsidRPr="00AD33E8" w:rsidRDefault="007B7A21">
      <w:pPr>
        <w:pStyle w:val="Normaltindrag"/>
        <w:rPr>
          <w:snapToGrid w:val="0"/>
        </w:rPr>
      </w:pPr>
      <w:r w:rsidRPr="00AD33E8">
        <w:rPr>
          <w:snapToGrid w:val="0"/>
        </w:rPr>
        <w:t>Med två fallstudier som utgångspunkt har utredarna frågat hur graden av kårintresse påverkar myndigheternas verksamhet. Denna fråga är på grund av sin bredd omöjlig att besvara i sin helhet. Författarna har bl.a. studerat kårens ekonomiska utbyte av verksamheten, i det här fallet löneutvecklingen. Slu</w:t>
      </w:r>
      <w:r w:rsidRPr="00AD33E8">
        <w:rPr>
          <w:snapToGrid w:val="0"/>
        </w:rPr>
        <w:t>t</w:t>
      </w:r>
      <w:r w:rsidRPr="00AD33E8">
        <w:rPr>
          <w:snapToGrid w:val="0"/>
        </w:rPr>
        <w:t>satsen av svaret på frågan om kårens styrka påverkar det egna ekonomiska utbytet av verksamheten blir i allt väsentligt ja.</w:t>
      </w:r>
    </w:p>
    <w:p w:rsidR="007B7A21" w:rsidRPr="00AD33E8" w:rsidRDefault="007B7A21">
      <w:pPr>
        <w:pStyle w:val="Normaltindrag"/>
        <w:rPr>
          <w:snapToGrid w:val="0"/>
        </w:rPr>
      </w:pPr>
      <w:r w:rsidRPr="00AD33E8">
        <w:rPr>
          <w:snapToGrid w:val="0"/>
        </w:rPr>
        <w:t>Resultatet av studien har givit författarna fog för uppfattningen att kårerna är en realitet i förvaltningen i dag, och att alltför lite möda hittills har lagts ner på att undersöka hur de egentligen påverkar sin myndighet. När det gäller möjligheten att belysa utredningens frågeställningar genom statistik för</w:t>
      </w:r>
      <w:r w:rsidRPr="00AD33E8">
        <w:rPr>
          <w:snapToGrid w:val="0"/>
        </w:rPr>
        <w:t>e</w:t>
      </w:r>
      <w:r w:rsidRPr="00AD33E8">
        <w:rPr>
          <w:snapToGrid w:val="0"/>
        </w:rPr>
        <w:t>språkar författarna statistiska indelningsgrunder som i högre grad än i nul</w:t>
      </w:r>
      <w:r w:rsidRPr="00AD33E8">
        <w:rPr>
          <w:snapToGrid w:val="0"/>
        </w:rPr>
        <w:t>ä</w:t>
      </w:r>
      <w:r w:rsidRPr="00AD33E8">
        <w:rPr>
          <w:snapToGrid w:val="0"/>
        </w:rPr>
        <w:t>get a</w:t>
      </w:r>
      <w:r w:rsidRPr="00AD33E8">
        <w:rPr>
          <w:snapToGrid w:val="0"/>
        </w:rPr>
        <w:t>v</w:t>
      </w:r>
      <w:r w:rsidRPr="00AD33E8">
        <w:rPr>
          <w:snapToGrid w:val="0"/>
        </w:rPr>
        <w:t>speglar empiriskt förankrade grupperingar inom en myndighet.</w:t>
      </w:r>
    </w:p>
    <w:p w:rsidR="007B7A21" w:rsidRPr="00AD33E8" w:rsidRDefault="007B7A21">
      <w:pPr>
        <w:pStyle w:val="Rubrik3"/>
      </w:pPr>
      <w:bookmarkStart w:id="247" w:name="_Toc522593270"/>
      <w:bookmarkStart w:id="248" w:name="_Toc535045368"/>
      <w:bookmarkStart w:id="249" w:name="_Toc3887413"/>
      <w:bookmarkStart w:id="250" w:name="_Toc21425326"/>
      <w:r w:rsidRPr="00AD33E8">
        <w:t>Samlad utvärdering av den arbetsgivarpolitiska reformen</w:t>
      </w:r>
      <w:bookmarkEnd w:id="247"/>
      <w:bookmarkEnd w:id="248"/>
      <w:bookmarkEnd w:id="249"/>
      <w:bookmarkEnd w:id="250"/>
    </w:p>
    <w:p w:rsidR="007B7A21" w:rsidRPr="00AD33E8" w:rsidRDefault="007B7A21">
      <w:r w:rsidRPr="00AD33E8">
        <w:t>Vid regeringssammanträde den 1 mars 2001 beslöts att en särskild utredare ska utvärdera den arbetsgivarpolitiska reform på det statliga området som genomfördes den 1 juli 1994 (dir. 2001:16). Utred</w:t>
      </w:r>
      <w:r w:rsidRPr="00AD33E8">
        <w:softHyphen/>
        <w:t>ningen beräknas avsluta sitt arbete senast den 1 april 2002. Utredaren ska bedöma effekterna av den arbetsgivarpolitiska delegeringen på lönebildningen, personalförsörjningen och andra personalpolitiska frågor inom statsförvaltningen. Vidare ska den teknik som används för justering av lönekostnadsdelen i myndigheternas förvaltningsanslag granskas. Slutligen ska utredaren kartlägga och redovisa eventuella oklarheter i fråga om fördelningen av befogenheter inom det arbetsgivarpolitiska området mellan regerin</w:t>
      </w:r>
      <w:r w:rsidRPr="00AD33E8">
        <w:t>gen, Arbetsgivarverket och my</w:t>
      </w:r>
      <w:r w:rsidRPr="00AD33E8">
        <w:t>n</w:t>
      </w:r>
      <w:r w:rsidRPr="00AD33E8">
        <w:t>digheterna och lämna fö</w:t>
      </w:r>
      <w:r w:rsidRPr="00AD33E8">
        <w:t>r</w:t>
      </w:r>
      <w:r w:rsidRPr="00AD33E8">
        <w:t>slag till eventuella åtgärder.</w:t>
      </w:r>
    </w:p>
    <w:p w:rsidR="007B7A21" w:rsidRPr="00AD33E8" w:rsidRDefault="007B7A21">
      <w:pPr>
        <w:pStyle w:val="Rubrik2"/>
      </w:pPr>
      <w:bookmarkStart w:id="251" w:name="_Toc535045369"/>
      <w:bookmarkStart w:id="252" w:name="_Toc3887414"/>
      <w:bookmarkStart w:id="253" w:name="_Toc21425327"/>
      <w:r w:rsidRPr="00AD33E8">
        <w:t>Utredningar om organisation och ekonomiadministration</w:t>
      </w:r>
      <w:bookmarkEnd w:id="251"/>
      <w:bookmarkEnd w:id="252"/>
      <w:bookmarkEnd w:id="253"/>
    </w:p>
    <w:p w:rsidR="007B7A21" w:rsidRPr="00AD33E8" w:rsidRDefault="007B7A21">
      <w:r w:rsidRPr="00AD33E8">
        <w:t>I detta avsnitt behandlas personalpolitikens relation till ekonomistyrning och budgetpolitik. Med den s.k. rambudgeteringen och den decentraliserade lönesättningen blev sambandet mellan budgetutrymme och förutsättningar för personalpolitik större än tid</w:t>
      </w:r>
      <w:r w:rsidRPr="00AD33E8">
        <w:t>i</w:t>
      </w:r>
      <w:r w:rsidRPr="00AD33E8">
        <w:t>gare. Även i revisorernas granskning av myn</w:t>
      </w:r>
      <w:r w:rsidRPr="00AD33E8">
        <w:softHyphen/>
        <w:t>dig</w:t>
      </w:r>
      <w:r w:rsidRPr="00AD33E8">
        <w:softHyphen/>
        <w:t>heternas lönekostnader (föregående avsnitt) påvisades tydliga samband mellan verksamhet, personalfrågor och resultat.</w:t>
      </w:r>
    </w:p>
    <w:p w:rsidR="007B7A21" w:rsidRPr="00AD33E8" w:rsidRDefault="007B7A21">
      <w:pPr>
        <w:pStyle w:val="Rubrik3"/>
      </w:pPr>
      <w:bookmarkStart w:id="254" w:name="_Toc535045370"/>
      <w:bookmarkStart w:id="255" w:name="_Toc3887415"/>
      <w:bookmarkStart w:id="256" w:name="_Toc21425328"/>
      <w:r w:rsidRPr="00AD33E8">
        <w:t>Tvåprocentaren på 1980-talet</w:t>
      </w:r>
      <w:bookmarkEnd w:id="254"/>
      <w:bookmarkEnd w:id="255"/>
      <w:bookmarkEnd w:id="256"/>
    </w:p>
    <w:p w:rsidR="007B7A21" w:rsidRPr="00AD33E8" w:rsidRDefault="007B7A21">
      <w:r w:rsidRPr="00AD33E8">
        <w:t>Kravet att myndigheterna i sina anslagsframställningar skulle redovisa ett besparingsalternativ gällde för första gången i budgeteringen inför budgetåret 1979/80. Besparingsberäkningen skulle utgå från föregående års anslag. Efter pris- och löneomräkning skulle beloppet minskas schablonmässigt med 2 %. Alternativt skulle besparingen utgå från rationaliserings- och produkt</w:t>
      </w:r>
      <w:r w:rsidRPr="00AD33E8">
        <w:t>i</w:t>
      </w:r>
      <w:r w:rsidRPr="00AD33E8">
        <w:t>vitetsvinster. Denna s.k. osthyvel tillämpades under cirka tio år. Efterhand tonades den årliga besparingen ned till förmån för mer långsiktiga insatser. Inför budgetåret 1984/85 var det fråga om produktivitetsvinster på minst 6 % fördelade på tre år.</w:t>
      </w:r>
    </w:p>
    <w:p w:rsidR="007B7A21" w:rsidRPr="00AD33E8" w:rsidRDefault="007B7A21">
      <w:pPr>
        <w:pStyle w:val="Normaltindrag"/>
      </w:pPr>
      <w:r w:rsidRPr="00AD33E8">
        <w:t>År 1988 publicerade Expertgruppen för studier i offentlig ekonomi (ESO) rapporten Hur stor blev tvåprocentaren? som utarbetats av Karin Brunsson (Ds 1988:34). Studien gjordes genom att besparingarna följdes upp på tio myndigheter. Slutsatsen var att det var f</w:t>
      </w:r>
      <w:r w:rsidRPr="00AD33E8">
        <w:t>örknippat med stora svårigheter att beräkna besparingseffekten. Det kunde bero på att myndigheterna fick tilläggs</w:t>
      </w:r>
      <w:r w:rsidRPr="00AD33E8">
        <w:softHyphen/>
        <w:t>anslag under pågående verksamhetsår. Förhållandet att myndigheter k</w:t>
      </w:r>
      <w:r w:rsidRPr="00AD33E8">
        <w:t>ö</w:t>
      </w:r>
      <w:r w:rsidRPr="00AD33E8">
        <w:t>per tjänster av varandra verkade också försvårande på analysen.</w:t>
      </w:r>
    </w:p>
    <w:p w:rsidR="007B7A21" w:rsidRPr="00AD33E8" w:rsidRDefault="007B7A21">
      <w:pPr>
        <w:pStyle w:val="Normaltindrag"/>
      </w:pPr>
      <w:r w:rsidRPr="00AD33E8">
        <w:t>Slutsatsen var att tvåprocentaren som besparingsmål i första hand haft ett symbolvärde. Det fanns dock, enligt rapporten, ett värde i att det faktiska utfallet inte exakt går att fastställa. ”Idén om att statliga myndigheter lever under ständigt knappare villkor led</w:t>
      </w:r>
      <w:r w:rsidRPr="00AD33E8">
        <w:t>er till resurssnålare verksamhet än vad som skulle vara fallet om statsförvaltningens ideologi mera var anpassad till verkligh</w:t>
      </w:r>
      <w:r w:rsidRPr="00AD33E8">
        <w:t>e</w:t>
      </w:r>
      <w:r w:rsidRPr="00AD33E8">
        <w:t>ten sådan den är” (Ds 1988:34, s. 61).</w:t>
      </w:r>
    </w:p>
    <w:p w:rsidR="007B7A21" w:rsidRPr="00AD33E8" w:rsidRDefault="007B7A21">
      <w:pPr>
        <w:pStyle w:val="Rubrik3"/>
      </w:pPr>
      <w:bookmarkStart w:id="257" w:name="_Toc535045371"/>
      <w:bookmarkStart w:id="258" w:name="_Toc3887416"/>
      <w:bookmarkStart w:id="259" w:name="_Toc21425329"/>
      <w:r w:rsidRPr="00AD33E8">
        <w:t>Riksdagens revisorer om statens omställningsarbete</w:t>
      </w:r>
      <w:bookmarkEnd w:id="257"/>
      <w:bookmarkEnd w:id="258"/>
      <w:bookmarkEnd w:id="259"/>
    </w:p>
    <w:p w:rsidR="007B7A21" w:rsidRPr="00AD33E8" w:rsidRDefault="007B7A21">
      <w:r w:rsidRPr="00AD33E8">
        <w:t xml:space="preserve">I en granskning av omstruktureringar i statsförvaltningen, </w:t>
      </w:r>
      <w:r w:rsidRPr="00AD33E8">
        <w:rPr>
          <w:b/>
        </w:rPr>
        <w:t>Att ändra stat</w:t>
      </w:r>
      <w:r w:rsidRPr="00AD33E8">
        <w:rPr>
          <w:b/>
        </w:rPr>
        <w:t>s</w:t>
      </w:r>
      <w:r w:rsidRPr="00AD33E8">
        <w:rPr>
          <w:b/>
        </w:rPr>
        <w:t>förvaltningen</w:t>
      </w:r>
      <w:r w:rsidRPr="00AD33E8">
        <w:t xml:space="preserve"> (rapport 1991/92:12, skrivelse 1992/93:RR3), konstaterade revisorerna att förändringar i statsförvaltningens verksamhet och struktur ofta drar med sig stora, delvis osynliga kostnader. </w:t>
      </w:r>
    </w:p>
    <w:p w:rsidR="007B7A21" w:rsidRPr="00AD33E8" w:rsidRDefault="007B7A21">
      <w:pPr>
        <w:pStyle w:val="Normaltindrag"/>
      </w:pPr>
      <w:r w:rsidRPr="00AD33E8">
        <w:t xml:space="preserve">I granskningen analyserades kostnader och intäkter av omorganisationer med utgångspunkt i en principmodell som byggde på att en omorganisation är en process som utvecklas i successiva skeden. Modellen identifierade olika skeden som ”passeras” innan omorganisationen är genomförd och dess intäkter </w:t>
      </w:r>
      <w:r w:rsidRPr="00AD33E8">
        <w:t xml:space="preserve">kan realiseras. </w:t>
      </w:r>
    </w:p>
    <w:p w:rsidR="007B7A21" w:rsidRPr="00AD33E8" w:rsidRDefault="007B7A21">
      <w:pPr>
        <w:pStyle w:val="Normaltindrag"/>
      </w:pPr>
      <w:r w:rsidRPr="00AD33E8">
        <w:t>Revisorerna föreslog bättre beredningar av förslag till omstruktureringar. Flera aspekter som t.ex. motiv för ombildningar och konsekvenser för ver</w:t>
      </w:r>
      <w:r w:rsidRPr="00AD33E8">
        <w:t>k</w:t>
      </w:r>
      <w:r w:rsidRPr="00AD33E8">
        <w:t>samhet, personal och resurshushållning borde vägas in vid planering av reformer. Vidare borde regeringen ta initiativ för att samla och analysera erfarenheter av förändringar i statens organisation eller verksamhetsformer. Genomförda omstruktureringar borde redovisas i budgetpr</w:t>
      </w:r>
      <w:r w:rsidRPr="00AD33E8">
        <w:t>o</w:t>
      </w:r>
      <w:r w:rsidRPr="00AD33E8">
        <w:t>positionen.</w:t>
      </w:r>
    </w:p>
    <w:p w:rsidR="007B7A21" w:rsidRPr="00AD33E8" w:rsidRDefault="007B7A21">
      <w:pPr>
        <w:pStyle w:val="Normaltindrag"/>
      </w:pPr>
      <w:r w:rsidRPr="00AD33E8">
        <w:t>Riksdagen (1992/93:FiU17) ställde sig bakom revisorernas förslag och anmodade regeringen att lämna riksdagen en redogörelse för de åtgärder som vidtagits för att förbättra de brister som revisorerna uppmärksammat i grans</w:t>
      </w:r>
      <w:r w:rsidRPr="00AD33E8">
        <w:t xml:space="preserve">kningen. </w:t>
      </w:r>
    </w:p>
    <w:p w:rsidR="007B7A21" w:rsidRPr="00AD33E8" w:rsidRDefault="007B7A21">
      <w:pPr>
        <w:pStyle w:val="Normaltindrag"/>
      </w:pPr>
      <w:r w:rsidRPr="00AD33E8">
        <w:t>Regeringen redovisade (prop. 1993/94:100 bil. 8) sina bedömningar och åtgärder i samband med redogörelsen för effektiviseringen och utvecklingen av den offentliga förvaltningen. Som ett stöd för dem som arbetar med org</w:t>
      </w:r>
      <w:r w:rsidRPr="00AD33E8">
        <w:t>a</w:t>
      </w:r>
      <w:r w:rsidRPr="00AD33E8">
        <w:t>nisations- och strukturfrågor inom Regeringskansliet hade ett handläggning</w:t>
      </w:r>
      <w:r w:rsidRPr="00AD33E8">
        <w:t>s</w:t>
      </w:r>
      <w:r w:rsidRPr="00AD33E8">
        <w:t xml:space="preserve">cirkulär utarbetats inom Statsrådsberedningen och Finansdepartementet. Vidare delade regeringen bedömningen att underlagen för regeringens och riksdagens uppföljning av organisations- och strukturförändringar behöver förbättras vad gäller bl.a. kostnads-, personal- och produktivitetsutveckling. Dessa underlag borde utformas så att resultatet av åtgärderna skulle kunna följas upp. </w:t>
      </w:r>
    </w:p>
    <w:p w:rsidR="007B7A21" w:rsidRPr="00AD33E8" w:rsidRDefault="007B7A21">
      <w:pPr>
        <w:pStyle w:val="Rubrik3"/>
      </w:pPr>
      <w:bookmarkStart w:id="260" w:name="_Toc3887417"/>
      <w:bookmarkStart w:id="261" w:name="_Toc21425330"/>
      <w:r w:rsidRPr="00AD33E8">
        <w:t xml:space="preserve">Rapport om hinder för förnyelsearbetet vid statliga </w:t>
      </w:r>
      <w:r w:rsidRPr="00AD33E8">
        <w:t>myndigheter</w:t>
      </w:r>
      <w:bookmarkEnd w:id="260"/>
      <w:bookmarkEnd w:id="261"/>
    </w:p>
    <w:p w:rsidR="007B7A21" w:rsidRPr="00AD33E8" w:rsidRDefault="007B7A21">
      <w:r w:rsidRPr="00AD33E8">
        <w:t>Statens förnyelsefond redovisade år 1996 en undersökning där man i en bred enkät kartlagt hinder för det pågående förändringsarbetet vid statliga my</w:t>
      </w:r>
      <w:r w:rsidRPr="00AD33E8">
        <w:t>n</w:t>
      </w:r>
      <w:r w:rsidRPr="00AD33E8">
        <w:t xml:space="preserve">digheter. </w:t>
      </w:r>
    </w:p>
    <w:p w:rsidR="007B7A21" w:rsidRPr="00AD33E8" w:rsidRDefault="007B7A21">
      <w:pPr>
        <w:pStyle w:val="Normaltindrag"/>
      </w:pPr>
      <w:r w:rsidRPr="00AD33E8">
        <w:t>Undersökningen använde en metod där man identifierar och rangordnar problem. Det var totalt 150 olika problempåståenden som den svarande fick ta ställning till. De svarande var indelade i fyra grupper; centrala chefer, regionala chefer, personal samt fackliga företrädare. Här redovisas de fyra gruppernas svar med avseende på de tre största problemen.</w:t>
      </w:r>
    </w:p>
    <w:p w:rsidR="007B7A21" w:rsidRPr="00AD33E8" w:rsidRDefault="007B7A21">
      <w:r w:rsidRPr="00AD33E8">
        <w:t>Centrala chefer hade denna rangordning av sina största upplevda problem:</w:t>
      </w:r>
    </w:p>
    <w:p w:rsidR="007B7A21" w:rsidRPr="00AD33E8" w:rsidRDefault="007B7A21">
      <w:pPr>
        <w:pStyle w:val="Normaltindrag"/>
        <w:numPr>
          <w:ilvl w:val="0"/>
          <w:numId w:val="93"/>
        </w:numPr>
      </w:pPr>
      <w:r w:rsidRPr="00AD33E8">
        <w:t>Det är svårt att få fram vettiga och rättvisande mått på vår effektivitet och måluppfyllelse.</w:t>
      </w:r>
    </w:p>
    <w:p w:rsidR="007B7A21" w:rsidRPr="00AD33E8" w:rsidRDefault="007B7A21">
      <w:pPr>
        <w:pStyle w:val="Normaltindrag"/>
        <w:numPr>
          <w:ilvl w:val="0"/>
          <w:numId w:val="93"/>
        </w:numPr>
      </w:pPr>
      <w:r w:rsidRPr="00AD33E8">
        <w:t>Statsförvaltningen ligger för långt efter näringslivet när det gäller lön</w:t>
      </w:r>
      <w:r w:rsidRPr="00AD33E8">
        <w:t>e</w:t>
      </w:r>
      <w:r w:rsidRPr="00AD33E8">
        <w:t>sät</w:t>
      </w:r>
      <w:r w:rsidRPr="00AD33E8">
        <w:t>t</w:t>
      </w:r>
      <w:r w:rsidRPr="00AD33E8">
        <w:t>ning och övriga anställningsförmåner för chefer.</w:t>
      </w:r>
    </w:p>
    <w:p w:rsidR="007B7A21" w:rsidRPr="00AD33E8" w:rsidRDefault="007B7A21">
      <w:pPr>
        <w:pStyle w:val="Normaltindrag"/>
        <w:numPr>
          <w:ilvl w:val="0"/>
          <w:numId w:val="93"/>
        </w:numPr>
      </w:pPr>
      <w:r w:rsidRPr="00AD33E8">
        <w:t>Det är svårt att hinna med egna utbildningsaktiviteter.</w:t>
      </w:r>
    </w:p>
    <w:p w:rsidR="007B7A21" w:rsidRPr="00AD33E8" w:rsidRDefault="007B7A21">
      <w:r w:rsidRPr="00AD33E8">
        <w:t>Regionala chefer hade denna rangordning av sina största upplevda problem:</w:t>
      </w:r>
    </w:p>
    <w:p w:rsidR="007B7A21" w:rsidRPr="00AD33E8" w:rsidRDefault="007B7A21">
      <w:pPr>
        <w:pStyle w:val="Normaltindrag"/>
        <w:numPr>
          <w:ilvl w:val="0"/>
          <w:numId w:val="92"/>
        </w:numPr>
      </w:pPr>
      <w:r w:rsidRPr="00AD33E8">
        <w:t>Statsförvaltningen ligger för långt efter näringslivet när det gäller lön</w:t>
      </w:r>
      <w:r w:rsidRPr="00AD33E8">
        <w:t>e</w:t>
      </w:r>
      <w:r w:rsidRPr="00AD33E8">
        <w:t>sät</w:t>
      </w:r>
      <w:r w:rsidRPr="00AD33E8">
        <w:t>t</w:t>
      </w:r>
      <w:r w:rsidRPr="00AD33E8">
        <w:t>ning och övriga anställningsförmåner för chefer.</w:t>
      </w:r>
    </w:p>
    <w:p w:rsidR="007B7A21" w:rsidRPr="00AD33E8" w:rsidRDefault="007B7A21">
      <w:pPr>
        <w:pStyle w:val="Normaltindrag"/>
        <w:numPr>
          <w:ilvl w:val="0"/>
          <w:numId w:val="92"/>
        </w:numPr>
      </w:pPr>
      <w:r w:rsidRPr="00AD33E8">
        <w:t>Det är svårt att få fram vettiga och rättvisande mått på vår effektivitet och måluppfyllelse.</w:t>
      </w:r>
    </w:p>
    <w:p w:rsidR="007B7A21" w:rsidRPr="00AD33E8" w:rsidRDefault="007B7A21">
      <w:pPr>
        <w:pStyle w:val="Normaltindrag"/>
        <w:numPr>
          <w:ilvl w:val="0"/>
          <w:numId w:val="92"/>
        </w:numPr>
      </w:pPr>
      <w:r w:rsidRPr="00AD33E8">
        <w:t>Politikerna är inte tillräckligt bra på att ange tydliga och klara resulta</w:t>
      </w:r>
      <w:r w:rsidRPr="00AD33E8">
        <w:t>t</w:t>
      </w:r>
      <w:r w:rsidRPr="00AD33E8">
        <w:t>mål och effektivitetskrav för vår verksamhet.</w:t>
      </w:r>
    </w:p>
    <w:p w:rsidR="007B7A21" w:rsidRPr="00AD33E8" w:rsidRDefault="007B7A21">
      <w:r w:rsidRPr="00AD33E8">
        <w:t>Personalen hade denna rangordning av sina största upplevda pr</w:t>
      </w:r>
      <w:r w:rsidRPr="00AD33E8">
        <w:t>o</w:t>
      </w:r>
      <w:r w:rsidRPr="00AD33E8">
        <w:t>blem:</w:t>
      </w:r>
    </w:p>
    <w:p w:rsidR="007B7A21" w:rsidRPr="00AD33E8" w:rsidRDefault="007B7A21">
      <w:pPr>
        <w:pStyle w:val="Normaltindrag"/>
        <w:numPr>
          <w:ilvl w:val="0"/>
          <w:numId w:val="91"/>
        </w:numPr>
      </w:pPr>
      <w:r w:rsidRPr="00AD33E8">
        <w:t>Ökade sparkrav i kombination med ökad arbetsbörda har lett till sämre kvalitet på det vi utför.</w:t>
      </w:r>
    </w:p>
    <w:p w:rsidR="007B7A21" w:rsidRPr="00AD33E8" w:rsidRDefault="007B7A21">
      <w:pPr>
        <w:pStyle w:val="Normaltindrag"/>
        <w:numPr>
          <w:ilvl w:val="0"/>
          <w:numId w:val="91"/>
        </w:numPr>
      </w:pPr>
      <w:r w:rsidRPr="00AD33E8">
        <w:t>Regering och riksdag tar för kortsiktig hänsyn då de fattar beslut om vår verksamhet.</w:t>
      </w:r>
    </w:p>
    <w:p w:rsidR="007B7A21" w:rsidRPr="00AD33E8" w:rsidRDefault="007B7A21">
      <w:pPr>
        <w:pStyle w:val="Normaltindrag"/>
        <w:numPr>
          <w:ilvl w:val="0"/>
          <w:numId w:val="91"/>
        </w:numPr>
      </w:pPr>
      <w:r w:rsidRPr="00AD33E8">
        <w:t>Det är svårt att få fram vettiga och rättvisande mått på vår effektivitet och måluppfyllelse.</w:t>
      </w:r>
    </w:p>
    <w:p w:rsidR="007B7A21" w:rsidRPr="00AD33E8" w:rsidRDefault="007B7A21">
      <w:r w:rsidRPr="00AD33E8">
        <w:t>De fackliga företrädarna hade denna rangordning av sina största upplevda problem:</w:t>
      </w:r>
    </w:p>
    <w:p w:rsidR="007B7A21" w:rsidRPr="00AD33E8" w:rsidRDefault="007B7A21">
      <w:pPr>
        <w:pStyle w:val="Normaltindrag"/>
        <w:numPr>
          <w:ilvl w:val="0"/>
          <w:numId w:val="90"/>
        </w:numPr>
      </w:pPr>
      <w:r w:rsidRPr="00AD33E8">
        <w:t>Cheferna har inte tillräcklig utbildning i ledarskapsfrågor.</w:t>
      </w:r>
    </w:p>
    <w:p w:rsidR="007B7A21" w:rsidRPr="00AD33E8" w:rsidRDefault="007B7A21">
      <w:pPr>
        <w:pStyle w:val="Normaltindrag"/>
        <w:numPr>
          <w:ilvl w:val="0"/>
          <w:numId w:val="90"/>
        </w:numPr>
      </w:pPr>
      <w:r w:rsidRPr="00AD33E8">
        <w:t>Man har svårt finna lämpliga lösningar för chefer som inte passar på sin post.</w:t>
      </w:r>
    </w:p>
    <w:p w:rsidR="007B7A21" w:rsidRPr="00AD33E8" w:rsidRDefault="007B7A21">
      <w:pPr>
        <w:pStyle w:val="Normaltindrag"/>
        <w:numPr>
          <w:ilvl w:val="0"/>
          <w:numId w:val="90"/>
        </w:numPr>
      </w:pPr>
      <w:r w:rsidRPr="00AD33E8">
        <w:t>Våra chefer är inte tillräckligt bra på att lindra de anställdas oro vid personalneddragningar.</w:t>
      </w:r>
    </w:p>
    <w:p w:rsidR="007B7A21" w:rsidRPr="00AD33E8" w:rsidRDefault="007B7A21">
      <w:r w:rsidRPr="00AD33E8">
        <w:t>I utredningens sammanfattning väger man ihop det som upplevts som stora problem med det som anses fungera bra. Det som bedömts bra är i första hand dels möjligheterna att självständigt b</w:t>
      </w:r>
      <w:r w:rsidRPr="00AD33E8">
        <w:t>e</w:t>
      </w:r>
      <w:r w:rsidRPr="00AD33E8">
        <w:t>driva förändringsarbete utan de</w:t>
      </w:r>
      <w:r w:rsidRPr="00AD33E8">
        <w:softHyphen/>
        <w:t>talj</w:t>
      </w:r>
      <w:r w:rsidRPr="00AD33E8">
        <w:softHyphen/>
        <w:t>styrning, dels personalens förmåga. Däremot måste både regering och verksledningar ge klarare och tydligare samt långsiktiga riktlinjer för ver</w:t>
      </w:r>
      <w:r w:rsidRPr="00AD33E8">
        <w:t>k</w:t>
      </w:r>
      <w:r w:rsidRPr="00AD33E8">
        <w:t>samheten. Uppföljningen måste bli bättre i den meningen att den ska ge rättvisande bilder av ver</w:t>
      </w:r>
      <w:r w:rsidRPr="00AD33E8">
        <w:t>k</w:t>
      </w:r>
      <w:r w:rsidRPr="00AD33E8">
        <w:t>samheternas resultat.</w:t>
      </w:r>
    </w:p>
    <w:p w:rsidR="007B7A21" w:rsidRPr="00AD33E8" w:rsidRDefault="007B7A21">
      <w:pPr>
        <w:pStyle w:val="Rubrik3"/>
      </w:pPr>
      <w:bookmarkStart w:id="262" w:name="_Toc535045372"/>
      <w:bookmarkStart w:id="263" w:name="_Toc3887418"/>
      <w:bookmarkStart w:id="264" w:name="_Toc21425331"/>
      <w:r w:rsidRPr="00AD33E8">
        <w:t>Sparprogrammet under 1990-talet</w:t>
      </w:r>
      <w:bookmarkEnd w:id="262"/>
      <w:bookmarkEnd w:id="263"/>
      <w:bookmarkEnd w:id="264"/>
    </w:p>
    <w:p w:rsidR="007B7A21" w:rsidRPr="00AD33E8" w:rsidRDefault="007B7A21">
      <w:r w:rsidRPr="00AD33E8">
        <w:t xml:space="preserve">I en effektivitetsrevision från Riksrevisionsverket (RRV 1999:35), </w:t>
      </w:r>
      <w:r w:rsidRPr="00AD33E8">
        <w:rPr>
          <w:b/>
        </w:rPr>
        <w:t>Myndi</w:t>
      </w:r>
      <w:r w:rsidRPr="00AD33E8">
        <w:rPr>
          <w:b/>
        </w:rPr>
        <w:t>g</w:t>
      </w:r>
      <w:r w:rsidRPr="00AD33E8">
        <w:rPr>
          <w:b/>
        </w:rPr>
        <w:t xml:space="preserve">heters agerande i ett besparingsskede, </w:t>
      </w:r>
      <w:r w:rsidRPr="00AD33E8">
        <w:t>har åtgärder för att minska respekt</w:t>
      </w:r>
      <w:r w:rsidRPr="00AD33E8">
        <w:t>i</w:t>
      </w:r>
      <w:r w:rsidRPr="00AD33E8">
        <w:t xml:space="preserve">ve verksamhets kostnader studerats för perioden 1995-1998. I rapporten redovisas en rad olika iakttagelser från skilda fallstudier. </w:t>
      </w:r>
    </w:p>
    <w:p w:rsidR="007B7A21" w:rsidRPr="00AD33E8" w:rsidRDefault="007B7A21">
      <w:pPr>
        <w:pStyle w:val="Normaltindrag"/>
      </w:pPr>
      <w:r w:rsidRPr="00AD33E8">
        <w:t xml:space="preserve">De flesta besparingarna gjordes inom personalområdet. Vanligt var att myndigheterna inte återbesatte vakanta tjänster. Närmare 90 procent av myndigheterna hade minskat sin administrativa personal. Administrativa uppgifter har förts över till handläggare. </w:t>
      </w:r>
    </w:p>
    <w:p w:rsidR="007B7A21" w:rsidRPr="00AD33E8" w:rsidRDefault="007B7A21">
      <w:pPr>
        <w:pStyle w:val="Normaltindrag"/>
      </w:pPr>
      <w:r w:rsidRPr="00AD33E8">
        <w:t>Översyn av administrativa rutiner var en vanlig sparåtgärd. Vid två unde</w:t>
      </w:r>
      <w:r w:rsidRPr="00AD33E8">
        <w:t>r</w:t>
      </w:r>
      <w:r w:rsidRPr="00AD33E8">
        <w:t>sökta myndigheter hade det RRV kallar besparingstrycket föranlett verksa</w:t>
      </w:r>
      <w:r w:rsidRPr="00AD33E8">
        <w:t>m</w:t>
      </w:r>
      <w:r w:rsidRPr="00AD33E8">
        <w:t>hets- och organisationsöversyner. Förändringsarbetet hade fått skjuts och kostnadsmedvetandet ökat.</w:t>
      </w:r>
    </w:p>
    <w:p w:rsidR="007B7A21" w:rsidRPr="00AD33E8" w:rsidRDefault="007B7A21">
      <w:pPr>
        <w:pStyle w:val="Normaltindrag"/>
      </w:pPr>
      <w:r w:rsidRPr="00AD33E8">
        <w:t>Stressen hade ökat hos personalen på flera av de undersökta myndighete</w:t>
      </w:r>
      <w:r w:rsidRPr="00AD33E8">
        <w:t>r</w:t>
      </w:r>
      <w:r w:rsidRPr="00AD33E8">
        <w:t>na. Tidsbrist eller ökad arbetsbörda anges som orsak. I granskningen redov</w:t>
      </w:r>
      <w:r w:rsidRPr="00AD33E8">
        <w:t>i</w:t>
      </w:r>
      <w:r w:rsidRPr="00AD33E8">
        <w:t>sas en studie från Riksförsäkringsverket som visar att den minskade bema</w:t>
      </w:r>
      <w:r w:rsidRPr="00AD33E8">
        <w:t>n</w:t>
      </w:r>
      <w:r w:rsidRPr="00AD33E8">
        <w:t>ningen medfört minskad produktion, längre handläggningstider och komp</w:t>
      </w:r>
      <w:r w:rsidRPr="00AD33E8">
        <w:t>e</w:t>
      </w:r>
      <w:r w:rsidRPr="00AD33E8">
        <w:t>ten</w:t>
      </w:r>
      <w:r w:rsidRPr="00AD33E8">
        <w:t>s</w:t>
      </w:r>
      <w:r w:rsidRPr="00AD33E8">
        <w:t>förluster.</w:t>
      </w:r>
    </w:p>
    <w:p w:rsidR="007B7A21" w:rsidRPr="00AD33E8" w:rsidRDefault="007B7A21">
      <w:pPr>
        <w:pStyle w:val="Normaltindrag"/>
      </w:pPr>
      <w:r w:rsidRPr="00AD33E8">
        <w:t>RRV:s granskning avsåg inte att analysera vad besparingstrycket inneburit för sakverksamheten. Flera av iakttagelserna motiverar dock frågor om vad som hänt med verksamheten. RRV frågar vad som blir resultatet av den personalpolitiska omdisposition som ökningen av administrativ</w:t>
      </w:r>
      <w:r w:rsidRPr="00AD33E8">
        <w:t>a uppgifter för handläggare är. Tiden för sakverksamheten synes minska. Denna har påverkats negativt, trots att avsikten varit att freda den. Framåtsyftande å</w:t>
      </w:r>
      <w:r w:rsidRPr="00AD33E8">
        <w:t>t</w:t>
      </w:r>
      <w:r w:rsidRPr="00AD33E8">
        <w:t>gärder som kompetensutveckling och verksamhetsuppföljning har fått stå tillbaka. Oklara prioriteringar mellan verksamheter uppstod. Flera myndi</w:t>
      </w:r>
      <w:r w:rsidRPr="00AD33E8">
        <w:t>g</w:t>
      </w:r>
      <w:r w:rsidRPr="00AD33E8">
        <w:t>heter har också rapporterat dessa problem i särskild ordning till regerin</w:t>
      </w:r>
      <w:r w:rsidRPr="00AD33E8">
        <w:t>g</w:t>
      </w:r>
      <w:r w:rsidRPr="00AD33E8">
        <w:t>en.</w:t>
      </w:r>
    </w:p>
    <w:p w:rsidR="007B7A21" w:rsidRPr="00AD33E8" w:rsidRDefault="007B7A21">
      <w:pPr>
        <w:pStyle w:val="Normaltindrag"/>
      </w:pPr>
      <w:r w:rsidRPr="00AD33E8">
        <w:t>RRV:s slutsats var att det fanns risker för minskad eller försämrad sa</w:t>
      </w:r>
      <w:r w:rsidRPr="00AD33E8">
        <w:t>k</w:t>
      </w:r>
      <w:r w:rsidRPr="00AD33E8">
        <w:t>verksamhet i samband med besparingstrycket. Framtida uppföljningar borde fokuseras mot den verksamhet och service myndigheterna enligt sina i</w:t>
      </w:r>
      <w:r w:rsidRPr="00AD33E8">
        <w:t>n</w:t>
      </w:r>
      <w:r w:rsidRPr="00AD33E8">
        <w:t>struktioner ska bedriva.</w:t>
      </w:r>
    </w:p>
    <w:p w:rsidR="007B7A21" w:rsidRPr="00AD33E8" w:rsidRDefault="007B7A21">
      <w:pPr>
        <w:pStyle w:val="Rubrik2"/>
      </w:pPr>
      <w:bookmarkStart w:id="265" w:name="_Toc535045373"/>
      <w:bookmarkStart w:id="266" w:name="_Toc3887419"/>
      <w:bookmarkStart w:id="267" w:name="_Toc21425332"/>
      <w:r w:rsidRPr="00AD33E8">
        <w:t>Förvaltningspolitiska utredningar</w:t>
      </w:r>
      <w:bookmarkEnd w:id="265"/>
      <w:bookmarkEnd w:id="266"/>
      <w:bookmarkEnd w:id="267"/>
    </w:p>
    <w:p w:rsidR="007B7A21" w:rsidRPr="00AD33E8" w:rsidRDefault="007B7A21">
      <w:r w:rsidRPr="00AD33E8">
        <w:t>I detta avsnitt breddas perspektivet på statliga personalfrågor. Iakttagelser, bedömningar och resultat redovisas från tre stora utredningar under perioden 1985 till 2000. Det gäller de delar i Maktutredningens, Förvaltningspolitiska kommissionens och Demokratiutredningens slutbetänkanden som uppehåller sig kring statlig personal.</w:t>
      </w:r>
    </w:p>
    <w:p w:rsidR="007B7A21" w:rsidRPr="00AD33E8" w:rsidRDefault="007B7A21">
      <w:pPr>
        <w:pStyle w:val="Rubrik3"/>
      </w:pPr>
      <w:bookmarkStart w:id="268" w:name="_Toc535045374"/>
      <w:bookmarkStart w:id="269" w:name="_Toc3887420"/>
      <w:bookmarkStart w:id="270" w:name="_Toc21425333"/>
      <w:r w:rsidRPr="00AD33E8">
        <w:t>Maktutredningen</w:t>
      </w:r>
      <w:bookmarkEnd w:id="268"/>
      <w:bookmarkEnd w:id="269"/>
      <w:bookmarkEnd w:id="270"/>
    </w:p>
    <w:p w:rsidR="007B7A21" w:rsidRPr="00AD33E8" w:rsidRDefault="007B7A21">
      <w:r w:rsidRPr="00AD33E8">
        <w:t>I juni 1985, i tiden nära de personalpolitiska reformerna och de inledande initiativen att förnya statsförvaltningen, tillsatte regeringen den s.k. Maktu</w:t>
      </w:r>
      <w:r w:rsidRPr="00AD33E8">
        <w:t>t</w:t>
      </w:r>
      <w:r w:rsidRPr="00AD33E8">
        <w:t xml:space="preserve">redningen. Den arbetade i fem år. I arbetet deltog 142 personer, framför allt forskare. Man publicerade 16 böcker och 23 rapporter. </w:t>
      </w:r>
    </w:p>
    <w:p w:rsidR="007B7A21" w:rsidRPr="00AD33E8" w:rsidRDefault="007B7A21">
      <w:pPr>
        <w:pStyle w:val="Normaltindrag"/>
      </w:pPr>
      <w:r w:rsidRPr="00AD33E8">
        <w:t>I huvudbetänkandet Demokrati och makt i Sverige (SOU 1990:44) b</w:t>
      </w:r>
      <w:r w:rsidRPr="00AD33E8">
        <w:t>e</w:t>
      </w:r>
      <w:r w:rsidRPr="00AD33E8">
        <w:t>handlas den statliga personalen från två teoretiska perspektiv: den klassiska byr</w:t>
      </w:r>
      <w:r w:rsidRPr="00AD33E8">
        <w:t>å</w:t>
      </w:r>
      <w:r w:rsidRPr="00AD33E8">
        <w:t>kratin och professionsstyret.</w:t>
      </w:r>
    </w:p>
    <w:p w:rsidR="007B7A21" w:rsidRPr="00AD33E8" w:rsidRDefault="007B7A21">
      <w:pPr>
        <w:pStyle w:val="Normaltindrag"/>
      </w:pPr>
      <w:r w:rsidRPr="00AD33E8">
        <w:t>Byråkratin hade, som utredningen skrev, ett janusansikte. Byråkratin ku</w:t>
      </w:r>
      <w:r w:rsidRPr="00AD33E8">
        <w:t>n</w:t>
      </w:r>
      <w:r w:rsidRPr="00AD33E8">
        <w:t>de ibland under vissa situationer kännetecknas av snabbhet, precision, rege</w:t>
      </w:r>
      <w:r w:rsidRPr="00AD33E8">
        <w:t>l</w:t>
      </w:r>
      <w:r w:rsidRPr="00AD33E8">
        <w:t>bundenhet och slagkraft. Men den kunde också vara stel, långsam och ine</w:t>
      </w:r>
      <w:r w:rsidRPr="00AD33E8">
        <w:t>f</w:t>
      </w:r>
      <w:r w:rsidRPr="00AD33E8">
        <w:t>fektiv.</w:t>
      </w:r>
    </w:p>
    <w:p w:rsidR="007B7A21" w:rsidRPr="00AD33E8" w:rsidRDefault="007B7A21">
      <w:pPr>
        <w:pStyle w:val="Normaltindrag"/>
      </w:pPr>
      <w:r w:rsidRPr="00AD33E8">
        <w:t>En profession är en specialiserad yrkesgrupp som, enligt utredningen, styrs av en uppsättning gemensamma normer. Som klassiska professioner näm</w:t>
      </w:r>
      <w:r w:rsidRPr="00AD33E8">
        <w:t>n</w:t>
      </w:r>
      <w:r w:rsidRPr="00AD33E8">
        <w:t>des läkare och advokater (jämför kårer i avsnitt 4.1). Utredningen ansåg att professioner i statlig verksamhet kunde förknippas med vissa problem. Det gällde bl.a. ansvarsutkrävandet. I den renodlade professionalismen upprät</w:t>
      </w:r>
      <w:r w:rsidRPr="00AD33E8">
        <w:t>t</w:t>
      </w:r>
      <w:r w:rsidRPr="00AD33E8">
        <w:t>hålls gruppens normsystem internt. Förändringar i yrkesnormerna kan ske genom t.ex. vetenskapliga landvinningar eller teknisk utveckling. Enligt utredarna skulle professionen känna ansvar i första hand mot dessa värd</w:t>
      </w:r>
      <w:r w:rsidRPr="00AD33E8">
        <w:t>e</w:t>
      </w:r>
      <w:r w:rsidRPr="00AD33E8">
        <w:t>kriterier. Det politiska ansvarsutkrävandet i en demokratisk organisa</w:t>
      </w:r>
      <w:r w:rsidRPr="00AD33E8">
        <w:t>tion sker efter andra kriterier. Den valde politikern ansvarar inför sina väljare. Med professionen följer enligt utredningen en strävan efter självständighet. Slu</w:t>
      </w:r>
      <w:r w:rsidRPr="00AD33E8">
        <w:t>t</w:t>
      </w:r>
      <w:r w:rsidRPr="00AD33E8">
        <w:t>satsen är att professionalisering innebär att förvaltningen immuniseras mot utomstående inblandning.</w:t>
      </w:r>
    </w:p>
    <w:p w:rsidR="007B7A21" w:rsidRPr="00AD33E8" w:rsidRDefault="007B7A21">
      <w:pPr>
        <w:pStyle w:val="Rubrik3"/>
      </w:pPr>
      <w:bookmarkStart w:id="271" w:name="_Toc522593266"/>
      <w:bookmarkStart w:id="272" w:name="_Toc535045375"/>
      <w:bookmarkStart w:id="273" w:name="_Toc3887421"/>
      <w:bookmarkStart w:id="274" w:name="_Toc21425334"/>
      <w:r w:rsidRPr="00AD33E8">
        <w:t>Förvaltningspolitiska kommissionen</w:t>
      </w:r>
      <w:bookmarkEnd w:id="271"/>
      <w:bookmarkEnd w:id="272"/>
      <w:bookmarkEnd w:id="273"/>
      <w:bookmarkEnd w:id="274"/>
    </w:p>
    <w:p w:rsidR="007B7A21" w:rsidRPr="00AD33E8" w:rsidRDefault="007B7A21">
      <w:r w:rsidRPr="00AD33E8">
        <w:t>År 1995 tillsatte regeringen en förvaltningspolitisk kommission med upp</w:t>
      </w:r>
      <w:r w:rsidRPr="00AD33E8">
        <w:softHyphen/>
        <w:t>gif</w:t>
      </w:r>
      <w:r w:rsidRPr="00AD33E8">
        <w:softHyphen/>
        <w:t>ten (dir. 1995:93) att analysera den statliga förvaltningens organisation och arbets</w:t>
      </w:r>
      <w:r w:rsidRPr="00AD33E8">
        <w:softHyphen/>
        <w:t>former. Kommissionen arbetade brett och publicerade bl.a. elva under</w:t>
      </w:r>
      <w:r w:rsidRPr="00AD33E8">
        <w:softHyphen/>
        <w:t>lagsrapporter. I huvudbetänkandet I medborgarnas tjänst (SOU 1997:57) redovisade kommissionen tre, delvis sammanfallande problemsfärer. Det gällde förvaltningens svårstyrbarhet, dess fragmentisering och följderna av interna</w:t>
      </w:r>
      <w:r w:rsidRPr="00AD33E8">
        <w:softHyphen/>
        <w:t>tio</w:t>
      </w:r>
      <w:r w:rsidRPr="00AD33E8">
        <w:softHyphen/>
        <w:t>nali</w:t>
      </w:r>
      <w:r w:rsidRPr="00AD33E8">
        <w:softHyphen/>
      </w:r>
      <w:r w:rsidRPr="00AD33E8">
        <w:softHyphen/>
        <w:t>se</w:t>
      </w:r>
      <w:r w:rsidRPr="00AD33E8">
        <w:softHyphen/>
        <w:t>ringen. Kommissionen konstaterade också att förvaltningsp</w:t>
      </w:r>
      <w:r w:rsidRPr="00AD33E8">
        <w:t>o</w:t>
      </w:r>
      <w:r w:rsidRPr="00AD33E8">
        <w:t>litik of</w:t>
      </w:r>
      <w:r w:rsidRPr="00AD33E8">
        <w:softHyphen/>
        <w:t>ta inte låter sig hållas isär från sakpolitik. Då</w:t>
      </w:r>
      <w:r w:rsidRPr="00AD33E8">
        <w:t xml:space="preserve"> kommissionen dels arbetade såväl brett som djupt, inte minst i frågor kring statstjänsten, dels följdes upp med en proposition av regeringen ges den här en relativt utförlig red</w:t>
      </w:r>
      <w:r w:rsidRPr="00AD33E8">
        <w:t>o</w:t>
      </w:r>
      <w:r w:rsidRPr="00AD33E8">
        <w:t>visning.</w:t>
      </w:r>
    </w:p>
    <w:p w:rsidR="007B7A21" w:rsidRPr="00AD33E8" w:rsidRDefault="007B7A21">
      <w:pPr>
        <w:pStyle w:val="Normaltindrag"/>
      </w:pPr>
      <w:r w:rsidRPr="00AD33E8">
        <w:t>Frågor om styrningen</w:t>
      </w:r>
      <w:r w:rsidRPr="00AD33E8">
        <w:rPr>
          <w:i/>
        </w:rPr>
        <w:t xml:space="preserve"> </w:t>
      </w:r>
      <w:r w:rsidRPr="00AD33E8">
        <w:t>av förvaltningen och dess styrbarhet hade enligt kommissionen stått i centrum för den förvaltningspolitiska diskussionen sedan 1970-talet. Studier som gjorts visade att den centrala styrningen av förvaltningsmyndigheterna, trots de förändringar som vidtagits, i viktiga avseenden fungerar otillfredsställande och borde prövas från delvis nya utgångspunkter. Den mest omfattande förändringen under de senaste dece</w:t>
      </w:r>
      <w:r w:rsidRPr="00AD33E8">
        <w:t>n</w:t>
      </w:r>
      <w:r w:rsidRPr="00AD33E8">
        <w:t>nierna var enligt kommissionen införandet av en ny styrstrategi – resulta</w:t>
      </w:r>
      <w:r w:rsidRPr="00AD33E8">
        <w:t>t</w:t>
      </w:r>
      <w:r w:rsidRPr="00AD33E8">
        <w:t>styrning – där förvaltni</w:t>
      </w:r>
      <w:r w:rsidRPr="00AD33E8">
        <w:t>ngen styrs med verksamhetsmål och resultatuppföl</w:t>
      </w:r>
      <w:r w:rsidRPr="00AD33E8">
        <w:t>j</w:t>
      </w:r>
      <w:r w:rsidRPr="00AD33E8">
        <w:t>ning.  Begreppet användes ofta för de förändringar som är knutna till budge</w:t>
      </w:r>
      <w:r w:rsidRPr="00AD33E8">
        <w:t>t</w:t>
      </w:r>
      <w:r w:rsidRPr="00AD33E8">
        <w:t>processen. Kommissionen framhöll dock att budgetperspektivet endast är en del i resultatstyrningsstrategin, och att det vid bedömningen av resultatsty</w:t>
      </w:r>
      <w:r w:rsidRPr="00AD33E8">
        <w:t>r</w:t>
      </w:r>
      <w:r w:rsidRPr="00AD33E8">
        <w:t>ningens effektivitet är viktigt att även beakta de andra förändringar som har skett av styrningen. Det gällde exempelvis delegering av administrativa be</w:t>
      </w:r>
      <w:r w:rsidRPr="00AD33E8">
        <w:softHyphen/>
        <w:t>slut om bl.a. personal, intern organisation och resurshantering, utveck</w:t>
      </w:r>
      <w:r w:rsidRPr="00AD33E8">
        <w:softHyphen/>
        <w:t>lingen av d</w:t>
      </w:r>
      <w:r w:rsidRPr="00AD33E8">
        <w:t>en informella styrningen och förändringar av statens kontroll- och utvä</w:t>
      </w:r>
      <w:r w:rsidRPr="00AD33E8">
        <w:t>r</w:t>
      </w:r>
      <w:r w:rsidRPr="00AD33E8">
        <w:t>deringsfunktioner. Tillämpningen av resultatstyrningen hade enligt kommi</w:t>
      </w:r>
      <w:r w:rsidRPr="00AD33E8">
        <w:t>s</w:t>
      </w:r>
      <w:r w:rsidRPr="00AD33E8">
        <w:t>sionen haft allva</w:t>
      </w:r>
      <w:r w:rsidRPr="00AD33E8">
        <w:t>r</w:t>
      </w:r>
      <w:r w:rsidRPr="00AD33E8">
        <w:t>liga brister:</w:t>
      </w:r>
    </w:p>
    <w:p w:rsidR="007B7A21" w:rsidRPr="00AD33E8" w:rsidRDefault="007B7A21">
      <w:pPr>
        <w:pStyle w:val="Normaltindrag"/>
        <w:numPr>
          <w:ilvl w:val="0"/>
          <w:numId w:val="57"/>
        </w:numPr>
        <w:tabs>
          <w:tab w:val="clear" w:pos="360"/>
        </w:tabs>
        <w:ind w:hanging="170"/>
      </w:pPr>
      <w:r w:rsidRPr="00AD33E8">
        <w:t xml:space="preserve">Flexibiliteten var för liten i förhållande till de stora skillnader i karaktär och förutsättningar som kännetecknar statsförvaltningen och dess olika grenar.  </w:t>
      </w:r>
    </w:p>
    <w:p w:rsidR="007B7A21" w:rsidRPr="00AD33E8" w:rsidRDefault="007B7A21">
      <w:pPr>
        <w:pStyle w:val="Normaltindrag"/>
        <w:numPr>
          <w:ilvl w:val="0"/>
          <w:numId w:val="57"/>
        </w:numPr>
        <w:tabs>
          <w:tab w:val="clear" w:pos="360"/>
        </w:tabs>
        <w:ind w:hanging="170"/>
      </w:pPr>
      <w:r w:rsidRPr="00AD33E8">
        <w:t>Den information som myndigheterna lämnade till regeringen och R</w:t>
      </w:r>
      <w:r w:rsidRPr="00AD33E8">
        <w:t>e</w:t>
      </w:r>
      <w:r w:rsidRPr="00AD33E8">
        <w:t>geringskansliet kom dåligt till användning, därför att den var detaljerad, omfattande och svåröverskådlig och av begränsad relevans för det pol</w:t>
      </w:r>
      <w:r w:rsidRPr="00AD33E8">
        <w:t>i</w:t>
      </w:r>
      <w:r w:rsidRPr="00AD33E8">
        <w:t>tiska beslutsfattandet.</w:t>
      </w:r>
    </w:p>
    <w:p w:rsidR="007B7A21" w:rsidRPr="00AD33E8" w:rsidRDefault="007B7A21">
      <w:r w:rsidRPr="00AD33E8">
        <w:t xml:space="preserve"> Det sätt på vilket resultatstyrningen i budgetprocessen tillämpas borde enligt kommissionen därför ses över så att den blev bättre anpassad till de skilda förutsättningar som gäller för olika typer av verksamheter och med hänsyn till de förutsättningar som ges av den politiska processen. För att regeringen skulle få tillfredsställande under</w:t>
      </w:r>
      <w:r w:rsidRPr="00AD33E8">
        <w:t>lag för överväganden om större resursomfö</w:t>
      </w:r>
      <w:r w:rsidRPr="00AD33E8">
        <w:t>r</w:t>
      </w:r>
      <w:r w:rsidRPr="00AD33E8">
        <w:t>delningar och för omprövning av verksamheter måste resultatstyrningen i budgetprocessen vidare kompletteras med andra utvärderingsi</w:t>
      </w:r>
      <w:r w:rsidRPr="00AD33E8">
        <w:t>n</w:t>
      </w:r>
      <w:r w:rsidRPr="00AD33E8">
        <w:t>strument.</w:t>
      </w:r>
    </w:p>
    <w:p w:rsidR="007B7A21" w:rsidRPr="00AD33E8" w:rsidRDefault="007B7A21">
      <w:pPr>
        <w:pStyle w:val="Normaltindrag"/>
      </w:pPr>
      <w:r w:rsidRPr="00AD33E8">
        <w:t>Informella kontakter mellan regeringen och myndigheterna hade blivit ett viktigt komplement till den formella styrningen. Kommissionen pekade på vikten av att rollfördelningen i sådana kontakter blir tydlig. I den mån det inte bara handlade om informationsutbyte, utan i praktiken är fråga om sty</w:t>
      </w:r>
      <w:r w:rsidRPr="00AD33E8">
        <w:t>r</w:t>
      </w:r>
      <w:r w:rsidRPr="00AD33E8">
        <w:t>ning av myndigheten, men utan ett formellt regeringsbeslut, borde sådan påverkan utö</w:t>
      </w:r>
      <w:r w:rsidRPr="00AD33E8">
        <w:t>v</w:t>
      </w:r>
      <w:r w:rsidRPr="00AD33E8">
        <w:t>as på ledningsnivå och kunna dokumenteras.</w:t>
      </w:r>
    </w:p>
    <w:p w:rsidR="007B7A21" w:rsidRPr="00AD33E8" w:rsidRDefault="007B7A21">
      <w:pPr>
        <w:pStyle w:val="Normaltindrag"/>
      </w:pPr>
      <w:r w:rsidRPr="00AD33E8">
        <w:t>Fragmentisering av den statliga verksamheten hade enligt kommissionen iakttagits och kommenterats av bl.a. samhällsvetenskapliga forskare, men hade knappast i politiska sammanhang bedömts som en företeelse att arbeta medvetet med – ”ett problem i sin egen rätt”. Fragmentering kan definieras som brist på sammanhang mellan olika verksamhetsgrenar, tendens till split</w:t>
      </w:r>
      <w:r w:rsidRPr="00AD33E8">
        <w:t>t</w:t>
      </w:r>
      <w:r w:rsidRPr="00AD33E8">
        <w:t>ring samt oförmåga att se till helheten och övergripande mål.  Den statliga verksamhetens fragmentering har också verkat upplösande för den traditi</w:t>
      </w:r>
      <w:r w:rsidRPr="00AD33E8">
        <w:t>o</w:t>
      </w:r>
      <w:r w:rsidRPr="00AD33E8">
        <w:t>nella statstjänstema</w:t>
      </w:r>
      <w:r w:rsidRPr="00AD33E8">
        <w:t>n</w:t>
      </w:r>
      <w:r w:rsidRPr="00AD33E8">
        <w:t>nakulturen.</w:t>
      </w:r>
    </w:p>
    <w:p w:rsidR="007B7A21" w:rsidRPr="00AD33E8" w:rsidRDefault="007B7A21">
      <w:pPr>
        <w:pStyle w:val="Normaltindrag"/>
      </w:pPr>
      <w:r w:rsidRPr="00AD33E8">
        <w:t>Statstjänstemannens ställning och ansvar behandlades av kommissionen. I sitt huvudbetänkande skrev man att vissa funktioner inom den offentliga förvaltningen kräver en särskild kompetens. Det man pekade på var uppgi</w:t>
      </w:r>
      <w:r w:rsidRPr="00AD33E8">
        <w:t>f</w:t>
      </w:r>
      <w:r w:rsidRPr="00AD33E8">
        <w:t>ten att bereda och föredra ärenden för beslut. Kunskap om vad som krävs för den uppgiften är, enligt kommissionen, grundläggande för en statstjänst</w:t>
      </w:r>
      <w:r w:rsidRPr="00AD33E8">
        <w:t>e</w:t>
      </w:r>
      <w:r w:rsidRPr="00AD33E8">
        <w:t xml:space="preserve">man. I denna kompetens ingår många element. I beredningsansvaret ligger att tjänstemannen ska var väl insatt i ärendet. Detta är av stor betydelse då den som ska fatta beslut ofta, enligt kommissionen, är mindre väl insatt eller inte insatt alls i ärendet. Den som bereder och föredrar ärendet ska bilda sig en egen mening, dvs. en uppfattning som ska grundas på </w:t>
      </w:r>
      <w:r w:rsidRPr="00AD33E8">
        <w:t>omständigheterna i det aktuella ärendet, regler, praxis och egen professionell erfarenhet. Den föredragande ska inför beslutet stå för sin mening. Att gissa vilket beslut som önskas är enligt kommissionen förkastligt.</w:t>
      </w:r>
    </w:p>
    <w:p w:rsidR="007B7A21" w:rsidRPr="00AD33E8" w:rsidRDefault="007B7A21">
      <w:pPr>
        <w:pStyle w:val="Normaltindrag"/>
      </w:pPr>
      <w:r w:rsidRPr="00AD33E8">
        <w:t xml:space="preserve">Denna omständighet liksom förhållandet att statstjänstemännen ytterst är ansvariga inför det allmänna, i medborgarnas tjänst, gjorde att kommissionen ifrågasatte de lämpliga att ersätta begreppet ”tjänst” med ”anställning” i LOA. </w:t>
      </w:r>
    </w:p>
    <w:p w:rsidR="007B7A21" w:rsidRPr="00AD33E8" w:rsidRDefault="007B7A21">
      <w:pPr>
        <w:pStyle w:val="Rubrik4-Utannumrering"/>
      </w:pPr>
      <w:bookmarkStart w:id="275" w:name="_Toc522593268"/>
      <w:bookmarkStart w:id="276" w:name="_Toc535045376"/>
      <w:bookmarkStart w:id="277" w:name="_Toc3887422"/>
      <w:bookmarkStart w:id="278" w:name="_Toc21425335"/>
      <w:r w:rsidRPr="00AD33E8">
        <w:t>Förvaltningspolitiska propositionen</w:t>
      </w:r>
      <w:bookmarkEnd w:id="275"/>
      <w:bookmarkEnd w:id="276"/>
      <w:bookmarkEnd w:id="277"/>
      <w:bookmarkEnd w:id="278"/>
    </w:p>
    <w:p w:rsidR="007B7A21" w:rsidRPr="00AD33E8" w:rsidRDefault="007B7A21">
      <w:r w:rsidRPr="00AD33E8">
        <w:t>Regeringen redovisade de bedömningar den gjort av kommissionens ana</w:t>
      </w:r>
      <w:r w:rsidRPr="00AD33E8">
        <w:softHyphen/>
        <w:t xml:space="preserve">lyser och slutsatser i propositionen Statlig förvaltningspolitik. </w:t>
      </w:r>
      <w:r w:rsidRPr="00AD33E8">
        <w:rPr>
          <w:snapToGrid w:val="0"/>
        </w:rPr>
        <w:t>Propositionen a</w:t>
      </w:r>
      <w:r w:rsidRPr="00AD33E8">
        <w:rPr>
          <w:snapToGrid w:val="0"/>
        </w:rPr>
        <w:t>n</w:t>
      </w:r>
      <w:r w:rsidRPr="00AD33E8">
        <w:rPr>
          <w:snapToGrid w:val="0"/>
        </w:rPr>
        <w:t xml:space="preserve">togs av en enig riksdag </w:t>
      </w:r>
      <w:r w:rsidRPr="00AD33E8">
        <w:t>(prop. 1997/98:136, bet. 1997/98:KU31, rskr. 1997/98:294).</w:t>
      </w:r>
      <w:r w:rsidRPr="00AD33E8">
        <w:rPr>
          <w:snapToGrid w:val="0"/>
        </w:rPr>
        <w:t xml:space="preserve"> </w:t>
      </w:r>
    </w:p>
    <w:p w:rsidR="007B7A21" w:rsidRPr="00AD33E8" w:rsidRDefault="007B7A21">
      <w:pPr>
        <w:pStyle w:val="Normaltindrag"/>
      </w:pPr>
      <w:r w:rsidRPr="00AD33E8">
        <w:t>Propositionen var dels ett förslag till förvaltningspolitisk pos</w:t>
      </w:r>
      <w:r w:rsidRPr="00AD33E8">
        <w:t>i</w:t>
      </w:r>
      <w:r w:rsidRPr="00AD33E8">
        <w:t>tions</w:t>
      </w:r>
      <w:r w:rsidRPr="00AD33E8">
        <w:softHyphen/>
        <w:t>bestäm</w:t>
      </w:r>
      <w:r w:rsidRPr="00AD33E8">
        <w:softHyphen/>
        <w:t>ning, dels ett förslag till åtgärder för förbättringar. Grunden för den svenska förvaltningspolitiken är 1974 års reg</w:t>
      </w:r>
      <w:r w:rsidRPr="00AD33E8">
        <w:t>e</w:t>
      </w:r>
      <w:r w:rsidRPr="00AD33E8">
        <w:t>ringsform. Även tryckfrihetsförord</w:t>
      </w:r>
      <w:r w:rsidRPr="00AD33E8">
        <w:softHyphen/>
        <w:t>ningen anger viktiga grun</w:t>
      </w:r>
      <w:r w:rsidRPr="00AD33E8">
        <w:t>d</w:t>
      </w:r>
      <w:r w:rsidRPr="00AD33E8">
        <w:t>principer för förvaltningspolitiken, offentlighets</w:t>
      </w:r>
      <w:r w:rsidRPr="00AD33E8">
        <w:softHyphen/>
        <w:t>princi</w:t>
      </w:r>
      <w:r w:rsidRPr="00AD33E8">
        <w:softHyphen/>
        <w:t>pen är inte bara en medborgerlig rättighet utan också en viktig aspekt på förvaltningspolitiken. Den svenska statsförvaltningen ska, med höga krav på rättssäkerhet, effektivitet och de</w:t>
      </w:r>
      <w:r w:rsidRPr="00AD33E8">
        <w:softHyphen/>
        <w:t>mo</w:t>
      </w:r>
      <w:r w:rsidRPr="00AD33E8">
        <w:softHyphen/>
        <w:t>krati, vara tillgänglig och tillmötes</w:t>
      </w:r>
      <w:r w:rsidRPr="00AD33E8">
        <w:softHyphen/>
        <w:t>gående. Förvaltningen ska ha med</w:t>
      </w:r>
      <w:r w:rsidRPr="00AD33E8">
        <w:softHyphen/>
        <w:t>bo</w:t>
      </w:r>
      <w:r w:rsidRPr="00AD33E8">
        <w:t>rgar</w:t>
      </w:r>
      <w:r w:rsidRPr="00AD33E8">
        <w:softHyphen/>
        <w:t>nas ful</w:t>
      </w:r>
      <w:r w:rsidRPr="00AD33E8">
        <w:softHyphen/>
        <w:t>la förtroende, ge näringslivet goda arbets- och tillväxtförutsättningar samt vara framgångsrik och respek</w:t>
      </w:r>
      <w:r w:rsidRPr="00AD33E8">
        <w:softHyphen/>
        <w:t>terad i det internationella samarbetet. Myn</w:t>
      </w:r>
      <w:r w:rsidRPr="00AD33E8">
        <w:softHyphen/>
      </w:r>
      <w:r w:rsidRPr="00AD33E8">
        <w:softHyphen/>
        <w:t>dig</w:t>
      </w:r>
      <w:r w:rsidRPr="00AD33E8">
        <w:softHyphen/>
        <w:t>he</w:t>
      </w:r>
      <w:r w:rsidRPr="00AD33E8">
        <w:softHyphen/>
        <w:t>terna ska genom</w:t>
      </w:r>
      <w:r w:rsidRPr="00AD33E8">
        <w:softHyphen/>
        <w:t>föra sina upp</w:t>
      </w:r>
      <w:r w:rsidRPr="00AD33E8">
        <w:softHyphen/>
        <w:t>drag med hög kvalitet, öppenhet, motiverade och kompetenta med</w:t>
      </w:r>
      <w:r w:rsidRPr="00AD33E8">
        <w:softHyphen/>
        <w:t>arbe</w:t>
      </w:r>
      <w:r w:rsidRPr="00AD33E8">
        <w:softHyphen/>
        <w:t>tare, dugliga chefer och fö</w:t>
      </w:r>
      <w:r w:rsidRPr="00AD33E8">
        <w:t>r</w:t>
      </w:r>
      <w:r w:rsidRPr="00AD33E8">
        <w:t>änd</w:t>
      </w:r>
      <w:r w:rsidRPr="00AD33E8">
        <w:softHyphen/>
        <w:t xml:space="preserve">ringsförmåga. </w:t>
      </w:r>
    </w:p>
    <w:p w:rsidR="007B7A21" w:rsidRPr="00AD33E8" w:rsidRDefault="007B7A21">
      <w:pPr>
        <w:pStyle w:val="Normaltindrag"/>
      </w:pPr>
      <w:r w:rsidRPr="00AD33E8">
        <w:t>Statstjänstemännen hade enligt regeringens mening en nyckelroll i sa</w:t>
      </w:r>
      <w:r w:rsidRPr="00AD33E8">
        <w:t>m</w:t>
      </w:r>
      <w:r w:rsidRPr="00AD33E8">
        <w:t>hället genom uppgiften att svara för verkställighet av de folkvaldas beslut. Denna roll och det ansvar som följer därav måste lyftas fram på ett tydligare sätt. Detta kunde enligt regeringen främst åstadkommas genom förstärkt utbildning och tydliggörande av gällande bestämmelser. En anställning inom stats</w:t>
      </w:r>
      <w:r w:rsidRPr="00AD33E8">
        <w:softHyphen/>
        <w:t>förvaltningen borde innebära mer än det rent privaträttsliga a</w:t>
      </w:r>
      <w:r w:rsidRPr="00AD33E8">
        <w:t>n</w:t>
      </w:r>
      <w:r w:rsidRPr="00AD33E8">
        <w:t>ställnings</w:t>
      </w:r>
      <w:r w:rsidRPr="00AD33E8">
        <w:softHyphen/>
        <w:t>förhållandet mellan arbetsgivaren och arbetstagaren. Det är mot den bak</w:t>
      </w:r>
      <w:r w:rsidRPr="00AD33E8">
        <w:softHyphen/>
        <w:t>grun</w:t>
      </w:r>
      <w:r w:rsidRPr="00AD33E8">
        <w:softHyphen/>
        <w:t>den som det finns särregleringar för statsanställda i</w:t>
      </w:r>
      <w:r w:rsidRPr="00AD33E8">
        <w:t xml:space="preserve"> bl.a. lagen (1994:260) om offentlig anställning (LOA).</w:t>
      </w:r>
    </w:p>
    <w:p w:rsidR="007B7A21" w:rsidRPr="00AD33E8" w:rsidRDefault="007B7A21">
      <w:pPr>
        <w:pStyle w:val="Normaltindrag"/>
      </w:pPr>
      <w:r w:rsidRPr="00AD33E8">
        <w:t>I likhet med Förvaltningspolitiska kommissionen ansåg regeringen inte att införande av en generell etisk kod, som allmänt diskuterats, var ett ända</w:t>
      </w:r>
      <w:r w:rsidRPr="00AD33E8">
        <w:softHyphen/>
        <w:t>målsenligt sätt att höja medvetandet om statstjänstemännens roll och ansvar. En bättre väg att stärka medvetandet är att frågor om etik och innehåll i statstjänstemannarollen lyfts fram och fortlöpande diskuteras inom varje myndi</w:t>
      </w:r>
      <w:r w:rsidRPr="00AD33E8">
        <w:t>g</w:t>
      </w:r>
      <w:r w:rsidRPr="00AD33E8">
        <w:t xml:space="preserve">het. </w:t>
      </w:r>
    </w:p>
    <w:p w:rsidR="007B7A21" w:rsidRPr="00AD33E8" w:rsidRDefault="007B7A21">
      <w:pPr>
        <w:pStyle w:val="Normaltindrag"/>
      </w:pPr>
      <w:r w:rsidRPr="00AD33E8">
        <w:t>Kommissionen hade också i sitt betänkande föreslagit att det rättsliga a</w:t>
      </w:r>
      <w:r w:rsidRPr="00AD33E8">
        <w:t>n</w:t>
      </w:r>
      <w:r w:rsidRPr="00AD33E8">
        <w:t>svaret för offentligt anställda utreds. Utredningen borde enligt kommissionen syf</w:t>
      </w:r>
      <w:r w:rsidRPr="00AD33E8">
        <w:softHyphen/>
        <w:t>ta till att en ny särskild reglering av den offentliga tjänsten införs. Rege</w:t>
      </w:r>
      <w:r w:rsidRPr="00AD33E8">
        <w:t>r</w:t>
      </w:r>
      <w:r w:rsidRPr="00AD33E8">
        <w:t>ingen var dock inte då beredd att tillsätta en utredning med den inriktning som kommissionen föreslog. Enligt regeringens bedömning uttryckte den gällande lagstiftningen, bl.a. regeringsformen, förvaltnings</w:t>
      </w:r>
      <w:r w:rsidRPr="00AD33E8">
        <w:softHyphen/>
        <w:t>lagen, LOA samt brottsbalken väl de grundläggande krav och etiska värde</w:t>
      </w:r>
      <w:r w:rsidRPr="00AD33E8">
        <w:softHyphen/>
        <w:t>ringar som ska vara väg</w:t>
      </w:r>
      <w:r w:rsidRPr="00AD33E8">
        <w:softHyphen/>
        <w:t>ledande för tjänstemännen i deras yrkesroll. E</w:t>
      </w:r>
      <w:r w:rsidRPr="00AD33E8">
        <w:t>n</w:t>
      </w:r>
      <w:r w:rsidRPr="00AD33E8">
        <w:t>li</w:t>
      </w:r>
      <w:r w:rsidRPr="00AD33E8">
        <w:t>gt regeringen var det vik</w:t>
      </w:r>
      <w:r w:rsidRPr="00AD33E8">
        <w:softHyphen/>
        <w:t>tigare att tydliggöra de bestämmelser som redan finns än att utreda en ny lag om offentlig tjänst. Detta bör ske genom utbildnings</w:t>
      </w:r>
      <w:r w:rsidRPr="00AD33E8">
        <w:softHyphen/>
        <w:t>insatser inom ramen för de åtgärder med inriktning på kvalitetsutveckling och kompetensförsörjning som tidigare nämnts. Ett bra sätt var enligt regeringen att frågor om etik och innehållet i statstjänstemannarollen lyfts fram och diskuteras inom myndi</w:t>
      </w:r>
      <w:r w:rsidRPr="00AD33E8">
        <w:t>g</w:t>
      </w:r>
      <w:r w:rsidRPr="00AD33E8">
        <w:t xml:space="preserve">heterna. </w:t>
      </w:r>
    </w:p>
    <w:p w:rsidR="007B7A21" w:rsidRPr="00AD33E8" w:rsidRDefault="007B7A21">
      <w:pPr>
        <w:pStyle w:val="Normaltindrag"/>
      </w:pPr>
      <w:r w:rsidRPr="00AD33E8">
        <w:t>I propositionen utvecklade regeringen också grunddragen i en chefspolicy för förvaltningen. M</w:t>
      </w:r>
      <w:r w:rsidRPr="00AD33E8">
        <w:t>an menade att delegeringen av befogenheter och av-reglering har gett myndigheterna betydande frihet samtidigt som ökade krav ställs på dem i fråga om resultatuppfyllelse. Ansvaret inför regeringen för myndighetens verksamhet vilar i de flesta fall på myndighetschefen. De långtgående förändringarna i förvaltningens sätt att fungera har medfört att ett kvalificerat och ansvarsfullt ledarskap i statsförvaltningen har blivit vikt</w:t>
      </w:r>
      <w:r w:rsidRPr="00AD33E8">
        <w:t>i</w:t>
      </w:r>
      <w:r w:rsidRPr="00AD33E8">
        <w:t xml:space="preserve">gare än någonsin. Höga krav måste ställas på myndighetschefernas förmåga att leda </w:t>
      </w:r>
      <w:r w:rsidRPr="00AD33E8">
        <w:t>arbetet mot de mål som riksdag och regering ställer upp. Chefernas ledarskapskompetens, ambitioner och ansvarstagande avgör i hög utsträc</w:t>
      </w:r>
      <w:r w:rsidRPr="00AD33E8">
        <w:t>k</w:t>
      </w:r>
      <w:r w:rsidRPr="00AD33E8">
        <w:t>ning hur framgångsrik regeringen blir i att genomföra sin politik. Regerin</w:t>
      </w:r>
      <w:r w:rsidRPr="00AD33E8">
        <w:t>g</w:t>
      </w:r>
      <w:r w:rsidRPr="00AD33E8">
        <w:t>ens utnämningsmakt och chefspolitik är mot den bakgrunden instrument av särskild vikt. Myndighetschefer bör rekryteras med stor omsorg. Tidigare erfarenhet av chefsuppdrag bör t.ex. finnas hos den som utnämns till chef för en statlig myndighet.</w:t>
      </w:r>
    </w:p>
    <w:p w:rsidR="007B7A21" w:rsidRPr="00AD33E8" w:rsidRDefault="007B7A21">
      <w:pPr>
        <w:pStyle w:val="Rubrik3"/>
        <w:rPr>
          <w:snapToGrid w:val="0"/>
        </w:rPr>
      </w:pPr>
      <w:bookmarkStart w:id="279" w:name="_Toc535045377"/>
      <w:bookmarkStart w:id="280" w:name="_Toc3887423"/>
      <w:bookmarkStart w:id="281" w:name="_Toc21425336"/>
      <w:r w:rsidRPr="00AD33E8">
        <w:rPr>
          <w:snapToGrid w:val="0"/>
        </w:rPr>
        <w:t>Demokratiutredningen</w:t>
      </w:r>
      <w:bookmarkEnd w:id="279"/>
      <w:bookmarkEnd w:id="280"/>
      <w:bookmarkEnd w:id="281"/>
    </w:p>
    <w:p w:rsidR="007B7A21" w:rsidRPr="00AD33E8" w:rsidRDefault="007B7A21">
      <w:r w:rsidRPr="00AD33E8">
        <w:t>Inför det stundande 2000-talet tillsatte regeringen hösten 1997 en kommitté för att belysa nya förutsättningar för folkstyret. Huvudbetänkandet En uthå</w:t>
      </w:r>
      <w:r w:rsidRPr="00AD33E8">
        <w:t>l</w:t>
      </w:r>
      <w:r w:rsidRPr="00AD33E8">
        <w:t>lig demokrati blev det nya milleniets första SOU (SOU 2000:1). I likhet med både Maktutredningen och Förvaltningspolitiska kommissionen engagerades många medarbetare och ett stort antal rapporter publicerades.</w:t>
      </w:r>
    </w:p>
    <w:p w:rsidR="007B7A21" w:rsidRPr="00AD33E8" w:rsidRDefault="007B7A21">
      <w:pPr>
        <w:pStyle w:val="Normaltindrag"/>
      </w:pPr>
      <w:r w:rsidRPr="00AD33E8">
        <w:t>I utredningens avsnitt om statsförvaltningen behandlas också den statliga personalen. Enligt utredningen har den enskilde statstjänstemannen fått en central position. Man skriver: ”Personalpolitiken får en tung politisk inn</w:t>
      </w:r>
      <w:r w:rsidRPr="00AD33E8">
        <w:t>e</w:t>
      </w:r>
      <w:r w:rsidRPr="00AD33E8">
        <w:t>börd. Det blir extra viktigt att granska vilka värden och vilka attityder hos de anställda som gynnas respektive missgynnas genom de konkreta arbetsvil</w:t>
      </w:r>
      <w:r w:rsidRPr="00AD33E8">
        <w:t>l</w:t>
      </w:r>
      <w:r w:rsidRPr="00AD33E8">
        <w:t>koren och incitamenten.”</w:t>
      </w:r>
      <w:r w:rsidRPr="00AD33E8">
        <w:rPr>
          <w:i/>
        </w:rPr>
        <w:t xml:space="preserve"> </w:t>
      </w:r>
      <w:r w:rsidRPr="00AD33E8">
        <w:t>Det är främst tre tendenser eller drivkrafter som utredningen uppmär</w:t>
      </w:r>
      <w:r w:rsidRPr="00AD33E8">
        <w:t>k</w:t>
      </w:r>
      <w:r w:rsidRPr="00AD33E8">
        <w:t>sammar. Det är:</w:t>
      </w:r>
    </w:p>
    <w:p w:rsidR="007B7A21" w:rsidRPr="00AD33E8" w:rsidRDefault="007B7A21">
      <w:pPr>
        <w:pStyle w:val="Normaltindrag"/>
        <w:numPr>
          <w:ilvl w:val="0"/>
          <w:numId w:val="83"/>
        </w:numPr>
        <w:ind w:left="510"/>
      </w:pPr>
      <w:r w:rsidRPr="00AD33E8">
        <w:t>Politisk uppmärksamhet på mål och resultat.</w:t>
      </w:r>
    </w:p>
    <w:p w:rsidR="007B7A21" w:rsidRPr="00AD33E8" w:rsidRDefault="007B7A21">
      <w:pPr>
        <w:pStyle w:val="Normaltindrag"/>
        <w:numPr>
          <w:ilvl w:val="0"/>
          <w:numId w:val="83"/>
        </w:numPr>
        <w:ind w:left="510"/>
      </w:pPr>
      <w:r w:rsidRPr="00AD33E8">
        <w:t>Decentralisering.</w:t>
      </w:r>
    </w:p>
    <w:p w:rsidR="007B7A21" w:rsidRPr="00AD33E8" w:rsidRDefault="007B7A21">
      <w:pPr>
        <w:pStyle w:val="Normaltindrag"/>
        <w:numPr>
          <w:ilvl w:val="0"/>
          <w:numId w:val="83"/>
        </w:numPr>
        <w:ind w:left="510"/>
      </w:pPr>
      <w:r w:rsidRPr="00AD33E8">
        <w:t>Tjänstebegreppets avveckling.</w:t>
      </w:r>
    </w:p>
    <w:p w:rsidR="007B7A21" w:rsidRPr="00AD33E8" w:rsidRDefault="007B7A21">
      <w:r w:rsidRPr="00AD33E8">
        <w:t>Det man i utredningen tar upp under de olika punkterna har en gemensam nämnare i rörlighet eller handlingsfrihet. Uppföljning och utvärdering av en verksamhet kan t.ex. resultera i förslag på nya organisatoriska lösningar. Det kan i sin tur skapa ett behov av att ”avveckla personalen” flexibelt, dvs. anställningsformerna ska möjliggöra ökad personalrörlighet. Decentralis</w:t>
      </w:r>
      <w:r w:rsidRPr="00AD33E8">
        <w:t>e</w:t>
      </w:r>
      <w:r w:rsidRPr="00AD33E8">
        <w:t>ring av ansvar inom givna ramar kräver en lokal handlingsfrihet som för att bli ”en reell möjlighet” innebär anställningstrygghetens avreglering. Den statliga tjänsten innebar, på sin tid, att uppsägningar på grund av arbetsbrist länge var mycket få.</w:t>
      </w:r>
    </w:p>
    <w:p w:rsidR="007B7A21" w:rsidRPr="00AD33E8" w:rsidRDefault="007B7A21">
      <w:pPr>
        <w:pStyle w:val="Normaltindrag"/>
      </w:pPr>
      <w:r w:rsidRPr="00AD33E8">
        <w:t xml:space="preserve">Utredningen frågar vad den nya osäkerheten medfört. Man utesluter inte att de tendenser till ökad tystnad och minskad självständighet som iakttagits under senare år har en förklaring däri. Slutsatsen är att statsförvaltningens förebildlighet naggats i kanten. </w:t>
      </w:r>
      <w:r w:rsidRPr="00AD33E8">
        <w:t>Utredningen varnar för en utveckling som dämpar ämbetsmannens mod att vara en självständig väktare för demokratin och medbo</w:t>
      </w:r>
      <w:r w:rsidRPr="00AD33E8">
        <w:t>r</w:t>
      </w:r>
      <w:r w:rsidRPr="00AD33E8">
        <w:t>garnas intressen.</w:t>
      </w:r>
    </w:p>
    <w:p w:rsidR="007B7A21" w:rsidRPr="00AD33E8" w:rsidRDefault="007B7A21">
      <w:pPr>
        <w:pStyle w:val="Rubrik2"/>
      </w:pPr>
      <w:bookmarkStart w:id="282" w:name="_Toc535045378"/>
      <w:bookmarkStart w:id="283" w:name="_Toc3887424"/>
      <w:bookmarkStart w:id="284" w:name="_Toc21425337"/>
      <w:r w:rsidRPr="00AD33E8">
        <w:t>Sammanfattning av iakttagelser</w:t>
      </w:r>
      <w:bookmarkEnd w:id="282"/>
      <w:bookmarkEnd w:id="283"/>
      <w:bookmarkEnd w:id="284"/>
      <w:r w:rsidRPr="00AD33E8">
        <w:t xml:space="preserve"> </w:t>
      </w:r>
    </w:p>
    <w:p w:rsidR="007B7A21" w:rsidRPr="00AD33E8" w:rsidRDefault="007B7A21">
      <w:r w:rsidRPr="00AD33E8">
        <w:t>Av genomgången framgår att perspektiven delvis förskjutits under 1990-talet. Maktutredningen tryckte på det s.k. agentproblemet i sitt huvudbetä</w:t>
      </w:r>
      <w:r w:rsidRPr="00AD33E8">
        <w:t>n</w:t>
      </w:r>
      <w:r w:rsidRPr="00AD33E8">
        <w:t>kande från år 1990. En profession i tjänst hos en förvaltning tenderar att utveckla ett särintresse i förhållande till den överordnade politiska nivån. I studien I rikets tjänst från år 2001 bekräftas problemets existens. Både Fö</w:t>
      </w:r>
      <w:r w:rsidRPr="00AD33E8">
        <w:t>r</w:t>
      </w:r>
      <w:r w:rsidRPr="00AD33E8">
        <w:t>valtningspolitiska kommissionen och Demokratiutredningen från år 1997 respektive år 2000 ser däremot faror i en minskad självständighet hos fö</w:t>
      </w:r>
      <w:r w:rsidRPr="00AD33E8">
        <w:t>r</w:t>
      </w:r>
      <w:r w:rsidRPr="00AD33E8">
        <w:t>valtningens tjänstemän. De finns en risk, tydligast framhävd i Demokratiu</w:t>
      </w:r>
      <w:r w:rsidRPr="00AD33E8">
        <w:t>t</w:t>
      </w:r>
      <w:r w:rsidRPr="00AD33E8">
        <w:t>redningen, att tjänstemännen av olika skäl underlåter att redovi</w:t>
      </w:r>
      <w:r w:rsidRPr="00AD33E8">
        <w:t>sa verksa</w:t>
      </w:r>
      <w:r w:rsidRPr="00AD33E8">
        <w:t>m</w:t>
      </w:r>
      <w:r w:rsidRPr="00AD33E8">
        <w:t>hetens reella villkor till överordnade nivåer.</w:t>
      </w:r>
    </w:p>
    <w:p w:rsidR="007B7A21" w:rsidRPr="00AD33E8" w:rsidRDefault="007B7A21">
      <w:pPr>
        <w:pStyle w:val="Normaltindrag"/>
      </w:pPr>
      <w:r w:rsidRPr="00AD33E8">
        <w:t>Vidare framgår av genomgången att den personalpolitiska reformen fick ett tidigt inledande genomslag. Den flexibilitet och det större handlingsu</w:t>
      </w:r>
      <w:r w:rsidRPr="00AD33E8">
        <w:t>t</w:t>
      </w:r>
      <w:r w:rsidRPr="00AD33E8">
        <w:t>rymme som avsetts etableras snabbt på myndigheterna. Däremot visar det sig att man med dessa medel inte nått avsedda mål. Det gäller t.ex. den ökade rörligheten som enligt flera bedömningar uteblivit. Olika policyprogram för förnyelse har haft svårt att få genomslag.</w:t>
      </w:r>
    </w:p>
    <w:p w:rsidR="007B7A21" w:rsidRPr="00AD33E8" w:rsidRDefault="007B7A21">
      <w:pPr>
        <w:pStyle w:val="Normaltindrag"/>
      </w:pPr>
      <w:r w:rsidRPr="00AD33E8">
        <w:t>Slutligen visar det sig att uppföljningen inte utvecklats framgångsrikt. Det visar sig svårt att fastställa dels om olika besparingsmål nåtts, dels hur ver</w:t>
      </w:r>
      <w:r w:rsidRPr="00AD33E8">
        <w:t>k</w:t>
      </w:r>
      <w:r w:rsidRPr="00AD33E8">
        <w:t>samheternas resultat utvecklats. Besparingsmål sätts efter en standardiserad modell med olika sparbeting uttryckta i procentsatser. En situations- eller verksamhetsanpassning mot områden där det finns rationaliseringspotentialer uteblir därmed. I många utredningar är just bättre uppföljningar en huvudr</w:t>
      </w:r>
      <w:r w:rsidRPr="00AD33E8">
        <w:t>e</w:t>
      </w:r>
      <w:r w:rsidRPr="00AD33E8">
        <w:t xml:space="preserve">kommendation. </w:t>
      </w:r>
      <w:r w:rsidRPr="00AD33E8">
        <w:br/>
      </w:r>
    </w:p>
    <w:p w:rsidR="007B7A21" w:rsidRPr="00AD33E8" w:rsidRDefault="007B7A21">
      <w:pPr>
        <w:pStyle w:val="Rubrik1"/>
      </w:pPr>
      <w:r w:rsidRPr="00AD33E8">
        <w:br w:type="page"/>
      </w:r>
      <w:bookmarkStart w:id="285" w:name="_Toc528541150"/>
      <w:bookmarkStart w:id="286" w:name="_Toc536240546"/>
      <w:bookmarkStart w:id="287" w:name="_Toc3887425"/>
      <w:bookmarkStart w:id="288" w:name="_Toc21425338"/>
      <w:r w:rsidRPr="00AD33E8">
        <w:t>Den personalpolitiska praktiken – fallstudier</w:t>
      </w:r>
      <w:bookmarkEnd w:id="285"/>
      <w:bookmarkEnd w:id="286"/>
      <w:bookmarkEnd w:id="287"/>
      <w:bookmarkEnd w:id="288"/>
    </w:p>
    <w:p w:rsidR="007B7A21" w:rsidRPr="00AD33E8" w:rsidRDefault="007B7A21">
      <w:pPr>
        <w:pBdr>
          <w:top w:val="single" w:sz="4" w:space="1" w:color="auto"/>
          <w:left w:val="single" w:sz="4" w:space="4" w:color="auto"/>
          <w:bottom w:val="single" w:sz="4" w:space="1" w:color="auto"/>
          <w:right w:val="single" w:sz="4" w:space="4" w:color="auto"/>
        </w:pBdr>
      </w:pPr>
      <w:r w:rsidRPr="00AD33E8">
        <w:rPr>
          <w:b/>
        </w:rPr>
        <w:t>Sammanfattning</w:t>
      </w:r>
      <w:r w:rsidRPr="00AD33E8">
        <w:t>: Fallstudierna baseras på ett 70-tal intervjuer med lokala företrädare för fyra myndigheter i fem län. Myndigheternas verksamheter är olika vilket ger olika syn på personalpolitiken. Gemensamt är dock att man betonar att arbetsgivarpolitik inte är lika med personalpolitik. Man anser också att skickligheten vid rekrytering och befordran fått ökad tyngd under 1990-talet. Likaså är en gemensam bild att personalavvecklingarna skötts men att de lett till negativa effekter för verksamheten,  bl.a. är rekrytering</w:t>
      </w:r>
      <w:r w:rsidRPr="00AD33E8">
        <w:t>en eftersatt. Problem har också uppkommit i slutet av 1990-talet i form av ökad arbetsbelastning och ökad ohälsa som följd av min</w:t>
      </w:r>
      <w:r w:rsidRPr="00AD33E8">
        <w:t>s</w:t>
      </w:r>
      <w:r w:rsidRPr="00AD33E8">
        <w:t xml:space="preserve">kad bemanning. </w:t>
      </w:r>
    </w:p>
    <w:p w:rsidR="007B7A21" w:rsidRPr="00AD33E8" w:rsidRDefault="007B7A21">
      <w:pPr>
        <w:pStyle w:val="Rubrik2"/>
      </w:pPr>
      <w:bookmarkStart w:id="289" w:name="_Toc528541151"/>
      <w:bookmarkStart w:id="290" w:name="_Toc536240547"/>
      <w:bookmarkStart w:id="291" w:name="_Toc3887426"/>
      <w:bookmarkStart w:id="292" w:name="_Toc21425339"/>
      <w:r w:rsidRPr="00AD33E8">
        <w:t>Metod</w:t>
      </w:r>
      <w:bookmarkEnd w:id="289"/>
      <w:bookmarkEnd w:id="290"/>
      <w:bookmarkEnd w:id="291"/>
      <w:bookmarkEnd w:id="292"/>
    </w:p>
    <w:p w:rsidR="007B7A21" w:rsidRPr="00AD33E8" w:rsidRDefault="007B7A21">
      <w:r w:rsidRPr="00AD33E8">
        <w:t>I de föregående kapitlen har två utgångspunkter för den statliga perso</w:t>
      </w:r>
      <w:r w:rsidRPr="00AD33E8">
        <w:softHyphen/>
        <w:t>nal</w:t>
      </w:r>
      <w:r w:rsidRPr="00AD33E8">
        <w:softHyphen/>
        <w:t>poli</w:t>
      </w:r>
      <w:r w:rsidRPr="00AD33E8">
        <w:softHyphen/>
        <w:t>ti</w:t>
      </w:r>
      <w:r w:rsidRPr="00AD33E8">
        <w:softHyphen/>
      </w:r>
      <w:r w:rsidRPr="00AD33E8">
        <w:softHyphen/>
        <w:t>ken behandlats. Först har medborgarnas, regeringsformens och lagstiftnin</w:t>
      </w:r>
      <w:r w:rsidRPr="00AD33E8">
        <w:t>g</w:t>
      </w:r>
      <w:r w:rsidRPr="00AD33E8">
        <w:t>ens pers</w:t>
      </w:r>
      <w:r w:rsidRPr="00AD33E8">
        <w:softHyphen/>
      </w:r>
      <w:r w:rsidRPr="00AD33E8">
        <w:softHyphen/>
        <w:t>pektiv redovisats. Därefter har dessa mål, ambitioner och villkor jämförts med olika centrala uppföljningar och utvärderingar av den statliga personalpolitikens utfall. I detta kapitel är uppgiften att samla och jämföra erfarenheter och lärdomar om personalfrågornas behandling i den statliga förvaltningens verksamhet. Det görs genom fallstudier vid fyra stora statligt finansierade verksamheter. Det är Arbetsmark</w:t>
      </w:r>
      <w:r w:rsidRPr="00AD33E8">
        <w:t>nadsverket, polisväsendet, skatte</w:t>
      </w:r>
      <w:r w:rsidRPr="00AD33E8">
        <w:softHyphen/>
        <w:t>väsen</w:t>
      </w:r>
      <w:r w:rsidRPr="00AD33E8">
        <w:softHyphen/>
        <w:t>det samt socialförsäkringsadministrationen som fått lämna exe</w:t>
      </w:r>
      <w:r w:rsidRPr="00AD33E8">
        <w:t>m</w:t>
      </w:r>
      <w:r w:rsidRPr="00AD33E8">
        <w:t>pel på per</w:t>
      </w:r>
      <w:r w:rsidRPr="00AD33E8">
        <w:softHyphen/>
        <w:t>sonalpolitikens vardagliga tilläm</w:t>
      </w:r>
      <w:r w:rsidRPr="00AD33E8">
        <w:t>p</w:t>
      </w:r>
      <w:r w:rsidRPr="00AD33E8">
        <w:t>ning.</w:t>
      </w:r>
    </w:p>
    <w:p w:rsidR="007B7A21" w:rsidRPr="00AD33E8" w:rsidRDefault="007B7A21">
      <w:pPr>
        <w:pStyle w:val="Normaltindrag"/>
      </w:pPr>
      <w:r w:rsidRPr="00AD33E8">
        <w:t>Fallstudierna har genomförts för att ge en fördjupad bild av den statliga personalpolitikens genomslag. De besökta verksamheterna har studerats för att ge exempel på statlig personalpolitik i praktiken. Inriktningen har varit att uppmärksamma förhållanden som är betydelsefulla för de statliga persona</w:t>
      </w:r>
      <w:r w:rsidRPr="00AD33E8">
        <w:t>l</w:t>
      </w:r>
      <w:r w:rsidRPr="00AD33E8">
        <w:t>politiska målens tillämpning i den dagliga verksamheten. Avsikten har sål</w:t>
      </w:r>
      <w:r w:rsidRPr="00AD33E8">
        <w:t>e</w:t>
      </w:r>
      <w:r w:rsidRPr="00AD33E8">
        <w:t xml:space="preserve">des inte varit att värdera eller rangordna de enskilda organisationer som studeras. </w:t>
      </w:r>
    </w:p>
    <w:p w:rsidR="007B7A21" w:rsidRPr="00AD33E8" w:rsidRDefault="007B7A21">
      <w:pPr>
        <w:pStyle w:val="Normaltindrag"/>
      </w:pPr>
      <w:r w:rsidRPr="00AD33E8">
        <w:t xml:space="preserve"> Undersökningen bygger på ett sjuttiotal intervjuer inom Arbetsmarknad</w:t>
      </w:r>
      <w:r w:rsidRPr="00AD33E8">
        <w:t>s</w:t>
      </w:r>
      <w:r w:rsidRPr="00AD33E8">
        <w:t>verket, polisväsendet, skatteförvaltningen samt socialförsäkringsadministr</w:t>
      </w:r>
      <w:r w:rsidRPr="00AD33E8">
        <w:t>a</w:t>
      </w:r>
      <w:r w:rsidRPr="00AD33E8">
        <w:t>tionen. Valet av fyra stora statligt finansierade och reglerade verksamheter har två motiv. Avsikten är att skilja det gemensamt statliga där man ytterst arbetar med uppdrag från riksdagen från det verk</w:t>
      </w:r>
      <w:r w:rsidRPr="00AD33E8">
        <w:softHyphen/>
        <w:t>samhets</w:t>
      </w:r>
      <w:r w:rsidRPr="00AD33E8">
        <w:softHyphen/>
        <w:t>typiska, t.ex. så bedriver såväl Arbetsmarknadsverket som försäkringskassorna rehabilite</w:t>
      </w:r>
      <w:r w:rsidRPr="00AD33E8">
        <w:t>r</w:t>
      </w:r>
      <w:r w:rsidRPr="00AD33E8">
        <w:t>ingsverksamhet som har mycket gemensamt med verksamheten inom socia</w:t>
      </w:r>
      <w:r w:rsidRPr="00AD33E8">
        <w:t>l</w:t>
      </w:r>
      <w:r w:rsidRPr="00AD33E8">
        <w:t>tjänsten. Ett andra syfte är att täcka in några av de största arbets</w:t>
      </w:r>
      <w:r w:rsidRPr="00AD33E8">
        <w:t>g</w:t>
      </w:r>
      <w:r w:rsidRPr="00AD33E8">
        <w:t>i</w:t>
      </w:r>
      <w:r w:rsidRPr="00AD33E8">
        <w:t xml:space="preserve">varna. </w:t>
      </w:r>
    </w:p>
    <w:p w:rsidR="007B7A21" w:rsidRPr="00AD33E8" w:rsidRDefault="007B7A21">
      <w:pPr>
        <w:pStyle w:val="Normaltindrag"/>
      </w:pPr>
      <w:r w:rsidRPr="00AD33E8">
        <w:t>Intervjuerna har dels koncentrerats till Uppsala län, dels spridits till Dala</w:t>
      </w:r>
      <w:r w:rsidRPr="00AD33E8">
        <w:t>r</w:t>
      </w:r>
      <w:r w:rsidRPr="00AD33E8">
        <w:t>nas, Västmanlands, Västra Götalands och Örebro län. Koncentrationen gjo</w:t>
      </w:r>
      <w:r w:rsidRPr="00AD33E8">
        <w:t>r</w:t>
      </w:r>
      <w:r w:rsidRPr="00AD33E8">
        <w:t>des för att få en gemensam omvärld som bakgrund och referens vid intervj</w:t>
      </w:r>
      <w:r w:rsidRPr="00AD33E8">
        <w:t>u</w:t>
      </w:r>
      <w:r w:rsidRPr="00AD33E8">
        <w:t>erna. De personalpolitiska perspektiven kan antas framträda tydligare om arbetsuppgifter och arbetsförhållanden i någon grad kan hållas konstanta. Det blir därmed lättare att fördjupa diskussionen för ett antal personalpolitiska kärnfrågor. Breddningen till  andra län har gjorts för att stämma av och ber</w:t>
      </w:r>
      <w:r w:rsidRPr="00AD33E8">
        <w:t>i</w:t>
      </w:r>
      <w:r w:rsidRPr="00AD33E8">
        <w:t>ka helhetsbilden och därmed öka representativiteten. De samm</w:t>
      </w:r>
      <w:r w:rsidRPr="00AD33E8">
        <w:t>an</w:t>
      </w:r>
      <w:r w:rsidRPr="00AD33E8">
        <w:softHyphen/>
        <w:t>lagt 70 intervjuerna har fördelats enligt följande sa</w:t>
      </w:r>
      <w:r w:rsidRPr="00AD33E8">
        <w:t>m</w:t>
      </w:r>
      <w:r w:rsidRPr="00AD33E8">
        <w:t>manställning.</w:t>
      </w:r>
    </w:p>
    <w:p w:rsidR="007B7A21" w:rsidRPr="00AD33E8" w:rsidRDefault="007B7A21">
      <w:pPr>
        <w:pStyle w:val="Normaltindrag"/>
      </w:pP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1701"/>
        <w:gridCol w:w="1021"/>
        <w:gridCol w:w="1021"/>
        <w:gridCol w:w="1021"/>
        <w:gridCol w:w="1021"/>
      </w:tblGrid>
      <w:tr w:rsidR="00000000" w:rsidRPr="00AD33E8">
        <w:tblPrEx>
          <w:tblCellMar>
            <w:top w:w="0" w:type="dxa"/>
            <w:bottom w:w="0" w:type="dxa"/>
          </w:tblCellMar>
        </w:tblPrEx>
        <w:trPr>
          <w:trHeight w:val="580"/>
        </w:trPr>
        <w:tc>
          <w:tcPr>
            <w:tcW w:w="1701" w:type="dxa"/>
            <w:tcBorders>
              <w:bottom w:val="single" w:sz="6" w:space="0" w:color="008000"/>
            </w:tcBorders>
          </w:tcPr>
          <w:p w:rsidR="007B7A21" w:rsidRPr="00AD33E8" w:rsidRDefault="007B7A21">
            <w:pPr>
              <w:spacing w:before="0" w:line="240" w:lineRule="auto"/>
              <w:jc w:val="right"/>
              <w:rPr>
                <w:snapToGrid w:val="0"/>
                <w:lang w:eastAsia="sv-SE"/>
              </w:rPr>
            </w:pPr>
          </w:p>
        </w:tc>
        <w:tc>
          <w:tcPr>
            <w:tcW w:w="1021" w:type="dxa"/>
            <w:tcBorders>
              <w:bottom w:val="single" w:sz="6" w:space="0" w:color="008000"/>
            </w:tcBorders>
          </w:tcPr>
          <w:p w:rsidR="007B7A21" w:rsidRPr="00AD33E8" w:rsidRDefault="007B7A21">
            <w:pPr>
              <w:spacing w:before="0" w:line="240" w:lineRule="auto"/>
              <w:jc w:val="center"/>
              <w:rPr>
                <w:snapToGrid w:val="0"/>
                <w:lang w:eastAsia="sv-SE"/>
              </w:rPr>
            </w:pPr>
            <w:r w:rsidRPr="00AD33E8">
              <w:rPr>
                <w:snapToGrid w:val="0"/>
                <w:lang w:eastAsia="sv-SE"/>
              </w:rPr>
              <w:t>Arbet</w:t>
            </w:r>
            <w:r w:rsidRPr="00AD33E8">
              <w:rPr>
                <w:snapToGrid w:val="0"/>
                <w:lang w:eastAsia="sv-SE"/>
              </w:rPr>
              <w:t>s</w:t>
            </w:r>
            <w:r w:rsidRPr="00AD33E8">
              <w:rPr>
                <w:snapToGrid w:val="0"/>
                <w:lang w:eastAsia="sv-SE"/>
              </w:rPr>
              <w:t>marknad</w:t>
            </w:r>
            <w:r w:rsidRPr="00AD33E8">
              <w:rPr>
                <w:snapToGrid w:val="0"/>
                <w:lang w:eastAsia="sv-SE"/>
              </w:rPr>
              <w:t>s</w:t>
            </w:r>
            <w:r w:rsidRPr="00AD33E8">
              <w:rPr>
                <w:snapToGrid w:val="0"/>
                <w:lang w:eastAsia="sv-SE"/>
              </w:rPr>
              <w:t>verket</w:t>
            </w:r>
          </w:p>
        </w:tc>
        <w:tc>
          <w:tcPr>
            <w:tcW w:w="1021" w:type="dxa"/>
            <w:tcBorders>
              <w:bottom w:val="single" w:sz="6" w:space="0" w:color="008000"/>
            </w:tcBorders>
          </w:tcPr>
          <w:p w:rsidR="007B7A21" w:rsidRPr="00AD33E8" w:rsidRDefault="007B7A21">
            <w:pPr>
              <w:spacing w:before="0" w:line="240" w:lineRule="auto"/>
              <w:jc w:val="center"/>
              <w:rPr>
                <w:snapToGrid w:val="0"/>
                <w:lang w:eastAsia="sv-SE"/>
              </w:rPr>
            </w:pPr>
            <w:r w:rsidRPr="00AD33E8">
              <w:rPr>
                <w:snapToGrid w:val="0"/>
                <w:lang w:eastAsia="sv-SE"/>
              </w:rPr>
              <w:t>Försä</w:t>
            </w:r>
            <w:r w:rsidRPr="00AD33E8">
              <w:rPr>
                <w:snapToGrid w:val="0"/>
                <w:lang w:eastAsia="sv-SE"/>
              </w:rPr>
              <w:t>k</w:t>
            </w:r>
            <w:r w:rsidRPr="00AD33E8">
              <w:rPr>
                <w:snapToGrid w:val="0"/>
                <w:lang w:eastAsia="sv-SE"/>
              </w:rPr>
              <w:t>ringska</w:t>
            </w:r>
            <w:r w:rsidRPr="00AD33E8">
              <w:rPr>
                <w:snapToGrid w:val="0"/>
                <w:lang w:eastAsia="sv-SE"/>
              </w:rPr>
              <w:t>s</w:t>
            </w:r>
            <w:r w:rsidRPr="00AD33E8">
              <w:rPr>
                <w:snapToGrid w:val="0"/>
                <w:lang w:eastAsia="sv-SE"/>
              </w:rPr>
              <w:t>sor</w:t>
            </w:r>
          </w:p>
        </w:tc>
        <w:tc>
          <w:tcPr>
            <w:tcW w:w="1021" w:type="dxa"/>
            <w:tcBorders>
              <w:bottom w:val="single" w:sz="6" w:space="0" w:color="008000"/>
            </w:tcBorders>
          </w:tcPr>
          <w:p w:rsidR="007B7A21" w:rsidRPr="00AD33E8" w:rsidRDefault="007B7A21">
            <w:pPr>
              <w:spacing w:before="0" w:line="240" w:lineRule="auto"/>
              <w:jc w:val="center"/>
              <w:rPr>
                <w:snapToGrid w:val="0"/>
                <w:lang w:eastAsia="sv-SE"/>
              </w:rPr>
            </w:pPr>
            <w:r w:rsidRPr="00AD33E8">
              <w:rPr>
                <w:snapToGrid w:val="0"/>
                <w:lang w:eastAsia="sv-SE"/>
              </w:rPr>
              <w:t>Polis</w:t>
            </w:r>
          </w:p>
        </w:tc>
        <w:tc>
          <w:tcPr>
            <w:tcW w:w="1021" w:type="dxa"/>
            <w:tcBorders>
              <w:bottom w:val="single" w:sz="6" w:space="0" w:color="008000"/>
            </w:tcBorders>
          </w:tcPr>
          <w:p w:rsidR="007B7A21" w:rsidRPr="00AD33E8" w:rsidRDefault="007B7A21">
            <w:pPr>
              <w:spacing w:before="0" w:line="240" w:lineRule="auto"/>
              <w:jc w:val="center"/>
              <w:rPr>
                <w:snapToGrid w:val="0"/>
                <w:lang w:eastAsia="sv-SE"/>
              </w:rPr>
            </w:pPr>
            <w:r w:rsidRPr="00AD33E8">
              <w:rPr>
                <w:snapToGrid w:val="0"/>
                <w:lang w:eastAsia="sv-SE"/>
              </w:rPr>
              <w:t>Skattemy</w:t>
            </w:r>
            <w:r w:rsidRPr="00AD33E8">
              <w:rPr>
                <w:snapToGrid w:val="0"/>
                <w:lang w:eastAsia="sv-SE"/>
              </w:rPr>
              <w:t>n</w:t>
            </w:r>
            <w:r w:rsidRPr="00AD33E8">
              <w:rPr>
                <w:snapToGrid w:val="0"/>
                <w:lang w:eastAsia="sv-SE"/>
              </w:rPr>
              <w:t>di</w:t>
            </w:r>
            <w:r w:rsidRPr="00AD33E8">
              <w:rPr>
                <w:snapToGrid w:val="0"/>
                <w:lang w:eastAsia="sv-SE"/>
              </w:rPr>
              <w:t>g</w:t>
            </w:r>
            <w:r w:rsidRPr="00AD33E8">
              <w:rPr>
                <w:snapToGrid w:val="0"/>
                <w:lang w:eastAsia="sv-SE"/>
              </w:rPr>
              <w:t>heter</w:t>
            </w:r>
          </w:p>
        </w:tc>
      </w:tr>
      <w:tr w:rsidR="00000000" w:rsidRPr="00AD33E8">
        <w:tblPrEx>
          <w:tblCellMar>
            <w:top w:w="0" w:type="dxa"/>
            <w:bottom w:w="0" w:type="dxa"/>
          </w:tblCellMar>
        </w:tblPrEx>
        <w:trPr>
          <w:trHeight w:val="240"/>
        </w:trPr>
        <w:tc>
          <w:tcPr>
            <w:tcW w:w="1701" w:type="dxa"/>
            <w:tcBorders>
              <w:top w:val="nil"/>
            </w:tcBorders>
          </w:tcPr>
          <w:p w:rsidR="007B7A21" w:rsidRPr="00AD33E8" w:rsidRDefault="007B7A21">
            <w:pPr>
              <w:spacing w:before="0" w:line="240" w:lineRule="auto"/>
              <w:rPr>
                <w:snapToGrid w:val="0"/>
                <w:lang w:eastAsia="sv-SE"/>
              </w:rPr>
            </w:pPr>
            <w:r w:rsidRPr="00AD33E8">
              <w:rPr>
                <w:snapToGrid w:val="0"/>
                <w:lang w:eastAsia="sv-SE"/>
              </w:rPr>
              <w:t>Dalarnas län</w:t>
            </w:r>
          </w:p>
        </w:tc>
        <w:tc>
          <w:tcPr>
            <w:tcW w:w="1021" w:type="dxa"/>
            <w:tcBorders>
              <w:top w:val="nil"/>
            </w:tcBorders>
          </w:tcPr>
          <w:p w:rsidR="007B7A21" w:rsidRPr="00AD33E8" w:rsidRDefault="007B7A21">
            <w:pPr>
              <w:spacing w:before="0" w:line="240" w:lineRule="auto"/>
              <w:jc w:val="center"/>
              <w:rPr>
                <w:snapToGrid w:val="0"/>
                <w:lang w:eastAsia="sv-SE"/>
              </w:rPr>
            </w:pPr>
          </w:p>
        </w:tc>
        <w:tc>
          <w:tcPr>
            <w:tcW w:w="1021" w:type="dxa"/>
            <w:tcBorders>
              <w:top w:val="nil"/>
            </w:tcBorders>
          </w:tcPr>
          <w:p w:rsidR="007B7A21" w:rsidRPr="00AD33E8" w:rsidRDefault="007B7A21">
            <w:pPr>
              <w:spacing w:before="0" w:line="240" w:lineRule="auto"/>
              <w:jc w:val="center"/>
              <w:rPr>
                <w:snapToGrid w:val="0"/>
                <w:lang w:eastAsia="sv-SE"/>
              </w:rPr>
            </w:pPr>
            <w:r w:rsidRPr="00AD33E8">
              <w:rPr>
                <w:snapToGrid w:val="0"/>
                <w:lang w:eastAsia="sv-SE"/>
              </w:rPr>
              <w:t>4</w:t>
            </w:r>
          </w:p>
        </w:tc>
        <w:tc>
          <w:tcPr>
            <w:tcW w:w="1021" w:type="dxa"/>
            <w:tcBorders>
              <w:top w:val="nil"/>
            </w:tcBorders>
          </w:tcPr>
          <w:p w:rsidR="007B7A21" w:rsidRPr="00AD33E8" w:rsidRDefault="007B7A21">
            <w:pPr>
              <w:spacing w:before="0" w:line="240" w:lineRule="auto"/>
              <w:jc w:val="center"/>
              <w:rPr>
                <w:snapToGrid w:val="0"/>
                <w:lang w:eastAsia="sv-SE"/>
              </w:rPr>
            </w:pPr>
          </w:p>
        </w:tc>
        <w:tc>
          <w:tcPr>
            <w:tcW w:w="1021" w:type="dxa"/>
            <w:tcBorders>
              <w:top w:val="nil"/>
            </w:tcBorders>
          </w:tcPr>
          <w:p w:rsidR="007B7A21" w:rsidRPr="00AD33E8" w:rsidRDefault="007B7A21">
            <w:pPr>
              <w:spacing w:before="0" w:line="240" w:lineRule="auto"/>
              <w:jc w:val="center"/>
              <w:rPr>
                <w:snapToGrid w:val="0"/>
                <w:lang w:eastAsia="sv-SE"/>
              </w:rPr>
            </w:pPr>
          </w:p>
        </w:tc>
      </w:tr>
      <w:tr w:rsidR="00000000" w:rsidRPr="00AD33E8">
        <w:tblPrEx>
          <w:tblCellMar>
            <w:top w:w="0" w:type="dxa"/>
            <w:bottom w:w="0" w:type="dxa"/>
          </w:tblCellMar>
        </w:tblPrEx>
        <w:trPr>
          <w:trHeight w:val="240"/>
        </w:trPr>
        <w:tc>
          <w:tcPr>
            <w:tcW w:w="1701" w:type="dxa"/>
          </w:tcPr>
          <w:p w:rsidR="007B7A21" w:rsidRPr="00AD33E8" w:rsidRDefault="007B7A21">
            <w:pPr>
              <w:spacing w:before="0" w:line="240" w:lineRule="auto"/>
              <w:rPr>
                <w:snapToGrid w:val="0"/>
                <w:lang w:eastAsia="sv-SE"/>
              </w:rPr>
            </w:pPr>
            <w:r w:rsidRPr="00AD33E8">
              <w:rPr>
                <w:snapToGrid w:val="0"/>
                <w:lang w:eastAsia="sv-SE"/>
              </w:rPr>
              <w:t>Uppsala län</w:t>
            </w:r>
          </w:p>
        </w:tc>
        <w:tc>
          <w:tcPr>
            <w:tcW w:w="1021" w:type="dxa"/>
          </w:tcPr>
          <w:p w:rsidR="007B7A21" w:rsidRPr="00AD33E8" w:rsidRDefault="007B7A21">
            <w:pPr>
              <w:spacing w:before="0" w:line="240" w:lineRule="auto"/>
              <w:jc w:val="center"/>
              <w:rPr>
                <w:snapToGrid w:val="0"/>
                <w:lang w:eastAsia="sv-SE"/>
              </w:rPr>
            </w:pPr>
            <w:r w:rsidRPr="00AD33E8">
              <w:rPr>
                <w:snapToGrid w:val="0"/>
                <w:lang w:eastAsia="sv-SE"/>
              </w:rPr>
              <w:t>9</w:t>
            </w:r>
          </w:p>
        </w:tc>
        <w:tc>
          <w:tcPr>
            <w:tcW w:w="1021" w:type="dxa"/>
          </w:tcPr>
          <w:p w:rsidR="007B7A21" w:rsidRPr="00AD33E8" w:rsidRDefault="007B7A21">
            <w:pPr>
              <w:spacing w:before="0" w:line="240" w:lineRule="auto"/>
              <w:jc w:val="center"/>
              <w:rPr>
                <w:snapToGrid w:val="0"/>
                <w:lang w:eastAsia="sv-SE"/>
              </w:rPr>
            </w:pPr>
            <w:r w:rsidRPr="00AD33E8">
              <w:rPr>
                <w:snapToGrid w:val="0"/>
                <w:lang w:eastAsia="sv-SE"/>
              </w:rPr>
              <w:t>10</w:t>
            </w:r>
          </w:p>
        </w:tc>
        <w:tc>
          <w:tcPr>
            <w:tcW w:w="1021" w:type="dxa"/>
          </w:tcPr>
          <w:p w:rsidR="007B7A21" w:rsidRPr="00AD33E8" w:rsidRDefault="007B7A21">
            <w:pPr>
              <w:spacing w:before="0" w:line="240" w:lineRule="auto"/>
              <w:jc w:val="center"/>
              <w:rPr>
                <w:snapToGrid w:val="0"/>
                <w:lang w:eastAsia="sv-SE"/>
              </w:rPr>
            </w:pPr>
            <w:r w:rsidRPr="00AD33E8">
              <w:rPr>
                <w:snapToGrid w:val="0"/>
                <w:lang w:eastAsia="sv-SE"/>
              </w:rPr>
              <w:t>18</w:t>
            </w:r>
          </w:p>
        </w:tc>
        <w:tc>
          <w:tcPr>
            <w:tcW w:w="1021" w:type="dxa"/>
          </w:tcPr>
          <w:p w:rsidR="007B7A21" w:rsidRPr="00AD33E8" w:rsidRDefault="007B7A21">
            <w:pPr>
              <w:spacing w:before="0" w:line="240" w:lineRule="auto"/>
              <w:jc w:val="center"/>
              <w:rPr>
                <w:snapToGrid w:val="0"/>
                <w:lang w:eastAsia="sv-SE"/>
              </w:rPr>
            </w:pPr>
            <w:r w:rsidRPr="00AD33E8">
              <w:rPr>
                <w:snapToGrid w:val="0"/>
                <w:lang w:eastAsia="sv-SE"/>
              </w:rPr>
              <w:t>10</w:t>
            </w:r>
          </w:p>
        </w:tc>
      </w:tr>
      <w:tr w:rsidR="00000000" w:rsidRPr="00AD33E8">
        <w:tblPrEx>
          <w:tblCellMar>
            <w:top w:w="0" w:type="dxa"/>
            <w:bottom w:w="0" w:type="dxa"/>
          </w:tblCellMar>
        </w:tblPrEx>
        <w:trPr>
          <w:trHeight w:val="240"/>
        </w:trPr>
        <w:tc>
          <w:tcPr>
            <w:tcW w:w="1701" w:type="dxa"/>
          </w:tcPr>
          <w:p w:rsidR="007B7A21" w:rsidRPr="00AD33E8" w:rsidRDefault="007B7A21">
            <w:pPr>
              <w:spacing w:before="0" w:line="240" w:lineRule="auto"/>
              <w:rPr>
                <w:snapToGrid w:val="0"/>
                <w:lang w:eastAsia="sv-SE"/>
              </w:rPr>
            </w:pPr>
            <w:r w:rsidRPr="00AD33E8">
              <w:rPr>
                <w:snapToGrid w:val="0"/>
                <w:lang w:eastAsia="sv-SE"/>
              </w:rPr>
              <w:t>Västmanlands län</w:t>
            </w:r>
          </w:p>
        </w:tc>
        <w:tc>
          <w:tcPr>
            <w:tcW w:w="1021" w:type="dxa"/>
          </w:tcPr>
          <w:p w:rsidR="007B7A21" w:rsidRPr="00AD33E8" w:rsidRDefault="007B7A21">
            <w:pPr>
              <w:spacing w:before="0" w:line="240" w:lineRule="auto"/>
              <w:jc w:val="center"/>
              <w:rPr>
                <w:snapToGrid w:val="0"/>
                <w:lang w:eastAsia="sv-SE"/>
              </w:rPr>
            </w:pPr>
            <w:r w:rsidRPr="00AD33E8">
              <w:rPr>
                <w:snapToGrid w:val="0"/>
                <w:lang w:eastAsia="sv-SE"/>
              </w:rPr>
              <w:t>8</w:t>
            </w:r>
          </w:p>
        </w:tc>
        <w:tc>
          <w:tcPr>
            <w:tcW w:w="1021" w:type="dxa"/>
          </w:tcPr>
          <w:p w:rsidR="007B7A21" w:rsidRPr="00AD33E8" w:rsidRDefault="007B7A21">
            <w:pPr>
              <w:spacing w:before="0" w:line="240" w:lineRule="auto"/>
              <w:jc w:val="center"/>
              <w:rPr>
                <w:snapToGrid w:val="0"/>
                <w:lang w:eastAsia="sv-SE"/>
              </w:rPr>
            </w:pPr>
          </w:p>
        </w:tc>
        <w:tc>
          <w:tcPr>
            <w:tcW w:w="1021" w:type="dxa"/>
          </w:tcPr>
          <w:p w:rsidR="007B7A21" w:rsidRPr="00AD33E8" w:rsidRDefault="007B7A21">
            <w:pPr>
              <w:spacing w:before="0" w:line="240" w:lineRule="auto"/>
              <w:jc w:val="center"/>
              <w:rPr>
                <w:snapToGrid w:val="0"/>
                <w:lang w:eastAsia="sv-SE"/>
              </w:rPr>
            </w:pPr>
          </w:p>
        </w:tc>
        <w:tc>
          <w:tcPr>
            <w:tcW w:w="1021" w:type="dxa"/>
          </w:tcPr>
          <w:p w:rsidR="007B7A21" w:rsidRPr="00AD33E8" w:rsidRDefault="007B7A21">
            <w:pPr>
              <w:spacing w:before="0" w:line="240" w:lineRule="auto"/>
              <w:jc w:val="center"/>
              <w:rPr>
                <w:snapToGrid w:val="0"/>
                <w:lang w:eastAsia="sv-SE"/>
              </w:rPr>
            </w:pPr>
          </w:p>
        </w:tc>
      </w:tr>
      <w:tr w:rsidR="00000000" w:rsidRPr="00AD33E8">
        <w:tblPrEx>
          <w:tblCellMar>
            <w:top w:w="0" w:type="dxa"/>
            <w:bottom w:w="0" w:type="dxa"/>
          </w:tblCellMar>
        </w:tblPrEx>
        <w:trPr>
          <w:trHeight w:val="240"/>
        </w:trPr>
        <w:tc>
          <w:tcPr>
            <w:tcW w:w="1701" w:type="dxa"/>
          </w:tcPr>
          <w:p w:rsidR="007B7A21" w:rsidRPr="00AD33E8" w:rsidRDefault="007B7A21">
            <w:pPr>
              <w:spacing w:before="0" w:line="240" w:lineRule="auto"/>
              <w:rPr>
                <w:snapToGrid w:val="0"/>
                <w:lang w:eastAsia="sv-SE"/>
              </w:rPr>
            </w:pPr>
            <w:r w:rsidRPr="00AD33E8">
              <w:rPr>
                <w:snapToGrid w:val="0"/>
                <w:lang w:eastAsia="sv-SE"/>
              </w:rPr>
              <w:t>Västra Götalands län</w:t>
            </w:r>
          </w:p>
        </w:tc>
        <w:tc>
          <w:tcPr>
            <w:tcW w:w="1021" w:type="dxa"/>
          </w:tcPr>
          <w:p w:rsidR="007B7A21" w:rsidRPr="00AD33E8" w:rsidRDefault="007B7A21">
            <w:pPr>
              <w:spacing w:before="0" w:line="240" w:lineRule="auto"/>
              <w:jc w:val="center"/>
              <w:rPr>
                <w:snapToGrid w:val="0"/>
                <w:lang w:eastAsia="sv-SE"/>
              </w:rPr>
            </w:pPr>
          </w:p>
        </w:tc>
        <w:tc>
          <w:tcPr>
            <w:tcW w:w="1021" w:type="dxa"/>
          </w:tcPr>
          <w:p w:rsidR="007B7A21" w:rsidRPr="00AD33E8" w:rsidRDefault="007B7A21">
            <w:pPr>
              <w:spacing w:before="0" w:line="240" w:lineRule="auto"/>
              <w:jc w:val="center"/>
              <w:rPr>
                <w:snapToGrid w:val="0"/>
                <w:lang w:eastAsia="sv-SE"/>
              </w:rPr>
            </w:pPr>
          </w:p>
        </w:tc>
        <w:tc>
          <w:tcPr>
            <w:tcW w:w="1021" w:type="dxa"/>
          </w:tcPr>
          <w:p w:rsidR="007B7A21" w:rsidRPr="00AD33E8" w:rsidRDefault="007B7A21">
            <w:pPr>
              <w:spacing w:before="0" w:line="240" w:lineRule="auto"/>
              <w:jc w:val="center"/>
              <w:rPr>
                <w:snapToGrid w:val="0"/>
                <w:lang w:eastAsia="sv-SE"/>
              </w:rPr>
            </w:pPr>
          </w:p>
        </w:tc>
        <w:tc>
          <w:tcPr>
            <w:tcW w:w="1021" w:type="dxa"/>
          </w:tcPr>
          <w:p w:rsidR="007B7A21" w:rsidRPr="00AD33E8" w:rsidRDefault="007B7A21">
            <w:pPr>
              <w:spacing w:before="0" w:line="240" w:lineRule="auto"/>
              <w:jc w:val="center"/>
              <w:rPr>
                <w:snapToGrid w:val="0"/>
                <w:lang w:eastAsia="sv-SE"/>
              </w:rPr>
            </w:pPr>
            <w:r w:rsidRPr="00AD33E8">
              <w:rPr>
                <w:snapToGrid w:val="0"/>
                <w:lang w:eastAsia="sv-SE"/>
              </w:rPr>
              <w:t>7</w:t>
            </w:r>
          </w:p>
        </w:tc>
      </w:tr>
      <w:tr w:rsidR="00000000" w:rsidRPr="00AD33E8">
        <w:tblPrEx>
          <w:tblCellMar>
            <w:top w:w="0" w:type="dxa"/>
            <w:bottom w:w="0" w:type="dxa"/>
          </w:tblCellMar>
        </w:tblPrEx>
        <w:trPr>
          <w:trHeight w:val="240"/>
        </w:trPr>
        <w:tc>
          <w:tcPr>
            <w:tcW w:w="1701" w:type="dxa"/>
          </w:tcPr>
          <w:p w:rsidR="007B7A21" w:rsidRPr="00AD33E8" w:rsidRDefault="007B7A21">
            <w:pPr>
              <w:spacing w:before="0" w:line="240" w:lineRule="auto"/>
              <w:rPr>
                <w:snapToGrid w:val="0"/>
                <w:lang w:eastAsia="sv-SE"/>
              </w:rPr>
            </w:pPr>
            <w:r w:rsidRPr="00AD33E8">
              <w:rPr>
                <w:snapToGrid w:val="0"/>
                <w:lang w:eastAsia="sv-SE"/>
              </w:rPr>
              <w:t>Örebro län</w:t>
            </w:r>
          </w:p>
        </w:tc>
        <w:tc>
          <w:tcPr>
            <w:tcW w:w="1021" w:type="dxa"/>
          </w:tcPr>
          <w:p w:rsidR="007B7A21" w:rsidRPr="00AD33E8" w:rsidRDefault="007B7A21">
            <w:pPr>
              <w:spacing w:before="0" w:line="240" w:lineRule="auto"/>
              <w:jc w:val="center"/>
              <w:rPr>
                <w:snapToGrid w:val="0"/>
                <w:lang w:eastAsia="sv-SE"/>
              </w:rPr>
            </w:pPr>
          </w:p>
        </w:tc>
        <w:tc>
          <w:tcPr>
            <w:tcW w:w="1021" w:type="dxa"/>
          </w:tcPr>
          <w:p w:rsidR="007B7A21" w:rsidRPr="00AD33E8" w:rsidRDefault="007B7A21">
            <w:pPr>
              <w:spacing w:before="0" w:line="240" w:lineRule="auto"/>
              <w:jc w:val="center"/>
              <w:rPr>
                <w:snapToGrid w:val="0"/>
                <w:lang w:eastAsia="sv-SE"/>
              </w:rPr>
            </w:pPr>
          </w:p>
        </w:tc>
        <w:tc>
          <w:tcPr>
            <w:tcW w:w="1021" w:type="dxa"/>
          </w:tcPr>
          <w:p w:rsidR="007B7A21" w:rsidRPr="00AD33E8" w:rsidRDefault="007B7A21">
            <w:pPr>
              <w:spacing w:before="0" w:line="240" w:lineRule="auto"/>
              <w:jc w:val="center"/>
              <w:rPr>
                <w:snapToGrid w:val="0"/>
                <w:lang w:eastAsia="sv-SE"/>
              </w:rPr>
            </w:pPr>
            <w:r w:rsidRPr="00AD33E8">
              <w:rPr>
                <w:snapToGrid w:val="0"/>
                <w:lang w:eastAsia="sv-SE"/>
              </w:rPr>
              <w:t>4</w:t>
            </w:r>
          </w:p>
        </w:tc>
        <w:tc>
          <w:tcPr>
            <w:tcW w:w="1021" w:type="dxa"/>
          </w:tcPr>
          <w:p w:rsidR="007B7A21" w:rsidRPr="00AD33E8" w:rsidRDefault="007B7A21">
            <w:pPr>
              <w:spacing w:before="0" w:line="240" w:lineRule="auto"/>
              <w:jc w:val="center"/>
              <w:rPr>
                <w:snapToGrid w:val="0"/>
                <w:lang w:eastAsia="sv-SE"/>
              </w:rPr>
            </w:pPr>
          </w:p>
        </w:tc>
      </w:tr>
      <w:tr w:rsidR="00000000" w:rsidRPr="00AD33E8">
        <w:tblPrEx>
          <w:tblCellMar>
            <w:top w:w="0" w:type="dxa"/>
            <w:bottom w:w="0" w:type="dxa"/>
          </w:tblCellMar>
        </w:tblPrEx>
        <w:trPr>
          <w:trHeight w:val="240"/>
        </w:trPr>
        <w:tc>
          <w:tcPr>
            <w:tcW w:w="1701" w:type="dxa"/>
          </w:tcPr>
          <w:p w:rsidR="007B7A21" w:rsidRPr="00AD33E8" w:rsidRDefault="007B7A21">
            <w:pPr>
              <w:spacing w:before="0" w:line="240" w:lineRule="auto"/>
              <w:jc w:val="right"/>
              <w:rPr>
                <w:snapToGrid w:val="0"/>
                <w:lang w:eastAsia="sv-SE"/>
              </w:rPr>
            </w:pPr>
            <w:r w:rsidRPr="00AD33E8">
              <w:rPr>
                <w:snapToGrid w:val="0"/>
                <w:lang w:eastAsia="sv-SE"/>
              </w:rPr>
              <w:t>Summa</w:t>
            </w:r>
          </w:p>
        </w:tc>
        <w:tc>
          <w:tcPr>
            <w:tcW w:w="1021" w:type="dxa"/>
          </w:tcPr>
          <w:p w:rsidR="007B7A21" w:rsidRPr="00AD33E8" w:rsidRDefault="007B7A21">
            <w:pPr>
              <w:spacing w:before="0" w:line="240" w:lineRule="auto"/>
              <w:jc w:val="center"/>
              <w:rPr>
                <w:snapToGrid w:val="0"/>
                <w:lang w:eastAsia="sv-SE"/>
              </w:rPr>
            </w:pPr>
            <w:r w:rsidRPr="00AD33E8">
              <w:rPr>
                <w:snapToGrid w:val="0"/>
                <w:lang w:eastAsia="sv-SE"/>
              </w:rPr>
              <w:t>17</w:t>
            </w:r>
          </w:p>
        </w:tc>
        <w:tc>
          <w:tcPr>
            <w:tcW w:w="1021" w:type="dxa"/>
          </w:tcPr>
          <w:p w:rsidR="007B7A21" w:rsidRPr="00AD33E8" w:rsidRDefault="007B7A21">
            <w:pPr>
              <w:spacing w:before="0" w:line="240" w:lineRule="auto"/>
              <w:jc w:val="center"/>
              <w:rPr>
                <w:snapToGrid w:val="0"/>
                <w:lang w:eastAsia="sv-SE"/>
              </w:rPr>
            </w:pPr>
            <w:r w:rsidRPr="00AD33E8">
              <w:rPr>
                <w:snapToGrid w:val="0"/>
                <w:lang w:eastAsia="sv-SE"/>
              </w:rPr>
              <w:t>14</w:t>
            </w:r>
          </w:p>
        </w:tc>
        <w:tc>
          <w:tcPr>
            <w:tcW w:w="1021" w:type="dxa"/>
          </w:tcPr>
          <w:p w:rsidR="007B7A21" w:rsidRPr="00AD33E8" w:rsidRDefault="007B7A21">
            <w:pPr>
              <w:spacing w:before="0" w:line="240" w:lineRule="auto"/>
              <w:jc w:val="center"/>
              <w:rPr>
                <w:snapToGrid w:val="0"/>
                <w:lang w:eastAsia="sv-SE"/>
              </w:rPr>
            </w:pPr>
            <w:r w:rsidRPr="00AD33E8">
              <w:rPr>
                <w:snapToGrid w:val="0"/>
                <w:lang w:eastAsia="sv-SE"/>
              </w:rPr>
              <w:t>22</w:t>
            </w:r>
          </w:p>
        </w:tc>
        <w:tc>
          <w:tcPr>
            <w:tcW w:w="1021" w:type="dxa"/>
          </w:tcPr>
          <w:p w:rsidR="007B7A21" w:rsidRPr="00AD33E8" w:rsidRDefault="007B7A21">
            <w:pPr>
              <w:spacing w:before="0" w:line="240" w:lineRule="auto"/>
              <w:jc w:val="center"/>
              <w:rPr>
                <w:snapToGrid w:val="0"/>
                <w:lang w:eastAsia="sv-SE"/>
              </w:rPr>
            </w:pPr>
            <w:r w:rsidRPr="00AD33E8">
              <w:rPr>
                <w:snapToGrid w:val="0"/>
                <w:lang w:eastAsia="sv-SE"/>
              </w:rPr>
              <w:t>17</w:t>
            </w:r>
          </w:p>
        </w:tc>
      </w:tr>
    </w:tbl>
    <w:p w:rsidR="007B7A21" w:rsidRPr="00AD33E8" w:rsidRDefault="007B7A21">
      <w:r w:rsidRPr="00AD33E8">
        <w:t>Det ligger i sakens natur att 70 olika intervjuer om personalpolitiken i staten innehåller många bilder och versioner. Det är också fallet i det här bearbet</w:t>
      </w:r>
      <w:r w:rsidRPr="00AD33E8">
        <w:t>a</w:t>
      </w:r>
      <w:r w:rsidRPr="00AD33E8">
        <w:t>de och redovisade materialet. Den valda urvalsmetoden har dels givit fö</w:t>
      </w:r>
      <w:r w:rsidRPr="00AD33E8">
        <w:t>r</w:t>
      </w:r>
      <w:r w:rsidRPr="00AD33E8">
        <w:t>djupning, dels medgett att eventuella regionala avvikelser kunnat behandlas. Det visar sig att det allmänna tillståndet i respektive organisation av de inte</w:t>
      </w:r>
      <w:r w:rsidRPr="00AD33E8">
        <w:t>r</w:t>
      </w:r>
      <w:r w:rsidRPr="00AD33E8">
        <w:t>vjuade beskrivs på ett i allt väsentligt likartat sätt. Det tecknas, i grova drag, inom de olika verksamheterna en gemensam bedömning av förtjänster och brister. Där konflikter finns och olika versioner skiljer sig åt framstår det ändock klart att det är samma verksamhet som avses.</w:t>
      </w:r>
      <w:r w:rsidRPr="00AD33E8">
        <w:t xml:space="preserve"> Där redovisade pr</w:t>
      </w:r>
      <w:r w:rsidRPr="00AD33E8">
        <w:t>o</w:t>
      </w:r>
      <w:r w:rsidRPr="00AD33E8">
        <w:t>blem är större, där motsättningar inom organisationen omvittnas, avser o</w:t>
      </w:r>
      <w:r w:rsidRPr="00AD33E8">
        <w:t>e</w:t>
      </w:r>
      <w:r w:rsidRPr="00AD33E8">
        <w:t>nigheten oftast be</w:t>
      </w:r>
      <w:r w:rsidRPr="00AD33E8">
        <w:softHyphen/>
        <w:t>döm</w:t>
      </w:r>
      <w:r w:rsidRPr="00AD33E8">
        <w:softHyphen/>
        <w:t>ningar av orsaker och verkan.</w:t>
      </w:r>
    </w:p>
    <w:p w:rsidR="007B7A21" w:rsidRPr="00AD33E8" w:rsidRDefault="007B7A21">
      <w:pPr>
        <w:pStyle w:val="Normaltindrag"/>
      </w:pPr>
      <w:r w:rsidRPr="00AD33E8">
        <w:t>Det är de besökta regionala organisationernas ledning som, efter några all</w:t>
      </w:r>
      <w:r w:rsidRPr="00AD33E8">
        <w:softHyphen/>
        <w:t>män</w:t>
      </w:r>
      <w:r w:rsidRPr="00AD33E8">
        <w:softHyphen/>
        <w:t>na önskemål, svarat för valet av personer för intervjuer. Kriterierna var att dels personal i linjen på olika nivåer, och dels medarbetare i persona</w:t>
      </w:r>
      <w:r w:rsidRPr="00AD33E8">
        <w:t>l</w:t>
      </w:r>
      <w:r w:rsidRPr="00AD33E8">
        <w:t xml:space="preserve">funktioner skulle representeras. Vidare skulle det finnas en jämn fördelning mellan män och kvinnor samt representanter för olika åldersgrupper.  </w:t>
      </w:r>
    </w:p>
    <w:p w:rsidR="007B7A21" w:rsidRPr="00AD33E8" w:rsidRDefault="007B7A21">
      <w:pPr>
        <w:pStyle w:val="Normaltindrag"/>
      </w:pPr>
      <w:r w:rsidRPr="00AD33E8">
        <w:t xml:space="preserve">Intervjuerna har genomförts i öppen form av samtal med få fasta frågor. Meningen har varit att de intervjuade under samtalet ska vara en central auktoritet på statlig personalpolitik. Det är deras erfarenheter, </w:t>
      </w:r>
      <w:r w:rsidRPr="00AD33E8">
        <w:t>reflexioner och associationer, med deras egna ord, som varit intressanta. Utgångs</w:t>
      </w:r>
      <w:r w:rsidRPr="00AD33E8">
        <w:softHyphen/>
        <w:t>punk</w:t>
      </w:r>
      <w:r w:rsidRPr="00AD33E8">
        <w:softHyphen/>
        <w:t>ten i samtalen har varit den intervjuades egna arbetsuppgifter och hur dessa fö</w:t>
      </w:r>
      <w:r w:rsidRPr="00AD33E8">
        <w:t>r</w:t>
      </w:r>
      <w:r w:rsidRPr="00AD33E8">
        <w:t>ändrats över åren. Bearbetningen av intervjuerna har gjorts med avseende på att fånga in och uppmärksamma iakttagelser som bedömts som viktiga för den statliga pers</w:t>
      </w:r>
      <w:r w:rsidRPr="00AD33E8">
        <w:t>o</w:t>
      </w:r>
      <w:r w:rsidRPr="00AD33E8">
        <w:t xml:space="preserve">nalpolitikens utformning. </w:t>
      </w:r>
    </w:p>
    <w:p w:rsidR="007B7A21" w:rsidRPr="00AD33E8" w:rsidRDefault="007B7A21">
      <w:pPr>
        <w:pStyle w:val="Normaltindrag"/>
      </w:pPr>
      <w:r w:rsidRPr="00AD33E8">
        <w:t>Redovisningen av iakttagelserna i intervjuerna görs i det följande under ett antal huvudrubriker som sammanfattar nyckelord och representativa bedöm</w:t>
      </w:r>
      <w:r w:rsidRPr="00AD33E8">
        <w:softHyphen/>
        <w:t>ningar hos de intervjuade. Följande behan</w:t>
      </w:r>
      <w:r w:rsidRPr="00AD33E8">
        <w:t>d</w:t>
      </w:r>
      <w:r w:rsidRPr="00AD33E8">
        <w:t>las</w:t>
      </w:r>
    </w:p>
    <w:p w:rsidR="007B7A21" w:rsidRPr="00AD33E8" w:rsidRDefault="007B7A21">
      <w:pPr>
        <w:pStyle w:val="Normaltindrag"/>
        <w:numPr>
          <w:ilvl w:val="0"/>
          <w:numId w:val="84"/>
        </w:numPr>
        <w:ind w:left="170"/>
      </w:pPr>
      <w:r w:rsidRPr="00AD33E8">
        <w:t>begreppet personalpolitik, hur det kan beskrivas eller defini</w:t>
      </w:r>
      <w:r w:rsidRPr="00AD33E8">
        <w:t>e</w:t>
      </w:r>
      <w:r w:rsidRPr="00AD33E8">
        <w:t>ras,</w:t>
      </w:r>
    </w:p>
    <w:p w:rsidR="007B7A21" w:rsidRPr="00AD33E8" w:rsidRDefault="007B7A21">
      <w:pPr>
        <w:pStyle w:val="Normaltindrag"/>
        <w:numPr>
          <w:ilvl w:val="0"/>
          <w:numId w:val="84"/>
        </w:numPr>
        <w:ind w:left="170"/>
      </w:pPr>
      <w:r w:rsidRPr="00AD33E8">
        <w:t>personalpolitiken som förändringsinstrument samt</w:t>
      </w:r>
    </w:p>
    <w:p w:rsidR="007B7A21" w:rsidRPr="00AD33E8" w:rsidRDefault="007B7A21">
      <w:pPr>
        <w:pStyle w:val="Normaltindrag"/>
        <w:numPr>
          <w:ilvl w:val="0"/>
          <w:numId w:val="84"/>
        </w:numPr>
        <w:ind w:left="170"/>
      </w:pPr>
      <w:r w:rsidRPr="00AD33E8">
        <w:t>personalpolitikens delegering och den statliga förvaltningens effektiv</w:t>
      </w:r>
      <w:r w:rsidRPr="00AD33E8">
        <w:t>i</w:t>
      </w:r>
      <w:r w:rsidRPr="00AD33E8">
        <w:t xml:space="preserve">sering. </w:t>
      </w:r>
    </w:p>
    <w:p w:rsidR="007B7A21" w:rsidRPr="00AD33E8" w:rsidRDefault="007B7A21">
      <w:r w:rsidRPr="00AD33E8">
        <w:t>Före redovisningen av intervjuerna  ges en kort beskrivning av de verksa</w:t>
      </w:r>
      <w:r w:rsidRPr="00AD33E8">
        <w:t>m</w:t>
      </w:r>
      <w:r w:rsidRPr="00AD33E8">
        <w:t>heter som omfattas av fallstud</w:t>
      </w:r>
      <w:r w:rsidRPr="00AD33E8">
        <w:t>i</w:t>
      </w:r>
      <w:r w:rsidRPr="00AD33E8">
        <w:t>en.</w:t>
      </w:r>
    </w:p>
    <w:p w:rsidR="007B7A21" w:rsidRPr="00AD33E8" w:rsidRDefault="007B7A21">
      <w:pPr>
        <w:pStyle w:val="Rubrik2"/>
      </w:pPr>
      <w:bookmarkStart w:id="293" w:name="_Toc528541152"/>
      <w:bookmarkStart w:id="294" w:name="_Toc536240548"/>
      <w:bookmarkStart w:id="295" w:name="_Toc3887427"/>
      <w:bookmarkStart w:id="296" w:name="_Toc21425340"/>
      <w:r w:rsidRPr="00AD33E8">
        <w:t xml:space="preserve">De fyra </w:t>
      </w:r>
      <w:bookmarkEnd w:id="293"/>
      <w:r w:rsidRPr="00AD33E8">
        <w:t>exemplen</w:t>
      </w:r>
      <w:bookmarkEnd w:id="294"/>
      <w:bookmarkEnd w:id="295"/>
      <w:bookmarkEnd w:id="296"/>
    </w:p>
    <w:p w:rsidR="007B7A21" w:rsidRPr="00AD33E8" w:rsidRDefault="007B7A21">
      <w:r w:rsidRPr="00AD33E8">
        <w:t>De fyra studerade verksamheterna har det gemensamt att de dels handhar myndighetsutövning mot enskilda, dels rör tillämpning av lag. De hade til</w:t>
      </w:r>
      <w:r w:rsidRPr="00AD33E8">
        <w:t>l</w:t>
      </w:r>
      <w:r w:rsidRPr="00AD33E8">
        <w:t>sammans nära 57 000 anställda år 1999, vilket motsvarar knappt 30 procent av antalet anställda i den civila statsförvaltningen och socialförsäkringsa</w:t>
      </w:r>
      <w:r w:rsidRPr="00AD33E8">
        <w:t>d</w:t>
      </w:r>
      <w:r w:rsidRPr="00AD33E8">
        <w:t xml:space="preserve">ministrationen. </w:t>
      </w:r>
    </w:p>
    <w:p w:rsidR="007B7A21" w:rsidRPr="00AD33E8" w:rsidRDefault="007B7A21">
      <w:pPr>
        <w:pStyle w:val="Normaltindrag"/>
      </w:pPr>
      <w:r w:rsidRPr="00AD33E8">
        <w:t xml:space="preserve">Förordningen (1999:1423) med instruktion för </w:t>
      </w:r>
      <w:r w:rsidRPr="00AD33E8">
        <w:rPr>
          <w:i/>
        </w:rPr>
        <w:t>Arbetsmarknadsverket</w:t>
      </w:r>
      <w:r w:rsidRPr="00AD33E8">
        <w:t xml:space="preserve"> i</w:t>
      </w:r>
      <w:r w:rsidRPr="00AD33E8">
        <w:t>n</w:t>
      </w:r>
      <w:r w:rsidRPr="00AD33E8">
        <w:t>nehåller bestämmelser om den arbetsmarknadspolitiska verksamheten. Där framgår att den arbetsmarknadspolitiska verksamhetens huvudup</w:t>
      </w:r>
      <w:r w:rsidRPr="00AD33E8">
        <w:t>p</w:t>
      </w:r>
      <w:r w:rsidRPr="00AD33E8">
        <w:t>gifter är</w:t>
      </w:r>
    </w:p>
    <w:p w:rsidR="007B7A21" w:rsidRPr="00AD33E8" w:rsidRDefault="007B7A21">
      <w:pPr>
        <w:pStyle w:val="Normaltindrag"/>
        <w:numPr>
          <w:ilvl w:val="0"/>
          <w:numId w:val="63"/>
        </w:numPr>
        <w:tabs>
          <w:tab w:val="clear" w:pos="360"/>
        </w:tabs>
        <w:ind w:hanging="170"/>
      </w:pPr>
      <w:r w:rsidRPr="00AD33E8">
        <w:t>att effektivt sammanföra den som söker arbete med den som söker a</w:t>
      </w:r>
      <w:r w:rsidRPr="00AD33E8">
        <w:t>r</w:t>
      </w:r>
      <w:r w:rsidRPr="00AD33E8">
        <w:t>betskraft,</w:t>
      </w:r>
    </w:p>
    <w:p w:rsidR="007B7A21" w:rsidRPr="00AD33E8" w:rsidRDefault="007B7A21">
      <w:pPr>
        <w:pStyle w:val="Normaltindrag"/>
        <w:numPr>
          <w:ilvl w:val="0"/>
          <w:numId w:val="63"/>
        </w:numPr>
        <w:tabs>
          <w:tab w:val="clear" w:pos="360"/>
        </w:tabs>
        <w:ind w:hanging="170"/>
      </w:pPr>
      <w:r w:rsidRPr="00AD33E8">
        <w:t>att främja sysselsättning och kompetensutveckling för arbetslösa pers</w:t>
      </w:r>
      <w:r w:rsidRPr="00AD33E8">
        <w:t>o</w:t>
      </w:r>
      <w:r w:rsidRPr="00AD33E8">
        <w:t>ner på en effektiv och flex</w:t>
      </w:r>
      <w:r w:rsidRPr="00AD33E8">
        <w:t>i</w:t>
      </w:r>
      <w:r w:rsidRPr="00AD33E8">
        <w:t xml:space="preserve">bel arbetsmarknad, </w:t>
      </w:r>
    </w:p>
    <w:p w:rsidR="007B7A21" w:rsidRPr="00AD33E8" w:rsidRDefault="007B7A21">
      <w:pPr>
        <w:pStyle w:val="Normaltindrag"/>
        <w:numPr>
          <w:ilvl w:val="0"/>
          <w:numId w:val="63"/>
        </w:numPr>
        <w:tabs>
          <w:tab w:val="clear" w:pos="360"/>
        </w:tabs>
        <w:ind w:hanging="170"/>
      </w:pPr>
      <w:r w:rsidRPr="00AD33E8">
        <w:t>att underlätta för personer med svag ställning på arbetsmarknaden att få arbete och förhindra utslagning från arbet</w:t>
      </w:r>
      <w:r w:rsidRPr="00AD33E8">
        <w:t>s</w:t>
      </w:r>
      <w:r w:rsidRPr="00AD33E8">
        <w:t>marknaden,</w:t>
      </w:r>
    </w:p>
    <w:p w:rsidR="007B7A21" w:rsidRPr="00AD33E8" w:rsidRDefault="007B7A21">
      <w:pPr>
        <w:pStyle w:val="Normaltindrag"/>
        <w:numPr>
          <w:ilvl w:val="0"/>
          <w:numId w:val="63"/>
        </w:numPr>
        <w:tabs>
          <w:tab w:val="clear" w:pos="360"/>
        </w:tabs>
        <w:ind w:hanging="170"/>
      </w:pPr>
      <w:r w:rsidRPr="00AD33E8">
        <w:t>att motverka långa tider utan reguljärt arbete samt</w:t>
      </w:r>
    </w:p>
    <w:p w:rsidR="007B7A21" w:rsidRPr="00AD33E8" w:rsidRDefault="007B7A21">
      <w:pPr>
        <w:pStyle w:val="Normaltindrag"/>
        <w:numPr>
          <w:ilvl w:val="0"/>
          <w:numId w:val="63"/>
        </w:numPr>
        <w:tabs>
          <w:tab w:val="clear" w:pos="360"/>
        </w:tabs>
        <w:ind w:hanging="170"/>
      </w:pPr>
      <w:r w:rsidRPr="00AD33E8">
        <w:t>att motverka en könsuppdelad arbetsmarknad och på andra sätt bidra till ökad jämställdhet mellan kvinnor och män samt till ökad mångfald i a</w:t>
      </w:r>
      <w:r w:rsidRPr="00AD33E8">
        <w:t>r</w:t>
      </w:r>
      <w:r w:rsidRPr="00AD33E8">
        <w:t>betsl</w:t>
      </w:r>
      <w:r w:rsidRPr="00AD33E8">
        <w:t>i</w:t>
      </w:r>
      <w:r w:rsidRPr="00AD33E8">
        <w:t>vet.</w:t>
      </w:r>
    </w:p>
    <w:p w:rsidR="007B7A21" w:rsidRPr="00AD33E8" w:rsidRDefault="007B7A21">
      <w:r w:rsidRPr="00AD33E8">
        <w:t>Den arbetsmarknadspolitiska verksamheten bedrivs i form av platsförme</w:t>
      </w:r>
      <w:r w:rsidRPr="00AD33E8">
        <w:t>d</w:t>
      </w:r>
      <w:r w:rsidRPr="00AD33E8">
        <w:t>ling, vägledning, arbetsmarknadspolitiska program, arbetslivsinriktad reh</w:t>
      </w:r>
      <w:r w:rsidRPr="00AD33E8">
        <w:t>a</w:t>
      </w:r>
      <w:r w:rsidRPr="00AD33E8">
        <w:t>bilitering, arbetslivstjänster och vissa anställningsfrämjande åtgärder. A</w:t>
      </w:r>
      <w:r w:rsidRPr="00AD33E8">
        <w:t>r</w:t>
      </w:r>
      <w:r w:rsidRPr="00AD33E8">
        <w:t>betsmarknadsverket består av ca 400 arbetsförmedlingar, 21 länsarbet</w:t>
      </w:r>
      <w:r w:rsidRPr="00AD33E8">
        <w:t>s</w:t>
      </w:r>
      <w:r w:rsidRPr="00AD33E8">
        <w:t>nämnder samt Arbetsmarknadsstyrelsen (AMS). I december år 2000 fanns det drygt 9 500 årsanställda i verksamheten. Av dessa arbetade drygt 80 % på arbetsförmedlingarna. Kostnaderna för år 2000 var drygt 60 miljarder kronor. Av dessa gick drygt hälften till kontantstöd. De arbetsmarknads</w:t>
      </w:r>
      <w:r w:rsidRPr="00AD33E8">
        <w:softHyphen/>
        <w:t>politi</w:t>
      </w:r>
      <w:r w:rsidRPr="00AD33E8">
        <w:t>ska programmen kostade nära 17 miljarder kronor. Kostnaderna för Arbetsmarknadsverkets organisation up</w:t>
      </w:r>
      <w:r w:rsidRPr="00AD33E8">
        <w:t>p</w:t>
      </w:r>
      <w:r w:rsidRPr="00AD33E8">
        <w:t>gick till 4,5 miljarder kronor.</w:t>
      </w:r>
    </w:p>
    <w:p w:rsidR="007B7A21" w:rsidRPr="00AD33E8" w:rsidRDefault="007B7A21">
      <w:pPr>
        <w:pStyle w:val="Normaltindrag"/>
      </w:pPr>
      <w:r w:rsidRPr="00AD33E8">
        <w:rPr>
          <w:i/>
        </w:rPr>
        <w:t>Polisväsendet</w:t>
      </w:r>
      <w:r w:rsidRPr="00AD33E8">
        <w:t xml:space="preserve"> regleras i polislagen (1984:387). Polisverksamhetens ska,  som ett led i samhällets verksamhet för att främja rättvisa och trygghet, syfta till att upprätthålla allmän ordning och säkerhet samt att i övrigt tillförsäkra allmänheten skydd och annan hjälp. Till polisens uppgifter hör att</w:t>
      </w:r>
    </w:p>
    <w:p w:rsidR="007B7A21" w:rsidRPr="00AD33E8" w:rsidRDefault="007B7A21">
      <w:pPr>
        <w:pStyle w:val="Normaltindrag"/>
        <w:numPr>
          <w:ilvl w:val="0"/>
          <w:numId w:val="63"/>
        </w:numPr>
        <w:tabs>
          <w:tab w:val="clear" w:pos="360"/>
        </w:tabs>
        <w:ind w:hanging="170"/>
      </w:pPr>
      <w:r w:rsidRPr="00AD33E8">
        <w:t>förebygga brott och andra störningar av den allmänna ordningen eller säke</w:t>
      </w:r>
      <w:r w:rsidRPr="00AD33E8">
        <w:t>r</w:t>
      </w:r>
      <w:r w:rsidRPr="00AD33E8">
        <w:t>heten,</w:t>
      </w:r>
    </w:p>
    <w:p w:rsidR="007B7A21" w:rsidRPr="00AD33E8" w:rsidRDefault="007B7A21">
      <w:pPr>
        <w:pStyle w:val="Normaltindrag"/>
        <w:numPr>
          <w:ilvl w:val="0"/>
          <w:numId w:val="63"/>
        </w:numPr>
        <w:tabs>
          <w:tab w:val="clear" w:pos="360"/>
        </w:tabs>
        <w:ind w:hanging="170"/>
      </w:pPr>
      <w:r w:rsidRPr="00AD33E8">
        <w:t>övervaka den allmänna ordningen och säkerheten, hindra störningar dä</w:t>
      </w:r>
      <w:r w:rsidRPr="00AD33E8">
        <w:t>r</w:t>
      </w:r>
      <w:r w:rsidRPr="00AD33E8">
        <w:t>av samt ingripa när sådana har inträffat,</w:t>
      </w:r>
    </w:p>
    <w:p w:rsidR="007B7A21" w:rsidRPr="00AD33E8" w:rsidRDefault="007B7A21">
      <w:pPr>
        <w:pStyle w:val="Normaltindrag"/>
        <w:numPr>
          <w:ilvl w:val="0"/>
          <w:numId w:val="63"/>
        </w:numPr>
        <w:tabs>
          <w:tab w:val="clear" w:pos="360"/>
        </w:tabs>
        <w:ind w:hanging="170"/>
      </w:pPr>
      <w:r w:rsidRPr="00AD33E8">
        <w:t>bedriva spaning och utredning i fråga om brott som hör under allmänt åtal,</w:t>
      </w:r>
    </w:p>
    <w:p w:rsidR="007B7A21" w:rsidRPr="00AD33E8" w:rsidRDefault="007B7A21">
      <w:pPr>
        <w:pStyle w:val="Normaltindrag"/>
        <w:numPr>
          <w:ilvl w:val="0"/>
          <w:numId w:val="63"/>
        </w:numPr>
        <w:tabs>
          <w:tab w:val="clear" w:pos="360"/>
        </w:tabs>
        <w:ind w:hanging="170"/>
      </w:pPr>
      <w:r w:rsidRPr="00AD33E8">
        <w:t>lämna allmänheten skydd, upplysningar och annan hjälp, när sådant b</w:t>
      </w:r>
      <w:r w:rsidRPr="00AD33E8">
        <w:t>i</w:t>
      </w:r>
      <w:r w:rsidRPr="00AD33E8">
        <w:t xml:space="preserve">stånd lämpligen kan ges av polisen samt </w:t>
      </w:r>
    </w:p>
    <w:p w:rsidR="007B7A21" w:rsidRPr="00AD33E8" w:rsidRDefault="007B7A21">
      <w:pPr>
        <w:pStyle w:val="Normaltindrag"/>
        <w:numPr>
          <w:ilvl w:val="0"/>
          <w:numId w:val="63"/>
        </w:numPr>
        <w:tabs>
          <w:tab w:val="clear" w:pos="360"/>
        </w:tabs>
        <w:ind w:hanging="170"/>
      </w:pPr>
      <w:r w:rsidRPr="00AD33E8">
        <w:t>fullgöra den verksamhet som ankommer på polisen enligt särskilda b</w:t>
      </w:r>
      <w:r w:rsidRPr="00AD33E8">
        <w:t>e</w:t>
      </w:r>
      <w:r w:rsidRPr="00AD33E8">
        <w:t>stämmelser.</w:t>
      </w:r>
    </w:p>
    <w:p w:rsidR="007B7A21" w:rsidRPr="00AD33E8" w:rsidRDefault="007B7A21">
      <w:r w:rsidRPr="00AD33E8">
        <w:t>Polisväsendet består av 21 länsvisa polismyndigheter samt en central organ</w:t>
      </w:r>
      <w:r w:rsidRPr="00AD33E8">
        <w:t>i</w:t>
      </w:r>
      <w:r w:rsidRPr="00AD33E8">
        <w:t>sation. Den centrala organisationen omfattar Rikspolisstyrelsen (RPS) med förvaltningskontoret, Polishögskolan, Rikskriminalpolisen, Kriminaltekniska laboratoriet samt Säkerhetspolisen. Verksamhetens samlade kostnader för år 2000 var närmare 12,5 miljarder kronor. Antal årsarbetskrafter vid poli</w:t>
      </w:r>
      <w:r w:rsidRPr="00AD33E8">
        <w:t>s</w:t>
      </w:r>
      <w:r w:rsidRPr="00AD33E8">
        <w:t>myndigheterna var 19 895 för år 2000. Av dessa var 75 procent poliser. I den centrala organisationen var antalet årsarbetskrafter 1 762 för år 2000, säke</w:t>
      </w:r>
      <w:r w:rsidRPr="00AD33E8">
        <w:t>r</w:t>
      </w:r>
      <w:r w:rsidRPr="00AD33E8">
        <w:t>hetspolisen ej medräknad. Andelen poliser varierar mellan de</w:t>
      </w:r>
      <w:r w:rsidRPr="00AD33E8">
        <w:t xml:space="preserve"> centrala enh</w:t>
      </w:r>
      <w:r w:rsidRPr="00AD33E8">
        <w:t>e</w:t>
      </w:r>
      <w:r w:rsidRPr="00AD33E8">
        <w:t>terna. Vid Rikskriminalen var andelen poliser 81 procent, vid Polishögskolan 40 procent, vid RPS 39 procent samt vid förvaltningskontoret och Krimina</w:t>
      </w:r>
      <w:r w:rsidRPr="00AD33E8">
        <w:t>l</w:t>
      </w:r>
      <w:r w:rsidRPr="00AD33E8">
        <w:t>tekniska laboratoriet 0 procent. 565 anställda delade tjänst mellan polismy</w:t>
      </w:r>
      <w:r w:rsidRPr="00AD33E8">
        <w:t>n</w:t>
      </w:r>
      <w:r w:rsidRPr="00AD33E8">
        <w:t xml:space="preserve">dighet och central enhet. </w:t>
      </w:r>
    </w:p>
    <w:p w:rsidR="007B7A21" w:rsidRPr="00AD33E8" w:rsidRDefault="007B7A21">
      <w:pPr>
        <w:pStyle w:val="Normaltindrag"/>
      </w:pPr>
      <w:r w:rsidRPr="00AD33E8">
        <w:rPr>
          <w:i/>
        </w:rPr>
        <w:t>Skatteförvaltningen</w:t>
      </w:r>
      <w:r w:rsidRPr="00AD33E8">
        <w:t>, landets äldsta myndighet, vilar på skattskyldigheten som reg</w:t>
      </w:r>
      <w:r w:rsidRPr="00AD33E8">
        <w:softHyphen/>
        <w:t>leras i taxeringslagen (1990:324). Där anges inledningsvis vilka skatter som omfattas. Det är inkomstskattelagen (1999:1229), lagen (1997:323) om statlig förmögenhetsskatt, lagen (1984:1052) om statlig fa</w:t>
      </w:r>
      <w:r w:rsidRPr="00AD33E8">
        <w:t>s</w:t>
      </w:r>
      <w:r w:rsidRPr="00AD33E8">
        <w:t>tighetsskatt, lagen (1990:661) om avkastningsskatt på pensionsmedel, lagen (1991:687) om särskild löneskatt på pensionskostnader samt lagen (1994:1744) om allmän pensionsavgift. Vidare regleras taxeringsorganisati</w:t>
      </w:r>
      <w:r w:rsidRPr="00AD33E8">
        <w:t>o</w:t>
      </w:r>
      <w:r w:rsidRPr="00AD33E8">
        <w:t>nen, dvs. skatte</w:t>
      </w:r>
      <w:r w:rsidRPr="00AD33E8">
        <w:softHyphen/>
        <w:t>förvaltningen</w:t>
      </w:r>
      <w:r w:rsidRPr="00AD33E8">
        <w:t>. Riksskatteverket leder och ansvarar för tax</w:t>
      </w:r>
      <w:r w:rsidRPr="00AD33E8">
        <w:t>e</w:t>
      </w:r>
      <w:r w:rsidRPr="00AD33E8">
        <w:t>ringsarbetet i landet. I varje region finns en skattemyndighet som ansvarar för taxeringsarbetet i regionen. Skatteväsendet styrs av instruktion för skatt</w:t>
      </w:r>
      <w:r w:rsidRPr="00AD33E8">
        <w:t>e</w:t>
      </w:r>
      <w:r w:rsidRPr="00AD33E8">
        <w:t>förvaltningen (1990:1293). Med skatteförvaltningen avses i denna förordning Riksskatteverket och skattemy</w:t>
      </w:r>
      <w:r w:rsidRPr="00AD33E8">
        <w:t>n</w:t>
      </w:r>
      <w:r w:rsidRPr="00AD33E8">
        <w:t>digheterna.</w:t>
      </w:r>
    </w:p>
    <w:p w:rsidR="007B7A21" w:rsidRPr="00AD33E8" w:rsidRDefault="007B7A21">
      <w:pPr>
        <w:pStyle w:val="Normaltindrag"/>
      </w:pPr>
      <w:r w:rsidRPr="00AD33E8">
        <w:t>Skatteförvaltningen består av 10 skattemyndigheter och Riksskatteverket (RSV). På de regionala skattemyndigheterna arbetade år 2000 ca 9 000 pe</w:t>
      </w:r>
      <w:r w:rsidRPr="00AD33E8">
        <w:t>r</w:t>
      </w:r>
      <w:r w:rsidRPr="00AD33E8">
        <w:t>soner. På Riksskatteverket, som är chefsmy</w:t>
      </w:r>
      <w:r w:rsidRPr="00AD33E8">
        <w:t>n</w:t>
      </w:r>
      <w:r w:rsidRPr="00AD33E8">
        <w:t>dighet även för krono</w:t>
      </w:r>
      <w:r w:rsidRPr="00AD33E8">
        <w:softHyphen/>
        <w:t>fogdemyndigheterna, arbetade nära 1 200 personer år 2000. Skatteförvalt</w:t>
      </w:r>
      <w:r w:rsidRPr="00AD33E8">
        <w:softHyphen/>
        <w:t>ningen kostade närmare 5,2 miljarder kronor år 2000. Under år 2000 tog man in 1 074 miljarder kronor i skatter och avgifter.</w:t>
      </w:r>
    </w:p>
    <w:p w:rsidR="007B7A21" w:rsidRPr="00AD33E8" w:rsidRDefault="007B7A21">
      <w:pPr>
        <w:pStyle w:val="Normaltindrag"/>
      </w:pPr>
      <w:r w:rsidRPr="00AD33E8">
        <w:rPr>
          <w:i/>
        </w:rPr>
        <w:t>Socialförsäkringsadministrationen</w:t>
      </w:r>
      <w:r w:rsidRPr="00AD33E8">
        <w:t xml:space="preserve"> regleras i lagen om allmän försäkring (1962:381). Den allmänna försäkringen består av sjukförsäkring, folkpensi</w:t>
      </w:r>
      <w:r w:rsidRPr="00AD33E8">
        <w:t>o</w:t>
      </w:r>
      <w:r w:rsidRPr="00AD33E8">
        <w:t>nering och försäkring för tilläggspension. Till sjukförsäkringen hör frågor om rehabilitering. Den allmänna försäkringen handhas av Riksförsäkring</w:t>
      </w:r>
      <w:r w:rsidRPr="00AD33E8">
        <w:t>s</w:t>
      </w:r>
      <w:r w:rsidRPr="00AD33E8">
        <w:t>verket, de allmänna försäkringskassorna samt de lokala organ som regerin</w:t>
      </w:r>
      <w:r w:rsidRPr="00AD33E8">
        <w:t>g</w:t>
      </w:r>
      <w:r w:rsidRPr="00AD33E8">
        <w:t>en bestämmer. Den allmänna försäkringskassan ska</w:t>
      </w:r>
    </w:p>
    <w:p w:rsidR="007B7A21" w:rsidRPr="00AD33E8" w:rsidRDefault="007B7A21">
      <w:pPr>
        <w:pStyle w:val="Normaltindrag"/>
        <w:numPr>
          <w:ilvl w:val="0"/>
          <w:numId w:val="63"/>
        </w:numPr>
        <w:tabs>
          <w:tab w:val="clear" w:pos="360"/>
        </w:tabs>
        <w:ind w:hanging="170"/>
      </w:pPr>
      <w:r w:rsidRPr="00AD33E8">
        <w:t>utreda och besluta i ärenden som enligt denna lag eller annan författning ska skötas av försä</w:t>
      </w:r>
      <w:r w:rsidRPr="00AD33E8">
        <w:t>k</w:t>
      </w:r>
      <w:r w:rsidRPr="00AD33E8">
        <w:t>ringskassan,</w:t>
      </w:r>
    </w:p>
    <w:p w:rsidR="007B7A21" w:rsidRPr="00AD33E8" w:rsidRDefault="007B7A21">
      <w:pPr>
        <w:pStyle w:val="Normaltindrag"/>
        <w:numPr>
          <w:ilvl w:val="0"/>
          <w:numId w:val="63"/>
        </w:numPr>
        <w:tabs>
          <w:tab w:val="clear" w:pos="360"/>
        </w:tabs>
        <w:ind w:hanging="170"/>
      </w:pPr>
      <w:r w:rsidRPr="00AD33E8">
        <w:t>svara för att socialförsäkrings- och bidragssystemen tillämpas likformigt och rättvist,</w:t>
      </w:r>
    </w:p>
    <w:p w:rsidR="007B7A21" w:rsidRPr="00AD33E8" w:rsidRDefault="007B7A21">
      <w:pPr>
        <w:pStyle w:val="Normaltindrag"/>
        <w:numPr>
          <w:ilvl w:val="0"/>
          <w:numId w:val="63"/>
        </w:numPr>
        <w:tabs>
          <w:tab w:val="clear" w:pos="360"/>
        </w:tabs>
        <w:ind w:hanging="170"/>
      </w:pPr>
      <w:r w:rsidRPr="00AD33E8">
        <w:t>vidta åtgärder för att förebygga och minska ohälsa i syfte att minska de långa sjukperioderna samt aktivt arbeta med r</w:t>
      </w:r>
      <w:r w:rsidRPr="00AD33E8">
        <w:t>e</w:t>
      </w:r>
      <w:r w:rsidRPr="00AD33E8">
        <w:t>habilitering.</w:t>
      </w:r>
    </w:p>
    <w:p w:rsidR="007B7A21" w:rsidRPr="00AD33E8" w:rsidRDefault="007B7A21">
      <w:r w:rsidRPr="00AD33E8">
        <w:t>Socialförsäkringsadministrationen består av 21 allmänna försäkringskassor och tillsynsmyndigheten Riksförsäkringsverket (RFV). Administrationen hanterar årligen ca 340 miljarder kronor genom ca 50 miljoner utbetalningar. Försäkringskassorna fattar ca 13 miljoner beslut per år, varav 190 000 tas i särskilda socialförsäkringsnämnder. Utgifterna för administrationen var 5,4 miljarder år 2000, varav nära 90 % avsåg verksamheten vid försäkringska</w:t>
      </w:r>
      <w:r w:rsidRPr="00AD33E8">
        <w:t>s</w:t>
      </w:r>
      <w:r w:rsidRPr="00AD33E8">
        <w:t>sorna. Försäkringskassornas personal år 2000 motsvarade 13 910 årsarbetare medan RFV:s motsvarade 814 årsarbetare.</w:t>
      </w:r>
    </w:p>
    <w:p w:rsidR="007B7A21" w:rsidRPr="00AD33E8" w:rsidRDefault="007B7A21">
      <w:pPr>
        <w:pStyle w:val="Rubrik2"/>
      </w:pPr>
      <w:bookmarkStart w:id="297" w:name="_Toc528541155"/>
      <w:bookmarkStart w:id="298" w:name="_Toc536240549"/>
      <w:bookmarkStart w:id="299" w:name="_Toc3887428"/>
      <w:bookmarkStart w:id="300" w:name="_Toc21425341"/>
      <w:r w:rsidRPr="00AD33E8">
        <w:t>Begreppet personalpolitik</w:t>
      </w:r>
      <w:bookmarkEnd w:id="298"/>
      <w:bookmarkEnd w:id="299"/>
      <w:bookmarkEnd w:id="300"/>
    </w:p>
    <w:p w:rsidR="007B7A21" w:rsidRPr="00AD33E8" w:rsidRDefault="007B7A21">
      <w:r w:rsidRPr="00AD33E8">
        <w:t>I intervjuerna redovisades många aspekter på personalpolitik. Frågorna stäl</w:t>
      </w:r>
      <w:r w:rsidRPr="00AD33E8">
        <w:t>l</w:t>
      </w:r>
      <w:r w:rsidRPr="00AD33E8">
        <w:t xml:space="preserve">des på ett sådant sätt att den intervjuades egna associationer, värderingar och åsikter skulle lyftas fram.  </w:t>
      </w:r>
    </w:p>
    <w:p w:rsidR="007B7A21" w:rsidRPr="00AD33E8" w:rsidRDefault="007B7A21">
      <w:pPr>
        <w:pStyle w:val="Rubrik3"/>
      </w:pPr>
      <w:bookmarkStart w:id="301" w:name="_Toc536240550"/>
      <w:bookmarkStart w:id="302" w:name="_Toc3887429"/>
      <w:bookmarkStart w:id="303" w:name="_Toc21425342"/>
      <w:r w:rsidRPr="00AD33E8">
        <w:t>Definition</w:t>
      </w:r>
      <w:bookmarkEnd w:id="301"/>
      <w:bookmarkEnd w:id="302"/>
      <w:bookmarkEnd w:id="303"/>
    </w:p>
    <w:p w:rsidR="007B7A21" w:rsidRPr="00AD33E8" w:rsidRDefault="007B7A21">
      <w:r w:rsidRPr="00AD33E8">
        <w:t>Personalpolitik låter sig inte definieras på ett enkelt sätt. Det blir i intervjue</w:t>
      </w:r>
      <w:r w:rsidRPr="00AD33E8">
        <w:t>r</w:t>
      </w:r>
      <w:r w:rsidRPr="00AD33E8">
        <w:t>na ofta fråga om beskrivningar. Det är dock sällan någon större tvekan om vad som ingår.</w:t>
      </w:r>
      <w:r w:rsidRPr="00AD33E8">
        <w:rPr>
          <w:i/>
        </w:rPr>
        <w:t xml:space="preserve"> ”Här vet vi vad personalpolitik är, det har AMS definierat”</w:t>
      </w:r>
      <w:r w:rsidRPr="00AD33E8">
        <w:t xml:space="preserve">, den intervjuade håller upp ett dokument nyss utskrivet från intranätet. Där skrivs: </w:t>
      </w:r>
      <w:r w:rsidRPr="00AD33E8">
        <w:rPr>
          <w:i/>
        </w:rPr>
        <w:t>”Personal</w:t>
      </w:r>
      <w:r w:rsidRPr="00AD33E8">
        <w:rPr>
          <w:i/>
        </w:rPr>
        <w:softHyphen/>
        <w:t>politiken har två utgångspunkter. Den ena är verksamh</w:t>
      </w:r>
      <w:r w:rsidRPr="00AD33E8">
        <w:rPr>
          <w:i/>
        </w:rPr>
        <w:t>e</w:t>
      </w:r>
      <w:r w:rsidRPr="00AD33E8">
        <w:rPr>
          <w:i/>
        </w:rPr>
        <w:t>ten, våra ge</w:t>
      </w:r>
      <w:r w:rsidRPr="00AD33E8">
        <w:rPr>
          <w:i/>
        </w:rPr>
        <w:softHyphen/>
        <w:t>men</w:t>
      </w:r>
      <w:r w:rsidRPr="00AD33E8">
        <w:rPr>
          <w:i/>
        </w:rPr>
        <w:softHyphen/>
        <w:t>samma mål och uppdrag. Den andra är medarbetarnas behov, anspråk och förväntningar. Målet är arbetsglädje och resultat.”</w:t>
      </w:r>
      <w:r w:rsidRPr="00AD33E8">
        <w:t xml:space="preserve"> Andemeningen i formuleringen är ett tema som varieras i samtliga intervjuer</w:t>
      </w:r>
      <w:r w:rsidRPr="00AD33E8">
        <w:t>. Personal</w:t>
      </w:r>
      <w:r w:rsidRPr="00AD33E8">
        <w:softHyphen/>
        <w:t>politiken har två delar. Den är en del av sakpolitiken, personalen är en förutsättning för genomförandet av riksdagens beslut. Den är också en del av förvalt</w:t>
      </w:r>
      <w:r w:rsidRPr="00AD33E8">
        <w:softHyphen/>
        <w:t>nings</w:t>
      </w:r>
      <w:r w:rsidRPr="00AD33E8">
        <w:softHyphen/>
        <w:t>politiken, där relationen mellan tjänstemän och arbetsgivare ut</w:t>
      </w:r>
      <w:r w:rsidRPr="00AD33E8">
        <w:softHyphen/>
        <w:t>for</w:t>
      </w:r>
      <w:r w:rsidRPr="00AD33E8">
        <w:softHyphen/>
        <w:t>mas och utvecklas.</w:t>
      </w:r>
    </w:p>
    <w:p w:rsidR="007B7A21" w:rsidRPr="00AD33E8" w:rsidRDefault="007B7A21">
      <w:pPr>
        <w:pStyle w:val="Normaltindrag"/>
      </w:pPr>
      <w:r w:rsidRPr="00AD33E8">
        <w:rPr>
          <w:i/>
        </w:rPr>
        <w:t>”Personalpolitik är att rekrytera, behålla samt utveckla personal så att vi kan lösa våra uppgifter. På kort och lång sikt.”</w:t>
      </w:r>
      <w:r w:rsidRPr="00AD33E8">
        <w:t xml:space="preserve"> I det här exemplet gör en myndighetschef som verkat sedan mitten av 1990-talet sin sammanfattning av begreppet personalpolitik. Det är också, på två sätt, ett för undersökningen karakteristiskt intervjusvar. Dels är det innehållet, där personalens betydelse för resultat och måluppfyllelse aldrig underskattas. Dels är det formen, pe</w:t>
      </w:r>
      <w:r w:rsidRPr="00AD33E8">
        <w:t>r</w:t>
      </w:r>
      <w:r w:rsidRPr="00AD33E8">
        <w:t>sonalpolitik beskrivs i många fall med uppräkningar eller sam</w:t>
      </w:r>
      <w:r w:rsidRPr="00AD33E8">
        <w:softHyphen/>
        <w:t>man</w:t>
      </w:r>
      <w:r w:rsidRPr="00AD33E8">
        <w:softHyphen/>
        <w:t>fattningar av dess delar. Orden rekrytera, behålla eller utveckla återkommer ofta, många gånger med olika under</w:t>
      </w:r>
      <w:r w:rsidRPr="00AD33E8">
        <w:t>kategorier.</w:t>
      </w:r>
    </w:p>
    <w:p w:rsidR="007B7A21" w:rsidRPr="00AD33E8" w:rsidRDefault="007B7A21">
      <w:pPr>
        <w:pStyle w:val="Normaltindrag"/>
      </w:pPr>
      <w:r w:rsidRPr="00AD33E8">
        <w:t>De intervjuade redovisar således en helhetssyn på begreppet personalpol</w:t>
      </w:r>
      <w:r w:rsidRPr="00AD33E8">
        <w:t>i</w:t>
      </w:r>
      <w:r w:rsidRPr="00AD33E8">
        <w:t>tik. Det kan avse arbetsledningsfrågor, förutsättningar för att genomföra ålagda uppgifter eller arbetstagarfrågor som löner, relationer till chefer, a</w:t>
      </w:r>
      <w:r w:rsidRPr="00AD33E8">
        <w:t>r</w:t>
      </w:r>
      <w:r w:rsidRPr="00AD33E8">
        <w:t>betsmiljö, av</w:t>
      </w:r>
      <w:r w:rsidRPr="00AD33E8">
        <w:softHyphen/>
        <w:t>tal eller ledigheter. När det gäller ledigheter eller deltidstjäns</w:t>
      </w:r>
      <w:r w:rsidRPr="00AD33E8">
        <w:t>t</w:t>
      </w:r>
      <w:r w:rsidRPr="00AD33E8">
        <w:t>göring för</w:t>
      </w:r>
      <w:r w:rsidRPr="00AD33E8">
        <w:softHyphen/>
        <w:t>knip</w:t>
      </w:r>
      <w:r w:rsidRPr="00AD33E8">
        <w:softHyphen/>
        <w:t xml:space="preserve">pade med föräldraskap vittnar många om statliga arbetsgivare som generösa och föredömliga. Innebörden av begreppet personalpolitik varierar mellan olika befattningshavare beroende på vilken uppgift de har. En personalchef ger följande exempel på vad han ser som </w:t>
      </w:r>
      <w:r w:rsidRPr="00AD33E8">
        <w:t>personalfrågor: fris</w:t>
      </w:r>
      <w:r w:rsidRPr="00AD33E8">
        <w:t>k</w:t>
      </w:r>
      <w:r w:rsidRPr="00AD33E8">
        <w:t>vård, stötta i arbetet, löner, kompetensutveckling, rekrytering, avveckling och disciplinåtgärder. En handläggare säger att personalpolitiken inte bara är en ledningsfråga. Gemensamt ansvar, delaktighet och dialog är viktiga. Man måste som medarbetare leda, ”fostra sin chef”.</w:t>
      </w:r>
    </w:p>
    <w:p w:rsidR="007B7A21" w:rsidRPr="00AD33E8" w:rsidRDefault="007B7A21">
      <w:pPr>
        <w:pStyle w:val="Normaltindrag"/>
      </w:pPr>
      <w:r w:rsidRPr="00AD33E8">
        <w:t xml:space="preserve">Ett drag i den personalpolitiska reformeringen har varit att i den statliga verksamheten introducera begreppet </w:t>
      </w:r>
      <w:r w:rsidRPr="00AD33E8">
        <w:rPr>
          <w:i/>
        </w:rPr>
        <w:t>arbetsgivarpolitik</w:t>
      </w:r>
      <w:r w:rsidRPr="00AD33E8">
        <w:t xml:space="preserve"> i stället </w:t>
      </w:r>
      <w:r w:rsidRPr="00AD33E8">
        <w:rPr>
          <w:i/>
        </w:rPr>
        <w:t>för persona</w:t>
      </w:r>
      <w:r w:rsidRPr="00AD33E8">
        <w:rPr>
          <w:i/>
        </w:rPr>
        <w:t>l</w:t>
      </w:r>
      <w:r w:rsidRPr="00AD33E8">
        <w:rPr>
          <w:i/>
        </w:rPr>
        <w:t>politik</w:t>
      </w:r>
      <w:r w:rsidRPr="00AD33E8">
        <w:t>. Detta har dock inte slagit igenom ute på fältet. Begreppet arbetsg</w:t>
      </w:r>
      <w:r w:rsidRPr="00AD33E8">
        <w:t>i</w:t>
      </w:r>
      <w:r w:rsidRPr="00AD33E8">
        <w:t>varpolitik används över huvud taget sällan, och aldrig som synonymt med personalpolitik. De sex myndighetschefer och de två försäkringskassedire</w:t>
      </w:r>
      <w:r w:rsidRPr="00AD33E8">
        <w:t>k</w:t>
      </w:r>
      <w:r w:rsidRPr="00AD33E8">
        <w:t>törer som intervjuats identifierar sig knappast i första hand som arbetsgivare. De ser sig också som tjänstemän i staten eller med offentligt uppdrag. A</w:t>
      </w:r>
      <w:r w:rsidRPr="00AD33E8">
        <w:t>r</w:t>
      </w:r>
      <w:r w:rsidRPr="00AD33E8">
        <w:t>betsgivaransvaret är en tung och ansvarsfull del, men inte den enda och dessutom integrerad i and</w:t>
      </w:r>
      <w:r w:rsidRPr="00AD33E8">
        <w:t>ra up</w:t>
      </w:r>
      <w:r w:rsidRPr="00AD33E8">
        <w:t>p</w:t>
      </w:r>
      <w:r w:rsidRPr="00AD33E8">
        <w:t>drag inom ”ämbetet”.</w:t>
      </w:r>
    </w:p>
    <w:p w:rsidR="007B7A21" w:rsidRPr="00AD33E8" w:rsidRDefault="007B7A21">
      <w:pPr>
        <w:pStyle w:val="Rubrik3"/>
        <w:numPr>
          <w:ilvl w:val="2"/>
          <w:numId w:val="0"/>
        </w:numPr>
        <w:tabs>
          <w:tab w:val="num" w:pos="360"/>
        </w:tabs>
        <w:ind w:left="360" w:hanging="360"/>
      </w:pPr>
      <w:bookmarkStart w:id="304" w:name="_Toc536240551"/>
      <w:bookmarkStart w:id="305" w:name="_Toc3887430"/>
      <w:bookmarkStart w:id="306" w:name="_Toc21425343"/>
      <w:r w:rsidRPr="00AD33E8">
        <w:t>Tjänstens karaktär</w:t>
      </w:r>
      <w:bookmarkEnd w:id="304"/>
      <w:bookmarkEnd w:id="305"/>
      <w:bookmarkEnd w:id="306"/>
    </w:p>
    <w:p w:rsidR="007B7A21" w:rsidRPr="00AD33E8" w:rsidRDefault="007B7A21">
      <w:r w:rsidRPr="00AD33E8">
        <w:t>De olika undersökta tjänsterna skiljer sig av naturliga skäl åt. Det är fråga om mycket olika uppgifter som kräver skilda kompetenser. Det finns dock tre gemensamma nämnare, som är förknippade med varandra.</w:t>
      </w:r>
    </w:p>
    <w:p w:rsidR="007B7A21" w:rsidRPr="00AD33E8" w:rsidRDefault="007B7A21">
      <w:pPr>
        <w:pStyle w:val="Normaltindrag"/>
      </w:pPr>
      <w:r w:rsidRPr="00AD33E8">
        <w:t xml:space="preserve">Alla tjänster innehåller, för det första, moment av </w:t>
      </w:r>
      <w:r w:rsidRPr="00AD33E8">
        <w:rPr>
          <w:i/>
        </w:rPr>
        <w:t>prövning och utredning</w:t>
      </w:r>
      <w:r w:rsidRPr="00AD33E8">
        <w:t xml:space="preserve"> i någon form eller utsträckning. Det är alltid fråga om olika specifika hände</w:t>
      </w:r>
      <w:r w:rsidRPr="00AD33E8">
        <w:t>l</w:t>
      </w:r>
      <w:r w:rsidRPr="00AD33E8">
        <w:t>ser, situationer eller tillstånd i samhället som ska prövas mot ett offentligt, inom lagarna, fastställt regelverk. Det krävs alltid en analys före åtgärd och handling. Det gäller att fastställa ett sakförhållande som styr åtgärden. Å</w:t>
      </w:r>
      <w:r w:rsidRPr="00AD33E8">
        <w:t>t</w:t>
      </w:r>
      <w:r w:rsidRPr="00AD33E8">
        <w:t>gärder kan vara helt olika: ett polisärt ingripande, en utbetald försäkring</w:t>
      </w:r>
      <w:r w:rsidRPr="00AD33E8">
        <w:t>s</w:t>
      </w:r>
      <w:r w:rsidRPr="00AD33E8">
        <w:t>förmån, en anvisad plats eller ett belopp fastställt för slutlig taxering.</w:t>
      </w:r>
    </w:p>
    <w:p w:rsidR="007B7A21" w:rsidRPr="00AD33E8" w:rsidRDefault="007B7A21">
      <w:pPr>
        <w:pStyle w:val="Normaltindrag"/>
      </w:pPr>
      <w:r w:rsidRPr="00AD33E8">
        <w:t xml:space="preserve">För det andra finns inom </w:t>
      </w:r>
      <w:r w:rsidRPr="00AD33E8">
        <w:t xml:space="preserve">de studerade verksamheterna långa traditioner av en </w:t>
      </w:r>
      <w:r w:rsidRPr="00AD33E8">
        <w:rPr>
          <w:i/>
        </w:rPr>
        <w:t>intern utvecklings- och utbildningsgång</w:t>
      </w:r>
      <w:r w:rsidRPr="00AD33E8">
        <w:t>. Man rekryteras i unga år och lär sig yrket från grunden. För de äldre medarbetarna innebär det att det i tjän</w:t>
      </w:r>
      <w:r w:rsidRPr="00AD33E8">
        <w:t>s</w:t>
      </w:r>
      <w:r w:rsidRPr="00AD33E8">
        <w:t>ten ingår ett, med olika blandning formellt och informellt, handledningsup</w:t>
      </w:r>
      <w:r w:rsidRPr="00AD33E8">
        <w:t>p</w:t>
      </w:r>
      <w:r w:rsidRPr="00AD33E8">
        <w:t>drag. Arbetsmarknadsverket skiljer sig här något, då extern yrkeserfarenhet eller fackligt arbete varit meriterande.</w:t>
      </w:r>
    </w:p>
    <w:p w:rsidR="007B7A21" w:rsidRPr="00AD33E8" w:rsidRDefault="007B7A21">
      <w:pPr>
        <w:pStyle w:val="Normaltindrag"/>
      </w:pPr>
      <w:r w:rsidRPr="00AD33E8">
        <w:t>För det tredje finns det, i likhet med andra verksamheter som utförs nära människor ute i samhället och där det krävs</w:t>
      </w:r>
      <w:r w:rsidRPr="00AD33E8">
        <w:t xml:space="preserve"> kunskaper, </w:t>
      </w:r>
      <w:r w:rsidRPr="00AD33E8">
        <w:rPr>
          <w:i/>
        </w:rPr>
        <w:t>ett samband mellan erfarenhet, kunnighet, skicklighet och produktivitet på det individuella pl</w:t>
      </w:r>
      <w:r w:rsidRPr="00AD33E8">
        <w:rPr>
          <w:i/>
        </w:rPr>
        <w:t>a</w:t>
      </w:r>
      <w:r w:rsidRPr="00AD33E8">
        <w:rPr>
          <w:i/>
        </w:rPr>
        <w:t>net.</w:t>
      </w:r>
      <w:r w:rsidRPr="00AD33E8">
        <w:t xml:space="preserve"> Erfarenhet, kunnighet och skicklighet är nödvändiga men inte tillräckliga förutsättningar för att öka produktiviteten. Därutöver krävs det, enligt de intervjuade, eng</w:t>
      </w:r>
      <w:r w:rsidRPr="00AD33E8">
        <w:t>a</w:t>
      </w:r>
      <w:r w:rsidRPr="00AD33E8">
        <w:t>gemang och motivation.</w:t>
      </w:r>
    </w:p>
    <w:p w:rsidR="007B7A21" w:rsidRPr="00AD33E8" w:rsidRDefault="007B7A21">
      <w:pPr>
        <w:pStyle w:val="Rubrik3"/>
      </w:pPr>
      <w:bookmarkStart w:id="307" w:name="_Toc536240552"/>
      <w:bookmarkStart w:id="308" w:name="_Toc3887431"/>
      <w:bookmarkStart w:id="309" w:name="_Toc21425344"/>
      <w:r w:rsidRPr="00AD33E8">
        <w:t>Tjänstebegreppet</w:t>
      </w:r>
      <w:bookmarkEnd w:id="307"/>
      <w:bookmarkEnd w:id="308"/>
      <w:bookmarkEnd w:id="309"/>
    </w:p>
    <w:p w:rsidR="007B7A21" w:rsidRPr="00AD33E8" w:rsidRDefault="007B7A21">
      <w:r w:rsidRPr="00AD33E8">
        <w:t>Det finns i intervjusvaren en genomgående tendens där de svarande vittnar om sin identifikation med ett statligt uppdrag.</w:t>
      </w:r>
      <w:r w:rsidRPr="00AD33E8">
        <w:rPr>
          <w:i/>
        </w:rPr>
        <w:t xml:space="preserve"> </w:t>
      </w:r>
      <w:r w:rsidRPr="00AD33E8">
        <w:t xml:space="preserve">Det är inte frågan om vilken anställning som helst. </w:t>
      </w:r>
      <w:r w:rsidRPr="00AD33E8">
        <w:rPr>
          <w:i/>
        </w:rPr>
        <w:t>”Jag har aldrig ångrat att jag blev polis. Rättvisa är oerhört viktigt.” ”Jag är en otroligt engagerad polis.”</w:t>
      </w:r>
      <w:r w:rsidRPr="00AD33E8">
        <w:t xml:space="preserve"> Det är två närpoli</w:t>
      </w:r>
      <w:r w:rsidRPr="00AD33E8">
        <w:t>s</w:t>
      </w:r>
      <w:r w:rsidRPr="00AD33E8">
        <w:t xml:space="preserve">chefer som berättar. </w:t>
      </w:r>
      <w:r w:rsidRPr="00AD33E8">
        <w:rPr>
          <w:i/>
        </w:rPr>
        <w:t>”Jag brinner fortfarande för socialförsäkringen”</w:t>
      </w:r>
      <w:r w:rsidRPr="00AD33E8">
        <w:t xml:space="preserve">, en direktör vid en försäkringskassa ser tillbaka på nära ett halvt sekels arbetsliv. En yngre chef på en skatteenhet ser framåt: </w:t>
      </w:r>
      <w:r w:rsidRPr="00AD33E8">
        <w:rPr>
          <w:i/>
        </w:rPr>
        <w:t>”Jag blir myndigheten trogen, trivs med att vara statstjänsteman. Jag talar med meda</w:t>
      </w:r>
      <w:r w:rsidRPr="00AD33E8">
        <w:rPr>
          <w:i/>
        </w:rPr>
        <w:t>r</w:t>
      </w:r>
      <w:r w:rsidRPr="00AD33E8">
        <w:rPr>
          <w:i/>
        </w:rPr>
        <w:t>betarna om ’varför-värdet’ – vi är del i någ</w:t>
      </w:r>
      <w:r w:rsidRPr="00AD33E8">
        <w:rPr>
          <w:i/>
        </w:rPr>
        <w:t>ot större”</w:t>
      </w:r>
      <w:r w:rsidRPr="00AD33E8">
        <w:t>. En tjänsteman inom Arbetsmarknadsve</w:t>
      </w:r>
      <w:r w:rsidRPr="00AD33E8">
        <w:t>r</w:t>
      </w:r>
      <w:r w:rsidRPr="00AD33E8">
        <w:t>ket, med såväl idrottslig som militär bakgrund, berättar om rehabilitering</w:t>
      </w:r>
      <w:r w:rsidRPr="00AD33E8">
        <w:t>s</w:t>
      </w:r>
      <w:r w:rsidRPr="00AD33E8">
        <w:t xml:space="preserve">verksamheten. </w:t>
      </w:r>
      <w:r w:rsidRPr="00AD33E8">
        <w:rPr>
          <w:i/>
        </w:rPr>
        <w:t>”Det är viktigt att saker och ting fungerar, det är fråga om kollektiva processer men med ett kollektivt ansvar. Man är med i ett sa</w:t>
      </w:r>
      <w:r w:rsidRPr="00AD33E8">
        <w:rPr>
          <w:i/>
        </w:rPr>
        <w:t>m</w:t>
      </w:r>
      <w:r w:rsidRPr="00AD33E8">
        <w:rPr>
          <w:i/>
        </w:rPr>
        <w:t>manhang och kan inte gömma sig under mattan”</w:t>
      </w:r>
      <w:r w:rsidRPr="00AD33E8">
        <w:t xml:space="preserve">. En chef säger: </w:t>
      </w:r>
      <w:r w:rsidRPr="00AD33E8">
        <w:rPr>
          <w:i/>
        </w:rPr>
        <w:t xml:space="preserve">”Mina medarbetare är lojala, ja lojala intill dumhet”. </w:t>
      </w:r>
      <w:r w:rsidRPr="00AD33E8">
        <w:t>Många av de i under</w:t>
      </w:r>
      <w:r w:rsidRPr="00AD33E8">
        <w:softHyphen/>
        <w:t>sökningen intervjuade vittnar om värdet och nyttan av sin, och medarbeta</w:t>
      </w:r>
      <w:r w:rsidRPr="00AD33E8">
        <w:t>r</w:t>
      </w:r>
      <w:r w:rsidRPr="00AD33E8">
        <w:t>nas, ver</w:t>
      </w:r>
      <w:r w:rsidRPr="00AD33E8">
        <w:t>k</w:t>
      </w:r>
      <w:r w:rsidRPr="00AD33E8">
        <w:t xml:space="preserve">samhet. </w:t>
      </w:r>
    </w:p>
    <w:p w:rsidR="007B7A21" w:rsidRPr="00AD33E8" w:rsidRDefault="007B7A21">
      <w:pPr>
        <w:pStyle w:val="Normaltindrag"/>
      </w:pPr>
      <w:r w:rsidRPr="00AD33E8">
        <w:t>En åter</w:t>
      </w:r>
      <w:r w:rsidRPr="00AD33E8">
        <w:softHyphen/>
        <w:t>kommande åsikt i intervju</w:t>
      </w:r>
      <w:r w:rsidRPr="00AD33E8">
        <w:softHyphen/>
        <w:t>undersök</w:t>
      </w:r>
      <w:r w:rsidRPr="00AD33E8">
        <w:softHyphen/>
        <w:t>ningen är att den personal som fullgör sina uppgifter åt staten är såväl kompe</w:t>
      </w:r>
      <w:r w:rsidRPr="00AD33E8">
        <w:softHyphen/>
        <w:t>tent som lojal med de ideal som finns i regeringsformen. Viljan hos tjänstemännen att i rikets tjänst göra rätt för sig är att döma av intervjusvaren stor. Att nå resultat som efterfrågas av såväl riksdagen som de olika avnämarna upplevs som centralt och styra</w:t>
      </w:r>
      <w:r w:rsidRPr="00AD33E8">
        <w:t>n</w:t>
      </w:r>
      <w:r w:rsidRPr="00AD33E8">
        <w:t>de för verksamheten.</w:t>
      </w:r>
    </w:p>
    <w:p w:rsidR="007B7A21" w:rsidRPr="00AD33E8" w:rsidRDefault="007B7A21">
      <w:pPr>
        <w:pStyle w:val="Normaltindrag"/>
      </w:pPr>
      <w:r w:rsidRPr="00AD33E8">
        <w:t>Om den statliga personalpolitikens värdegrund finns också en stor samsyn. Många hänvisar direkt eller indirekt till</w:t>
      </w:r>
      <w:r w:rsidRPr="00AD33E8">
        <w:t xml:space="preserve"> regeringsformens normer om sakli</w:t>
      </w:r>
      <w:r w:rsidRPr="00AD33E8">
        <w:t>g</w:t>
      </w:r>
      <w:r w:rsidRPr="00AD33E8">
        <w:t>het och skicklighet vid tillsättning eller rekrytering. Några kommer också in på de skrivningar som fanns i 1809 års regeringsform, t.ex. frihet från go</w:t>
      </w:r>
      <w:r w:rsidRPr="00AD33E8">
        <w:t>d</w:t>
      </w:r>
      <w:r w:rsidRPr="00AD33E8">
        <w:t>tycke. Även den gamla regeringsformens bestämmelse om att tillsättning inte skulle ske efter börd har anförts. Börd har då använts i överförd bemärkelse, som härkomst i en eller annan särskild grupp.</w:t>
      </w:r>
    </w:p>
    <w:p w:rsidR="007B7A21" w:rsidRPr="00AD33E8" w:rsidRDefault="007B7A21">
      <w:pPr>
        <w:pStyle w:val="Rubrik3"/>
      </w:pPr>
      <w:bookmarkStart w:id="310" w:name="_Toc536240553"/>
      <w:bookmarkStart w:id="311" w:name="_Toc3887432"/>
      <w:bookmarkStart w:id="312" w:name="_Toc21425345"/>
      <w:r w:rsidRPr="00AD33E8">
        <w:t>Personalpolitiska program</w:t>
      </w:r>
      <w:bookmarkEnd w:id="310"/>
      <w:bookmarkEnd w:id="311"/>
      <w:bookmarkEnd w:id="312"/>
    </w:p>
    <w:p w:rsidR="007B7A21" w:rsidRPr="00AD33E8" w:rsidRDefault="007B7A21">
      <w:r w:rsidRPr="00AD33E8">
        <w:t>De åtta besökta organisationerna arbetar alla med personalpolitiska program. Man har kommit olika långt och man samverkar i olika hög grad med sin centrala chefs- eller tillsynsmyndighet. Man betonar också olika saker, man säger sig ha kommit olika långt med olika saker. På ett ställe betonar man att mång</w:t>
      </w:r>
      <w:r w:rsidRPr="00AD33E8">
        <w:softHyphen/>
        <w:t>faldsarbetet har varit framgångsrikt. På ett annat är det kompetensu</w:t>
      </w:r>
      <w:r w:rsidRPr="00AD33E8">
        <w:t>t</w:t>
      </w:r>
      <w:r w:rsidRPr="00AD33E8">
        <w:t>veck</w:t>
      </w:r>
      <w:r w:rsidRPr="00AD33E8">
        <w:softHyphen/>
        <w:t>lingen som systematiserats och utvecklats. På ett tredje är det jämna köns</w:t>
      </w:r>
      <w:r w:rsidRPr="00AD33E8">
        <w:softHyphen/>
        <w:t>fördelningen bland chefer som betonas. Några genomgående drag finns. Här redovisas sex punkter.</w:t>
      </w:r>
    </w:p>
    <w:p w:rsidR="007B7A21" w:rsidRPr="00AD33E8" w:rsidRDefault="007B7A21">
      <w:pPr>
        <w:pStyle w:val="Normaltindrag"/>
        <w:numPr>
          <w:ilvl w:val="0"/>
          <w:numId w:val="63"/>
        </w:numPr>
        <w:tabs>
          <w:tab w:val="clear" w:pos="360"/>
        </w:tabs>
        <w:ind w:hanging="170"/>
      </w:pPr>
      <w:r w:rsidRPr="00AD33E8">
        <w:t>Det personalpolitiska arbetet kom i gång ordentligt mot slutet av 1990-talet.</w:t>
      </w:r>
    </w:p>
    <w:p w:rsidR="007B7A21" w:rsidRPr="00AD33E8" w:rsidRDefault="007B7A21">
      <w:pPr>
        <w:pStyle w:val="Normaltindrag"/>
        <w:numPr>
          <w:ilvl w:val="0"/>
          <w:numId w:val="63"/>
        </w:numPr>
        <w:tabs>
          <w:tab w:val="clear" w:pos="360"/>
        </w:tabs>
        <w:ind w:hanging="170"/>
      </w:pPr>
      <w:r w:rsidRPr="00AD33E8">
        <w:t>Personalpolitiken betraktas som det kanske viktigaste ledningsinstr</w:t>
      </w:r>
      <w:r w:rsidRPr="00AD33E8">
        <w:t>u</w:t>
      </w:r>
      <w:r w:rsidRPr="00AD33E8">
        <w:t>mentet.</w:t>
      </w:r>
    </w:p>
    <w:p w:rsidR="007B7A21" w:rsidRPr="00AD33E8" w:rsidRDefault="007B7A21">
      <w:pPr>
        <w:pStyle w:val="Normaltindrag"/>
        <w:numPr>
          <w:ilvl w:val="0"/>
          <w:numId w:val="85"/>
        </w:numPr>
      </w:pPr>
      <w:r w:rsidRPr="00AD33E8">
        <w:t>Med den fysiska arbetsmiljön har man kommit långt.</w:t>
      </w:r>
    </w:p>
    <w:p w:rsidR="007B7A21" w:rsidRPr="00AD33E8" w:rsidRDefault="007B7A21">
      <w:pPr>
        <w:pStyle w:val="Normaltindrag"/>
        <w:numPr>
          <w:ilvl w:val="0"/>
          <w:numId w:val="63"/>
        </w:numPr>
        <w:tabs>
          <w:tab w:val="clear" w:pos="360"/>
        </w:tabs>
        <w:ind w:hanging="170"/>
      </w:pPr>
      <w:r w:rsidRPr="00AD33E8">
        <w:t>Dialogen eller återkopplingen, såväl den enskilda genom utveckling</w:t>
      </w:r>
      <w:r w:rsidRPr="00AD33E8">
        <w:t>s</w:t>
      </w:r>
      <w:r w:rsidRPr="00AD33E8">
        <w:t>samtal som den gemensamma med klimatundersökningar, har slagit ig</w:t>
      </w:r>
      <w:r w:rsidRPr="00AD33E8">
        <w:t>e</w:t>
      </w:r>
      <w:r w:rsidRPr="00AD33E8">
        <w:t>nom.</w:t>
      </w:r>
    </w:p>
    <w:p w:rsidR="007B7A21" w:rsidRPr="00AD33E8" w:rsidRDefault="007B7A21">
      <w:pPr>
        <w:pStyle w:val="Normaltindrag"/>
        <w:numPr>
          <w:ilvl w:val="0"/>
          <w:numId w:val="63"/>
        </w:numPr>
        <w:tabs>
          <w:tab w:val="clear" w:pos="360"/>
        </w:tabs>
        <w:ind w:hanging="170"/>
      </w:pPr>
      <w:r w:rsidRPr="00AD33E8">
        <w:t>Rörligheten bland chefer beskrivs mer som en utvecklings- och meto</w:t>
      </w:r>
      <w:r w:rsidRPr="00AD33E8">
        <w:t>d</w:t>
      </w:r>
      <w:r w:rsidRPr="00AD33E8">
        <w:t>fråga än en ambitionsfråga. Det är ofta ett problem att i praktiken hitta meningsfulla arbetsuppgifter som dels inte är reträttposter, dels upplevs som attraktiva när begränsade chefsfö</w:t>
      </w:r>
      <w:r w:rsidRPr="00AD33E8">
        <w:t>r</w:t>
      </w:r>
      <w:r w:rsidRPr="00AD33E8">
        <w:t>ordnanden tar slut.</w:t>
      </w:r>
    </w:p>
    <w:p w:rsidR="007B7A21" w:rsidRPr="00AD33E8" w:rsidRDefault="007B7A21">
      <w:pPr>
        <w:pStyle w:val="Normaltindrag"/>
        <w:numPr>
          <w:ilvl w:val="0"/>
          <w:numId w:val="63"/>
        </w:numPr>
        <w:tabs>
          <w:tab w:val="clear" w:pos="360"/>
        </w:tabs>
        <w:ind w:hanging="170"/>
      </w:pPr>
      <w:r w:rsidRPr="00AD33E8">
        <w:t>Man försöker tillämpa individuell lönesättning.</w:t>
      </w:r>
    </w:p>
    <w:p w:rsidR="007B7A21" w:rsidRPr="00AD33E8" w:rsidRDefault="007B7A21">
      <w:r w:rsidRPr="00AD33E8">
        <w:t>Många av de intervjuade cheferna har också utvecklat egna tillämpningar av personalpolitiken. En chef på en arbetsförmedling satsar mycket på de ind</w:t>
      </w:r>
      <w:r w:rsidRPr="00AD33E8">
        <w:t>i</w:t>
      </w:r>
      <w:r w:rsidRPr="00AD33E8">
        <w:t>viduella samtalen. En före detta enhetschef, numera controller, betonar att personalpolitiken ska bygga på förtroende och ansvar. Redan första dagen på arbetet är viktig. Här kan den nye ha tur eller otur beroende på vilka chefer man får och har. Själv hade hon tur, chefen visade stort förtroende redan från början. Det gäller att se varje individ, att ge möjlighet för medarbetaren att våga. Tjänsten åt staten är i praktiken ett kollektivt ansvar.</w:t>
      </w:r>
    </w:p>
    <w:p w:rsidR="007B7A21" w:rsidRPr="00AD33E8" w:rsidRDefault="007B7A21">
      <w:pPr>
        <w:pStyle w:val="Normaltindrag"/>
      </w:pPr>
      <w:r w:rsidRPr="00AD33E8">
        <w:t>En närpolischef med 20 år som polis inleder samtalet med att</w:t>
      </w:r>
      <w:r w:rsidRPr="00AD33E8">
        <w:t xml:space="preserve"> påpeka att personalpolitikens olika delar kan komma i konflikt med varandra, särskilt om analysen hålls på makroplanet. Refo</w:t>
      </w:r>
      <w:r w:rsidRPr="00AD33E8">
        <w:t>r</w:t>
      </w:r>
      <w:r w:rsidRPr="00AD33E8">
        <w:t>mer kan säga en sak medan uppfölj</w:t>
      </w:r>
      <w:r w:rsidRPr="00AD33E8">
        <w:softHyphen/>
        <w:t>ningsprocess, revision och planering kan ge underlag för andra bedöm</w:t>
      </w:r>
      <w:r w:rsidRPr="00AD33E8">
        <w:softHyphen/>
        <w:t>ningar. Riksdagens beslut år 1965 att införa förhandlingsrätt för statliga tjänstemän medför avtal som förpliktar. Detsamma gör regler i social</w:t>
      </w:r>
      <w:r w:rsidRPr="00AD33E8">
        <w:softHyphen/>
        <w:t>för</w:t>
      </w:r>
      <w:r w:rsidRPr="00AD33E8">
        <w:softHyphen/>
        <w:t>säk</w:t>
      </w:r>
      <w:r w:rsidRPr="00AD33E8">
        <w:softHyphen/>
        <w:t>ringen om t.ex. ökad pappaledighet. I den operativa planeringen kan det visa sig att det för delar av personalen finns omständighet</w:t>
      </w:r>
      <w:r w:rsidRPr="00AD33E8">
        <w:t>er, t.ex. nedsatt förmåga att arbeta nattetid, som inskränker möjligheten att utnyttja all personal i alla situationer vid alla tidpunkter. Här blir ledningens uppgift att praktiskt lösa frågor efter förutsättningar som inte alltid finns förtydligade i plane</w:t>
      </w:r>
      <w:r w:rsidRPr="00AD33E8">
        <w:softHyphen/>
        <w:t>rings</w:t>
      </w:r>
      <w:r w:rsidRPr="00AD33E8">
        <w:softHyphen/>
        <w:t>dokument eller som redovisas i centrala eller externa uppföljningar. Det finns flera röster i undersökningen som påtalar att man i centrala planerings- eller uppföljning</w:t>
      </w:r>
      <w:r w:rsidRPr="00AD33E8">
        <w:t>s</w:t>
      </w:r>
      <w:r w:rsidRPr="00AD33E8">
        <w:t>dokument överskattar möjligheten att genom pla</w:t>
      </w:r>
      <w:r w:rsidRPr="00AD33E8">
        <w:softHyphen/>
        <w:t>ne</w:t>
      </w:r>
      <w:r w:rsidRPr="00AD33E8">
        <w:softHyphen/>
        <w:t>ring av arbetstider väsen</w:t>
      </w:r>
      <w:r w:rsidRPr="00AD33E8">
        <w:t>t</w:t>
      </w:r>
      <w:r w:rsidRPr="00AD33E8">
        <w:t>l</w:t>
      </w:r>
      <w:r w:rsidRPr="00AD33E8">
        <w:t>igen öka utnyttjandet av personalen.</w:t>
      </w:r>
    </w:p>
    <w:p w:rsidR="007B7A21" w:rsidRPr="00AD33E8" w:rsidRDefault="007B7A21">
      <w:pPr>
        <w:pStyle w:val="Normaltindrag"/>
      </w:pPr>
      <w:r w:rsidRPr="00AD33E8">
        <w:t xml:space="preserve">På frågan hur styr Du svarade en sektionschef på en skatteförvaltning: </w:t>
      </w:r>
      <w:r w:rsidRPr="00AD33E8">
        <w:rPr>
          <w:i/>
        </w:rPr>
        <w:t>”Genom att försöka vara ett föredöme”</w:t>
      </w:r>
      <w:r w:rsidRPr="00AD33E8">
        <w:t xml:space="preserve">. </w:t>
      </w:r>
      <w:r w:rsidRPr="00AD33E8">
        <w:rPr>
          <w:i/>
        </w:rPr>
        <w:t>”Personalpolitiken måste vara rättvis – då känner man sig som en medarbetare”,</w:t>
      </w:r>
      <w:r w:rsidRPr="00AD33E8">
        <w:t xml:space="preserve"> säger en chef i polisen. Han var en gång en av de yngsta yttre befälen: </w:t>
      </w:r>
      <w:r w:rsidRPr="00AD33E8">
        <w:rPr>
          <w:i/>
        </w:rPr>
        <w:t>”Tack vare 1985 års beslut”</w:t>
      </w:r>
      <w:r w:rsidRPr="00AD33E8">
        <w:t>. Det är betoningen av skicklighet framför fö</w:t>
      </w:r>
      <w:r w:rsidRPr="00AD33E8">
        <w:t>r</w:t>
      </w:r>
      <w:r w:rsidRPr="00AD33E8">
        <w:t xml:space="preserve">tjänst som avses. </w:t>
      </w:r>
    </w:p>
    <w:p w:rsidR="007B7A21" w:rsidRPr="00AD33E8" w:rsidRDefault="007B7A21">
      <w:pPr>
        <w:pStyle w:val="Rubrik2"/>
      </w:pPr>
      <w:bookmarkStart w:id="313" w:name="_Toc536240554"/>
      <w:bookmarkStart w:id="314" w:name="_Toc3887433"/>
      <w:bookmarkStart w:id="315" w:name="_Toc21425346"/>
      <w:bookmarkEnd w:id="297"/>
      <w:r w:rsidRPr="00AD33E8">
        <w:t>Personalpolitiken som förändringsinstrument</w:t>
      </w:r>
      <w:bookmarkEnd w:id="313"/>
      <w:bookmarkEnd w:id="314"/>
      <w:bookmarkEnd w:id="315"/>
    </w:p>
    <w:p w:rsidR="007B7A21" w:rsidRPr="00AD33E8" w:rsidRDefault="007B7A21">
      <w:r w:rsidRPr="00AD33E8">
        <w:t>Intervjuerna inleddes med att de intervjuade ombads att berätta om sin tid i verksamheten och vilka som var de stora förändringar som skett. Alla var överens om att det skett stora förändringar. Alla var överens om att persona</w:t>
      </w:r>
      <w:r w:rsidRPr="00AD33E8">
        <w:t>l</w:t>
      </w:r>
      <w:r w:rsidRPr="00AD33E8">
        <w:t>politiken i sig förändrats positivt. Bland dem som varit med länge uppmär</w:t>
      </w:r>
      <w:r w:rsidRPr="00AD33E8">
        <w:t>k</w:t>
      </w:r>
      <w:r w:rsidRPr="00AD33E8">
        <w:t xml:space="preserve">sammas avregleringen i samband med 1985 års personalpolitiska beslut. Här redovisas hur personalpolitiken fungerat i samband med förändringar i och av verksamheterna, dvs. det instrumentella perspektivet. </w:t>
      </w:r>
    </w:p>
    <w:p w:rsidR="007B7A21" w:rsidRPr="00AD33E8" w:rsidRDefault="007B7A21">
      <w:pPr>
        <w:pStyle w:val="Rubrik3"/>
      </w:pPr>
      <w:bookmarkStart w:id="316" w:name="_Toc536240555"/>
      <w:bookmarkStart w:id="317" w:name="_Toc3887434"/>
      <w:bookmarkStart w:id="318" w:name="_Toc21425347"/>
      <w:r w:rsidRPr="00AD33E8">
        <w:t>Avreglering</w:t>
      </w:r>
      <w:bookmarkEnd w:id="316"/>
      <w:bookmarkEnd w:id="317"/>
      <w:bookmarkEnd w:id="318"/>
      <w:r w:rsidRPr="00AD33E8">
        <w:t xml:space="preserve"> </w:t>
      </w:r>
    </w:p>
    <w:p w:rsidR="007B7A21" w:rsidRPr="00AD33E8" w:rsidRDefault="007B7A21">
      <w:r w:rsidRPr="00AD33E8">
        <w:t>Avskaffandet av den reglerade befordringsgången beskrivs av flera som den stora positiva förändringen i statens personalpolitik. Flera intervjuade beskr</w:t>
      </w:r>
      <w:r w:rsidRPr="00AD33E8">
        <w:t>i</w:t>
      </w:r>
      <w:r w:rsidRPr="00AD33E8">
        <w:t>ver det som skett på ett sätt som för tankarna till en s.k. ketchupeffekt. Mycket som tidigare inte varit möjligt kunde inte bara övervägas utan även prövas och genomföras. Den ökade betoningen på skicklighet och kompetens öppnade för nytänkande. För möjligheten för kvinnor att göra karriär på bättre, om ännu inte lika, villkor beskrivs reformen som särskilt värdefull.</w:t>
      </w:r>
    </w:p>
    <w:p w:rsidR="007B7A21" w:rsidRPr="00AD33E8" w:rsidRDefault="007B7A21">
      <w:pPr>
        <w:pStyle w:val="Normaltindrag"/>
      </w:pPr>
      <w:r w:rsidRPr="00AD33E8">
        <w:rPr>
          <w:i/>
        </w:rPr>
        <w:t>”Det är inte klokt vilka töntar man haft som chefer”.</w:t>
      </w:r>
      <w:r w:rsidRPr="00AD33E8">
        <w:t xml:space="preserve"> Orden kommer spontant tillbakablickande från en sektionschef i en skatteförvaltning. Hon har just positivt kommenterat den ökade betoningen av skicklighet vid til</w:t>
      </w:r>
      <w:r w:rsidRPr="00AD33E8">
        <w:t>l</w:t>
      </w:r>
      <w:r w:rsidRPr="00AD33E8">
        <w:t>sättningar i det personalpolitiska beslutet. Hon började sitt arbete i staten på 1960-talet, som assistent i ett depa</w:t>
      </w:r>
      <w:r w:rsidRPr="00AD33E8">
        <w:t>r</w:t>
      </w:r>
      <w:r w:rsidRPr="00AD33E8">
        <w:t xml:space="preserve">tement. </w:t>
      </w:r>
    </w:p>
    <w:p w:rsidR="007B7A21" w:rsidRPr="00AD33E8" w:rsidRDefault="007B7A21">
      <w:pPr>
        <w:pStyle w:val="Normaltindrag"/>
      </w:pPr>
      <w:r w:rsidRPr="00AD33E8">
        <w:t>Den samlat positiva synen på betoningen av skicklighet kopplas i några intervjuer samman med betydelsen av chefsegenskaper. En bra chef anses allmänt viktigt för verksamheten. Ännu viktigare anses det dock vara att undvik</w:t>
      </w:r>
      <w:r w:rsidRPr="00AD33E8">
        <w:t>a dåliga chefer då dessa utgör cen</w:t>
      </w:r>
      <w:r w:rsidRPr="00AD33E8">
        <w:t>t</w:t>
      </w:r>
      <w:r w:rsidRPr="00AD33E8">
        <w:t>rala hinder för goda resultat.</w:t>
      </w:r>
    </w:p>
    <w:p w:rsidR="007B7A21" w:rsidRPr="00AD33E8" w:rsidRDefault="007B7A21">
      <w:pPr>
        <w:pStyle w:val="Normaltindrag"/>
      </w:pPr>
      <w:r w:rsidRPr="00AD33E8">
        <w:t>Det finns vidare intervjuade som säger att den avreglerade befordring</w:t>
      </w:r>
      <w:r w:rsidRPr="00AD33E8">
        <w:t>s</w:t>
      </w:r>
      <w:r w:rsidRPr="00AD33E8">
        <w:t>gången ännu inte nått sin fulla effekt. Det har då att göra med utvecklingen av kriterier för skicklighet. Att mäta förtjänst med antal tjänsteår som mått var relativt enkelt. Att mäta skickligheten som är mer mångfacetterad är svårare. Det redovisas i intervjuerna exempel på att det gamla förtjänstkrit</w:t>
      </w:r>
      <w:r w:rsidRPr="00AD33E8">
        <w:t>e</w:t>
      </w:r>
      <w:r w:rsidRPr="00AD33E8">
        <w:t>riet hängt kvar ett antal år. Det finns även bedömningar av att det oklarare skicklighetskriteriet i kombination med den långtgående delegeringen i några fall lett till inslag av subjektivitet eller godtyck</w:t>
      </w:r>
      <w:r w:rsidRPr="00AD33E8">
        <w:t>e vid tjänst</w:t>
      </w:r>
      <w:r w:rsidRPr="00AD33E8">
        <w:t>e</w:t>
      </w:r>
      <w:r w:rsidRPr="00AD33E8">
        <w:t xml:space="preserve">tillsättningar. </w:t>
      </w:r>
    </w:p>
    <w:p w:rsidR="007B7A21" w:rsidRPr="00AD33E8" w:rsidRDefault="007B7A21">
      <w:pPr>
        <w:pStyle w:val="Rubrik3"/>
      </w:pPr>
      <w:bookmarkStart w:id="319" w:name="_Toc536240556"/>
      <w:bookmarkStart w:id="320" w:name="_Toc3887435"/>
      <w:bookmarkStart w:id="321" w:name="_Toc21425348"/>
      <w:r w:rsidRPr="00AD33E8">
        <w:t>Förändringsbenägenhet och omorganisationer</w:t>
      </w:r>
      <w:bookmarkEnd w:id="319"/>
      <w:bookmarkEnd w:id="320"/>
      <w:bookmarkEnd w:id="321"/>
    </w:p>
    <w:p w:rsidR="007B7A21" w:rsidRPr="00AD33E8" w:rsidRDefault="007B7A21">
      <w:r w:rsidRPr="00AD33E8">
        <w:t>De som började i statlig verksamhet under 1960- eller 1970-talet ser tillbaka på en förvaltning som hela tiden förändrats och moderniserats. Man anser att förändringar är naturliga inslag i den statliga verksamheten. Och om det tidigare funnits en ovilja mot förändringar, vilket inte alla anser belagt, så finns nu en förändringsberedskap som kommit för att stanna. Det finns också en samstämmig åsikt att tydlighet och saklighet är A och O för framgångsr</w:t>
      </w:r>
      <w:r w:rsidRPr="00AD33E8">
        <w:t>i</w:t>
      </w:r>
      <w:r w:rsidRPr="00AD33E8">
        <w:t>ka förändringsprocesser. När skälen för en åtgärd, även en långtgående och omvälvande, är öppet redovisade och har kunnat prövas mot faktiska förhå</w:t>
      </w:r>
      <w:r w:rsidRPr="00AD33E8">
        <w:t>l</w:t>
      </w:r>
      <w:r w:rsidRPr="00AD33E8">
        <w:t>la</w:t>
      </w:r>
      <w:r w:rsidRPr="00AD33E8">
        <w:t>n</w:t>
      </w:r>
      <w:r w:rsidRPr="00AD33E8">
        <w:t>den ökar ofta acceptansen.</w:t>
      </w:r>
    </w:p>
    <w:p w:rsidR="007B7A21" w:rsidRPr="00AD33E8" w:rsidRDefault="007B7A21">
      <w:pPr>
        <w:pStyle w:val="Normaltindrag"/>
      </w:pPr>
      <w:r w:rsidRPr="00AD33E8">
        <w:t>Flera av de intervjuade tar upp att motstånd mot en förändring inte behöver vara av principiell natur. Skepsisen kommer av olika inslag i den aktuella föreslagna förändringen. Det finns, säger man, förändringar och förändrin</w:t>
      </w:r>
      <w:r w:rsidRPr="00AD33E8">
        <w:t>g</w:t>
      </w:r>
      <w:r w:rsidRPr="00AD33E8">
        <w:t>ar.</w:t>
      </w:r>
    </w:p>
    <w:p w:rsidR="007B7A21" w:rsidRPr="00AD33E8" w:rsidRDefault="007B7A21">
      <w:pPr>
        <w:pStyle w:val="Normaltindrag"/>
      </w:pPr>
      <w:r w:rsidRPr="00AD33E8">
        <w:t>De som varit verksamma i staten under 20 år eller mer talar gärna om fö</w:t>
      </w:r>
      <w:r w:rsidRPr="00AD33E8">
        <w:t>r</w:t>
      </w:r>
      <w:r w:rsidRPr="00AD33E8">
        <w:t>ändringar som regelbundna växlingar mellan olika principer och moden. De organisatoriska lösningarna pendlar efter olika skalor. Centralisering avlöses av decentralisering. Ett specialiserat arbetssätt ersätts med en mer generell inriktning. Akuta insatser ska balanseras med förebyggande åtgärder. Till det här finns två attityder i intervjuerna, som mycket väl kan uttryckas av samma person. Den första attityden som också kommer tidigt i intervjun är cyniskt anlagd. Då talas om cykler där vissa schablonlösn</w:t>
      </w:r>
      <w:r w:rsidRPr="00AD33E8">
        <w:t>ingar återkommer med bestämda tidsintervaller. Den andra attityden ref</w:t>
      </w:r>
      <w:r w:rsidRPr="00AD33E8">
        <w:softHyphen/>
        <w:t>lek</w:t>
      </w:r>
      <w:r w:rsidRPr="00AD33E8">
        <w:softHyphen/>
        <w:t>te</w:t>
      </w:r>
      <w:r w:rsidRPr="00AD33E8">
        <w:softHyphen/>
        <w:t>rar att förändringarna och lösningsförslagen avser reella problem som, i sig, är svåra att lösa och att de olika arbetssäten som prövas möjliggör ett organisatoriskt lärande. Det är då man, enligt resonemanget hos flertalet av de intervjuade, kommer in på det långsiktiga perspektivet. Omställningar och omorganisationer behöver erfarenhetsmässigt ofta lång tid för att först slå igenom i praktisk verksamhet och sedan ge avkastning i</w:t>
      </w:r>
      <w:r w:rsidRPr="00AD33E8">
        <w:t xml:space="preserve"> t.ex. bättre och billigare verksamhet.</w:t>
      </w:r>
    </w:p>
    <w:p w:rsidR="007B7A21" w:rsidRPr="00AD33E8" w:rsidRDefault="007B7A21">
      <w:pPr>
        <w:pStyle w:val="Normaltindrag"/>
      </w:pPr>
      <w:r w:rsidRPr="00AD33E8">
        <w:t>De förändringar som kritiseras mest är de som är oklart motiverade. Det kan vara när förändringen upplevs som en schablonmässig åtgärd för att komma till rätta med problem, t.ex. ärendehandläggning. Eller för att koppla till diskussionen om avregleringen av befordringsgången; en omorganisation genomförs för att man ska bli av med en chef som inte håller måttet. Tve</w:t>
      </w:r>
      <w:r w:rsidRPr="00AD33E8">
        <w:t>k</w:t>
      </w:r>
      <w:r w:rsidRPr="00AD33E8">
        <w:t>samhet mot förändringar genom omorganisation kan också uppstå när anfö</w:t>
      </w:r>
      <w:r w:rsidRPr="00AD33E8">
        <w:t>r</w:t>
      </w:r>
      <w:r w:rsidRPr="00AD33E8">
        <w:t>da problem är otydligt eller svagt belagda. När en förändring är oklart mot</w:t>
      </w:r>
      <w:r w:rsidRPr="00AD33E8">
        <w:t>i</w:t>
      </w:r>
      <w:r w:rsidRPr="00AD33E8">
        <w:t>verad, när ledningen inte är tydlig om bakgrunden, skapas osäkerhet och utrymme för spekulationer. En oklart eller sakligt sett dåligt motiverad o</w:t>
      </w:r>
      <w:r w:rsidRPr="00AD33E8">
        <w:t>m</w:t>
      </w:r>
      <w:r w:rsidRPr="00AD33E8">
        <w:t>organisation eller förändring upplevs ofta som en kritik mot verksamheten. Orden från en chef eller en ledning  som ”att det är bra att skaka om i ver</w:t>
      </w:r>
      <w:r w:rsidRPr="00AD33E8">
        <w:t>k</w:t>
      </w:r>
      <w:r w:rsidRPr="00AD33E8">
        <w:t>samheten” tolkas gä</w:t>
      </w:r>
      <w:r w:rsidRPr="00AD33E8">
        <w:t>r</w:t>
      </w:r>
      <w:r w:rsidRPr="00AD33E8">
        <w:t xml:space="preserve">na som att ”ni är inte tillräckligt bra”.  </w:t>
      </w:r>
    </w:p>
    <w:p w:rsidR="007B7A21" w:rsidRPr="00AD33E8" w:rsidRDefault="007B7A21">
      <w:pPr>
        <w:pStyle w:val="Normaltindrag"/>
      </w:pPr>
      <w:r w:rsidRPr="00AD33E8">
        <w:t>En</w:t>
      </w:r>
      <w:r w:rsidRPr="00AD33E8">
        <w:t xml:space="preserve"> annan typ av tveksamhet är när förändringar, som innebär att välfung</w:t>
      </w:r>
      <w:r w:rsidRPr="00AD33E8">
        <w:t>e</w:t>
      </w:r>
      <w:r w:rsidRPr="00AD33E8">
        <w:t>rande verksamhet överges, ses som symbolhandlingar i samband med en reform. Resonemanget går då ut på att reformer ofta är långsiktiga till sin karaktär. Såväl bättre genomförd verksamhet som externa effekter kan fö</w:t>
      </w:r>
      <w:r w:rsidRPr="00AD33E8">
        <w:t>r</w:t>
      </w:r>
      <w:r w:rsidRPr="00AD33E8">
        <w:t>väntas uppstå först efter flera år. Det kan då vara lockande att ”stämma av” reformens genomförande med tidiga omorganisationer. Ett exempel som här nämnts av flera intervjuade är närpolisreformen och det problemorienterade ar</w:t>
      </w:r>
      <w:r w:rsidRPr="00AD33E8">
        <w:t>betssättet. Reformen fick, med facit i hand, en organisatorisk slagsida där snabbt inrättande av närpolisområden ansågs som ett gott resultat. I detta fall har kritiken riktats mot omorganisationens tidsperspektiv och tågordning. Delar av verksamheter där ett problemorienterat arbetssätt redan etablerats och upp</w:t>
      </w:r>
      <w:r w:rsidRPr="00AD33E8">
        <w:softHyphen/>
        <w:t>levts positivt av lokala samarbetspartners kunde avvecklas till fö</w:t>
      </w:r>
      <w:r w:rsidRPr="00AD33E8">
        <w:t>r</w:t>
      </w:r>
      <w:r w:rsidRPr="00AD33E8">
        <w:t>mån för organisering i ett geografiskt mönster. Vidare fanns inte de finans</w:t>
      </w:r>
      <w:r w:rsidRPr="00AD33E8">
        <w:t>i</w:t>
      </w:r>
      <w:r w:rsidRPr="00AD33E8">
        <w:t>ella förutsättningarna för ett fullt utbyggt närpolisnä</w:t>
      </w:r>
      <w:r w:rsidRPr="00AD33E8">
        <w:t>t. Reformen har därför fått korr</w:t>
      </w:r>
      <w:r w:rsidRPr="00AD33E8">
        <w:t>i</w:t>
      </w:r>
      <w:r w:rsidRPr="00AD33E8">
        <w:t>geras och större enheter ombildas.</w:t>
      </w:r>
    </w:p>
    <w:p w:rsidR="007B7A21" w:rsidRPr="00AD33E8" w:rsidRDefault="007B7A21">
      <w:pPr>
        <w:pStyle w:val="Normaltindrag"/>
      </w:pPr>
      <w:r w:rsidRPr="00AD33E8">
        <w:t>Ytterligare ett exempel på ett förändringsmål inom personalpolitiken är den ökade rörligheten. En allmän ökad personalrörlighet bland den statliga personalen var ett mål som formulerades i samband med det personalpoliti</w:t>
      </w:r>
      <w:r w:rsidRPr="00AD33E8">
        <w:t>s</w:t>
      </w:r>
      <w:r w:rsidRPr="00AD33E8">
        <w:t>ka beslutet. Ett sådant mål har ingen förankring bland de intervjuade. Det gäller såväl chefer som medarbetare. Det som efterlyses är lösningar för personal som på ett eller annat sätt kommit fel i organisationen. Det kan vara felrekryterade som länge gått utan en chef som tagit sitt ansvar. Det kan vara medarbetare vars kompetens inte efterfrågas efter en omorganisation. Pers</w:t>
      </w:r>
      <w:r w:rsidRPr="00AD33E8">
        <w:t>o</w:t>
      </w:r>
      <w:r w:rsidRPr="00AD33E8">
        <w:t>nalrörligheten kan behöva öka ibland, inom vissa verksamheter, men minska ibland inom vissa kategorier. Det beror helt på den aktue</w:t>
      </w:r>
      <w:r w:rsidRPr="00AD33E8">
        <w:t xml:space="preserve">lla situationen. </w:t>
      </w:r>
    </w:p>
    <w:p w:rsidR="007B7A21" w:rsidRPr="00AD33E8" w:rsidRDefault="007B7A21">
      <w:pPr>
        <w:pStyle w:val="Normaltindrag"/>
      </w:pPr>
      <w:r w:rsidRPr="00AD33E8">
        <w:t>Den tidigare nämnda växlingen mellan organisatoriska principer, ofta mellan centralisering och decentralisering, beskrivs av vissa intervjuade som sätt att medvetet arbeta med arbetsuppgifter som är komplexa, ofta med sammansatta målbilder och avsaknad av enkla lösningar. Det är svårt att finna en riktigt bra organisatorisk form för verksamheten. Omorganiseringen blir då ett led i en pragmatisk strävan att förbättra verksamheten. En central</w:t>
      </w:r>
      <w:r w:rsidRPr="00AD33E8">
        <w:t>i</w:t>
      </w:r>
      <w:r w:rsidRPr="00AD33E8">
        <w:t>sering medger effektiva lösningar genom att man kan avsätta resurser för specialisering. Det kan dock leda till att verksamheten dels får teknisk sla</w:t>
      </w:r>
      <w:r w:rsidRPr="00AD33E8">
        <w:t>g</w:t>
      </w:r>
      <w:r w:rsidRPr="00AD33E8">
        <w:t>sida, dels blir reglerad och mindre flexibel samt att möjligheten till situ</w:t>
      </w:r>
      <w:r w:rsidRPr="00AD33E8">
        <w:t>a</w:t>
      </w:r>
      <w:r w:rsidRPr="00AD33E8">
        <w:t>tions- eller individanpassade lösningar minskas. Åtgärden kan då vara att decentralisera och avreglera. Verksamheten och kompetensen sprids. Det som då kan uppstå är dels att kompetensen tunnas ut, dels att skillnaderna i tillämpningen blir stora. Det här förhållandet beskrivs av mång</w:t>
      </w:r>
      <w:r w:rsidRPr="00AD33E8">
        <w:t>a intervjuade.</w:t>
      </w:r>
    </w:p>
    <w:p w:rsidR="007B7A21" w:rsidRPr="00AD33E8" w:rsidRDefault="007B7A21">
      <w:pPr>
        <w:pStyle w:val="Normaltindrag"/>
      </w:pPr>
      <w:r w:rsidRPr="00AD33E8">
        <w:t>En annan fråga som gäller förändringsprocesser har att göra med delakti</w:t>
      </w:r>
      <w:r w:rsidRPr="00AD33E8">
        <w:t>g</w:t>
      </w:r>
      <w:r w:rsidRPr="00AD33E8">
        <w:t>heten. Ett motstånd mot förändringar kan uppstå om personalen ställs eller känner sig ställd utanför. Här redovisas av flera en positiv utveckling. I ett tidigare skede, från 1985 och fram mot slutet på 1990-talet, var det inte ovanligt att förändringen initierades, utformades och drevs uppifrån och ner. En utvecklingsgrupp knuten till ledningen ofta i samverkan med konsulter utformar ett paket som sedan ska förankras. Det mesta är låst och förändrin</w:t>
      </w:r>
      <w:r w:rsidRPr="00AD33E8">
        <w:t>g</w:t>
      </w:r>
      <w:r w:rsidRPr="00AD33E8">
        <w:t>en ska genomföras skyndsamt. Ofta medförde sådana projek</w:t>
      </w:r>
      <w:r w:rsidRPr="00AD33E8">
        <w:t>t och upplägg mot</w:t>
      </w:r>
      <w:r w:rsidRPr="00AD33E8">
        <w:softHyphen/>
        <w:t>stånd. En omorganisation genomförs snabbt, men måste sedan följas av en annan som korrigerar det som blev fel. I flera av de besökta organisati</w:t>
      </w:r>
      <w:r w:rsidRPr="00AD33E8">
        <w:t>o</w:t>
      </w:r>
      <w:r w:rsidRPr="00AD33E8">
        <w:t>nerna har man gått ifrån den strategin. Personalen är då med redan från bö</w:t>
      </w:r>
      <w:r w:rsidRPr="00AD33E8">
        <w:t>r</w:t>
      </w:r>
      <w:r w:rsidRPr="00AD33E8">
        <w:t>jan, inga lösningar betraktas som givna. Alla chefstjänster utlyses kanske. Konsulterna är mer rådgivande än initierande. Omorganisationen får ta den tid som behövs.</w:t>
      </w:r>
    </w:p>
    <w:p w:rsidR="007B7A21" w:rsidRPr="00AD33E8" w:rsidRDefault="007B7A21">
      <w:pPr>
        <w:pStyle w:val="Normaltindrag"/>
      </w:pPr>
      <w:r w:rsidRPr="00AD33E8">
        <w:t>Majoriteten av de intervjuade redovisar i dag en positiv syn på förändrin</w:t>
      </w:r>
      <w:r w:rsidRPr="00AD33E8">
        <w:t>g</w:t>
      </w:r>
      <w:r w:rsidRPr="00AD33E8">
        <w:t>ar. Det är möjligheter och inte hot som framtonar. Det har beskrivits som ett förändrat trygghetsbegrepp. Tryggheten finns i den egna kompetensen och inte i de organisatoriska positionerna. Den positiva bilden är inte utan rese</w:t>
      </w:r>
      <w:r w:rsidRPr="00AD33E8">
        <w:t>r</w:t>
      </w:r>
      <w:r w:rsidRPr="00AD33E8">
        <w:t>vationer. Många goda erfarenheter har haft ett högt pris. De många omstäl</w:t>
      </w:r>
      <w:r w:rsidRPr="00AD33E8">
        <w:t>l</w:t>
      </w:r>
      <w:r w:rsidRPr="00AD33E8">
        <w:t>ningarna särskilt under 1990-talet har varit ”jobbiga” och slitsamma. Många medarbetare har farit illa. En del av den ökande sjukfrånvaron kopplas till de ansträngande arbetsvillkoren i samband med omställning</w:t>
      </w:r>
      <w:r w:rsidRPr="00AD33E8">
        <w:t>ar och ökad arbet</w:t>
      </w:r>
      <w:r w:rsidRPr="00AD33E8">
        <w:t>s</w:t>
      </w:r>
      <w:r w:rsidRPr="00AD33E8">
        <w:t>belastning.</w:t>
      </w:r>
    </w:p>
    <w:p w:rsidR="007B7A21" w:rsidRPr="00AD33E8" w:rsidRDefault="007B7A21">
      <w:pPr>
        <w:pStyle w:val="Rubrik3"/>
        <w:numPr>
          <w:ilvl w:val="2"/>
          <w:numId w:val="0"/>
        </w:numPr>
        <w:tabs>
          <w:tab w:val="num" w:pos="360"/>
        </w:tabs>
        <w:ind w:left="360" w:hanging="360"/>
      </w:pPr>
      <w:bookmarkStart w:id="322" w:name="_Toc536240557"/>
      <w:bookmarkStart w:id="323" w:name="_Toc3887436"/>
      <w:bookmarkStart w:id="324" w:name="_Toc21425349"/>
      <w:r w:rsidRPr="00AD33E8">
        <w:t>Teknisk utveckling</w:t>
      </w:r>
      <w:bookmarkEnd w:id="322"/>
      <w:bookmarkEnd w:id="323"/>
      <w:bookmarkEnd w:id="324"/>
    </w:p>
    <w:p w:rsidR="007B7A21" w:rsidRPr="00AD33E8" w:rsidRDefault="007B7A21">
      <w:r w:rsidRPr="00AD33E8">
        <w:t>Med teknisk utveckling avses under den studerade perioden IT-genombrottet. Det är ett i intervjuerna genomgående exempel på en stor förändring under en intervjuads yrkesverksamma tid. Den betraktas som en självklarhet, den har kommit för att stanna men den är inte problemfri. Det största problemet är att man på många ledningsnivåer överskattat de omedelbara rationalise</w:t>
      </w:r>
      <w:r w:rsidRPr="00AD33E8">
        <w:t>r</w:t>
      </w:r>
      <w:r w:rsidRPr="00AD33E8">
        <w:t xml:space="preserve">ingsvinsterna. Man har ”hoppat bock” över såväl praktiska utvecklings- och testmoment som insikten om att införandet bör betraktas som investering och inte konsumtion. </w:t>
      </w:r>
    </w:p>
    <w:p w:rsidR="007B7A21" w:rsidRPr="00AD33E8" w:rsidRDefault="007B7A21">
      <w:pPr>
        <w:pStyle w:val="Normaltindrag"/>
      </w:pPr>
      <w:r w:rsidRPr="00AD33E8">
        <w:t>Den informationstekniska utvecklingen är ett område där det i intervjuerna framträder skillnader mellan de studerade verksamheterna. Man har kommit olika långt och har delvis olika erfare</w:t>
      </w:r>
      <w:r w:rsidRPr="00AD33E8">
        <w:t>n</w:t>
      </w:r>
      <w:r w:rsidRPr="00AD33E8">
        <w:t xml:space="preserve">heter. </w:t>
      </w:r>
    </w:p>
    <w:p w:rsidR="007B7A21" w:rsidRPr="00AD33E8" w:rsidRDefault="007B7A21">
      <w:pPr>
        <w:pStyle w:val="Normaltindrag"/>
      </w:pPr>
      <w:r w:rsidRPr="00AD33E8">
        <w:t>Arbetsmarknadsverket anses av de där intervjuade ha kommit långt. AMS får gott betyg för sina utvecklingsinsatser. Verksamheten i förmedlingsver</w:t>
      </w:r>
      <w:r w:rsidRPr="00AD33E8">
        <w:t>k</w:t>
      </w:r>
      <w:r w:rsidRPr="00AD33E8">
        <w:t>samheten är i dag helt IT-baserad och en stor del av arbetet är att hjälpa arbetssökande att använda IT-verktygen. Det görs en reservation, flera inte</w:t>
      </w:r>
      <w:r w:rsidRPr="00AD33E8">
        <w:t>r</w:t>
      </w:r>
      <w:r w:rsidRPr="00AD33E8">
        <w:t>vjuade anför att förnyelsetakten är hög och ibland skapar en viss stress när nya pr</w:t>
      </w:r>
      <w:r w:rsidRPr="00AD33E8">
        <w:t>o</w:t>
      </w:r>
      <w:r w:rsidRPr="00AD33E8">
        <w:t>gram ska införas.</w:t>
      </w:r>
    </w:p>
    <w:p w:rsidR="007B7A21" w:rsidRPr="00AD33E8" w:rsidRDefault="007B7A21">
      <w:pPr>
        <w:pStyle w:val="Normaltindrag"/>
      </w:pPr>
      <w:r w:rsidRPr="00AD33E8">
        <w:t>Inom skatteväsendet finns i dag ett utvecklat IT-stöd för styrning och handläggning av ärenden. Det får överlag positiva vitsord.</w:t>
      </w:r>
    </w:p>
    <w:p w:rsidR="007B7A21" w:rsidRPr="00AD33E8" w:rsidRDefault="007B7A21">
      <w:pPr>
        <w:pStyle w:val="Normaltindrag"/>
      </w:pPr>
      <w:r w:rsidRPr="00AD33E8">
        <w:t>Inom socialförsäkringsadministrationen har man sedan länge, från det s.k. FAS 90 i slutet på 1980-talet och framåt, haft stora förhoppningar på IT som ska underlätta ärendehandläggningen och medge stora rationaliseringar. För närvarande väntar man på ett nytt system som i drift ska ge stora vinster. De intervjuade är dock skeptiska till såväl tidsplan som utlovad rationalisering</w:t>
      </w:r>
      <w:r w:rsidRPr="00AD33E8">
        <w:t>s</w:t>
      </w:r>
      <w:r w:rsidRPr="00AD33E8">
        <w:t>potential. Det som oroar personalen är att den förväntade effektiviseringen ska ”tas hem” i form av minskad bemanning innan systemen tagits i full drift och visat sig fungera som stöd i ver</w:t>
      </w:r>
      <w:r w:rsidRPr="00AD33E8">
        <w:t>k</w:t>
      </w:r>
      <w:r w:rsidRPr="00AD33E8">
        <w:t>samheten.</w:t>
      </w:r>
    </w:p>
    <w:p w:rsidR="007B7A21" w:rsidRPr="00AD33E8" w:rsidRDefault="007B7A21">
      <w:pPr>
        <w:pStyle w:val="Rubrik3"/>
        <w:numPr>
          <w:ilvl w:val="2"/>
          <w:numId w:val="0"/>
        </w:numPr>
        <w:tabs>
          <w:tab w:val="num" w:pos="360"/>
        </w:tabs>
        <w:ind w:left="360" w:hanging="360"/>
      </w:pPr>
      <w:bookmarkStart w:id="325" w:name="_Toc536240558"/>
      <w:bookmarkStart w:id="326" w:name="_Toc3887437"/>
      <w:bookmarkStart w:id="327" w:name="_Toc21425350"/>
      <w:r w:rsidRPr="00AD33E8">
        <w:t>Personalavveckling</w:t>
      </w:r>
      <w:bookmarkEnd w:id="325"/>
      <w:bookmarkEnd w:id="326"/>
      <w:bookmarkEnd w:id="327"/>
    </w:p>
    <w:p w:rsidR="007B7A21" w:rsidRPr="00AD33E8" w:rsidRDefault="007B7A21">
      <w:r w:rsidRPr="00AD33E8">
        <w:t>När det personalpolitiska beslutet förbereddes var den minskade bemannin</w:t>
      </w:r>
      <w:r w:rsidRPr="00AD33E8">
        <w:t>g</w:t>
      </w:r>
      <w:r w:rsidRPr="00AD33E8">
        <w:t>en i staten ett viktigt mål och motiv. Man började bygga upp en struktur för att arbeta med avvecklingar och omplaceringar. Denna del av personalpolit</w:t>
      </w:r>
      <w:r w:rsidRPr="00AD33E8">
        <w:t>i</w:t>
      </w:r>
      <w:r w:rsidRPr="00AD33E8">
        <w:t xml:space="preserve">ken fick prövas i verkligheten under 1990-talet. </w:t>
      </w:r>
      <w:r w:rsidRPr="00AD33E8">
        <w:rPr>
          <w:i/>
        </w:rPr>
        <w:t>”Det blodiga 1990-talet”</w:t>
      </w:r>
      <w:r w:rsidRPr="00AD33E8">
        <w:t xml:space="preserve">, så sammanfattar en myndighetschef personalpolitiken under det förra decenniet, då den statliga finansieringskrisen och de växande budgetunderskotten skulle hanteras. En annan myndighetschef säger: </w:t>
      </w:r>
      <w:r w:rsidRPr="00AD33E8">
        <w:rPr>
          <w:i/>
        </w:rPr>
        <w:t>”Jag har lett tre stora persona</w:t>
      </w:r>
      <w:r w:rsidRPr="00AD33E8">
        <w:rPr>
          <w:i/>
        </w:rPr>
        <w:t>l</w:t>
      </w:r>
      <w:r w:rsidRPr="00AD33E8">
        <w:rPr>
          <w:i/>
        </w:rPr>
        <w:t>neddragningar och jag har sagt mig att en till gör jag i</w:t>
      </w:r>
      <w:r w:rsidRPr="00AD33E8">
        <w:rPr>
          <w:i/>
        </w:rPr>
        <w:t>nte om”</w:t>
      </w:r>
      <w:r w:rsidRPr="00AD33E8">
        <w:t xml:space="preserve">. </w:t>
      </w:r>
    </w:p>
    <w:p w:rsidR="007B7A21" w:rsidRPr="00AD33E8" w:rsidRDefault="007B7A21">
      <w:pPr>
        <w:pStyle w:val="Normaltindrag"/>
      </w:pPr>
      <w:r w:rsidRPr="00AD33E8">
        <w:t>Inledningsvis ska nämnas att det fanns skillnader i kraven på neddragnin</w:t>
      </w:r>
      <w:r w:rsidRPr="00AD33E8">
        <w:t>g</w:t>
      </w:r>
      <w:r w:rsidRPr="00AD33E8">
        <w:t>ar för de besökta verksamheterna. Arbetsmarknadsverket hade en nyckel</w:t>
      </w:r>
      <w:r w:rsidRPr="00AD33E8">
        <w:softHyphen/>
        <w:t>roll i krisbekämpning och fick sina neddragningskrav successivt uppskjutna och slutligen återkallade. Dock menar ledande företrädare för arbetsmarknad</w:t>
      </w:r>
      <w:r w:rsidRPr="00AD33E8">
        <w:t>s</w:t>
      </w:r>
      <w:r w:rsidRPr="00AD33E8">
        <w:t>verksamheten att man fick ta ett för stort ansvar. Styrelsen för Försäkring</w:t>
      </w:r>
      <w:r w:rsidRPr="00AD33E8">
        <w:t>s</w:t>
      </w:r>
      <w:r w:rsidRPr="00AD33E8">
        <w:t>kassan i Uppsala län fattade ett principbeslut om att i det längsta undvika att säga upp personal, men aktivt arbeta med omplaceringar. Med den föresatsen lyckades man.</w:t>
      </w:r>
    </w:p>
    <w:p w:rsidR="007B7A21" w:rsidRPr="00AD33E8" w:rsidRDefault="007B7A21">
      <w:pPr>
        <w:pStyle w:val="Normaltindrag"/>
      </w:pPr>
      <w:r w:rsidRPr="00AD33E8">
        <w:t>Vad gäller de personalavvecklingar som genomf</w:t>
      </w:r>
      <w:r w:rsidRPr="00AD33E8">
        <w:t>örts framträder i intervj</w:t>
      </w:r>
      <w:r w:rsidRPr="00AD33E8">
        <w:t>u</w:t>
      </w:r>
      <w:r w:rsidRPr="00AD33E8">
        <w:t>erna relativt samstämmiga men komplexa bilder. Beträffande genomförandet finns en positiv bedömning. Beträffande konsekvenserna för de medarbetare som drabbats är omdömena blandade, men det finns flera positiva inslag. För verksamheten och dess resultat är bilden mer negativ. Beträffande bakgru</w:t>
      </w:r>
      <w:r w:rsidRPr="00AD33E8">
        <w:t>n</w:t>
      </w:r>
      <w:r w:rsidRPr="00AD33E8">
        <w:t>den till neddragningarna redovisas i samtalen flera pe</w:t>
      </w:r>
      <w:r w:rsidRPr="00AD33E8">
        <w:t>r</w:t>
      </w:r>
      <w:r w:rsidRPr="00AD33E8">
        <w:t xml:space="preserve">spektiv. </w:t>
      </w:r>
    </w:p>
    <w:p w:rsidR="007B7A21" w:rsidRPr="00AD33E8" w:rsidRDefault="007B7A21">
      <w:pPr>
        <w:pStyle w:val="Normaltindrag"/>
      </w:pPr>
      <w:r w:rsidRPr="00AD33E8">
        <w:t>Staten har som arbetsgivare i genomförandet skött sig, om inte föredö</w:t>
      </w:r>
      <w:r w:rsidRPr="00AD33E8">
        <w:t>m</w:t>
      </w:r>
      <w:r w:rsidRPr="00AD33E8">
        <w:t>ligt, så dock ”inte utan beröm godkänt”. Den bild som ges, även av personer som antingen sagts upp eller varslats, är att de statliga arbetsgivarna i de flesta fall visat omsorg i dessa svåra frågor. Myndigheternas ledningar har ägnat mycket tid åt att hitta bra och lämpliga lösningar för personal som bedömts övertalig. Frågorna har haft högsta prioritet. Flera medarbetare fick chanser till nya anställningar som visat sig bli lyckade. Det finns flera exe</w:t>
      </w:r>
      <w:r w:rsidRPr="00AD33E8">
        <w:t>m</w:t>
      </w:r>
      <w:r w:rsidRPr="00AD33E8">
        <w:t xml:space="preserve">pel på personer som varslats och därefter erbjudits </w:t>
      </w:r>
      <w:r w:rsidRPr="00AD33E8">
        <w:t xml:space="preserve">lockande möjligheter och som blivit besvikna när bättre budgetläge gjort att varslen dragits tillbaka. Det finns samtidigt vittnesmål om att flera medarbetare farit illa. För det lastas dock i första hand inte den egna organisationen. </w:t>
      </w:r>
    </w:p>
    <w:p w:rsidR="007B7A21" w:rsidRPr="00AD33E8" w:rsidRDefault="007B7A21">
      <w:pPr>
        <w:pStyle w:val="Normaltindrag"/>
      </w:pPr>
      <w:r w:rsidRPr="00AD33E8">
        <w:t>När det gäller verksamheten och dess resultat är bilden mer negativ. Den ordinarie verksamheten prioriterades i praktiken ner för att man skulle kunna genomföra neddragningarna. En myndighetschef hävdar att resultatet påve</w:t>
      </w:r>
      <w:r w:rsidRPr="00AD33E8">
        <w:t>r</w:t>
      </w:r>
      <w:r w:rsidRPr="00AD33E8">
        <w:t xml:space="preserve">kades negativt under denna period. Ledningen fick som flera chefer beskrivit det: </w:t>
      </w:r>
      <w:r w:rsidRPr="00AD33E8">
        <w:rPr>
          <w:i/>
        </w:rPr>
        <w:t>”mer titta inåt än utåt och framåt”.</w:t>
      </w:r>
      <w:r w:rsidRPr="00AD33E8">
        <w:t xml:space="preserve"> Den personal som ”blev kvar” i verksamheten var inte opåverkad. Man miste kära arbetskamrater, man fick arbeta hårdare och ta på sig fler uppgifter för att hålla verksamheten flytande. En del fick samvetskval för att just de ”klarat sig”.</w:t>
      </w:r>
    </w:p>
    <w:p w:rsidR="007B7A21" w:rsidRPr="00AD33E8" w:rsidRDefault="007B7A21">
      <w:pPr>
        <w:pStyle w:val="Normaltindrag"/>
      </w:pPr>
      <w:r w:rsidRPr="00AD33E8">
        <w:t>Det har i intervjuerna redovisats bedömningar om hur långt avvecklingarna kunnat motiveras ur verksamhetssynpunkt. Visst rationaliseringsutrymme fanns in</w:t>
      </w:r>
      <w:r w:rsidRPr="00AD33E8">
        <w:t>om ramen för givna resurser. Men möjligheterna till de enkla och kortsiktiga insatserna för effektivisering kan ha överskattats. Osäkra eller grova mätmetoder kan ha bidragit till detta. En hel del vardagsrationalise</w:t>
      </w:r>
      <w:r w:rsidRPr="00AD33E8">
        <w:t>r</w:t>
      </w:r>
      <w:r w:rsidRPr="00AD33E8">
        <w:t>ingar hade redan genomförts under 1980-talet. I många fall var rationalise</w:t>
      </w:r>
      <w:r w:rsidRPr="00AD33E8">
        <w:t>r</w:t>
      </w:r>
      <w:r w:rsidRPr="00AD33E8">
        <w:t>ingspotentialen mer långsiktig och förknippad med åtgärder av investering</w:t>
      </w:r>
      <w:r w:rsidRPr="00AD33E8">
        <w:t>s</w:t>
      </w:r>
      <w:r w:rsidRPr="00AD33E8">
        <w:t>karaktär. Neddragningarna kom därför att ”finansieras” med ökad arbetsi</w:t>
      </w:r>
      <w:r w:rsidRPr="00AD33E8">
        <w:t>n</w:t>
      </w:r>
      <w:r w:rsidRPr="00AD33E8">
        <w:t>tensitet i en utsträckning som av de flesta intervjuade inte ses som långs</w:t>
      </w:r>
      <w:r w:rsidRPr="00AD33E8">
        <w:t xml:space="preserve">iktigt hållbar. Däremot anser de som diskuterat detta </w:t>
      </w:r>
      <w:r w:rsidRPr="00AD33E8">
        <w:rPr>
          <w:i/>
        </w:rPr>
        <w:t>inte</w:t>
      </w:r>
      <w:r w:rsidRPr="00AD33E8">
        <w:t xml:space="preserve"> att neddragningarna var tveksamma bara för att de i vissa fall motiverats med ett överskattat ration</w:t>
      </w:r>
      <w:r w:rsidRPr="00AD33E8">
        <w:t>a</w:t>
      </w:r>
      <w:r w:rsidRPr="00AD33E8">
        <w:t>liseringsutrymme. Den akuta budgetkrisen var i sig skäl nog för att motivera åtgärderna. Det finns på många håll en stolthet över att man varit med och klarat krisen. Vad man efterlyser är tydligare besked från statsmakterna om vilka prioriteringar som ska göras och vilka avvägningar mellan kvalitet och kostnad som är öns</w:t>
      </w:r>
      <w:r w:rsidRPr="00AD33E8">
        <w:t>k</w:t>
      </w:r>
      <w:r w:rsidRPr="00AD33E8">
        <w:t>värda.</w:t>
      </w:r>
    </w:p>
    <w:p w:rsidR="007B7A21" w:rsidRPr="00AD33E8" w:rsidRDefault="007B7A21">
      <w:pPr>
        <w:pStyle w:val="Rubrik3"/>
        <w:numPr>
          <w:ilvl w:val="2"/>
          <w:numId w:val="0"/>
        </w:numPr>
        <w:tabs>
          <w:tab w:val="num" w:pos="360"/>
        </w:tabs>
        <w:ind w:left="360" w:hanging="360"/>
      </w:pPr>
      <w:bookmarkStart w:id="328" w:name="_Toc536240559"/>
      <w:bookmarkStart w:id="329" w:name="_Toc3887438"/>
      <w:bookmarkStart w:id="330" w:name="_Toc21425351"/>
      <w:r w:rsidRPr="00AD33E8">
        <w:t>Kompetensutveckling</w:t>
      </w:r>
      <w:bookmarkEnd w:id="328"/>
      <w:bookmarkEnd w:id="329"/>
      <w:bookmarkEnd w:id="330"/>
      <w:r w:rsidRPr="00AD33E8">
        <w:t xml:space="preserve"> </w:t>
      </w:r>
    </w:p>
    <w:p w:rsidR="007B7A21" w:rsidRPr="00AD33E8" w:rsidRDefault="007B7A21">
      <w:r w:rsidRPr="00AD33E8">
        <w:t>Samtliga besökta verksamheter redovisar ambitiösa kompetensutveckling</w:t>
      </w:r>
      <w:r w:rsidRPr="00AD33E8">
        <w:t>s</w:t>
      </w:r>
      <w:r w:rsidRPr="00AD33E8">
        <w:t>program. De är i dag en prioriterad fråga för ledningarna. Det finns två g</w:t>
      </w:r>
      <w:r w:rsidRPr="00AD33E8">
        <w:t>e</w:t>
      </w:r>
      <w:r w:rsidRPr="00AD33E8">
        <w:t>mensamma nämnare: att de är av sent datum och att de har ett helhetsper-spektiv.</w:t>
      </w:r>
    </w:p>
    <w:p w:rsidR="007B7A21" w:rsidRPr="00AD33E8" w:rsidRDefault="007B7A21">
      <w:pPr>
        <w:pStyle w:val="Normaltindrag"/>
      </w:pPr>
      <w:r w:rsidRPr="00AD33E8">
        <w:t>Det finns ett samband mellan den verklighet som redovisades i föregående avsnitt och den relativt sena initieringen av kompetensutvecklingsprogram. De ambitiösa program som utvecklades under sent 1980-tal fick i praktiken ställas undan under 1990-talets neddragningar. De blev nedprioriterade, i vissa fall var de allmänt hållna och mindre användbara. Til</w:t>
      </w:r>
      <w:r w:rsidRPr="00AD33E8">
        <w:t>l stor del var det konsultprodukter, mer standardiserade än verksamhetsanpassade, enligt några av de intervjuade. Nu när många akuta omställningar är genomförda vidtar ett mer systematiskt och erfarenhetsbaserat förändringsarbete, där personalens kompetens och kunnande står i centrum. Krisåren har gett a</w:t>
      </w:r>
      <w:r w:rsidRPr="00AD33E8">
        <w:t>v</w:t>
      </w:r>
      <w:r w:rsidRPr="00AD33E8">
        <w:t>kastning i form av bättre kunskap om behov och insikt om reella utmaningar.</w:t>
      </w:r>
    </w:p>
    <w:p w:rsidR="007B7A21" w:rsidRPr="00AD33E8" w:rsidRDefault="007B7A21">
      <w:pPr>
        <w:pStyle w:val="Normaltindrag"/>
      </w:pPr>
      <w:r w:rsidRPr="00AD33E8">
        <w:t>De program som utvecklas och genomförs inom de besökta verksamhete</w:t>
      </w:r>
      <w:r w:rsidRPr="00AD33E8">
        <w:t>r</w:t>
      </w:r>
      <w:r w:rsidRPr="00AD33E8">
        <w:t>na är i hög grad resultat av lokalt arbete. De är därför olika i upplägget. Det finns dock flera gemensamma drag. Ett är helhetsbilden, personalens ko</w:t>
      </w:r>
      <w:r w:rsidRPr="00AD33E8">
        <w:t>m</w:t>
      </w:r>
      <w:r w:rsidRPr="00AD33E8">
        <w:t>petens ses inte som ett arbetstagarintresse, som personalvård, utan som en förutsättning för genomförande av statsmakternas beslut och politik. På en myndighet anknyter man till det brittiska Investors in People. Programmen är individuellt inriktade, man kartlägger personalens behov genom t.ex. ”jobb</w:t>
      </w:r>
      <w:r w:rsidRPr="00AD33E8">
        <w:softHyphen/>
        <w:t>profiler”. Man tänker i förändring och karriärer. ”Möjligh</w:t>
      </w:r>
      <w:r w:rsidRPr="00AD33E8">
        <w:t>eternas arbetsplats” är ett motto för en av myndigheterna som blivit mer än en etikett. Det finns kopplingar mellan den allmänna kompetensutvecklingen och chefsförsör</w:t>
      </w:r>
      <w:r w:rsidRPr="00AD33E8">
        <w:t>j</w:t>
      </w:r>
      <w:r w:rsidRPr="00AD33E8">
        <w:t>ningen. Man har program med breda urval för medarbetare som önskar u</w:t>
      </w:r>
      <w:r w:rsidRPr="00AD33E8">
        <w:t>t</w:t>
      </w:r>
      <w:r w:rsidRPr="00AD33E8">
        <w:t xml:space="preserve">veckla sig till chefer eller göra s.k. expertkarriär. Genom att skapa ett internt ”utbud” av potentiella chefer och genom att skapa expertfunktioner försöker man lösa problemen med chefsrörlighet. Som tidigare nämnts anser flera att svårigheterna att förbättra rörligheten på </w:t>
      </w:r>
      <w:r w:rsidRPr="00AD33E8">
        <w:t>chefsposter inte i första hand beror på bristande vilja. Det är fråga om reella problem när det gäller dels att finna lämpliga chefer, dels att hitta meningsfulla arbetsuppgifter för den som a</w:t>
      </w:r>
      <w:r w:rsidRPr="00AD33E8">
        <w:t>v</w:t>
      </w:r>
      <w:r w:rsidRPr="00AD33E8">
        <w:t>slutar ett chefsförordnande. En annan fråga som ställs i sammanhanget, som behandlas nedan i avsnitt 5.5, är att rörlighet för chefer lika lite som för övrig personal har ett egenvärde. En bra och fungerande chef vill de flesta behålla så länge det går.</w:t>
      </w:r>
    </w:p>
    <w:p w:rsidR="007B7A21" w:rsidRPr="00AD33E8" w:rsidRDefault="007B7A21">
      <w:pPr>
        <w:pStyle w:val="Normaltindrag"/>
      </w:pPr>
      <w:r w:rsidRPr="00AD33E8">
        <w:t>I programmen för kompetensutveckling ingår också moment för utvec</w:t>
      </w:r>
      <w:r w:rsidRPr="00AD33E8">
        <w:t>k</w:t>
      </w:r>
      <w:r w:rsidRPr="00AD33E8">
        <w:t>ling av kunnigheten i olika arbetsuppgifter. Det är t.ex. fråga om datakörkort eller EU-kun</w:t>
      </w:r>
      <w:r w:rsidRPr="00AD33E8">
        <w:softHyphen/>
        <w:t>skap. Samarbetet med fors</w:t>
      </w:r>
      <w:r w:rsidRPr="00AD33E8">
        <w:t>k</w:t>
      </w:r>
      <w:r w:rsidRPr="00AD33E8">
        <w:t xml:space="preserve">ningen inom sakområdet ökar. </w:t>
      </w:r>
    </w:p>
    <w:p w:rsidR="007B7A21" w:rsidRPr="00AD33E8" w:rsidRDefault="007B7A21">
      <w:pPr>
        <w:pStyle w:val="Normaltindrag"/>
      </w:pPr>
      <w:r w:rsidRPr="00AD33E8">
        <w:t xml:space="preserve">Ett annat perspektiv på kompetensutveckling ger en relativt ny kontorschef som rekryterats externt. Det gäller inte bara att söka och finna ny kompetens. Det gäller att erkänna och utnyttja den kompetens som finns. </w:t>
      </w:r>
      <w:r w:rsidRPr="00AD33E8">
        <w:rPr>
          <w:i/>
        </w:rPr>
        <w:t>”Jag blev fö</w:t>
      </w:r>
      <w:r w:rsidRPr="00AD33E8">
        <w:rPr>
          <w:i/>
        </w:rPr>
        <w:t>r</w:t>
      </w:r>
      <w:r w:rsidRPr="00AD33E8">
        <w:rPr>
          <w:i/>
        </w:rPr>
        <w:t>vånad över hur duktiga och kunniga man var här på förmedlingen. Det var några som kom tillbaka efter en sväng på den privata sidan därför att vi var så duktiga här. Vår personal måste ha högre svansföring, känna stolthet.”</w:t>
      </w:r>
      <w:r w:rsidRPr="00AD33E8">
        <w:t xml:space="preserve"> </w:t>
      </w:r>
    </w:p>
    <w:p w:rsidR="007B7A21" w:rsidRPr="00AD33E8" w:rsidRDefault="007B7A21">
      <w:pPr>
        <w:pStyle w:val="Rubrik3"/>
        <w:numPr>
          <w:ilvl w:val="2"/>
          <w:numId w:val="0"/>
        </w:numPr>
        <w:tabs>
          <w:tab w:val="num" w:pos="360"/>
        </w:tabs>
        <w:ind w:left="360" w:hanging="360"/>
      </w:pPr>
      <w:bookmarkStart w:id="331" w:name="_Toc536240560"/>
      <w:bookmarkStart w:id="332" w:name="_Toc3887439"/>
      <w:bookmarkStart w:id="333" w:name="_Toc21425352"/>
      <w:r w:rsidRPr="00AD33E8">
        <w:t>Rekrytering</w:t>
      </w:r>
      <w:bookmarkEnd w:id="331"/>
      <w:bookmarkEnd w:id="332"/>
      <w:bookmarkEnd w:id="333"/>
    </w:p>
    <w:p w:rsidR="007B7A21" w:rsidRPr="00AD33E8" w:rsidRDefault="007B7A21">
      <w:r w:rsidRPr="00AD33E8">
        <w:rPr>
          <w:i/>
        </w:rPr>
        <w:t>”Det första direktören frågade i anställningsintervjun var vad jag skulle göra när jag inte var chef längre”.</w:t>
      </w:r>
      <w:r w:rsidRPr="00AD33E8">
        <w:t xml:space="preserve"> Den intervjuade har just sökt ett av de nya regionchefsjobben i den nya myndigheten. Hon blir förvånad när my</w:t>
      </w:r>
      <w:r w:rsidRPr="00AD33E8">
        <w:t>n</w:t>
      </w:r>
      <w:r w:rsidRPr="00AD33E8">
        <w:t xml:space="preserve">dighetschefen i anställningsintervjun frågar vad hon ska göra när hon slutar den anställning hon sökt men ännu inte fått. </w:t>
      </w:r>
      <w:r w:rsidRPr="00AD33E8">
        <w:rPr>
          <w:i/>
        </w:rPr>
        <w:t>”För skulle man börja i bilen, och vara där minst fem år, nu börjar man specialisera sig kanske efter två år. Sedan är det inte säkert att man stannar inom polisen”.</w:t>
      </w:r>
      <w:r w:rsidRPr="00AD33E8">
        <w:t xml:space="preserve"> Det är en polis som gått den långa vägen som berättar. I intervjuerna tecknas bilden av en ökad rörlighet som bli</w:t>
      </w:r>
      <w:r w:rsidRPr="00AD33E8">
        <w:t>vit en viktig förutsättning redan vid rekryt</w:t>
      </w:r>
      <w:r w:rsidRPr="00AD33E8">
        <w:t>e</w:t>
      </w:r>
      <w:r w:rsidRPr="00AD33E8">
        <w:t>ringen.</w:t>
      </w:r>
    </w:p>
    <w:p w:rsidR="007B7A21" w:rsidRPr="00AD33E8" w:rsidRDefault="007B7A21">
      <w:pPr>
        <w:pStyle w:val="Normaltindrag"/>
      </w:pPr>
      <w:r w:rsidRPr="00AD33E8">
        <w:t>Rekryteringsarbetet är enligt samstämmiga svar ett av de mest centrala om</w:t>
      </w:r>
      <w:r w:rsidRPr="00AD33E8">
        <w:softHyphen/>
        <w:t xml:space="preserve">rådena för den statliga personalpolitiken. Det finns där stora samband med utvecklingen under 1990-talet, såväl inom statsförvaltningen som i samhället. Den önskade rörligheten har uppnåtts, åtminstone i yngre grupper. </w:t>
      </w:r>
      <w:r w:rsidRPr="00AD33E8">
        <w:rPr>
          <w:i/>
        </w:rPr>
        <w:t>”Statens kaka är fortfarande liten men inte längre säker”</w:t>
      </w:r>
      <w:r w:rsidRPr="00AD33E8">
        <w:t xml:space="preserve"> säger en av de nyare anställda i intervjun. Det är svårt att behålla unga nyanställda inom de besökta verksamheterna. Det medverkar till den ålderspyramid som genom utvecklingen under 1990-talet har hög andel äldre. </w:t>
      </w:r>
    </w:p>
    <w:p w:rsidR="007B7A21" w:rsidRPr="00AD33E8" w:rsidRDefault="007B7A21">
      <w:pPr>
        <w:pStyle w:val="Normaltindrag"/>
      </w:pPr>
      <w:r w:rsidRPr="00AD33E8">
        <w:t>Rekryteringsprobl</w:t>
      </w:r>
      <w:r w:rsidRPr="00AD33E8">
        <w:t>emet i staten är dubbelt. Svårigheterna att rekrytera, konkurrera om arbetskraften, är stora och kommer att bli större. Därtill finns ett alltmer akut behov av att ersätta personal vid de stora personalavgångar som förestår. Det talas om 2010-problemet.</w:t>
      </w:r>
    </w:p>
    <w:p w:rsidR="007B7A21" w:rsidRPr="00AD33E8" w:rsidRDefault="007B7A21">
      <w:pPr>
        <w:pStyle w:val="Normaltindrag"/>
      </w:pPr>
      <w:r w:rsidRPr="00AD33E8">
        <w:t>En fråga i sammanhanget har att göra med introduktionen av nyanställda. I den komplexa och mycket erfarenhetsbaserade verksamhet som här studerats är handledningen en viktig faktor. Erfarna medarbetare arbetar systematiskt med att lära upp de nyanställda. De</w:t>
      </w:r>
      <w:r w:rsidRPr="00AD33E8">
        <w:t>tta arbete försvåras när bemanningen minskar och arbetsbelastningen ökar. De personer som i dag är bäst skickade att vägleda och handleda är samtidigt de som tar ett stort ansvar för att hålla uppe produktionen. Handledningen kräver för att den ska fungera att resurser avsätts. En förklaring, som ges i intervjuerna, till svårigheterna att behålla nyanställda är just svårigheten att i det trängda budgetläget skapa utrymme för handledning.</w:t>
      </w:r>
    </w:p>
    <w:p w:rsidR="007B7A21" w:rsidRPr="00AD33E8" w:rsidRDefault="007B7A21">
      <w:pPr>
        <w:pStyle w:val="Normaltindrag"/>
      </w:pPr>
      <w:r w:rsidRPr="00AD33E8">
        <w:t xml:space="preserve">Ett särskilt rekryteringsproblem finns för närvarande inom polisen. I </w:t>
      </w:r>
      <w:r w:rsidRPr="00AD33E8">
        <w:t>sa</w:t>
      </w:r>
      <w:r w:rsidRPr="00AD33E8">
        <w:t>m</w:t>
      </w:r>
      <w:r w:rsidRPr="00AD33E8">
        <w:t xml:space="preserve">band med budgetsaneringen under tidigt 1990-tal stängdes intagningen till Polishögskolan under några år. Det har därefter varit svårare att rekrytera poliser. Det finns färre poliser att rekrytera. </w:t>
      </w:r>
    </w:p>
    <w:p w:rsidR="007B7A21" w:rsidRPr="00AD33E8" w:rsidRDefault="007B7A21">
      <w:pPr>
        <w:pStyle w:val="Normaltindrag"/>
      </w:pPr>
      <w:r w:rsidRPr="00AD33E8">
        <w:t>Under 1990-talet vändes en hel del perspektiv. Det framgår tydligt vid i</w:t>
      </w:r>
      <w:r w:rsidRPr="00AD33E8">
        <w:t>n</w:t>
      </w:r>
      <w:r w:rsidRPr="00AD33E8">
        <w:t>tervjuerna. Ett exempel är det man kan kalla den personalpolitiska cykeln. Där är det naturligt att det börjar med rekrytering, som sedan följs av pers</w:t>
      </w:r>
      <w:r w:rsidRPr="00AD33E8">
        <w:t>o</w:t>
      </w:r>
      <w:r w:rsidRPr="00AD33E8">
        <w:t>nalutveckling och sedan av avgång, ofta i okomplicerade former. Traditi</w:t>
      </w:r>
      <w:r w:rsidRPr="00AD33E8">
        <w:t>o</w:t>
      </w:r>
      <w:r w:rsidRPr="00AD33E8">
        <w:t>nellt sett låg tyngdpunkten i personalpolitiken på de inledande stegen, rekr</w:t>
      </w:r>
      <w:r w:rsidRPr="00AD33E8">
        <w:t>y</w:t>
      </w:r>
      <w:r w:rsidRPr="00AD33E8">
        <w:t>tering och introduktion. Under 1980-talet började mellansteget kompetensu</w:t>
      </w:r>
      <w:r w:rsidRPr="00AD33E8">
        <w:t>t</w:t>
      </w:r>
      <w:r w:rsidRPr="00AD33E8">
        <w:t>veckling att  uppmärksammas. Under 1990-talet skedde nästan en tvärvän</w:t>
      </w:r>
      <w:r w:rsidRPr="00AD33E8">
        <w:t>d</w:t>
      </w:r>
      <w:r w:rsidRPr="00AD33E8">
        <w:t>ning. Avveckling blev högprioriterat och personalutveckling och r</w:t>
      </w:r>
      <w:r w:rsidRPr="00AD33E8">
        <w:t>ekrytering eftersatt. Nu står verksamheterna inför en ny vändning, en återgång till den traditionella cykeln. Beredskapen för detta är stor i de studerade förvaltnin</w:t>
      </w:r>
      <w:r w:rsidRPr="00AD33E8">
        <w:t>g</w:t>
      </w:r>
      <w:r w:rsidRPr="00AD33E8">
        <w:t>arna. En viktig faktor för framgång är, enligt en allmän bedömning, att dessa nya förutsättningar vägs in i budgetverksamheten. Man efterlyser en helhet</w:t>
      </w:r>
      <w:r w:rsidRPr="00AD33E8">
        <w:t>s</w:t>
      </w:r>
      <w:r w:rsidRPr="00AD33E8">
        <w:t>syn på förvaltningspolitiken där ett ”normallägets” perspektiv råder. I detta sammanhang påpekar några intervjuade vikten av en riktig orsaksanalys. Den minskade rekryteringen och den därmed äl</w:t>
      </w:r>
      <w:r w:rsidRPr="00AD33E8">
        <w:t>dre åldersstrukturen beror inte på misslyckad eller eftersatt planering. Orsaken är medveten nedprioritering i ett budgetmässigt krisläge.</w:t>
      </w:r>
    </w:p>
    <w:p w:rsidR="007B7A21" w:rsidRPr="00AD33E8" w:rsidRDefault="007B7A21">
      <w:pPr>
        <w:pStyle w:val="Rubrik2"/>
      </w:pPr>
      <w:r w:rsidRPr="00AD33E8">
        <w:t xml:space="preserve"> </w:t>
      </w:r>
      <w:bookmarkStart w:id="334" w:name="_Toc536240561"/>
      <w:bookmarkStart w:id="335" w:name="_Toc3887440"/>
      <w:bookmarkStart w:id="336" w:name="_Toc21425353"/>
      <w:r w:rsidRPr="00AD33E8">
        <w:t>Delegering och effektivisering</w:t>
      </w:r>
      <w:bookmarkEnd w:id="334"/>
      <w:bookmarkEnd w:id="335"/>
      <w:bookmarkEnd w:id="336"/>
    </w:p>
    <w:p w:rsidR="007B7A21" w:rsidRPr="00AD33E8" w:rsidRDefault="007B7A21">
      <w:r w:rsidRPr="00AD33E8">
        <w:t>Det framgår ofta vid intervjuerna att personalpolitiken, även om man är klar på vad den omfattar, inte kan isoleras från vare sig sakpolitik eller övrig förvaltningspolitik, då särskilt budgetpolitiken. Sambandet mellan persona</w:t>
      </w:r>
      <w:r w:rsidRPr="00AD33E8">
        <w:t>l</w:t>
      </w:r>
      <w:r w:rsidRPr="00AD33E8">
        <w:t>politiken och budgetpolitiken är dubbelt. Det är tjänstemännens arbete som skapar värdena i den statliga förvaltningen. Lönerna är en stor post i statens utgifter och kostnader. Därtill kommer att personalpolitiken i det persona</w:t>
      </w:r>
      <w:r w:rsidRPr="00AD33E8">
        <w:t>l</w:t>
      </w:r>
      <w:r w:rsidRPr="00AD33E8">
        <w:t>pol</w:t>
      </w:r>
      <w:r w:rsidRPr="00AD33E8">
        <w:t>i</w:t>
      </w:r>
      <w:r w:rsidRPr="00AD33E8">
        <w:t xml:space="preserve">tiska beslutet getts ett uppdrag att fungera för effektivisering. </w:t>
      </w:r>
    </w:p>
    <w:p w:rsidR="007B7A21" w:rsidRPr="00AD33E8" w:rsidRDefault="007B7A21">
      <w:pPr>
        <w:pStyle w:val="Rubrik3"/>
        <w:numPr>
          <w:ilvl w:val="2"/>
          <w:numId w:val="0"/>
        </w:numPr>
        <w:tabs>
          <w:tab w:val="num" w:pos="360"/>
        </w:tabs>
        <w:ind w:left="360" w:hanging="360"/>
      </w:pPr>
      <w:bookmarkStart w:id="337" w:name="_Toc536240562"/>
      <w:bookmarkStart w:id="338" w:name="_Toc3887441"/>
      <w:bookmarkStart w:id="339" w:name="_Toc21425354"/>
      <w:r w:rsidRPr="00AD33E8">
        <w:t>Långtgående delegering och ledarskapets utveckling</w:t>
      </w:r>
      <w:bookmarkEnd w:id="337"/>
      <w:bookmarkEnd w:id="338"/>
      <w:bookmarkEnd w:id="339"/>
    </w:p>
    <w:p w:rsidR="007B7A21" w:rsidRPr="00AD33E8" w:rsidRDefault="007B7A21">
      <w:r w:rsidRPr="00AD33E8">
        <w:t>Det var två inslag i det personalpolitiska beslutet som gavs särskild betydelse för målet att effektivisera statsförvaltningen, del</w:t>
      </w:r>
      <w:r w:rsidRPr="00AD33E8">
        <w:t>e</w:t>
      </w:r>
      <w:r w:rsidRPr="00AD33E8">
        <w:t>gering och betoning av le</w:t>
      </w:r>
      <w:r w:rsidRPr="00AD33E8">
        <w:softHyphen/>
        <w:t>dar</w:t>
      </w:r>
      <w:r w:rsidRPr="00AD33E8">
        <w:softHyphen/>
        <w:t xml:space="preserve">skapsfrågor. Mellan dessa två finns flera samband. För högre effektivitet är den arbetsgivarpolitiska delegeringen en nödvändig, men inte tillräcklig förutsättning. Avgörande för framgång är, enligt många intervjuade, att de som utses till chefer är både kompetenta och medvetna om att deras position i statsförvaltningen principiellt skiljer dem från arbetsgivare inom privat sektor. </w:t>
      </w:r>
    </w:p>
    <w:p w:rsidR="007B7A21" w:rsidRPr="00AD33E8" w:rsidRDefault="007B7A21">
      <w:pPr>
        <w:pStyle w:val="Normaltindrag"/>
      </w:pPr>
      <w:r w:rsidRPr="00AD33E8">
        <w:t>När det först gäller hur man som statlig arbetsgivare uppfattar sig görs i några intervjuer ref</w:t>
      </w:r>
      <w:r w:rsidRPr="00AD33E8">
        <w:t>lexionen att här har en viss förändring ägt rum. De första åren efter reformerna 1985 fanns, enligt några samtal, en risk för att verk</w:t>
      </w:r>
      <w:r w:rsidRPr="00AD33E8">
        <w:t>s</w:t>
      </w:r>
      <w:r w:rsidRPr="00AD33E8">
        <w:t>chefer ville efterlikna det som uppfattades vara verklighet på den privata sidan. Den statliga arbetsgivaren skulle med delegeringen få långtgående befogenheter som också var rättigheter. Eftersom resultatstyrningen ännu inte utvecklats, var de konkreta skyldigheterna ännu otydliga. Verksamh</w:t>
      </w:r>
      <w:r w:rsidRPr="00AD33E8">
        <w:t>e</w:t>
      </w:r>
      <w:r w:rsidRPr="00AD33E8">
        <w:t>tens prestationskrav hade inte operationaliserats. I ett uttalande görs med ordet ”f</w:t>
      </w:r>
      <w:r w:rsidRPr="00AD33E8">
        <w:t>örläning” en koppling till det feodala samhället. Två förhållanden förändrade förutsättningarna för en sådan utveckling. Årsredovisningarna som infördes budgetåret 1991/92 skulle innehålla redovisning av verksa</w:t>
      </w:r>
      <w:r w:rsidRPr="00AD33E8">
        <w:t>m</w:t>
      </w:r>
      <w:r w:rsidRPr="00AD33E8">
        <w:t xml:space="preserve">hetens prestationer. Kravet var att resultaten skulle motsvara de mål som satts för verksamheten. </w:t>
      </w:r>
      <w:r w:rsidRPr="00AD33E8">
        <w:rPr>
          <w:i/>
        </w:rPr>
        <w:t>”Vi är hårt målstyrda av den centrala myndigheten och departementet”</w:t>
      </w:r>
      <w:r w:rsidRPr="00AD33E8">
        <w:t xml:space="preserve"> säger en myndighetschef. Budgetprocessens uppstra</w:t>
      </w:r>
      <w:r w:rsidRPr="00AD33E8">
        <w:t>m</w:t>
      </w:r>
      <w:r w:rsidRPr="00AD33E8">
        <w:t>ning, besparingsprogrammen och personalneddragningarna under 1990-talet var en annan</w:t>
      </w:r>
      <w:r w:rsidRPr="00AD33E8">
        <w:t xml:space="preserve"> faktor som verkade för enhetlighet och inordning i statsförval</w:t>
      </w:r>
      <w:r w:rsidRPr="00AD33E8">
        <w:t>t</w:t>
      </w:r>
      <w:r w:rsidRPr="00AD33E8">
        <w:t>ningen. En myndighetschef säger: ”</w:t>
      </w:r>
      <w:r w:rsidRPr="00AD33E8">
        <w:rPr>
          <w:i/>
        </w:rPr>
        <w:t>Vår budget på nästan en halv miljard ska träffa rätt på kr</w:t>
      </w:r>
      <w:r w:rsidRPr="00AD33E8">
        <w:rPr>
          <w:i/>
        </w:rPr>
        <w:t>o</w:t>
      </w:r>
      <w:r w:rsidRPr="00AD33E8">
        <w:rPr>
          <w:i/>
        </w:rPr>
        <w:t>nan”</w:t>
      </w:r>
      <w:r w:rsidRPr="00AD33E8">
        <w:t>.</w:t>
      </w:r>
    </w:p>
    <w:p w:rsidR="007B7A21" w:rsidRPr="00AD33E8" w:rsidRDefault="007B7A21">
      <w:pPr>
        <w:pStyle w:val="Normaltindrag"/>
      </w:pPr>
      <w:r w:rsidRPr="00AD33E8">
        <w:t xml:space="preserve">Chefernas kompetens för att utnyttja delegeringen är enligt de intervjuades bedömningar central. </w:t>
      </w:r>
      <w:r w:rsidRPr="00AD33E8">
        <w:rPr>
          <w:i/>
        </w:rPr>
        <w:t>”Personalen ska ha självständighet i verksamhetsfr</w:t>
      </w:r>
      <w:r w:rsidRPr="00AD33E8">
        <w:rPr>
          <w:i/>
        </w:rPr>
        <w:t>å</w:t>
      </w:r>
      <w:r w:rsidRPr="00AD33E8">
        <w:rPr>
          <w:i/>
        </w:rPr>
        <w:t xml:space="preserve">gor, delegering så långt som möjligt.” </w:t>
      </w:r>
      <w:r w:rsidRPr="00AD33E8">
        <w:t>Intrycket efter nära 70 intervjuer är att ledarskapet i staten utvecklats. En typisk röst, här från Arbetsmarknadsve</w:t>
      </w:r>
      <w:r w:rsidRPr="00AD33E8">
        <w:t>r</w:t>
      </w:r>
      <w:r w:rsidRPr="00AD33E8">
        <w:t xml:space="preserve">ket, säger: </w:t>
      </w:r>
      <w:r w:rsidRPr="00AD33E8">
        <w:rPr>
          <w:i/>
        </w:rPr>
        <w:t>”Ledar</w:t>
      </w:r>
      <w:r w:rsidRPr="00AD33E8">
        <w:rPr>
          <w:i/>
        </w:rPr>
        <w:softHyphen/>
        <w:t>skapet har blivit mycket bättre på senare år. Cheferna är bättre skolade.”</w:t>
      </w:r>
      <w:r w:rsidRPr="00AD33E8">
        <w:t xml:space="preserve"> Ledarskapet har också blivit tydligare, det har också förän</w:t>
      </w:r>
      <w:r w:rsidRPr="00AD33E8">
        <w:t>d</w:t>
      </w:r>
      <w:r w:rsidRPr="00AD33E8">
        <w:t>rats. Det som ut</w:t>
      </w:r>
      <w:r w:rsidRPr="00AD33E8">
        <w:softHyphen/>
        <w:t>kri</w:t>
      </w:r>
      <w:r w:rsidRPr="00AD33E8">
        <w:softHyphen/>
        <w:t>s</w:t>
      </w:r>
      <w:r w:rsidRPr="00AD33E8">
        <w:softHyphen/>
        <w:t>tal</w:t>
      </w:r>
      <w:r w:rsidRPr="00AD33E8">
        <w:softHyphen/>
        <w:t>liserar sig är en utveckling mot dubbelt ledarskap. Besluten i verksamhetens frågor delegeras i princip till den enskilde me</w:t>
      </w:r>
      <w:r w:rsidRPr="00AD33E8">
        <w:t>da</w:t>
      </w:r>
      <w:r w:rsidRPr="00AD33E8">
        <w:t>r</w:t>
      </w:r>
      <w:r w:rsidRPr="00AD33E8">
        <w:t>betaren. Här utvecklas och främjas en expertroll. Kvalitetssäkringen, ko</w:t>
      </w:r>
      <w:r w:rsidRPr="00AD33E8">
        <w:t>n</w:t>
      </w:r>
      <w:r w:rsidRPr="00AD33E8">
        <w:t>trollen att besluten blir rätt och rimliga, sker i gruppen. Chefen är inte längre den som förväntas veta bäst i sakfrågan. Chefen deltar inte heller i produ</w:t>
      </w:r>
      <w:r w:rsidRPr="00AD33E8">
        <w:t>k</w:t>
      </w:r>
      <w:r w:rsidRPr="00AD33E8">
        <w:t>tionsbesluten. Chefen har istället budget-, personal-, utvecklings- och up</w:t>
      </w:r>
      <w:r w:rsidRPr="00AD33E8">
        <w:t>p</w:t>
      </w:r>
      <w:r w:rsidRPr="00AD33E8">
        <w:t>följningsansvar. Det finns i den modellen ingen självklar chefskarriär inom verksamheten. Denna uppdelning av ansvaret har flera fördelar enligt de intervjuade.</w:t>
      </w:r>
    </w:p>
    <w:p w:rsidR="007B7A21" w:rsidRPr="00AD33E8" w:rsidRDefault="007B7A21">
      <w:pPr>
        <w:pStyle w:val="Normaltindrag"/>
        <w:numPr>
          <w:ilvl w:val="0"/>
          <w:numId w:val="63"/>
        </w:numPr>
        <w:tabs>
          <w:tab w:val="clear" w:pos="360"/>
        </w:tabs>
        <w:ind w:hanging="170"/>
      </w:pPr>
      <w:r w:rsidRPr="00AD33E8">
        <w:t>Det som kallats ”beslutslogistik” eller ”in</w:t>
      </w:r>
      <w:r w:rsidRPr="00AD33E8">
        <w:t>terna hierarkiska remisser” fö</w:t>
      </w:r>
      <w:r w:rsidRPr="00AD33E8">
        <w:t>r</w:t>
      </w:r>
      <w:r w:rsidRPr="00AD33E8">
        <w:t>svinner, handläggningsrutinerna blir enklare. Beslut kan fattas på en gång, i mötet med en kund. En myndighet har mål för hur snabbt ett b</w:t>
      </w:r>
      <w:r w:rsidRPr="00AD33E8">
        <w:t>e</w:t>
      </w:r>
      <w:r w:rsidRPr="00AD33E8">
        <w:t>slut ska fattas. Det är fråga om minuter och timmar och inte om dagar, veckor eller månader.</w:t>
      </w:r>
    </w:p>
    <w:p w:rsidR="007B7A21" w:rsidRPr="00AD33E8" w:rsidRDefault="007B7A21">
      <w:pPr>
        <w:pStyle w:val="Normaltindrag"/>
        <w:numPr>
          <w:ilvl w:val="0"/>
          <w:numId w:val="63"/>
        </w:numPr>
        <w:tabs>
          <w:tab w:val="clear" w:pos="360"/>
        </w:tabs>
        <w:ind w:hanging="170"/>
      </w:pPr>
      <w:r w:rsidRPr="00AD33E8">
        <w:t>Personalen känner delaktighet, att deras kunskap efterfrågas vilket me</w:t>
      </w:r>
      <w:r w:rsidRPr="00AD33E8">
        <w:t>d</w:t>
      </w:r>
      <w:r w:rsidRPr="00AD33E8">
        <w:t>verkar till att engagemang och ansvarstagande ökar.</w:t>
      </w:r>
    </w:p>
    <w:p w:rsidR="007B7A21" w:rsidRPr="00AD33E8" w:rsidRDefault="007B7A21">
      <w:pPr>
        <w:pStyle w:val="Normaltindrag"/>
        <w:numPr>
          <w:ilvl w:val="0"/>
          <w:numId w:val="63"/>
        </w:numPr>
        <w:tabs>
          <w:tab w:val="clear" w:pos="360"/>
        </w:tabs>
        <w:ind w:hanging="170"/>
      </w:pPr>
      <w:r w:rsidRPr="00AD33E8">
        <w:t>Genom att chefen inte deltar i produktionen står hon eller han friare. De nära bindningar till olika personer som då kan uppstå minskas. Uppföl</w:t>
      </w:r>
      <w:r w:rsidRPr="00AD33E8">
        <w:t>j</w:t>
      </w:r>
      <w:r w:rsidRPr="00AD33E8">
        <w:t>ningen blir rättvisare och ledarskapet mer opa</w:t>
      </w:r>
      <w:r w:rsidRPr="00AD33E8">
        <w:t>r</w:t>
      </w:r>
      <w:r w:rsidRPr="00AD33E8">
        <w:t xml:space="preserve">tiskt. </w:t>
      </w:r>
    </w:p>
    <w:p w:rsidR="007B7A21" w:rsidRPr="00AD33E8" w:rsidRDefault="007B7A21">
      <w:pPr>
        <w:pStyle w:val="Normaltindrag"/>
        <w:numPr>
          <w:ilvl w:val="0"/>
          <w:numId w:val="63"/>
        </w:numPr>
        <w:tabs>
          <w:tab w:val="clear" w:pos="360"/>
        </w:tabs>
        <w:ind w:hanging="170"/>
      </w:pPr>
      <w:r w:rsidRPr="00AD33E8">
        <w:t>Chefen frigörs för strategiska frågor, den ofta efterfrågade långsiktigh</w:t>
      </w:r>
      <w:r w:rsidRPr="00AD33E8">
        <w:t>e</w:t>
      </w:r>
      <w:r w:rsidRPr="00AD33E8">
        <w:t>ten främjas.</w:t>
      </w:r>
    </w:p>
    <w:p w:rsidR="007B7A21" w:rsidRPr="00AD33E8" w:rsidRDefault="007B7A21">
      <w:r w:rsidRPr="00AD33E8">
        <w:t>De som intervjuats är överlag positiva till den här utvecklingen där ansvaret delas, ledarskapet struktureras och blir tydligare. Några påpekar att det ligger en nyttig realism i modellen. Det är en myt att all den kunskap som behövs för att leda även små enheter kan finnas hos en person. Detta skapade u</w:t>
      </w:r>
      <w:r w:rsidRPr="00AD33E8">
        <w:t>t</w:t>
      </w:r>
      <w:r w:rsidRPr="00AD33E8">
        <w:t>rymme för informella ledarskap, något som kunde bidra till otydlighet i ledningen, kluvna budskap och subkulturer. Det nya sättet att organisera ledarskapet innebär inte att ett informellt arbetsätt, som ofta är en förutsät</w:t>
      </w:r>
      <w:r w:rsidRPr="00AD33E8">
        <w:t>t</w:t>
      </w:r>
      <w:r w:rsidRPr="00AD33E8">
        <w:t>ning för effektivitet, försvinner. Det blir i stället ty</w:t>
      </w:r>
      <w:r w:rsidRPr="00AD33E8">
        <w:t>d</w:t>
      </w:r>
      <w:r w:rsidRPr="00AD33E8">
        <w:t>liggjort och erkänt.</w:t>
      </w:r>
    </w:p>
    <w:p w:rsidR="007B7A21" w:rsidRPr="00AD33E8" w:rsidRDefault="007B7A21">
      <w:pPr>
        <w:pStyle w:val="Normaltindrag"/>
      </w:pPr>
      <w:r w:rsidRPr="00AD33E8">
        <w:t>Många av de intervjuade anser att den beskrivna utvecklingen har en stor potential som medel för personalens, chefer och medarbetare, möjlighet att förbättra effektiviteten i verksamheten. Det finns möjlighete</w:t>
      </w:r>
      <w:r w:rsidRPr="00AD33E8">
        <w:t>r att fortsät</w:t>
      </w:r>
      <w:r w:rsidRPr="00AD33E8">
        <w:t>t</w:t>
      </w:r>
      <w:r w:rsidRPr="00AD33E8">
        <w:t xml:space="preserve">ningsvis effektivisera olika delar av verksamheten. </w:t>
      </w:r>
    </w:p>
    <w:p w:rsidR="007B7A21" w:rsidRPr="00AD33E8" w:rsidRDefault="007B7A21">
      <w:pPr>
        <w:pStyle w:val="Normaltindrag"/>
      </w:pPr>
      <w:r w:rsidRPr="00AD33E8">
        <w:t>Det som växer fram är mer varierande karriärvägar och villkor. Chefer kan rekryteras utifrån. Andra egenskaper uppmärksammas. En chef beskrev 1980-talet som att man fortfarande satt fast i stegen. Det spelade ingen roll hur mycket man än gjorde i produktionen. Det var ett systematiskt sökande av tjänster i en trappa som gav utdelning. Det var det egna avancemanget som var drivkraften</w:t>
      </w:r>
      <w:r w:rsidRPr="00AD33E8">
        <w:rPr>
          <w:i/>
        </w:rPr>
        <w:t>. ”Jag ville bli chef för jag tycker om att hålla ordning och reda”</w:t>
      </w:r>
      <w:r w:rsidRPr="00AD33E8">
        <w:t xml:space="preserve"> sa en nytillsatt kontorschef.</w:t>
      </w:r>
    </w:p>
    <w:p w:rsidR="007B7A21" w:rsidRPr="00AD33E8" w:rsidRDefault="007B7A21">
      <w:pPr>
        <w:pStyle w:val="Normaltindrag"/>
      </w:pPr>
      <w:r w:rsidRPr="00AD33E8">
        <w:t>Det här redovisade sättet att organisera är inte helt nytt i statsförvaltningen. I verksamheter där det funnits en identifierad profession, s.k. kår, är det dubbla ledarskapet sedan länge etablerat. Inom t.ex. domstolar sker sakprö</w:t>
      </w:r>
      <w:r w:rsidRPr="00AD33E8">
        <w:t>v</w:t>
      </w:r>
      <w:r w:rsidRPr="00AD33E8">
        <w:t>ningen i en struktur helt skild från den där budget- och förvaltningsfrågor sköts. I denna undersökning är det närmast hos polisen som ett dubbelt leda</w:t>
      </w:r>
      <w:r w:rsidRPr="00AD33E8">
        <w:t>r</w:t>
      </w:r>
      <w:r w:rsidRPr="00AD33E8">
        <w:t>skap u</w:t>
      </w:r>
      <w:r w:rsidRPr="00AD33E8">
        <w:t>t</w:t>
      </w:r>
      <w:r w:rsidRPr="00AD33E8">
        <w:t xml:space="preserve">vecklas.  </w:t>
      </w:r>
    </w:p>
    <w:p w:rsidR="007B7A21" w:rsidRPr="00AD33E8" w:rsidRDefault="007B7A21">
      <w:pPr>
        <w:pStyle w:val="Rubrik3"/>
      </w:pPr>
      <w:bookmarkStart w:id="340" w:name="_Toc536240563"/>
      <w:bookmarkStart w:id="341" w:name="_Toc3887442"/>
      <w:bookmarkStart w:id="342" w:name="_Toc21425355"/>
      <w:r w:rsidRPr="00AD33E8">
        <w:t>Chefsegenskaper</w:t>
      </w:r>
      <w:bookmarkEnd w:id="340"/>
      <w:bookmarkEnd w:id="341"/>
      <w:bookmarkEnd w:id="342"/>
      <w:r w:rsidRPr="00AD33E8">
        <w:t xml:space="preserve"> </w:t>
      </w:r>
    </w:p>
    <w:p w:rsidR="007B7A21" w:rsidRPr="00AD33E8" w:rsidRDefault="007B7A21">
      <w:r w:rsidRPr="00AD33E8">
        <w:t>Avregleringen av befordringsgången ses, som ovan framgått, som en förbät</w:t>
      </w:r>
      <w:r w:rsidRPr="00AD33E8">
        <w:t>t</w:t>
      </w:r>
      <w:r w:rsidRPr="00AD33E8">
        <w:t>ring av den statliga personalpolitiken, på den övergripande nivån. För att leda till ett bättre chefskap krävs därutöver att metoderna för att bedöma skickli</w:t>
      </w:r>
      <w:r w:rsidRPr="00AD33E8">
        <w:t>g</w:t>
      </w:r>
      <w:r w:rsidRPr="00AD33E8">
        <w:t>het både utvecklas och tillämpas. I intervjuerna ges här både ros och ris. Rent allmänt är intrycket att staten för närvarande är bättre på att hitta bra chefer än att avveckla olämpliga chefer. Det kan gälla chefer som av olika skäl inte längre presterar på tidigare nivå, det kan också gälla chefer som är felrekryt</w:t>
      </w:r>
      <w:r w:rsidRPr="00AD33E8">
        <w:t>e</w:t>
      </w:r>
      <w:r w:rsidRPr="00AD33E8">
        <w:t>rade. I ett tidigare avsnitt talade</w:t>
      </w:r>
      <w:r w:rsidRPr="00AD33E8">
        <w:t>s det om chefer på operativ nivå som brustit i tydlighet mot medarbetare som under längre tid inte fungerat i produktionen eller i arbetsgemenskapen. Samma iakttagelse redovisas för chefer på högre nivåer som inte är tydliga eller konsekventa när lägre chefer inte håller må</w:t>
      </w:r>
      <w:r w:rsidRPr="00AD33E8">
        <w:t>t</w:t>
      </w:r>
      <w:r w:rsidRPr="00AD33E8">
        <w:t>tet. Genom att den enskilde chefen för närvarande har ett stort inflytande i såväl verksförordningen som organisationernas arbetsordningar blir kons</w:t>
      </w:r>
      <w:r w:rsidRPr="00AD33E8">
        <w:t>e</w:t>
      </w:r>
      <w:r w:rsidRPr="00AD33E8">
        <w:t>kvensen av mindre bra chefer ofta allvarliga för verksamhetens sätt att fung</w:t>
      </w:r>
      <w:r w:rsidRPr="00AD33E8">
        <w:t>e</w:t>
      </w:r>
      <w:r w:rsidRPr="00AD33E8">
        <w:t>ra och resu</w:t>
      </w:r>
      <w:r w:rsidRPr="00AD33E8">
        <w:t>ltatet mindre bra. Risken för de skador en dålig chef kan åsta</w:t>
      </w:r>
      <w:r w:rsidRPr="00AD33E8">
        <w:t>d</w:t>
      </w:r>
      <w:r w:rsidRPr="00AD33E8">
        <w:t xml:space="preserve">komma är betydligt större än de potentiella förbättringar en bra chef kan initiera enligt flera intervjuade. </w:t>
      </w:r>
    </w:p>
    <w:p w:rsidR="007B7A21" w:rsidRPr="00AD33E8" w:rsidRDefault="007B7A21">
      <w:pPr>
        <w:pStyle w:val="Normaltindrag"/>
      </w:pPr>
      <w:r w:rsidRPr="00AD33E8">
        <w:t>Den som ansvarar för en verksamhet bör i hög grad, enligt många intervj</w:t>
      </w:r>
      <w:r w:rsidRPr="00AD33E8">
        <w:t>u</w:t>
      </w:r>
      <w:r w:rsidRPr="00AD33E8">
        <w:t>ade, ägna en stor del av sin ledning åt kontinuerlig uppföljning av hur chefer fungerar. Det som ses som larmsignaler, men inte bevis, på svagt ledarskap är bristande tydlighet, stor personalomsättning, många omorganisationer samt ”ja-sägande” i kommunikation med högre nivåer. En punkt där man kritiserar chefer i samband med personalneddragningar är att man genom ”glädje</w:t>
      </w:r>
      <w:r w:rsidRPr="00AD33E8">
        <w:softHyphen/>
        <w:t>kal</w:t>
      </w:r>
      <w:r w:rsidRPr="00AD33E8">
        <w:softHyphen/>
        <w:t>kyler” i budgetarbetet gett högre nivåer intryck av mer ”luft i ver</w:t>
      </w:r>
      <w:r w:rsidRPr="00AD33E8">
        <w:t>k</w:t>
      </w:r>
      <w:r w:rsidRPr="00AD33E8">
        <w:t>samheten” än vad som verkligen funnits. En variant på det exemple</w:t>
      </w:r>
      <w:r w:rsidRPr="00AD33E8">
        <w:t>t är att man gått med på högre lokala löneökningar än vad ramarna tålt. Det finns också exempel på hur efterträdare då får sköta de neddragningar av personal som blir nö</w:t>
      </w:r>
      <w:r w:rsidRPr="00AD33E8">
        <w:t>d</w:t>
      </w:r>
      <w:r w:rsidRPr="00AD33E8">
        <w:t xml:space="preserve">vändiga. </w:t>
      </w:r>
    </w:p>
    <w:p w:rsidR="007B7A21" w:rsidRPr="00AD33E8" w:rsidRDefault="007B7A21">
      <w:pPr>
        <w:pStyle w:val="Normaltindrag"/>
        <w:rPr>
          <w:i/>
        </w:rPr>
      </w:pPr>
      <w:r w:rsidRPr="00AD33E8">
        <w:t xml:space="preserve">Enligt de intervjuade behöver den moderna chefen i statlig förvaltning inte vara expert inom verksamheten. Däremot måste den som kommer utifrån visa respekt för kunnandet och den verksamhet som ska ledas. </w:t>
      </w:r>
      <w:r w:rsidRPr="00AD33E8">
        <w:rPr>
          <w:i/>
        </w:rPr>
        <w:t>”Jag reste runt och utbildade mig snuttevis på varje kontor, jag ansträngde mig för att förstå”</w:t>
      </w:r>
      <w:r w:rsidRPr="00AD33E8">
        <w:t xml:space="preserve"> berättar en myndighetschef som rekryterats externt. </w:t>
      </w:r>
      <w:r w:rsidRPr="00AD33E8">
        <w:rPr>
          <w:i/>
        </w:rPr>
        <w:t>”Man får inte säga fel saker, man ska ha engagemang för saken. Livsfarligt är att försöka vara bättre än medarbetarna – då sätter Du stopp”.</w:t>
      </w:r>
    </w:p>
    <w:p w:rsidR="007B7A21" w:rsidRPr="00AD33E8" w:rsidRDefault="007B7A21">
      <w:pPr>
        <w:pStyle w:val="Normaltindrag"/>
      </w:pPr>
      <w:r w:rsidRPr="00AD33E8">
        <w:t>Det finns många synpunkter på vad som är en bra chef. En tjänsteman gör en uppdelning mellan goda och dåliga chefsegenskaper. Det är exempel som återkommer med olika frekvens i samtalen. En bra chef ska ha förtroende för si</w:t>
      </w:r>
      <w:r w:rsidRPr="00AD33E8">
        <w:t>n grupp, inte bara som läpparnas bekännelse utan i praktiken genom att med delegering och förtroende diskutera fram lösningar med gruppen. Ch</w:t>
      </w:r>
      <w:r w:rsidRPr="00AD33E8">
        <w:t>e</w:t>
      </w:r>
      <w:r w:rsidRPr="00AD33E8">
        <w:t>fen ska ta kritik positivt, kunna bryta en utveckling när något går fel samt våga säga: ”Vi stänger, skåpet är fullt, resurserna räcker inte”. Det dåliga är det motsatta, att t.ex. inte lämna något ifrån sig, låta kvalificerade medarbet</w:t>
      </w:r>
      <w:r w:rsidRPr="00AD33E8">
        <w:t>a</w:t>
      </w:r>
      <w:r w:rsidRPr="00AD33E8">
        <w:t>re ”köpa godis” eller ta kritik personligt. Det är också dåligt att inte reagera när något går fel eller när en medarbetare på ett el</w:t>
      </w:r>
      <w:r w:rsidRPr="00AD33E8">
        <w:t>ler annat sätt sviktar. Ch</w:t>
      </w:r>
      <w:r w:rsidRPr="00AD33E8">
        <w:t>e</w:t>
      </w:r>
      <w:r w:rsidRPr="00AD33E8">
        <w:t>fers arrogans eller oförmåga att prioritera sin eller gruppens tid är andra dåliga egenskaper. Ett exempel: En chef kommer 5 mi</w:t>
      </w:r>
      <w:r w:rsidRPr="00AD33E8">
        <w:softHyphen/>
        <w:t>nuter för sent till ett seminarium, sä</w:t>
      </w:r>
      <w:r w:rsidRPr="00AD33E8">
        <w:softHyphen/>
        <w:t>ger att jag måste gå igen om 20 mi</w:t>
      </w:r>
      <w:r w:rsidRPr="00AD33E8">
        <w:softHyphen/>
        <w:t>nuter, ”då gick jag”.</w:t>
      </w:r>
    </w:p>
    <w:p w:rsidR="007B7A21" w:rsidRPr="00AD33E8" w:rsidRDefault="007B7A21">
      <w:pPr>
        <w:pStyle w:val="Normaltindrag"/>
      </w:pPr>
      <w:r w:rsidRPr="00AD33E8">
        <w:t xml:space="preserve">En myndighetschef listar några goda egenskaper: ha god självkännedom och kunna kommunicera muntligt, skriftligt och i medier; </w:t>
      </w:r>
      <w:r w:rsidRPr="00AD33E8">
        <w:rPr>
          <w:i/>
        </w:rPr>
        <w:t>”det är jag inget bra på”.</w:t>
      </w:r>
      <w:r w:rsidRPr="00AD33E8">
        <w:t xml:space="preserve"> Hon eller han ska vara resultatinriktad – och modig. Man ska r</w:t>
      </w:r>
      <w:r w:rsidRPr="00AD33E8">
        <w:t>e</w:t>
      </w:r>
      <w:r w:rsidRPr="00AD33E8">
        <w:t>flektera ibland över vad chefskapet är värt och tycka att det är roligt att u</w:t>
      </w:r>
      <w:r w:rsidRPr="00AD33E8">
        <w:t>t</w:t>
      </w:r>
      <w:r w:rsidRPr="00AD33E8">
        <w:t xml:space="preserve">veckla organisationer. </w:t>
      </w:r>
    </w:p>
    <w:p w:rsidR="007B7A21" w:rsidRPr="00AD33E8" w:rsidRDefault="007B7A21">
      <w:pPr>
        <w:pStyle w:val="Normaltindrag"/>
      </w:pPr>
      <w:r w:rsidRPr="00AD33E8">
        <w:t xml:space="preserve"> De genomgående mest efterfrågade chefsegenskaperna i materialet är ty</w:t>
      </w:r>
      <w:r w:rsidRPr="00AD33E8">
        <w:t>d</w:t>
      </w:r>
      <w:r w:rsidRPr="00AD33E8">
        <w:t xml:space="preserve">lighet och mod. Många av de problem som finns i organisationerna hänförs till </w:t>
      </w:r>
      <w:r w:rsidRPr="00AD33E8">
        <w:rPr>
          <w:i/>
        </w:rPr>
        <w:t>”fega chefer”.</w:t>
      </w:r>
      <w:r w:rsidRPr="00AD33E8">
        <w:t xml:space="preserve"> Medarbetare har kunnat gå år ut och år in utan att prestera särskilt mycket men inte blivit uppmärksammade på detta. Så kommer en omorganisation med nedskärning och det kommer som en chock för pers</w:t>
      </w:r>
      <w:r w:rsidRPr="00AD33E8">
        <w:t>o</w:t>
      </w:r>
      <w:r w:rsidRPr="00AD33E8">
        <w:t>nen att han eller hon inte anses behövas i den nya verksamheten.</w:t>
      </w:r>
    </w:p>
    <w:p w:rsidR="007B7A21" w:rsidRPr="00AD33E8" w:rsidRDefault="007B7A21">
      <w:pPr>
        <w:pStyle w:val="Normaltindrag"/>
      </w:pPr>
      <w:r w:rsidRPr="00AD33E8">
        <w:t>Många av de uppräknade och efterlysta chefsegenskaperna liknar rekryt</w:t>
      </w:r>
      <w:r w:rsidRPr="00AD33E8">
        <w:t>e</w:t>
      </w:r>
      <w:r w:rsidRPr="00AD33E8">
        <w:t>rings- och managementkonsulternas önskelistor. Där efterfrågas egenskaper som knappast låter sig finnas hos en individ. Det som tillkommer i några av intervjuerna är två förhållanden. För det första, även om inte denna supe</w:t>
      </w:r>
      <w:r w:rsidRPr="00AD33E8">
        <w:t>r</w:t>
      </w:r>
      <w:r w:rsidRPr="00AD33E8">
        <w:t>människa finns så är det bra om man seriöst försöker arbeta efter de riktlinjer och värden som listornas kriterier uttrycker. Det andra är att det finns exe</w:t>
      </w:r>
      <w:r w:rsidRPr="00AD33E8">
        <w:t>m</w:t>
      </w:r>
      <w:r w:rsidRPr="00AD33E8">
        <w:t xml:space="preserve">pel på positiv verksamhetsutveckling som står i samband med att chefer delegerat långt, varit tydliga och modiga och där den egna </w:t>
      </w:r>
      <w:r w:rsidRPr="00AD33E8">
        <w:t>karriärlystnaden inte skinit ig</w:t>
      </w:r>
      <w:r w:rsidRPr="00AD33E8">
        <w:t>e</w:t>
      </w:r>
      <w:r w:rsidRPr="00AD33E8">
        <w:t>nom.</w:t>
      </w:r>
    </w:p>
    <w:p w:rsidR="007B7A21" w:rsidRPr="00AD33E8" w:rsidRDefault="007B7A21">
      <w:pPr>
        <w:pStyle w:val="Rubrik4"/>
        <w:numPr>
          <w:ilvl w:val="0"/>
          <w:numId w:val="0"/>
        </w:numPr>
      </w:pPr>
      <w:bookmarkStart w:id="343" w:name="_Toc536240564"/>
      <w:bookmarkStart w:id="344" w:name="_Toc3887443"/>
      <w:bookmarkStart w:id="345" w:name="_Toc21425356"/>
      <w:r w:rsidRPr="00AD33E8">
        <w:t>Chefstillsättning som budskap</w:t>
      </w:r>
      <w:bookmarkEnd w:id="343"/>
      <w:bookmarkEnd w:id="344"/>
      <w:bookmarkEnd w:id="345"/>
    </w:p>
    <w:p w:rsidR="007B7A21" w:rsidRPr="00AD33E8" w:rsidRDefault="007B7A21">
      <w:r w:rsidRPr="00AD33E8">
        <w:t>I avsnittet om förändringar ovan redovisades diskussioner i intervjuerna om de negativa effekter som oklart motiverade eller inte sakligt underbyggda om</w:t>
      </w:r>
      <w:r w:rsidRPr="00AD33E8">
        <w:softHyphen/>
        <w:t>ställningar kan ha. Omorganisationen uppfattas ha ett inneboende bu</w:t>
      </w:r>
      <w:r w:rsidRPr="00AD33E8">
        <w:t>d</w:t>
      </w:r>
      <w:r w:rsidRPr="00AD33E8">
        <w:t xml:space="preserve">skap med missnöje över den hittillsvarande verksamheten. Uttalanden som att </w:t>
      </w:r>
      <w:r w:rsidRPr="00AD33E8">
        <w:rPr>
          <w:i/>
        </w:rPr>
        <w:t>”det gäller att ändra på den kultur som sitter i väggarna och vid fikabo</w:t>
      </w:r>
      <w:r w:rsidRPr="00AD33E8">
        <w:rPr>
          <w:i/>
        </w:rPr>
        <w:t>r</w:t>
      </w:r>
      <w:r w:rsidRPr="00AD33E8">
        <w:rPr>
          <w:i/>
        </w:rPr>
        <w:t>den, eller i bilarna”</w:t>
      </w:r>
      <w:r w:rsidRPr="00AD33E8">
        <w:t xml:space="preserve"> förstärker upplevelsen att man på bakvägar ska förbät</w:t>
      </w:r>
      <w:r w:rsidRPr="00AD33E8">
        <w:t>t</w:t>
      </w:r>
      <w:r w:rsidRPr="00AD33E8">
        <w:t>ras. Det är mot den bakgrunden tydligheten blir en så efterfrågad egenskap i organisationen, hos såväl chefer som medarbetare.</w:t>
      </w:r>
    </w:p>
    <w:p w:rsidR="007B7A21" w:rsidRPr="00AD33E8" w:rsidRDefault="007B7A21">
      <w:pPr>
        <w:pStyle w:val="Normaltindrag"/>
      </w:pPr>
      <w:r w:rsidRPr="00AD33E8">
        <w:t>Samma diskussion förs i några av samtalen beträffande chefstillsättningar. Här påtalas en n</w:t>
      </w:r>
      <w:r w:rsidRPr="00AD33E8">
        <w:t>egativ effekt av den annars nästan reservationslöst uppska</w:t>
      </w:r>
      <w:r w:rsidRPr="00AD33E8">
        <w:t>t</w:t>
      </w:r>
      <w:r w:rsidRPr="00AD33E8">
        <w:t>tade avreglerade befordringsgången. När tjänsteåren avgjorde visste man oftast varför just den personen blev chef. Med mångfalden kriterier för skicklighetsbedömningen krävs ett urval av vilka som ska vägas in i den aktuella anställningen. Dessa brukar också redovisas i t.ex. annonser. Det är dock inte alltid lätt, framgår det av några intervjuer, att förstå varför den ene eller den andre fått en tjänst. Om en person på oklara meriter utses till che</w:t>
      </w:r>
      <w:r w:rsidRPr="00AD33E8">
        <w:t>f och därefter driver förändringar i konflikt med stora delar av personalen väcks ofta frågan om vilken egenskap som avgjort tillsättningen. Om högre chef efter kritik av mellanchefen står fast vid beslutet förstärks intrycket av att det finns ett underliggande missnöje med förhållanden i den aktuella enheten, förhållanden som den nye har ett underliggande, inte tydliggjort, uppdrag att råda bot på. Resultatet kan bli att det frodas ett motstånd i org</w:t>
      </w:r>
      <w:r w:rsidRPr="00AD33E8">
        <w:t>a</w:t>
      </w:r>
      <w:r w:rsidRPr="00AD33E8">
        <w:t xml:space="preserve">nisationen, även det informellt och underliggande. Risk </w:t>
      </w:r>
      <w:r w:rsidRPr="00AD33E8">
        <w:t>finns att organisati</w:t>
      </w:r>
      <w:r w:rsidRPr="00AD33E8">
        <w:t>o</w:t>
      </w:r>
      <w:r w:rsidRPr="00AD33E8">
        <w:t xml:space="preserve">nen så länge sådant pågår blir mindre effektiv.  </w:t>
      </w:r>
    </w:p>
    <w:p w:rsidR="007B7A21" w:rsidRPr="00AD33E8" w:rsidRDefault="007B7A21">
      <w:pPr>
        <w:pStyle w:val="Rubrik3"/>
        <w:numPr>
          <w:ilvl w:val="2"/>
          <w:numId w:val="0"/>
        </w:numPr>
        <w:tabs>
          <w:tab w:val="num" w:pos="360"/>
        </w:tabs>
        <w:ind w:left="360" w:hanging="360"/>
      </w:pPr>
      <w:bookmarkStart w:id="346" w:name="_Toc536240565"/>
      <w:bookmarkStart w:id="347" w:name="_Toc3887444"/>
      <w:bookmarkStart w:id="348" w:name="_Toc21425357"/>
      <w:r w:rsidRPr="00AD33E8">
        <w:t>Uppföljning</w:t>
      </w:r>
      <w:bookmarkEnd w:id="346"/>
      <w:bookmarkEnd w:id="347"/>
      <w:bookmarkEnd w:id="348"/>
    </w:p>
    <w:p w:rsidR="007B7A21" w:rsidRPr="00AD33E8" w:rsidRDefault="007B7A21">
      <w:r w:rsidRPr="00AD33E8">
        <w:t>I den nya personalpolitik som utvecklats sedan 1985 har delegering och utveckling av ledarskapet balanserats med utvecklingen av uppföljningar. I materialet från intervjuerna redovisas i huvudsak tre olika slags uppföljnin</w:t>
      </w:r>
      <w:r w:rsidRPr="00AD33E8">
        <w:t>g</w:t>
      </w:r>
      <w:r w:rsidRPr="00AD33E8">
        <w:t>ar för den interna styrningen och utvecklingen. Det är olika former av  nyc</w:t>
      </w:r>
      <w:r w:rsidRPr="00AD33E8">
        <w:t>k</w:t>
      </w:r>
      <w:r w:rsidRPr="00AD33E8">
        <w:t>el</w:t>
      </w:r>
      <w:r w:rsidRPr="00AD33E8">
        <w:softHyphen/>
      </w:r>
      <w:r w:rsidRPr="00AD33E8">
        <w:softHyphen/>
        <w:t xml:space="preserve">tal, främst handläggningstider, budgetavstämningar eller sjukfrånvaro. Det är återkommande klimatundersökningar. Det är utvecklingssamtal. De olika uppföljningarna har delvis olika roller. </w:t>
      </w:r>
    </w:p>
    <w:p w:rsidR="007B7A21" w:rsidRPr="00AD33E8" w:rsidRDefault="007B7A21">
      <w:pPr>
        <w:pStyle w:val="Normaltindrag"/>
      </w:pPr>
      <w:r w:rsidRPr="00AD33E8">
        <w:rPr>
          <w:i/>
        </w:rPr>
        <w:t>Nyckeltalen</w:t>
      </w:r>
      <w:r w:rsidRPr="00AD33E8">
        <w:t xml:space="preserve"> syftar till att skapa en bas för diskussion och reflexion eller prövning. Det är hårddata som är objektiva och måste diskuteras. De ger en objektiv bild ur </w:t>
      </w:r>
      <w:r w:rsidRPr="00AD33E8">
        <w:rPr>
          <w:i/>
        </w:rPr>
        <w:t>ett</w:t>
      </w:r>
      <w:r w:rsidRPr="00AD33E8">
        <w:t xml:space="preserve"> perspektiv på verksamheten. De intervjuade som arbetar med sådana data ser dem som nödvändiga men långt ifrån tillräckliga u</w:t>
      </w:r>
      <w:r w:rsidRPr="00AD33E8">
        <w:t>t</w:t>
      </w:r>
      <w:r w:rsidRPr="00AD33E8">
        <w:t xml:space="preserve">gångspunkter för att leda verksamheten. </w:t>
      </w:r>
      <w:r w:rsidRPr="00AD33E8">
        <w:rPr>
          <w:i/>
        </w:rPr>
        <w:t>”Det är svårt att mäta faktiska resultat av våra insatser. Det är svårt att jämföra olika grupper.”</w:t>
      </w:r>
      <w:r w:rsidRPr="00AD33E8">
        <w:t xml:space="preserve"> Så säger en chef på ett kontor som arbetar med rehabilitering. Många efterlyser bättre</w:t>
      </w:r>
      <w:r w:rsidRPr="00AD33E8">
        <w:t>, men inte mer, mått och metoder för att fånga upp verksamhetens resultat. Tidsredovisning finns i olika former och i olika utsträckning och med många olika metoder. Att jämföra produktivitet mellan olika enheter uppfattas mot den bakgrunden som ovetenskapligt och vilsel</w:t>
      </w:r>
      <w:r w:rsidRPr="00AD33E8">
        <w:t>e</w:t>
      </w:r>
      <w:r w:rsidRPr="00AD33E8">
        <w:t>dande.</w:t>
      </w:r>
    </w:p>
    <w:p w:rsidR="007B7A21" w:rsidRPr="00AD33E8" w:rsidRDefault="007B7A21">
      <w:pPr>
        <w:pStyle w:val="Normaltindrag"/>
      </w:pPr>
      <w:r w:rsidRPr="00AD33E8">
        <w:rPr>
          <w:i/>
        </w:rPr>
        <w:t>Klimatundersökningar</w:t>
      </w:r>
      <w:r w:rsidRPr="00AD33E8">
        <w:t xml:space="preserve"> har används i samtliga verksamheter sedan mitten på 1990-talet. Hur resultaten utnyttjas varierar. I flera verksamheter analys</w:t>
      </w:r>
      <w:r w:rsidRPr="00AD33E8">
        <w:t>e</w:t>
      </w:r>
      <w:r w:rsidRPr="00AD33E8">
        <w:t xml:space="preserve">ras de noga. De ges också hög trovärdighet. En chef på ett kontor med nära 100 anställda säger. </w:t>
      </w:r>
      <w:r w:rsidRPr="00AD33E8">
        <w:rPr>
          <w:i/>
        </w:rPr>
        <w:t>”Jag visste att det skulle bli lägre utslag på förtroende för ledningen förra året. Då hade vi stora problem som inte gick att lösa så lätt. Jag hann inte med alla på det sätt jag skulle vilja.”</w:t>
      </w:r>
      <w:r w:rsidRPr="00AD33E8">
        <w:t xml:space="preserve"> Det visar sig i u</w:t>
      </w:r>
      <w:r w:rsidRPr="00AD33E8">
        <w:t>n</w:t>
      </w:r>
      <w:r w:rsidRPr="00AD33E8">
        <w:t>dersökningen att klimatundersökningarna främst lämpar sig för jämförelser ö</w:t>
      </w:r>
      <w:r w:rsidRPr="00AD33E8">
        <w:t>ver tiden inom en verksamhet. Det framgår om man jämför flera olika org</w:t>
      </w:r>
      <w:r w:rsidRPr="00AD33E8">
        <w:t>a</w:t>
      </w:r>
      <w:r w:rsidRPr="00AD33E8">
        <w:t>nisationer att de har olika nivåer på skalorna. I en organisation kan man var restriktiv med höga poäng, trots att man i grunden är positiv. I andra organ</w:t>
      </w:r>
      <w:r w:rsidRPr="00AD33E8">
        <w:t>i</w:t>
      </w:r>
      <w:r w:rsidRPr="00AD33E8">
        <w:t xml:space="preserve">sationer kan det finnas en förnöjsamhet eller tålighet som ger siffror på högre nivåer fast andra uppgifter som sjukfrånvaro och personalomsättning visar på problem. </w:t>
      </w:r>
    </w:p>
    <w:p w:rsidR="007B7A21" w:rsidRPr="00AD33E8" w:rsidRDefault="007B7A21">
      <w:pPr>
        <w:pStyle w:val="Normaltindrag"/>
      </w:pPr>
      <w:r w:rsidRPr="00AD33E8">
        <w:rPr>
          <w:i/>
        </w:rPr>
        <w:t>Utvecklingssamtalen</w:t>
      </w:r>
      <w:r w:rsidRPr="00AD33E8">
        <w:t xml:space="preserve"> är det enligt intervjusvaren främsta uppföljnings- och styrinstrumentet, inte bara i personalpolitiken utan även i sakpolitiken. Dä</w:t>
      </w:r>
      <w:r w:rsidRPr="00AD33E8">
        <w:t>r</w:t>
      </w:r>
      <w:r w:rsidRPr="00AD33E8">
        <w:t>emot verkar det inte utnyttjas för budgetprocessen. Det finns kopplingar mellan hur utvecklingssamtalen används och utslag i klimatundersökningar. En kontorschef som har tre utvecklingssamtal om året fick 100 % som i</w:t>
      </w:r>
      <w:r w:rsidRPr="00AD33E8">
        <w:t>n</w:t>
      </w:r>
      <w:r w:rsidRPr="00AD33E8">
        <w:t>stämde i påståendet: ”Jag får gehör för mina åsikter.” Där utvecklingssamt</w:t>
      </w:r>
      <w:r w:rsidRPr="00AD33E8">
        <w:t>a</w:t>
      </w:r>
      <w:r w:rsidRPr="00AD33E8">
        <w:t>len är mer än slentrian ges de gott omdöme i intervjuerna. Det som motve</w:t>
      </w:r>
      <w:r w:rsidRPr="00AD33E8">
        <w:t>r</w:t>
      </w:r>
      <w:r w:rsidRPr="00AD33E8">
        <w:t>kar nyttan och</w:t>
      </w:r>
      <w:r w:rsidRPr="00AD33E8">
        <w:t xml:space="preserve"> effektiviteten, och därmed möjligheterna till att tidigt fånga upp problem är om arbetsbelastningen blir för stor. </w:t>
      </w:r>
      <w:r w:rsidRPr="00AD33E8">
        <w:rPr>
          <w:i/>
        </w:rPr>
        <w:t>”Med facit i hand hade vi kunnat fånga upp flera av de som nu är långtidssjukskrivna med diagnosen utbrändhet,”</w:t>
      </w:r>
      <w:r w:rsidRPr="00AD33E8">
        <w:t xml:space="preserve"> säger flera ch</w:t>
      </w:r>
      <w:r w:rsidRPr="00AD33E8">
        <w:t>e</w:t>
      </w:r>
      <w:r w:rsidRPr="00AD33E8">
        <w:t>fer.</w:t>
      </w:r>
    </w:p>
    <w:p w:rsidR="007B7A21" w:rsidRPr="00AD33E8" w:rsidRDefault="007B7A21">
      <w:pPr>
        <w:pStyle w:val="Rubrik3"/>
      </w:pPr>
      <w:bookmarkStart w:id="349" w:name="_Toc21425358"/>
      <w:r w:rsidRPr="00AD33E8">
        <w:t>Minskad bemanning och ohälsa</w:t>
      </w:r>
      <w:bookmarkEnd w:id="349"/>
    </w:p>
    <w:p w:rsidR="007B7A21" w:rsidRPr="00AD33E8" w:rsidRDefault="007B7A21">
      <w:r w:rsidRPr="00AD33E8">
        <w:t>Bemanningen av de statliga tjänsterna har minskat, det har alla besökta ver</w:t>
      </w:r>
      <w:r w:rsidRPr="00AD33E8">
        <w:t>k</w:t>
      </w:r>
      <w:r w:rsidRPr="00AD33E8">
        <w:t>samheter utom Arbetsmarknadsverket känt av. Även för Arbetsmarknad</w:t>
      </w:r>
      <w:r w:rsidRPr="00AD33E8">
        <w:t>s</w:t>
      </w:r>
      <w:r w:rsidRPr="00AD33E8">
        <w:t>verket fanns länge ett krav på resursneddragning som måste mötas med personalavveckling. Detta krav sköts successivt, med hänvisning till läget på arbetsmarknaden, upp och återtogs slutligen hösten år 2000. Med den min</w:t>
      </w:r>
      <w:r w:rsidRPr="00AD33E8">
        <w:t>s</w:t>
      </w:r>
      <w:r w:rsidRPr="00AD33E8">
        <w:t>kade bemanningen eller med ökad efterfrågan har följt en ökad arbetsbelas</w:t>
      </w:r>
      <w:r w:rsidRPr="00AD33E8">
        <w:t>t</w:t>
      </w:r>
      <w:r w:rsidRPr="00AD33E8">
        <w:t>ning. Den därav följande ökningen i arbetsintensitet är vid sidan av IT-utvecklingen och det flitiga omorganiserandet det oftast nämnda exemplet på sto</w:t>
      </w:r>
      <w:r w:rsidRPr="00AD33E8">
        <w:t>ra förändringar under de senaste 15 åren. Det som skiljer den minskade bemanningen från IT-utvecklingen är att den förra betraktas som en kortsi</w:t>
      </w:r>
      <w:r w:rsidRPr="00AD33E8">
        <w:t>k</w:t>
      </w:r>
      <w:r w:rsidRPr="00AD33E8">
        <w:t>tig och nödvändig parentes, medan den senare beskrivs som en långsiktig mö</w:t>
      </w:r>
      <w:r w:rsidRPr="00AD33E8">
        <w:t>j</w:t>
      </w:r>
      <w:r w:rsidRPr="00AD33E8">
        <w:t>lighet.</w:t>
      </w:r>
    </w:p>
    <w:p w:rsidR="007B7A21" w:rsidRPr="00AD33E8" w:rsidRDefault="007B7A21">
      <w:pPr>
        <w:pStyle w:val="Normaltindrag"/>
      </w:pPr>
      <w:r w:rsidRPr="00AD33E8">
        <w:t>Sjukskrivningarna har ökat de senaste åren. Det är särskilt de långa sju</w:t>
      </w:r>
      <w:r w:rsidRPr="00AD33E8">
        <w:t>k</w:t>
      </w:r>
      <w:r w:rsidRPr="00AD33E8">
        <w:t>fallen som ökat. Det finns enligt de intervjuade klara kopplingar till den ökade arbetsbelastningen och den minskade bemanningen. Det påtalas som en själv</w:t>
      </w:r>
      <w:r w:rsidRPr="00AD33E8">
        <w:softHyphen/>
        <w:t>klarhet som inte kräver vidare resonemang. Det är den samlade e</w:t>
      </w:r>
      <w:r w:rsidRPr="00AD33E8">
        <w:t>f</w:t>
      </w:r>
      <w:r w:rsidRPr="00AD33E8">
        <w:t>fekten av flera faktorer. Det ställs krav på både neddragning av personal och bibehållen kvalitet. Utvecklingsinsatser av investeringskaraktär ska till men utan tillskott av resurser. Vid budgeteringen saknas resultatmått som speglar en verksamhets reella kostnader. Man upplever på flera hål</w:t>
      </w:r>
      <w:r w:rsidRPr="00AD33E8">
        <w:t>l att det är så statsmakterna velat ha det, och så har de fått det.</w:t>
      </w:r>
    </w:p>
    <w:p w:rsidR="007B7A21" w:rsidRPr="00AD33E8" w:rsidRDefault="007B7A21">
      <w:pPr>
        <w:pStyle w:val="Normaltindrag"/>
      </w:pPr>
      <w:r w:rsidRPr="00AD33E8">
        <w:t>I stället för förebyggande insatser genom vidare resursmarginaler så fok</w:t>
      </w:r>
      <w:r w:rsidRPr="00AD33E8">
        <w:t>u</w:t>
      </w:r>
      <w:r w:rsidRPr="00AD33E8">
        <w:t>serar man i stället på arbetet med de pågående sjukfallen. Det visar sig i många fall att är sambandet mellan sjukdomen och den övriga arbetsmiljön långt ifrån är entydig. Arbetsmiljön anses, förutom den besparingsdrivna stressen, god. För flera av de långtidssjuka är det även förhållanden utanför arbetet, enligt de intervjuade ofta i hemmet, som påverkar sjukbilden. Det är i flera fall dock lättare att hänvisa psykiskt relaterade symtom till arbetet. Här citeras en undersökning om s.k. täckdiagnoser som g</w:t>
      </w:r>
      <w:r w:rsidRPr="00AD33E8">
        <w:t>enomfördes på Försä</w:t>
      </w:r>
      <w:r w:rsidRPr="00AD33E8">
        <w:t>k</w:t>
      </w:r>
      <w:r w:rsidRPr="00AD33E8">
        <w:t>ringskassan i Stockholm för tiotalet år sedan. I många sjukfall med ryg</w:t>
      </w:r>
      <w:r w:rsidRPr="00AD33E8">
        <w:t>g</w:t>
      </w:r>
      <w:r w:rsidRPr="00AD33E8">
        <w:t>symtom fanns en missbruksbild. Även neddragningarna inom sjukvården, med längre köer till diagnos och behandling, förklarar den ökade sjukfrånv</w:t>
      </w:r>
      <w:r w:rsidRPr="00AD33E8">
        <w:t>a</w:t>
      </w:r>
      <w:r w:rsidRPr="00AD33E8">
        <w:t>ron. De besökta verksamheterna vittnar om gott samarbete med såväl för</w:t>
      </w:r>
      <w:r w:rsidRPr="00AD33E8">
        <w:t>e</w:t>
      </w:r>
      <w:r w:rsidRPr="00AD33E8">
        <w:t>tagshälsan som respektive försäkringskassa i rehabiliteringsarbetet. Vid de i undersökningen besökta försäkringskassorna finns ett samarbete med gran</w:t>
      </w:r>
      <w:r w:rsidRPr="00AD33E8">
        <w:t>n</w:t>
      </w:r>
      <w:r w:rsidRPr="00AD33E8">
        <w:t>kassor där man sköter rehabiliteringen av varandras lån</w:t>
      </w:r>
      <w:r w:rsidRPr="00AD33E8">
        <w:t>gtidssjuka. Uppsala län samarbetar således med Gävleborgs län.</w:t>
      </w:r>
    </w:p>
    <w:p w:rsidR="007B7A21" w:rsidRPr="00AD33E8" w:rsidRDefault="007B7A21">
      <w:pPr>
        <w:pStyle w:val="Normaltindrag"/>
      </w:pPr>
      <w:r w:rsidRPr="00AD33E8">
        <w:t>Ytterligare en faktor bakom den ökande sjukfrånvaron är den stigande m</w:t>
      </w:r>
      <w:r w:rsidRPr="00AD33E8">
        <w:t>e</w:t>
      </w:r>
      <w:r w:rsidRPr="00AD33E8">
        <w:t>delåldern. När stora grupper anställda når åldrarna 55 år och över ökar å</w:t>
      </w:r>
      <w:r w:rsidRPr="00AD33E8">
        <w:t>l</w:t>
      </w:r>
      <w:r w:rsidRPr="00AD33E8">
        <w:t>dersrelaterade krämpor. Detta förhållande har särskild betydelse för polisen. Till den kritik som ofta riktas mot polisens arbetstider måste läggas det fa</w:t>
      </w:r>
      <w:r w:rsidRPr="00AD33E8">
        <w:t>k</w:t>
      </w:r>
      <w:r w:rsidRPr="00AD33E8">
        <w:t>tum att många poliser i äldre åldrar av hälsoskäl inte kan arbeta med yttre tjänst i skif</w:t>
      </w:r>
      <w:r w:rsidRPr="00AD33E8">
        <w:t>t</w:t>
      </w:r>
      <w:r w:rsidRPr="00AD33E8">
        <w:t>gång.</w:t>
      </w:r>
    </w:p>
    <w:p w:rsidR="007B7A21" w:rsidRPr="00AD33E8" w:rsidRDefault="007B7A21">
      <w:pPr>
        <w:pStyle w:val="Rubrik3"/>
      </w:pPr>
      <w:bookmarkStart w:id="350" w:name="_Toc536240567"/>
      <w:bookmarkStart w:id="351" w:name="_Toc3887446"/>
      <w:bookmarkStart w:id="352" w:name="_Toc21425359"/>
      <w:r w:rsidRPr="00AD33E8">
        <w:t>Effektiviseringens innehåll</w:t>
      </w:r>
      <w:bookmarkEnd w:id="350"/>
      <w:bookmarkEnd w:id="351"/>
      <w:bookmarkEnd w:id="352"/>
    </w:p>
    <w:p w:rsidR="007B7A21" w:rsidRPr="00AD33E8" w:rsidRDefault="007B7A21">
      <w:r w:rsidRPr="00AD33E8">
        <w:t>Den effektivisering som diskuterats ovan har åtminstone på två sätt sitt tydl</w:t>
      </w:r>
      <w:r w:rsidRPr="00AD33E8">
        <w:t>i</w:t>
      </w:r>
      <w:r w:rsidRPr="00AD33E8">
        <w:t>ga ursprung i personalpolitiken. Genom den långtgående delegeringen har staten på ett bättre sätt än tidigare utnyttjat kompetensen hos de statliga tjänstemännen. Kortandet av beslutskedjor innebär dels att ärenden kan handläggas snabbare, dels att risken för att kvaliteten i besluten tunnas ur när högre men mindre insatta nivåer påverkar innehållet. Vidare har den ökade betoningen av skicklighet i chefstillsättningar, där bl.a. organisatoriskt ku</w:t>
      </w:r>
      <w:r w:rsidRPr="00AD33E8">
        <w:t>n</w:t>
      </w:r>
      <w:r w:rsidRPr="00AD33E8">
        <w:t>nande vägts in, möjliggjort bättre och effektivare lösninga</w:t>
      </w:r>
      <w:r w:rsidRPr="00AD33E8">
        <w:t>r.</w:t>
      </w:r>
    </w:p>
    <w:p w:rsidR="007B7A21" w:rsidRPr="00AD33E8" w:rsidRDefault="007B7A21">
      <w:pPr>
        <w:pStyle w:val="Normaltindrag"/>
      </w:pPr>
      <w:r w:rsidRPr="00AD33E8">
        <w:t>I intervjuerna framkommer flera bedömningar och perspektiv på effektiv</w:t>
      </w:r>
      <w:r w:rsidRPr="00AD33E8">
        <w:t>i</w:t>
      </w:r>
      <w:r w:rsidRPr="00AD33E8">
        <w:t>sering och besparing. Inför ett besparingsbeting, där ett mindre antal pers</w:t>
      </w:r>
      <w:r w:rsidRPr="00AD33E8">
        <w:t>o</w:t>
      </w:r>
      <w:r w:rsidRPr="00AD33E8">
        <w:t>ner ska utföra samma arbetsvolym, utkristalliserar sig tre olika principiella lösningar som berör personalen på olika sätt.</w:t>
      </w:r>
    </w:p>
    <w:p w:rsidR="007B7A21" w:rsidRPr="00AD33E8" w:rsidRDefault="007B7A21">
      <w:pPr>
        <w:pStyle w:val="Normaltindrag"/>
      </w:pPr>
      <w:r w:rsidRPr="00AD33E8">
        <w:t>För det första kan det ske genom rationalisering av arbetsmetoderna, s.k. vardagsrationalisering. Det innebär att personalen dels arbetar annorlunda än tidigare, dels är med och utformar de nya idéerna.</w:t>
      </w:r>
    </w:p>
    <w:p w:rsidR="007B7A21" w:rsidRPr="00AD33E8" w:rsidRDefault="007B7A21">
      <w:pPr>
        <w:pStyle w:val="Normaltindrag"/>
      </w:pPr>
      <w:r w:rsidRPr="00AD33E8">
        <w:t>För det andra kan besparingen ske genom att arbetsintensiteten eller a</w:t>
      </w:r>
      <w:r w:rsidRPr="00AD33E8">
        <w:t>r</w:t>
      </w:r>
      <w:r w:rsidRPr="00AD33E8">
        <w:t xml:space="preserve">betstiden ökar. Samma arbetsuppgifter genomförs på samma sätt men i ökad takt. Det innebär att personalen arbetar hårdare och mer koncentrerat än tidigare. </w:t>
      </w:r>
    </w:p>
    <w:p w:rsidR="007B7A21" w:rsidRPr="00AD33E8" w:rsidRDefault="007B7A21">
      <w:pPr>
        <w:pStyle w:val="Normaltindrag"/>
      </w:pPr>
      <w:r w:rsidRPr="00AD33E8">
        <w:t>För det tredje kan besparingen ske genom omprioriteringar. Personalen väljer bort eller åläggs välja arbetsuppgifter eller arbetsmoment. I vissa fall är besluten om delegering reglerade i ändrad arbetsordning. I andra fall kan delegeringen vara underförstådd eller av omständigheterna påtvingad. En ökad omprioritering innebär att personalen får ett ökat</w:t>
      </w:r>
      <w:r w:rsidRPr="00AD33E8">
        <w:t xml:space="preserve"> inflytande, inte bara över polit</w:t>
      </w:r>
      <w:r w:rsidRPr="00AD33E8">
        <w:t>i</w:t>
      </w:r>
      <w:r w:rsidRPr="00AD33E8">
        <w:t>kens genomförande utan även över dess innehåll.</w:t>
      </w:r>
    </w:p>
    <w:p w:rsidR="007B7A21" w:rsidRPr="00AD33E8" w:rsidRDefault="007B7A21">
      <w:pPr>
        <w:pStyle w:val="Normaltindrag"/>
      </w:pPr>
      <w:r w:rsidRPr="00AD33E8">
        <w:t>I intervjuerna framkommer att alla tre lösningarna använts, ofta i komb</w:t>
      </w:r>
      <w:r w:rsidRPr="00AD33E8">
        <w:t>i</w:t>
      </w:r>
      <w:r w:rsidRPr="00AD33E8">
        <w:t>nation med varandra. Det är vardagsrationaliseringen som är den som föro</w:t>
      </w:r>
      <w:r w:rsidRPr="00AD33E8">
        <w:t>r</w:t>
      </w:r>
      <w:r w:rsidRPr="00AD33E8">
        <w:t>das. De två andra lösningarna med antingen ökad arbetsintensitet eller om-prioriteringar innebär risker för tjänsternas utförande. Den ökade arbetsinte</w:t>
      </w:r>
      <w:r w:rsidRPr="00AD33E8">
        <w:t>n</w:t>
      </w:r>
      <w:r w:rsidRPr="00AD33E8">
        <w:t>siteten kan drivas längre än vad som är långsiktigt hållbart. Resultatet kan då bli sjukskrivningar med stressrelaterade diagnoser eller att arbetsmoment blir sämre utförda. Man väljer lösningar som kräver mindre tid. Ett flera gånger omtalat exempel är besluten i ärenden som innefatta</w:t>
      </w:r>
      <w:r w:rsidRPr="00AD33E8">
        <w:t>r utbetalning av medel med utgångspunkt i t.ex. en försäkringsförmån. Det är praktiskt betydligt enklare  att bevilja än att avslå. Följden kan bli att en besparing i ett ärendes förvaltning ger en högre utgift i utbetalningen. Risken med att öka de facto- besluten om omprioriteringar hos personalen är att det som konstitutionellt tillhör den politiska sfären avgörs av förvaltnin</w:t>
      </w:r>
      <w:r w:rsidRPr="00AD33E8">
        <w:t>g</w:t>
      </w:r>
      <w:r w:rsidRPr="00AD33E8">
        <w:t>en.</w:t>
      </w:r>
    </w:p>
    <w:p w:rsidR="007B7A21" w:rsidRPr="00AD33E8" w:rsidRDefault="007B7A21">
      <w:pPr>
        <w:pStyle w:val="Rubrik2"/>
      </w:pPr>
      <w:bookmarkStart w:id="353" w:name="_Toc536240568"/>
      <w:bookmarkStart w:id="354" w:name="_Toc3887447"/>
      <w:bookmarkStart w:id="355" w:name="_Toc21425360"/>
      <w:r w:rsidRPr="00AD33E8">
        <w:t>Sammanfattning</w:t>
      </w:r>
      <w:bookmarkEnd w:id="353"/>
      <w:bookmarkEnd w:id="354"/>
      <w:bookmarkEnd w:id="355"/>
    </w:p>
    <w:p w:rsidR="007B7A21" w:rsidRPr="00AD33E8" w:rsidRDefault="007B7A21">
      <w:bookmarkStart w:id="356" w:name="_Toc524333133"/>
      <w:r w:rsidRPr="00AD33E8">
        <w:t>Bilden av den statliga personalpolitiken som ges vid besöken är blandad.  På några ställen är man mer negativ än på andra. Det som är positivt är att pe</w:t>
      </w:r>
      <w:r w:rsidRPr="00AD33E8">
        <w:t>r</w:t>
      </w:r>
      <w:r w:rsidRPr="00AD33E8">
        <w:t>sonalens delaktighet i verksamhetens utveckling ökar och att statens förmåga att hitta bra chefer utvec</w:t>
      </w:r>
      <w:r w:rsidRPr="00AD33E8">
        <w:t>k</w:t>
      </w:r>
      <w:r w:rsidRPr="00AD33E8">
        <w:t>lats bättre. Det återstår dock mycket att göra.</w:t>
      </w:r>
    </w:p>
    <w:p w:rsidR="007B7A21" w:rsidRPr="00AD33E8" w:rsidRDefault="007B7A21">
      <w:pPr>
        <w:pStyle w:val="Normaltindrag"/>
      </w:pPr>
      <w:r w:rsidRPr="00AD33E8">
        <w:t>Åren under 1990-talets budgetsanering beskrivs som krävande för de pe</w:t>
      </w:r>
      <w:r w:rsidRPr="00AD33E8">
        <w:t>r</w:t>
      </w:r>
      <w:r w:rsidRPr="00AD33E8">
        <w:t>sonalpolitiskt ansvariga. Givet den bakgrunden finns på plussidan att pers</w:t>
      </w:r>
      <w:r w:rsidRPr="00AD33E8">
        <w:t>o</w:t>
      </w:r>
      <w:r w:rsidRPr="00AD33E8">
        <w:t>nalneddragningarna genomfördes i stort sett på ett försvarbart sätt och att man i organisationerna gjort erfarenheter som sedan faktiskt använts i u</w:t>
      </w:r>
      <w:r w:rsidRPr="00AD33E8">
        <w:t>t</w:t>
      </w:r>
      <w:r w:rsidRPr="00AD33E8">
        <w:t xml:space="preserve">vecklingsarbetet. På minussidan finns dels en ökad arbetsbelastning som medverkat till ökad sjukfrånvaro, dels en eftersatt rekrytering som medfört hög medelålder hos personalen.  </w:t>
      </w:r>
    </w:p>
    <w:p w:rsidR="007B7A21" w:rsidRPr="00AD33E8" w:rsidRDefault="007B7A21">
      <w:pPr>
        <w:pStyle w:val="Normaltindrag"/>
      </w:pPr>
      <w:r w:rsidRPr="00AD33E8">
        <w:t>När det gäller personalpolitikens genomförande finns både individuella förklaringar och kritik som har gen</w:t>
      </w:r>
      <w:r w:rsidRPr="00AD33E8">
        <w:t>erell bakgrund. I alla organisationer finns alltid olika medarbetare som vid olika tidpunkter känner sig illa behandlade. I normalfallet kan dessa problem ofta lösas på ett för alla parter acceptabelt sätt. När personalpolitiken brister i tillämpning eller ledarskapet misslyckats kan dock medarbetares utsatta eller svåra situation permanentas eller förvä</w:t>
      </w:r>
      <w:r w:rsidRPr="00AD33E8">
        <w:t>r</w:t>
      </w:r>
      <w:r w:rsidRPr="00AD33E8">
        <w:t>ras.</w:t>
      </w:r>
    </w:p>
    <w:p w:rsidR="007B7A21" w:rsidRPr="00AD33E8" w:rsidRDefault="007B7A21">
      <w:pPr>
        <w:pStyle w:val="Normaltindrag"/>
      </w:pPr>
      <w:r w:rsidRPr="00AD33E8">
        <w:t>I undersökningen finns också iakttagelser som kan kategoriseras till i h</w:t>
      </w:r>
      <w:r w:rsidRPr="00AD33E8">
        <w:t>u</w:t>
      </w:r>
      <w:r w:rsidRPr="00AD33E8">
        <w:t>vudsak tre olika generella faktorer.</w:t>
      </w:r>
    </w:p>
    <w:p w:rsidR="007B7A21" w:rsidRPr="00AD33E8" w:rsidRDefault="007B7A21">
      <w:pPr>
        <w:pStyle w:val="Normaltindrag"/>
      </w:pPr>
      <w:r w:rsidRPr="00AD33E8">
        <w:t>Den första har att göra med bristande ledarskap. Ledarskapet i staten har som nämnts ovan förbättrats. Samtidigt hänförs problem i organisationer i många fall till de brister i ledarskapet som ännu finns. En ledning kan sakna förtroende för personalen i en eller annan aspekt. Personalen kan i sin tur vara missnöjd med ledningen som helhet eller med olika delar. En förtroe</w:t>
      </w:r>
      <w:r w:rsidRPr="00AD33E8">
        <w:t>n</w:t>
      </w:r>
      <w:r w:rsidRPr="00AD33E8">
        <w:t>deklyfta mellan chef och stora grupper anställda leder till problem i ver</w:t>
      </w:r>
      <w:r w:rsidRPr="00AD33E8">
        <w:t>k</w:t>
      </w:r>
      <w:r w:rsidRPr="00AD33E8">
        <w:t>samheten, förutsättningarna till goda resultat minskar. Det riktas i intervjue</w:t>
      </w:r>
      <w:r w:rsidRPr="00AD33E8">
        <w:t>r</w:t>
      </w:r>
      <w:r w:rsidRPr="00AD33E8">
        <w:t xml:space="preserve">na mycken kritik mot dels bristande tydlighet, dels åtgärder som sakligt är svagt underbyggda. </w:t>
      </w:r>
    </w:p>
    <w:p w:rsidR="007B7A21" w:rsidRPr="00AD33E8" w:rsidRDefault="007B7A21">
      <w:pPr>
        <w:pStyle w:val="Normaltindrag"/>
      </w:pPr>
      <w:r w:rsidRPr="00AD33E8">
        <w:t>Den andra orsaken finns i förhållandet att man genomfört en eller flera mindre välmotiverade omorganisationer. I stället för effektivisering blev det flaskhalsar och revirstrider samt missnöje. Minnet av misslyckade omorgan</w:t>
      </w:r>
      <w:r w:rsidRPr="00AD33E8">
        <w:t>i</w:t>
      </w:r>
      <w:r w:rsidRPr="00AD33E8">
        <w:t>sationer hänger kvar länge.</w:t>
      </w:r>
    </w:p>
    <w:p w:rsidR="007B7A21" w:rsidRPr="00AD33E8" w:rsidRDefault="007B7A21">
      <w:pPr>
        <w:pStyle w:val="Normaltindrag"/>
      </w:pPr>
      <w:r w:rsidRPr="00AD33E8">
        <w:t>Det tredje skälet till missnöje slutligen är att alla organisationer har kom</w:t>
      </w:r>
      <w:r w:rsidRPr="00AD33E8">
        <w:softHyphen/>
        <w:t>mit olika långt i sina förändringsprocesser. Dessa processer är sällan linjära i den meningen att allt hela tiden blir bättre. Det är i stället fråga om faser som avlöser varandra, perioder av uppgång följs av perioder med nedgång. Den fas organisationen befinner sig i präglar den bild av verksamheten som medarbetarna förmedlar. Här ges i intervjuerna en samstämmig bild av att statsmakterna underskattat den tid det tar att genomföra förändringar. R</w:t>
      </w:r>
      <w:r w:rsidRPr="00AD33E8">
        <w:t>e</w:t>
      </w:r>
      <w:r w:rsidRPr="00AD33E8">
        <w:t>formprocessen kan också initieras under mindre gynnsamma o</w:t>
      </w:r>
      <w:r w:rsidRPr="00AD33E8">
        <w:t>mvärlds- eller budgetförhållanden.  Vidare ges här i intervjuerna något skilda bilder från de olika organisationerna. Såväl Arbetsmarknadsverket som Skatteförvaltningen har kommit långt med stora för</w:t>
      </w:r>
      <w:r w:rsidRPr="00AD33E8">
        <w:softHyphen/>
        <w:t>ändringsprocesser. Polisen och försäkring</w:t>
      </w:r>
      <w:r w:rsidRPr="00AD33E8">
        <w:t>s</w:t>
      </w:r>
      <w:r w:rsidRPr="00AD33E8">
        <w:t>kassorna är mitt uppe i reformer som hittills inte funnit sina organisatoriska former. Därtill kommer att upplevelsen av obalansen mellan kraven på ver</w:t>
      </w:r>
      <w:r w:rsidRPr="00AD33E8">
        <w:t>k</w:t>
      </w:r>
      <w:r w:rsidRPr="00AD33E8">
        <w:t>samheten och anslaget är större inom polisen och försäkringskassorna än inom de övriga verksamheterna.</w:t>
      </w:r>
    </w:p>
    <w:bookmarkEnd w:id="356"/>
    <w:p w:rsidR="007B7A21" w:rsidRPr="00AD33E8" w:rsidRDefault="007B7A21">
      <w:pPr>
        <w:pStyle w:val="Normaltindrag"/>
      </w:pPr>
      <w:r w:rsidRPr="00AD33E8">
        <w:t>Den positiva ut</w:t>
      </w:r>
      <w:r w:rsidRPr="00AD33E8">
        <w:t>veckling som är en del av iakttagelserna i intervjuerna b</w:t>
      </w:r>
      <w:r w:rsidRPr="00AD33E8">
        <w:t>e</w:t>
      </w:r>
      <w:r w:rsidRPr="00AD33E8">
        <w:t>skrivs där inte som vare sig självgående eller hållbar. Utvecklingen är fortf</w:t>
      </w:r>
      <w:r w:rsidRPr="00AD33E8">
        <w:t>a</w:t>
      </w:r>
      <w:r w:rsidRPr="00AD33E8">
        <w:t>rande skör och kräver sin omsorg och finansiering. Olika störningar kan förändra eller stoppa utvecklingen. Chefstillsättningar och omställningar, såväl kortsiktiga, avgränsade omorganisationer som sektorsomfattande, långsiktiga reformer är risksituationer. Detta bör enligt de intervjuade kunna uppmärksammas i högre grad i t.ex. strategier, planering och uppföljning. Likaså</w:t>
      </w:r>
      <w:r w:rsidRPr="00AD33E8">
        <w:t xml:space="preserve"> görs bedömningen att man bör utveckla beredskapen för att snabbt korrigera felaktigheter. Den uppföljning som måste till kan inte stanna vid övergripande perspektiv utan ha inriktningen på att i tid finna orsaker till störningar, brott i positiva trender eller uteblivna förbättringar. Den deleg</w:t>
      </w:r>
      <w:r w:rsidRPr="00AD33E8">
        <w:t>e</w:t>
      </w:r>
      <w:r w:rsidRPr="00AD33E8">
        <w:t>rade arbetsgivarpolitiken får, e</w:t>
      </w:r>
      <w:r w:rsidRPr="00AD33E8">
        <w:t>n</w:t>
      </w:r>
      <w:r w:rsidRPr="00AD33E8">
        <w:t>ligt dessa bedömningar, inte leda till att stats</w:t>
      </w:r>
      <w:r w:rsidRPr="00AD33E8">
        <w:softHyphen/>
        <w:t>makterna avstår från granskning inne i statligt finansierade eller reglerade verksamheter. Uppföljningen bör utvecklas till att kompl</w:t>
      </w:r>
      <w:r w:rsidRPr="00AD33E8">
        <w:t>ettera det generella med ett fokus på enskilda, situations- och tidsanpassade, förklaringar och åtgärder. Det är också viktigt att uppföljningen av den statliga personalpolit</w:t>
      </w:r>
      <w:r w:rsidRPr="00AD33E8">
        <w:t>i</w:t>
      </w:r>
      <w:r w:rsidRPr="00AD33E8">
        <w:t>ken sker från realistiska utgångspunkter, t.ex. är det viktigt att konflikter varken överdrivs eller förtigs. I en personalintensiv verksamhet som den statliga är motsättningar inte bara normala och ofrånkomliga, utan också fruktbara och främjande. Det är inte konflikters förekomst som är ett pr</w:t>
      </w:r>
      <w:r w:rsidRPr="00AD33E8">
        <w:t>o</w:t>
      </w:r>
      <w:r w:rsidRPr="00AD33E8">
        <w:t>blem utan det är om deras hantering miss</w:t>
      </w:r>
      <w:r w:rsidRPr="00AD33E8">
        <w:t>köts.</w:t>
      </w:r>
    </w:p>
    <w:p w:rsidR="007B7A21" w:rsidRPr="00AD33E8" w:rsidRDefault="007B7A21">
      <w:pPr>
        <w:pStyle w:val="Normaltindrag"/>
      </w:pPr>
    </w:p>
    <w:p w:rsidR="007B7A21" w:rsidRPr="00AD33E8" w:rsidRDefault="007B7A21">
      <w:pPr>
        <w:pStyle w:val="Rubrik1"/>
      </w:pPr>
      <w:r w:rsidRPr="00AD33E8">
        <w:br w:type="page"/>
      </w:r>
      <w:bookmarkStart w:id="357" w:name="_Toc536012863"/>
      <w:bookmarkStart w:id="358" w:name="_Toc536240569"/>
      <w:bookmarkStart w:id="359" w:name="_Toc3887448"/>
      <w:bookmarkStart w:id="360" w:name="_Toc21425361"/>
      <w:r w:rsidRPr="00AD33E8">
        <w:t>Revisorernas överväganden och förslag</w:t>
      </w:r>
      <w:bookmarkEnd w:id="357"/>
      <w:bookmarkEnd w:id="358"/>
      <w:bookmarkEnd w:id="359"/>
      <w:bookmarkEnd w:id="360"/>
    </w:p>
    <w:p w:rsidR="007B7A21" w:rsidRPr="00AD33E8" w:rsidRDefault="007B7A21">
      <w:pPr>
        <w:pStyle w:val="Rubrik2"/>
      </w:pPr>
      <w:bookmarkStart w:id="361" w:name="_Toc3887449"/>
      <w:bookmarkStart w:id="362" w:name="_Toc21425362"/>
      <w:r w:rsidRPr="00AD33E8">
        <w:t>Inledning</w:t>
      </w:r>
      <w:bookmarkEnd w:id="361"/>
      <w:bookmarkEnd w:id="362"/>
    </w:p>
    <w:p w:rsidR="007B7A21" w:rsidRPr="00AD33E8" w:rsidRDefault="007B7A21">
      <w:r w:rsidRPr="00AD33E8">
        <w:t>Under de femton år som revisorernas granskning avsett har den statliga pe</w:t>
      </w:r>
      <w:r w:rsidRPr="00AD33E8">
        <w:t>r</w:t>
      </w:r>
      <w:r w:rsidRPr="00AD33E8">
        <w:t>sonalpolitikens förmåga till anpassning ökat. Detta beror huvudsakligen på en långtgående delegering till myndigheterna  och på en ökad betoning av skicklighet vid tillsättning och rekrytering. Samtidigt framkommer av revis</w:t>
      </w:r>
      <w:r w:rsidRPr="00AD33E8">
        <w:t>o</w:t>
      </w:r>
      <w:r w:rsidRPr="00AD33E8">
        <w:t>rernas intervjuer med  företrädare för fyra myndigheter att såväl förutsät</w:t>
      </w:r>
      <w:r w:rsidRPr="00AD33E8">
        <w:t>t</w:t>
      </w:r>
      <w:r w:rsidRPr="00AD33E8">
        <w:t xml:space="preserve">ningar för som resultat  av personalpolitiken varierar kraftigt mellan olika verksamheter.  Trots hög anpassningsförmåga noterar revisorerna att det finns generella problem som gäller bristande ledarskap, mindre </w:t>
      </w:r>
      <w:r w:rsidRPr="00AD33E8">
        <w:t>välmotiver</w:t>
      </w:r>
      <w:r w:rsidRPr="00AD33E8">
        <w:t>a</w:t>
      </w:r>
      <w:r w:rsidRPr="00AD33E8">
        <w:t>de omorganisationer och att statsmakterna underskattat den tid som det tar att genomföra förändringar. Den långsiktiga kompetensförsörjningen är också delvis eftersatt.</w:t>
      </w:r>
    </w:p>
    <w:p w:rsidR="007B7A21" w:rsidRPr="00AD33E8" w:rsidRDefault="007B7A21">
      <w:pPr>
        <w:pStyle w:val="Normaltindrag"/>
      </w:pPr>
      <w:r w:rsidRPr="00AD33E8">
        <w:t>Under den statsfinansiella krisen under 1990-talet var  den statliga pers</w:t>
      </w:r>
      <w:r w:rsidRPr="00AD33E8">
        <w:t>o</w:t>
      </w:r>
      <w:r w:rsidRPr="00AD33E8">
        <w:t>nalpolitiken ett stöd till den budgetpolitiska upp</w:t>
      </w:r>
      <w:r w:rsidRPr="00AD33E8">
        <w:softHyphen/>
        <w:t>stram</w:t>
      </w:r>
      <w:r w:rsidRPr="00AD33E8">
        <w:softHyphen/>
        <w:t>ningen. De neddra</w:t>
      </w:r>
      <w:r w:rsidRPr="00AD33E8">
        <w:t>g</w:t>
      </w:r>
      <w:r w:rsidRPr="00AD33E8">
        <w:t>ningar i den statliga sektorn som bedömdes nödvändiga genomfördes under i stort sett försvarbara former. Vidare har regeringen under 1990-talet utvec</w:t>
      </w:r>
      <w:r w:rsidRPr="00AD33E8">
        <w:t>k</w:t>
      </w:r>
      <w:r w:rsidRPr="00AD33E8">
        <w:t>lat strategier och rutiner för rekrytering av tjän</w:t>
      </w:r>
      <w:r w:rsidRPr="00AD33E8">
        <w:softHyphen/>
        <w:t>ste</w:t>
      </w:r>
      <w:r w:rsidRPr="00AD33E8">
        <w:softHyphen/>
        <w:t>män och chefer samt pr</w:t>
      </w:r>
      <w:r w:rsidRPr="00AD33E8">
        <w:t>o</w:t>
      </w:r>
      <w:r w:rsidRPr="00AD33E8">
        <w:t>gram för kompetensutveckling.</w:t>
      </w:r>
    </w:p>
    <w:p w:rsidR="007B7A21" w:rsidRPr="00AD33E8" w:rsidRDefault="007B7A21">
      <w:pPr>
        <w:pStyle w:val="Normaltindrag"/>
      </w:pPr>
      <w:r w:rsidRPr="00AD33E8">
        <w:t>Revisorerna noterar också att regeringen sedan slutet av 1990-talet tagit ett antal initiativ inom personalpolitiken. Exempel på detta är den arbets</w:t>
      </w:r>
      <w:r w:rsidRPr="00AD33E8">
        <w:softHyphen/>
        <w:t>givar</w:t>
      </w:r>
      <w:r w:rsidRPr="00AD33E8">
        <w:softHyphen/>
        <w:t>poli</w:t>
      </w:r>
      <w:r w:rsidRPr="00AD33E8">
        <w:softHyphen/>
        <w:t>tiska upp</w:t>
      </w:r>
      <w:r w:rsidRPr="00AD33E8">
        <w:softHyphen/>
        <w:t>följ</w:t>
      </w:r>
      <w:r w:rsidRPr="00AD33E8">
        <w:softHyphen/>
        <w:t>ningen, chefsförsörjningsprogrammet samt inrättandet av Statens kva</w:t>
      </w:r>
      <w:r w:rsidRPr="00AD33E8">
        <w:softHyphen/>
        <w:t>litets- och kompeten</w:t>
      </w:r>
      <w:r w:rsidRPr="00AD33E8">
        <w:t>s</w:t>
      </w:r>
      <w:r w:rsidRPr="00AD33E8">
        <w:t>råd.</w:t>
      </w:r>
    </w:p>
    <w:p w:rsidR="007B7A21" w:rsidRPr="00AD33E8" w:rsidRDefault="007B7A21">
      <w:pPr>
        <w:pStyle w:val="Normaltindrag"/>
      </w:pPr>
    </w:p>
    <w:p w:rsidR="007B7A21" w:rsidRPr="00AD33E8" w:rsidRDefault="007B7A21">
      <w:pPr>
        <w:pStyle w:val="Normaltindrag"/>
        <w:ind w:firstLine="0"/>
      </w:pPr>
      <w:r w:rsidRPr="00AD33E8">
        <w:t>Frågan om den statliga personalpolitikens bidrag till sektorns effektivisering kan enligt revisorerna inte besvaras på ett entydigt sätt. En orsak är bristen på rättvisande resultatmått och att olika indikatorer ger delvis mot</w:t>
      </w:r>
      <w:r w:rsidRPr="00AD33E8">
        <w:softHyphen/>
        <w:t>sägelsefulla bilder. Positivt är att genomloppstiderna har kortats i många ärenden och att tjänstemännen vittnar om stolthet över att, trots neddragningar, ha lyckats hålla verksamheten på en acceptabel nivå. Negativt är  att staten genomfört kost</w:t>
      </w:r>
      <w:r w:rsidRPr="00AD33E8">
        <w:softHyphen/>
        <w:t>nads</w:t>
      </w:r>
      <w:r w:rsidRPr="00AD33E8">
        <w:softHyphen/>
        <w:t>krävande omställningar med osäkra eller ibland negativa effekter och att resultat</w:t>
      </w:r>
      <w:r w:rsidRPr="00AD33E8">
        <w:softHyphen/>
        <w:t>utvecklingen var negativ under några år i början av  1990-talet. Revisorerna noterar också att antalet sjukfall med symtom eller diagn</w:t>
      </w:r>
      <w:r w:rsidRPr="00AD33E8">
        <w:t>o</w:t>
      </w:r>
      <w:r w:rsidRPr="00AD33E8">
        <w:t>ser som kan hänföras till arbets</w:t>
      </w:r>
      <w:r w:rsidRPr="00AD33E8">
        <w:softHyphen/>
        <w:t>situatio</w:t>
      </w:r>
      <w:r w:rsidRPr="00AD33E8">
        <w:t>nen under senare år har ökat i den statliga förval</w:t>
      </w:r>
      <w:r w:rsidRPr="00AD33E8">
        <w:t>t</w:t>
      </w:r>
      <w:r w:rsidRPr="00AD33E8">
        <w:t>ningen.</w:t>
      </w:r>
    </w:p>
    <w:p w:rsidR="007B7A21" w:rsidRPr="00AD33E8" w:rsidRDefault="007B7A21">
      <w:r w:rsidRPr="00AD33E8">
        <w:t>Enligt revisorerna är den arbetsgivarpolitiska delegeringen en nödvändig men inte tillräcklig förutsätt</w:t>
      </w:r>
      <w:r w:rsidRPr="00AD33E8">
        <w:softHyphen/>
        <w:t>ning för att personalfrågor ska skötas på ett bra sätt. Revisorerna utvecklar i det följande sina förslag utifrån denna utgång</w:t>
      </w:r>
      <w:r w:rsidRPr="00AD33E8">
        <w:t>s</w:t>
      </w:r>
      <w:r w:rsidRPr="00AD33E8">
        <w:t>punkt.</w:t>
      </w:r>
    </w:p>
    <w:p w:rsidR="007B7A21" w:rsidRPr="00AD33E8" w:rsidRDefault="007B7A21">
      <w:pPr>
        <w:pStyle w:val="Rubrik2"/>
      </w:pPr>
      <w:bookmarkStart w:id="363" w:name="_Toc3887450"/>
      <w:bookmarkStart w:id="364" w:name="_Toc21425363"/>
      <w:r w:rsidRPr="00AD33E8">
        <w:t>Överväganden och förslag</w:t>
      </w:r>
      <w:bookmarkEnd w:id="363"/>
      <w:bookmarkEnd w:id="364"/>
    </w:p>
    <w:p w:rsidR="007B7A21" w:rsidRPr="00AD33E8" w:rsidRDefault="007B7A21">
      <w:pPr>
        <w:pStyle w:val="Rubrik3"/>
      </w:pPr>
      <w:bookmarkStart w:id="365" w:name="_Toc3887451"/>
      <w:bookmarkStart w:id="366" w:name="_Toc21425364"/>
      <w:r w:rsidRPr="00AD33E8">
        <w:t>Begreppet statlig personalpolitik behöver definieras</w:t>
      </w:r>
      <w:bookmarkEnd w:id="365"/>
      <w:bookmarkEnd w:id="366"/>
    </w:p>
    <w:p w:rsidR="007B7A21" w:rsidRPr="00AD33E8" w:rsidRDefault="007B7A21">
      <w:pPr>
        <w:rPr>
          <w:snapToGrid w:val="0"/>
        </w:rPr>
      </w:pPr>
      <w:r w:rsidRPr="00AD33E8">
        <w:rPr>
          <w:snapToGrid w:val="0"/>
        </w:rPr>
        <w:t>Statlig personalpolitik är ett omfattande begrepp. Den är en del av varje verk</w:t>
      </w:r>
      <w:r w:rsidRPr="00AD33E8">
        <w:rPr>
          <w:snapToGrid w:val="0"/>
        </w:rPr>
        <w:softHyphen/>
        <w:t>samhetsområde, ett villkor för politikens genomförande. Per</w:t>
      </w:r>
      <w:r w:rsidRPr="00AD33E8">
        <w:rPr>
          <w:snapToGrid w:val="0"/>
        </w:rPr>
        <w:softHyphen/>
        <w:t>sonalpoliti</w:t>
      </w:r>
      <w:r w:rsidRPr="00AD33E8">
        <w:rPr>
          <w:snapToGrid w:val="0"/>
        </w:rPr>
        <w:softHyphen/>
        <w:t>ken är även en del av förvaltningspolitiken med nära koppling till budgetpolitiken. Båda har sina grundläggande mål relaterade till sakpolitiska åtaganden. Bu</w:t>
      </w:r>
      <w:r w:rsidRPr="00AD33E8">
        <w:rPr>
          <w:snapToGrid w:val="0"/>
        </w:rPr>
        <w:t>d</w:t>
      </w:r>
      <w:r w:rsidRPr="00AD33E8">
        <w:rPr>
          <w:snapToGrid w:val="0"/>
        </w:rPr>
        <w:t>getpolitikens mål är att inom respektive politik</w:t>
      </w:r>
      <w:r w:rsidRPr="00AD33E8">
        <w:rPr>
          <w:snapToGrid w:val="0"/>
        </w:rPr>
        <w:softHyphen/>
        <w:t>om</w:t>
      </w:r>
      <w:r w:rsidRPr="00AD33E8">
        <w:rPr>
          <w:snapToGrid w:val="0"/>
        </w:rPr>
        <w:softHyphen/>
        <w:t>råde finansiera verksa</w:t>
      </w:r>
      <w:r w:rsidRPr="00AD33E8">
        <w:rPr>
          <w:snapToGrid w:val="0"/>
        </w:rPr>
        <w:t>m</w:t>
      </w:r>
      <w:r w:rsidRPr="00AD33E8">
        <w:rPr>
          <w:snapToGrid w:val="0"/>
        </w:rPr>
        <w:t>heten. Analogt är per</w:t>
      </w:r>
      <w:r w:rsidRPr="00AD33E8">
        <w:rPr>
          <w:snapToGrid w:val="0"/>
        </w:rPr>
        <w:softHyphen/>
        <w:t>sonal</w:t>
      </w:r>
      <w:r w:rsidRPr="00AD33E8">
        <w:rPr>
          <w:snapToGrid w:val="0"/>
        </w:rPr>
        <w:softHyphen/>
        <w:t>politikens mål att bemanna förvaltningen så att beslut kan genomföras och ge resultat.</w:t>
      </w:r>
    </w:p>
    <w:p w:rsidR="007B7A21" w:rsidRPr="00AD33E8" w:rsidRDefault="007B7A21">
      <w:pPr>
        <w:pStyle w:val="Normaltindrag"/>
        <w:rPr>
          <w:snapToGrid w:val="0"/>
        </w:rPr>
      </w:pPr>
      <w:r w:rsidRPr="00AD33E8">
        <w:rPr>
          <w:snapToGrid w:val="0"/>
        </w:rPr>
        <w:t>Revisorerna anser att regeringen bör förtydliga den statliga pe</w:t>
      </w:r>
      <w:r w:rsidRPr="00AD33E8">
        <w:rPr>
          <w:snapToGrid w:val="0"/>
        </w:rPr>
        <w:t>r</w:t>
      </w:r>
      <w:r w:rsidRPr="00AD33E8">
        <w:rPr>
          <w:snapToGrid w:val="0"/>
        </w:rPr>
        <w:softHyphen/>
        <w:t>so</w:t>
      </w:r>
      <w:r w:rsidRPr="00AD33E8">
        <w:rPr>
          <w:snapToGrid w:val="0"/>
        </w:rPr>
        <w:softHyphen/>
        <w:t>nal</w:t>
      </w:r>
      <w:r w:rsidRPr="00AD33E8">
        <w:rPr>
          <w:snapToGrid w:val="0"/>
        </w:rPr>
        <w:softHyphen/>
        <w:t>politikens innehåll. I granskningen delas personalpolitiken in i två kate</w:t>
      </w:r>
      <w:r w:rsidRPr="00AD33E8">
        <w:rPr>
          <w:snapToGrid w:val="0"/>
        </w:rPr>
        <w:softHyphen/>
        <w:t>gorier, arbet</w:t>
      </w:r>
      <w:r w:rsidRPr="00AD33E8">
        <w:rPr>
          <w:snapToGrid w:val="0"/>
        </w:rPr>
        <w:softHyphen/>
        <w:t>s</w:t>
      </w:r>
      <w:r w:rsidRPr="00AD33E8">
        <w:rPr>
          <w:snapToGrid w:val="0"/>
        </w:rPr>
        <w:softHyphen/>
      </w:r>
      <w:r w:rsidRPr="00AD33E8">
        <w:rPr>
          <w:snapToGrid w:val="0"/>
        </w:rPr>
        <w:softHyphen/>
        <w:t>ledningspolitik och arbetsgivarpolitik. Dessa två kategorier kan även ses i ett externt och ett internt perspektiv. Arbets</w:t>
      </w:r>
      <w:r w:rsidRPr="00AD33E8">
        <w:rPr>
          <w:snapToGrid w:val="0"/>
        </w:rPr>
        <w:softHyphen/>
        <w:t>ledningen gäller frågor om hur medborgarna ska få en statlig tjänst utförd på bästa sätt. Arbetsgivarfr</w:t>
      </w:r>
      <w:r w:rsidRPr="00AD33E8">
        <w:rPr>
          <w:snapToGrid w:val="0"/>
        </w:rPr>
        <w:t>å</w:t>
      </w:r>
      <w:r w:rsidRPr="00AD33E8">
        <w:rPr>
          <w:snapToGrid w:val="0"/>
        </w:rPr>
        <w:t>gor rör interna relationer i den statliga förvaltningen.</w:t>
      </w:r>
    </w:p>
    <w:p w:rsidR="007B7A21" w:rsidRPr="00AD33E8" w:rsidRDefault="007B7A21">
      <w:pPr>
        <w:pStyle w:val="Normaltindrag"/>
        <w:rPr>
          <w:snapToGrid w:val="0"/>
        </w:rPr>
      </w:pPr>
      <w:r w:rsidRPr="00AD33E8">
        <w:rPr>
          <w:snapToGrid w:val="0"/>
        </w:rPr>
        <w:t>För den här under</w:t>
      </w:r>
      <w:r w:rsidRPr="00AD33E8">
        <w:rPr>
          <w:snapToGrid w:val="0"/>
        </w:rPr>
        <w:softHyphen/>
        <w:t>sökningen har följande definition av statens personalp</w:t>
      </w:r>
      <w:r w:rsidRPr="00AD33E8">
        <w:rPr>
          <w:snapToGrid w:val="0"/>
        </w:rPr>
        <w:t>o</w:t>
      </w:r>
      <w:r w:rsidRPr="00AD33E8">
        <w:rPr>
          <w:snapToGrid w:val="0"/>
        </w:rPr>
        <w:t>litik använts. ”Perso</w:t>
      </w:r>
      <w:r w:rsidRPr="00AD33E8">
        <w:rPr>
          <w:snapToGrid w:val="0"/>
        </w:rPr>
        <w:softHyphen/>
        <w:t xml:space="preserve">nalpolitik i staten är värderingar, normer eller åtgärder som syftar till att rekrytera, leda, behålla, utveckla och avveckla statliga tjänstemän så att riksdagens beslut kan genomföras så bra som möjligt samt att relationerna mellan de anställda och den statliga arbetsgivaren regleras och hålls tydliga”. </w:t>
      </w:r>
    </w:p>
    <w:p w:rsidR="007B7A21" w:rsidRPr="00AD33E8" w:rsidRDefault="007B7A21">
      <w:pPr>
        <w:pStyle w:val="Normaltindrag"/>
        <w:rPr>
          <w:snapToGrid w:val="0"/>
        </w:rPr>
      </w:pPr>
    </w:p>
    <w:p w:rsidR="007B7A21" w:rsidRPr="00AD33E8" w:rsidRDefault="007B7A21">
      <w:pPr>
        <w:pStyle w:val="Rubrik3"/>
        <w:rPr>
          <w:snapToGrid w:val="0"/>
        </w:rPr>
      </w:pPr>
      <w:bookmarkStart w:id="367" w:name="_Toc3887452"/>
      <w:bookmarkStart w:id="368" w:name="_Toc21425365"/>
      <w:r w:rsidRPr="00AD33E8">
        <w:t>Innebörden av den arbetsgivarpolitiska delegeringen måste  preciseras</w:t>
      </w:r>
      <w:bookmarkEnd w:id="367"/>
      <w:bookmarkEnd w:id="368"/>
    </w:p>
    <w:p w:rsidR="007B7A21" w:rsidRPr="00AD33E8" w:rsidRDefault="007B7A21">
      <w:pPr>
        <w:rPr>
          <w:snapToGrid w:val="0"/>
        </w:rPr>
      </w:pPr>
      <w:r w:rsidRPr="00AD33E8">
        <w:rPr>
          <w:snapToGrid w:val="0"/>
        </w:rPr>
        <w:t>Den arbetsgivarpolitiska delegeringen har, som ovan nämnts, varit en viktig förutsättning för den statliga personal</w:t>
      </w:r>
      <w:r w:rsidRPr="00AD33E8">
        <w:rPr>
          <w:snapToGrid w:val="0"/>
        </w:rPr>
        <w:softHyphen/>
        <w:t>politiken och den statliga verksamh</w:t>
      </w:r>
      <w:r w:rsidRPr="00AD33E8">
        <w:rPr>
          <w:snapToGrid w:val="0"/>
        </w:rPr>
        <w:t>e</w:t>
      </w:r>
      <w:r w:rsidRPr="00AD33E8">
        <w:rPr>
          <w:snapToGrid w:val="0"/>
        </w:rPr>
        <w:t>tens förnyelse. Den är dock inte den enda eller huvudsakliga. Enligt revis</w:t>
      </w:r>
      <w:r w:rsidRPr="00AD33E8">
        <w:rPr>
          <w:snapToGrid w:val="0"/>
        </w:rPr>
        <w:t>o</w:t>
      </w:r>
      <w:r w:rsidRPr="00AD33E8">
        <w:rPr>
          <w:snapToGrid w:val="0"/>
        </w:rPr>
        <w:t>rerna bör den arbetsgivarpolitiska delege</w:t>
      </w:r>
      <w:r w:rsidRPr="00AD33E8">
        <w:rPr>
          <w:snapToGrid w:val="0"/>
        </w:rPr>
        <w:softHyphen/>
        <w:t>ringen fortsätta och utvecklas sa</w:t>
      </w:r>
      <w:r w:rsidRPr="00AD33E8">
        <w:rPr>
          <w:snapToGrid w:val="0"/>
        </w:rPr>
        <w:t>m</w:t>
      </w:r>
      <w:r w:rsidRPr="00AD33E8">
        <w:rPr>
          <w:snapToGrid w:val="0"/>
        </w:rPr>
        <w:t xml:space="preserve">tidigt som dess innebörd och räckvidd på flera punkter behöver preciseras eller avgränsas. </w:t>
      </w:r>
      <w:r w:rsidRPr="00AD33E8">
        <w:t xml:space="preserve">Revisorerna anser samtidigt att </w:t>
      </w:r>
      <w:r w:rsidRPr="00AD33E8">
        <w:rPr>
          <w:snapToGrid w:val="0"/>
        </w:rPr>
        <w:t>en personalpolitik i staten som i alltför hög grad inriktas på arbets</w:t>
      </w:r>
      <w:r w:rsidRPr="00AD33E8">
        <w:rPr>
          <w:snapToGrid w:val="0"/>
        </w:rPr>
        <w:softHyphen/>
        <w:t>givar</w:t>
      </w:r>
      <w:r w:rsidRPr="00AD33E8">
        <w:rPr>
          <w:snapToGrid w:val="0"/>
        </w:rPr>
        <w:softHyphen/>
        <w:t xml:space="preserve">rollen bortser från andra centrala delar av personalpolitiken och  från personalens relation till medborgarna. </w:t>
      </w:r>
    </w:p>
    <w:p w:rsidR="007B7A21" w:rsidRPr="00AD33E8" w:rsidRDefault="007B7A21">
      <w:pPr>
        <w:pStyle w:val="Normaltindrag"/>
      </w:pPr>
      <w:r w:rsidRPr="00AD33E8">
        <w:t>Revisorerna a</w:t>
      </w:r>
      <w:r w:rsidRPr="00AD33E8">
        <w:t>nser att regeringen bör precisera och tydliggöra den arbetsg</w:t>
      </w:r>
      <w:r w:rsidRPr="00AD33E8">
        <w:t>i</w:t>
      </w:r>
      <w:r w:rsidRPr="00AD33E8">
        <w:t>varpolitiska delegeringens räckvidd och begränsningar på främst tre omr</w:t>
      </w:r>
      <w:r w:rsidRPr="00AD33E8">
        <w:t>å</w:t>
      </w:r>
      <w:r w:rsidRPr="00AD33E8">
        <w:t>den:</w:t>
      </w:r>
    </w:p>
    <w:p w:rsidR="007B7A21" w:rsidRPr="00AD33E8" w:rsidRDefault="007B7A21">
      <w:pPr>
        <w:pStyle w:val="Normaltindrag"/>
        <w:numPr>
          <w:ilvl w:val="0"/>
          <w:numId w:val="10"/>
        </w:numPr>
      </w:pPr>
      <w:r w:rsidRPr="00AD33E8">
        <w:t>Delegering innebär inte godtycke</w:t>
      </w:r>
    </w:p>
    <w:p w:rsidR="007B7A21" w:rsidRPr="00AD33E8" w:rsidRDefault="007B7A21">
      <w:pPr>
        <w:pStyle w:val="Normaltindrag"/>
        <w:numPr>
          <w:ilvl w:val="0"/>
          <w:numId w:val="10"/>
        </w:numPr>
      </w:pPr>
      <w:r w:rsidRPr="00AD33E8">
        <w:t>Arbetslednings- och arbetsgivarfrågor är  inte identiska</w:t>
      </w:r>
    </w:p>
    <w:p w:rsidR="007B7A21" w:rsidRPr="00AD33E8" w:rsidRDefault="007B7A21">
      <w:pPr>
        <w:pStyle w:val="Normaltindrag"/>
        <w:numPr>
          <w:ilvl w:val="0"/>
          <w:numId w:val="10"/>
        </w:numPr>
      </w:pPr>
      <w:r w:rsidRPr="00AD33E8">
        <w:t>Innebörden av personalpolitikens mål kan inte delegeras</w:t>
      </w:r>
    </w:p>
    <w:p w:rsidR="007B7A21" w:rsidRPr="00AD33E8" w:rsidRDefault="007B7A21">
      <w:pPr>
        <w:pStyle w:val="Rubrik4"/>
        <w:numPr>
          <w:ilvl w:val="0"/>
          <w:numId w:val="0"/>
        </w:numPr>
        <w:spacing w:after="120"/>
        <w:rPr>
          <w:snapToGrid w:val="0"/>
        </w:rPr>
      </w:pPr>
      <w:bookmarkStart w:id="369" w:name="_Toc3887453"/>
      <w:bookmarkStart w:id="370" w:name="_Toc21425366"/>
      <w:r w:rsidRPr="00AD33E8">
        <w:rPr>
          <w:snapToGrid w:val="0"/>
        </w:rPr>
        <w:t>Delegering innebär inte godtycke</w:t>
      </w:r>
      <w:bookmarkEnd w:id="369"/>
      <w:bookmarkEnd w:id="370"/>
    </w:p>
    <w:p w:rsidR="007B7A21" w:rsidRPr="00AD33E8" w:rsidRDefault="007B7A21">
      <w:pPr>
        <w:spacing w:before="0"/>
        <w:rPr>
          <w:snapToGrid w:val="0"/>
        </w:rPr>
      </w:pPr>
      <w:r w:rsidRPr="00AD33E8">
        <w:rPr>
          <w:snapToGrid w:val="0"/>
        </w:rPr>
        <w:t>Samtidigt som statsmakterna delegerade arbets</w:t>
      </w:r>
      <w:r w:rsidRPr="00AD33E8">
        <w:rPr>
          <w:snapToGrid w:val="0"/>
        </w:rPr>
        <w:softHyphen/>
        <w:t>gi</w:t>
      </w:r>
      <w:r w:rsidRPr="00AD33E8">
        <w:rPr>
          <w:snapToGrid w:val="0"/>
        </w:rPr>
        <w:softHyphen/>
        <w:t>var</w:t>
      </w:r>
      <w:r w:rsidRPr="00AD33E8">
        <w:rPr>
          <w:snapToGrid w:val="0"/>
        </w:rPr>
        <w:softHyphen/>
        <w:t>politiken till myndigh</w:t>
      </w:r>
      <w:r w:rsidRPr="00AD33E8">
        <w:rPr>
          <w:snapToGrid w:val="0"/>
        </w:rPr>
        <w:t>e</w:t>
      </w:r>
      <w:r w:rsidRPr="00AD33E8">
        <w:rPr>
          <w:snapToGrid w:val="0"/>
        </w:rPr>
        <w:t>terna  avreglerades det personal</w:t>
      </w:r>
      <w:r w:rsidRPr="00AD33E8">
        <w:rPr>
          <w:snapToGrid w:val="0"/>
        </w:rPr>
        <w:softHyphen/>
        <w:t>politiska regelverket. Dessa åtgärder var nära förknippade med varandra. Med delegeringen flyttades en rad beslut ut till myndighetscheferna. Med avregleringen minskade antalet föreskrifter och anvisningar för personal</w:t>
      </w:r>
      <w:r w:rsidRPr="00AD33E8">
        <w:rPr>
          <w:snapToGrid w:val="0"/>
        </w:rPr>
        <w:softHyphen/>
        <w:t>politikens utformning. Avsikten med att flytta b</w:t>
      </w:r>
      <w:r w:rsidRPr="00AD33E8">
        <w:rPr>
          <w:snapToGrid w:val="0"/>
        </w:rPr>
        <w:t>e</w:t>
      </w:r>
      <w:r w:rsidRPr="00AD33E8">
        <w:rPr>
          <w:snapToGrid w:val="0"/>
        </w:rPr>
        <w:t>sluten närmare verk</w:t>
      </w:r>
      <w:r w:rsidRPr="00AD33E8">
        <w:rPr>
          <w:snapToGrid w:val="0"/>
        </w:rPr>
        <w:softHyphen/>
        <w:t>sam</w:t>
      </w:r>
      <w:r w:rsidRPr="00AD33E8">
        <w:rPr>
          <w:snapToGrid w:val="0"/>
        </w:rPr>
        <w:softHyphen/>
        <w:t>heten var att möjliggöra effektivisering genom ver</w:t>
      </w:r>
      <w:r w:rsidRPr="00AD33E8">
        <w:rPr>
          <w:snapToGrid w:val="0"/>
        </w:rPr>
        <w:t>k</w:t>
      </w:r>
      <w:r w:rsidRPr="00AD33E8">
        <w:rPr>
          <w:snapToGrid w:val="0"/>
        </w:rPr>
        <w:t>sam</w:t>
      </w:r>
      <w:r w:rsidRPr="00AD33E8">
        <w:rPr>
          <w:snapToGrid w:val="0"/>
        </w:rPr>
        <w:softHyphen/>
        <w:t>het</w:t>
      </w:r>
      <w:r w:rsidRPr="00AD33E8">
        <w:rPr>
          <w:snapToGrid w:val="0"/>
        </w:rPr>
        <w:softHyphen/>
        <w:t>sanpassning. Den ökade formella fri</w:t>
      </w:r>
      <w:r w:rsidRPr="00AD33E8">
        <w:rPr>
          <w:snapToGrid w:val="0"/>
        </w:rPr>
        <w:softHyphen/>
        <w:t>heten för de statliga arbetsgivarna inne</w:t>
      </w:r>
      <w:r w:rsidRPr="00AD33E8">
        <w:rPr>
          <w:snapToGrid w:val="0"/>
        </w:rPr>
        <w:softHyphen/>
        <w:t>bär dock inte att an</w:t>
      </w:r>
      <w:r w:rsidRPr="00AD33E8">
        <w:rPr>
          <w:snapToGrid w:val="0"/>
        </w:rPr>
        <w:t>svaret i perso</w:t>
      </w:r>
      <w:r w:rsidRPr="00AD33E8">
        <w:rPr>
          <w:snapToGrid w:val="0"/>
        </w:rPr>
        <w:softHyphen/>
        <w:t>nal</w:t>
      </w:r>
      <w:r w:rsidRPr="00AD33E8">
        <w:rPr>
          <w:snapToGrid w:val="0"/>
        </w:rPr>
        <w:softHyphen/>
        <w:t xml:space="preserve">politiska frågor minskar i förhållande till statsmakterna, särskilt inte vad gäller uppföljning, </w:t>
      </w:r>
    </w:p>
    <w:p w:rsidR="007B7A21" w:rsidRPr="00AD33E8" w:rsidRDefault="007B7A21">
      <w:pPr>
        <w:pStyle w:val="Normaltindrag"/>
        <w:rPr>
          <w:snapToGrid w:val="0"/>
        </w:rPr>
      </w:pPr>
      <w:r w:rsidRPr="00AD33E8">
        <w:rPr>
          <w:snapToGrid w:val="0"/>
        </w:rPr>
        <w:t>Revisorerna har i granskningen funnit att även när beslut fattats på ett fo</w:t>
      </w:r>
      <w:r w:rsidRPr="00AD33E8">
        <w:rPr>
          <w:snapToGrid w:val="0"/>
        </w:rPr>
        <w:t>r</w:t>
      </w:r>
      <w:r w:rsidRPr="00AD33E8">
        <w:rPr>
          <w:snapToGrid w:val="0"/>
        </w:rPr>
        <w:t>mellt riktigt sätt kan det kvarstå frågor t.ex. om den sakliga grunden eller om statens gemensamma bästa beaktats. Samma iakttagelser har revisorerna tidigare gjort i granskningar som Myndigheternas lönekostnader (rapport 1998/99:5), Arbetslinjens tillämpning för de äldre (rapport 1999/2000:7) eller Domar</w:t>
      </w:r>
      <w:r w:rsidRPr="00AD33E8">
        <w:rPr>
          <w:snapToGrid w:val="0"/>
        </w:rPr>
        <w:softHyphen/>
        <w:t>löner (informationsrapport 2001/2002:1). Delegeringen eller ett minskat regelverk medför inte enligt revisorerna att regeringen kan avstå från att ange normer till vägledning för de statliga arbetsgivarna</w:t>
      </w:r>
      <w:r w:rsidRPr="00AD33E8">
        <w:rPr>
          <w:snapToGrid w:val="0"/>
        </w:rPr>
        <w:t>. Uppföljningen blir därmed en viktig del i regeringens arbete med att utveckla den statliga personalpolitiken.</w:t>
      </w:r>
    </w:p>
    <w:p w:rsidR="007B7A21" w:rsidRPr="00AD33E8" w:rsidRDefault="007B7A21">
      <w:pPr>
        <w:pStyle w:val="Rubrik4"/>
        <w:numPr>
          <w:ilvl w:val="0"/>
          <w:numId w:val="0"/>
        </w:numPr>
        <w:spacing w:after="120"/>
      </w:pPr>
      <w:bookmarkStart w:id="371" w:name="_Toc3887454"/>
      <w:bookmarkStart w:id="372" w:name="_Toc21425367"/>
      <w:r w:rsidRPr="00AD33E8">
        <w:t>Arbetslednings- och arbetsgivarfrågor är inte identiska</w:t>
      </w:r>
      <w:bookmarkEnd w:id="371"/>
      <w:bookmarkEnd w:id="372"/>
    </w:p>
    <w:p w:rsidR="007B7A21" w:rsidRPr="00AD33E8" w:rsidRDefault="007B7A21">
      <w:pPr>
        <w:spacing w:before="0"/>
        <w:rPr>
          <w:snapToGrid w:val="0"/>
        </w:rPr>
      </w:pPr>
      <w:r w:rsidRPr="00AD33E8">
        <w:rPr>
          <w:snapToGrid w:val="0"/>
        </w:rPr>
        <w:t>Det finns en principiell skillnad mellan arbetsledningsfrågor och arbets</w:t>
      </w:r>
      <w:r w:rsidRPr="00AD33E8">
        <w:rPr>
          <w:snapToGrid w:val="0"/>
        </w:rPr>
        <w:softHyphen/>
        <w:t>givar</w:t>
      </w:r>
      <w:r w:rsidRPr="00AD33E8">
        <w:rPr>
          <w:snapToGrid w:val="0"/>
        </w:rPr>
        <w:softHyphen/>
        <w:t>frågor i staten. I arbetsgivarfrågor finns det två par</w:t>
      </w:r>
      <w:r w:rsidRPr="00AD33E8">
        <w:rPr>
          <w:snapToGrid w:val="0"/>
        </w:rPr>
        <w:softHyphen/>
        <w:t>ter, arbetsgivare och a</w:t>
      </w:r>
      <w:r w:rsidRPr="00AD33E8">
        <w:rPr>
          <w:snapToGrid w:val="0"/>
        </w:rPr>
        <w:t>r</w:t>
      </w:r>
      <w:r w:rsidRPr="00AD33E8">
        <w:rPr>
          <w:snapToGrid w:val="0"/>
        </w:rPr>
        <w:t>bets</w:t>
      </w:r>
      <w:r w:rsidRPr="00AD33E8">
        <w:rPr>
          <w:snapToGrid w:val="0"/>
        </w:rPr>
        <w:softHyphen/>
        <w:t>tagare, där ibland motsatta intressen ska balanseras och reg</w:t>
      </w:r>
      <w:r w:rsidRPr="00AD33E8">
        <w:rPr>
          <w:snapToGrid w:val="0"/>
        </w:rPr>
        <w:softHyphen/>
        <w:t>leras. För statens arbetsledning däremot finns det inte samma tydliga motsättningar eller parter. Den svenska förvalt</w:t>
      </w:r>
      <w:r w:rsidRPr="00AD33E8">
        <w:rPr>
          <w:snapToGrid w:val="0"/>
        </w:rPr>
        <w:softHyphen/>
        <w:t>nings</w:t>
      </w:r>
      <w:r w:rsidRPr="00AD33E8">
        <w:rPr>
          <w:snapToGrid w:val="0"/>
        </w:rPr>
        <w:softHyphen/>
        <w:t>politiken bygger på politikens överor</w:t>
      </w:r>
      <w:r w:rsidRPr="00AD33E8">
        <w:rPr>
          <w:snapToGrid w:val="0"/>
        </w:rPr>
        <w:t>d</w:t>
      </w:r>
      <w:r w:rsidRPr="00AD33E8">
        <w:rPr>
          <w:snapToGrid w:val="0"/>
        </w:rPr>
        <w:t>ning och man kan enligt revisorerna utgå från att såväl arbets</w:t>
      </w:r>
      <w:r w:rsidRPr="00AD33E8">
        <w:rPr>
          <w:snapToGrid w:val="0"/>
        </w:rPr>
        <w:softHyphen/>
        <w:t>gi</w:t>
      </w:r>
      <w:r w:rsidRPr="00AD33E8">
        <w:rPr>
          <w:snapToGrid w:val="0"/>
        </w:rPr>
        <w:softHyphen/>
        <w:t>vare som arbetstagare följer riksdagens beslut. Arbetsledningsfrågorna har enligt rev</w:t>
      </w:r>
      <w:r w:rsidRPr="00AD33E8">
        <w:rPr>
          <w:snapToGrid w:val="0"/>
        </w:rPr>
        <w:t>i</w:t>
      </w:r>
      <w:r w:rsidRPr="00AD33E8">
        <w:rPr>
          <w:snapToGrid w:val="0"/>
        </w:rPr>
        <w:t>sorerna försummats när det gäller att utveckla</w:t>
      </w:r>
      <w:r w:rsidRPr="00AD33E8">
        <w:rPr>
          <w:snapToGrid w:val="0"/>
        </w:rPr>
        <w:t xml:space="preserve"> den statliga personalpolitiken. I alltför hög grad har enligt revisorerna den statliga personalpolitiken fokus</w:t>
      </w:r>
      <w:r w:rsidRPr="00AD33E8">
        <w:rPr>
          <w:snapToGrid w:val="0"/>
        </w:rPr>
        <w:t>e</w:t>
      </w:r>
      <w:r w:rsidRPr="00AD33E8">
        <w:rPr>
          <w:snapToGrid w:val="0"/>
        </w:rPr>
        <w:t>rat kring arbetsgivarfrågorna.</w:t>
      </w:r>
    </w:p>
    <w:p w:rsidR="007B7A21" w:rsidRPr="00AD33E8" w:rsidRDefault="007B7A21">
      <w:pPr>
        <w:pStyle w:val="Rubrik4"/>
        <w:numPr>
          <w:ilvl w:val="0"/>
          <w:numId w:val="0"/>
        </w:numPr>
        <w:spacing w:after="120"/>
      </w:pPr>
      <w:bookmarkStart w:id="373" w:name="_Toc3887455"/>
      <w:bookmarkStart w:id="374" w:name="_Toc21425368"/>
      <w:r w:rsidRPr="00AD33E8">
        <w:t>Innebörden av personalpolitikens  mål  kan inte delegeras</w:t>
      </w:r>
      <w:bookmarkEnd w:id="373"/>
      <w:bookmarkEnd w:id="374"/>
    </w:p>
    <w:p w:rsidR="007B7A21" w:rsidRPr="00AD33E8" w:rsidRDefault="007B7A21">
      <w:pPr>
        <w:spacing w:before="0"/>
        <w:rPr>
          <w:snapToGrid w:val="0"/>
        </w:rPr>
      </w:pPr>
      <w:r w:rsidRPr="00AD33E8">
        <w:rPr>
          <w:snapToGrid w:val="0"/>
        </w:rPr>
        <w:t>I regeringsformen och verksförordningen ställs krav på den statliga förval</w:t>
      </w:r>
      <w:r w:rsidRPr="00AD33E8">
        <w:rPr>
          <w:snapToGrid w:val="0"/>
        </w:rPr>
        <w:t>t</w:t>
      </w:r>
      <w:r w:rsidRPr="00AD33E8">
        <w:rPr>
          <w:snapToGrid w:val="0"/>
        </w:rPr>
        <w:t>ningen, på dess ledning och på dess personal. Alla ärenden och åt</w:t>
      </w:r>
      <w:r w:rsidRPr="00AD33E8">
        <w:rPr>
          <w:snapToGrid w:val="0"/>
        </w:rPr>
        <w:softHyphen/>
        <w:t>gär</w:t>
      </w:r>
      <w:r w:rsidRPr="00AD33E8">
        <w:rPr>
          <w:snapToGrid w:val="0"/>
        </w:rPr>
        <w:softHyphen/>
        <w:t>der i den statliga förvaltningen ska kunna prövas mot kravet på saklighet. All statlig verksamhet ska utformas så effektivt som möjligt. Enligt revisorerna kan det inte vara den enskilde statliga arbetsgivarens uppgift att bestämma innehållet i eller innebörden av dessa begrepp. Det är enligt revisorerna regeringens ansvar att konkretisera innebörden av dessa begrepp så att de blir både styrande och uppföljningsbara inom den statliga per</w:t>
      </w:r>
      <w:r w:rsidRPr="00AD33E8">
        <w:rPr>
          <w:snapToGrid w:val="0"/>
        </w:rPr>
        <w:t>sonalp</w:t>
      </w:r>
      <w:r w:rsidRPr="00AD33E8">
        <w:rPr>
          <w:snapToGrid w:val="0"/>
        </w:rPr>
        <w:t>o</w:t>
      </w:r>
      <w:r w:rsidRPr="00AD33E8">
        <w:rPr>
          <w:snapToGrid w:val="0"/>
        </w:rPr>
        <w:t>litiken.</w:t>
      </w:r>
    </w:p>
    <w:p w:rsidR="007B7A21" w:rsidRPr="00AD33E8" w:rsidRDefault="007B7A21">
      <w:pPr>
        <w:pStyle w:val="Rubrik3"/>
      </w:pPr>
      <w:bookmarkStart w:id="375" w:name="_Toc3887456"/>
      <w:bookmarkStart w:id="376" w:name="_Toc21425369"/>
      <w:r w:rsidRPr="00AD33E8">
        <w:t>Tydligare chefskap  och bättre redovisning</w:t>
      </w:r>
      <w:bookmarkEnd w:id="375"/>
      <w:bookmarkEnd w:id="376"/>
    </w:p>
    <w:p w:rsidR="007B7A21" w:rsidRPr="00AD33E8" w:rsidRDefault="007B7A21">
      <w:r w:rsidRPr="00AD33E8">
        <w:t>Granskningen visar att det finns brister i det statliga chefskapet. Det är fråga om brister i tydlighet, saklighet och lyhördhet. Tydligheten är, enligt revis</w:t>
      </w:r>
      <w:r w:rsidRPr="00AD33E8">
        <w:t>o</w:t>
      </w:r>
      <w:r w:rsidRPr="00AD33E8">
        <w:t>rernas mening, viktig ur flera perspektiv:</w:t>
      </w:r>
    </w:p>
    <w:p w:rsidR="007B7A21" w:rsidRPr="00AD33E8" w:rsidRDefault="007B7A21">
      <w:pPr>
        <w:pStyle w:val="Normaltindrag"/>
        <w:numPr>
          <w:ilvl w:val="0"/>
          <w:numId w:val="94"/>
        </w:numPr>
      </w:pPr>
      <w:r w:rsidRPr="00AD33E8">
        <w:t>När en medarbetare inte presterar enligt kraven behövs en tidig rea</w:t>
      </w:r>
      <w:r w:rsidRPr="00AD33E8">
        <w:t>k</w:t>
      </w:r>
      <w:r w:rsidRPr="00AD33E8">
        <w:t xml:space="preserve">tion. Det gäller chefer på samtliga nivåer, regeringen har t.ex. ett särskilt ansvar i förhållande till verksledningarna. </w:t>
      </w:r>
    </w:p>
    <w:p w:rsidR="007B7A21" w:rsidRPr="00AD33E8" w:rsidRDefault="007B7A21">
      <w:pPr>
        <w:pStyle w:val="Normaltindrag"/>
        <w:numPr>
          <w:ilvl w:val="0"/>
          <w:numId w:val="94"/>
        </w:numPr>
      </w:pPr>
      <w:r w:rsidRPr="00AD33E8">
        <w:t>Tydliga mo</w:t>
      </w:r>
      <w:r w:rsidRPr="00AD33E8">
        <w:softHyphen/>
        <w:t>tive</w:t>
      </w:r>
      <w:r w:rsidRPr="00AD33E8">
        <w:softHyphen/>
      </w:r>
      <w:r w:rsidRPr="00AD33E8">
        <w:softHyphen/>
        <w:t>ringar för olika åtgärder som synes främmande eller överraskande för personalen kan förhindra missnöje och motstånd.</w:t>
      </w:r>
    </w:p>
    <w:p w:rsidR="007B7A21" w:rsidRPr="00AD33E8" w:rsidRDefault="007B7A21">
      <w:pPr>
        <w:pStyle w:val="Normaltindrag"/>
        <w:numPr>
          <w:ilvl w:val="0"/>
          <w:numId w:val="94"/>
        </w:numPr>
      </w:pPr>
      <w:r w:rsidRPr="00AD33E8">
        <w:t>Tydlighet från chefer uppåt i hierarkierna är viktig för att ge beslutande och budgeterande instanser realistiska och rättvisande bilder av verksa</w:t>
      </w:r>
      <w:r w:rsidRPr="00AD33E8">
        <w:t>m</w:t>
      </w:r>
      <w:r w:rsidRPr="00AD33E8">
        <w:t>heten och dess villkor. Ett jasägande chefsskap kan ge intrycket av att ch</w:t>
      </w:r>
      <w:r w:rsidRPr="00AD33E8">
        <w:t>e</w:t>
      </w:r>
      <w:r w:rsidRPr="00AD33E8">
        <w:t>fen sätter sin egen karriär före verksamhetens eller statens intressen.</w:t>
      </w:r>
    </w:p>
    <w:p w:rsidR="007B7A21" w:rsidRPr="00AD33E8" w:rsidRDefault="007B7A21">
      <w:pPr>
        <w:pStyle w:val="Normaltindrag"/>
        <w:numPr>
          <w:ilvl w:val="0"/>
          <w:numId w:val="94"/>
        </w:numPr>
      </w:pPr>
      <w:r w:rsidRPr="00AD33E8">
        <w:t>Tydliga relationer mellan medarbetare i olika roller är vikt</w:t>
      </w:r>
      <w:r w:rsidRPr="00AD33E8">
        <w:t>i</w:t>
      </w:r>
      <w:r w:rsidRPr="00AD33E8">
        <w:t xml:space="preserve">ga. </w:t>
      </w:r>
    </w:p>
    <w:p w:rsidR="007B7A21" w:rsidRPr="00AD33E8" w:rsidRDefault="007B7A21">
      <w:pPr>
        <w:pStyle w:val="Normaltindrag"/>
        <w:ind w:firstLine="0"/>
      </w:pPr>
    </w:p>
    <w:p w:rsidR="007B7A21" w:rsidRPr="00AD33E8" w:rsidRDefault="007B7A21">
      <w:pPr>
        <w:pStyle w:val="Normaltindrag"/>
        <w:ind w:firstLine="0"/>
      </w:pPr>
      <w:r w:rsidRPr="00AD33E8">
        <w:t>Saklighet är nära förknippad med tydlighet. Bristande tydlighet i motiverin</w:t>
      </w:r>
      <w:r w:rsidRPr="00AD33E8">
        <w:t>g</w:t>
      </w:r>
      <w:r w:rsidRPr="00AD33E8">
        <w:t>ar av åtgärder, omorganisationer eller tillsättningar kan bero på att argume</w:t>
      </w:r>
      <w:r w:rsidRPr="00AD33E8">
        <w:t>n</w:t>
      </w:r>
      <w:r w:rsidRPr="00AD33E8">
        <w:t>ten för beslutet i fråga sakligt sett är svaga. Omorganisation har ibland a</w:t>
      </w:r>
      <w:r w:rsidRPr="00AD33E8">
        <w:t>n</w:t>
      </w:r>
      <w:r w:rsidRPr="00AD33E8">
        <w:t>vänts som stan</w:t>
      </w:r>
      <w:r w:rsidRPr="00AD33E8">
        <w:softHyphen/>
        <w:t>dardåtgärd vid föreställningar om problem i en verksamhet. Bedömningen att det gått ”mode” i omorganisationer eller reformer för</w:t>
      </w:r>
      <w:r w:rsidRPr="00AD33E8">
        <w:t>e</w:t>
      </w:r>
      <w:r w:rsidRPr="00AD33E8">
        <w:t>kommer ofta i rev</w:t>
      </w:r>
      <w:r w:rsidRPr="00AD33E8">
        <w:t>i</w:t>
      </w:r>
      <w:r w:rsidRPr="00AD33E8">
        <w:t>sorernas fallstudier.</w:t>
      </w:r>
    </w:p>
    <w:p w:rsidR="007B7A21" w:rsidRPr="00AD33E8" w:rsidRDefault="007B7A21">
      <w:pPr>
        <w:pStyle w:val="Normaltindrag"/>
      </w:pPr>
      <w:r w:rsidRPr="00AD33E8">
        <w:t>Lyhördhet i olika chefs- eller ledningsbefattningar är, enligt revi</w:t>
      </w:r>
      <w:r w:rsidRPr="00AD33E8">
        <w:softHyphen/>
        <w:t>sorer</w:t>
      </w:r>
      <w:r w:rsidRPr="00AD33E8">
        <w:softHyphen/>
        <w:t>nas be</w:t>
      </w:r>
      <w:r w:rsidRPr="00AD33E8">
        <w:softHyphen/>
        <w:t>döm</w:t>
      </w:r>
      <w:r w:rsidRPr="00AD33E8">
        <w:softHyphen/>
      </w:r>
      <w:r w:rsidRPr="00AD33E8">
        <w:softHyphen/>
        <w:t>ning, kopplad till tydlighet och saklighet. Bedömningar eller argument som inte omedelbart stämmer med rådande uppfattningar får inte godtyckligt eller schablonmässigt avföras.</w:t>
      </w:r>
    </w:p>
    <w:p w:rsidR="007B7A21" w:rsidRPr="00AD33E8" w:rsidRDefault="007B7A21">
      <w:pPr>
        <w:pStyle w:val="Normaltindrag"/>
      </w:pPr>
      <w:r w:rsidRPr="00AD33E8">
        <w:t>Revisorernas bedömning är att både personalpolitiska program och exist</w:t>
      </w:r>
      <w:r w:rsidRPr="00AD33E8">
        <w:t>e</w:t>
      </w:r>
      <w:r w:rsidRPr="00AD33E8">
        <w:t>rande regelverk väl uttrycker värdet av tydlighet, saklighet eller lyhördhet. Det är vid efterlevnaden av ifråga</w:t>
      </w:r>
      <w:r w:rsidRPr="00AD33E8">
        <w:softHyphen/>
        <w:t>varande bestämmelser i regeringsformen och verksförord</w:t>
      </w:r>
      <w:r w:rsidRPr="00AD33E8">
        <w:softHyphen/>
        <w:t>ningen som det i flera fall brister. Kravet i förvaltningslagen på motivering av beslut bör enligt revisorerna också gälla vid personalpol</w:t>
      </w:r>
      <w:r w:rsidRPr="00AD33E8">
        <w:t>i</w:t>
      </w:r>
      <w:r w:rsidRPr="00AD33E8">
        <w:t>tiska beslut och åtgärder. Vidare bör regeringen pröva möjligheten att myn</w:t>
      </w:r>
      <w:r w:rsidRPr="00AD33E8">
        <w:softHyphen/>
        <w:t>digheterna i sina budgetunderlag ska redovisa och motivera större plane</w:t>
      </w:r>
      <w:r w:rsidRPr="00AD33E8">
        <w:softHyphen/>
        <w:t>rade om</w:t>
      </w:r>
      <w:r w:rsidRPr="00AD33E8">
        <w:softHyphen/>
        <w:t>ställ</w:t>
      </w:r>
      <w:r w:rsidRPr="00AD33E8">
        <w:softHyphen/>
        <w:t>ningar samt kalkyler och kostnadskonsekvens</w:t>
      </w:r>
      <w:r w:rsidRPr="00AD33E8">
        <w:t>er för dessa. Även myndighetens beman</w:t>
      </w:r>
      <w:r w:rsidRPr="00AD33E8">
        <w:softHyphen/>
        <w:t>nings</w:t>
      </w:r>
      <w:r w:rsidRPr="00AD33E8">
        <w:softHyphen/>
        <w:t>situation och konsekvenserna av denna bör red</w:t>
      </w:r>
      <w:r w:rsidRPr="00AD33E8">
        <w:t>o</w:t>
      </w:r>
      <w:r w:rsidRPr="00AD33E8">
        <w:t xml:space="preserve">visas. </w:t>
      </w:r>
    </w:p>
    <w:p w:rsidR="007B7A21" w:rsidRPr="00AD33E8" w:rsidRDefault="007B7A21">
      <w:pPr>
        <w:pStyle w:val="Rubrik3"/>
      </w:pPr>
      <w:bookmarkStart w:id="377" w:name="_Toc3887457"/>
      <w:bookmarkStart w:id="378" w:name="_Toc21425370"/>
      <w:r w:rsidRPr="00AD33E8">
        <w:t>Den personalpolitiska uppföljningen behöver  verksamhetsanpassas</w:t>
      </w:r>
      <w:bookmarkEnd w:id="377"/>
      <w:bookmarkEnd w:id="378"/>
      <w:r w:rsidRPr="00AD33E8">
        <w:t xml:space="preserve"> </w:t>
      </w:r>
    </w:p>
    <w:p w:rsidR="007B7A21" w:rsidRPr="00AD33E8" w:rsidRDefault="007B7A21">
      <w:r w:rsidRPr="00AD33E8">
        <w:t>Rege</w:t>
      </w:r>
      <w:r w:rsidRPr="00AD33E8">
        <w:softHyphen/>
        <w:t>ringens uppföljning av personalpolitiken kan utvecklas ytterligare. Den arbetsgivarpolitiska uppföljningen bör enligt revisorerna vidgas och fördj</w:t>
      </w:r>
      <w:r w:rsidRPr="00AD33E8">
        <w:t>u</w:t>
      </w:r>
      <w:r w:rsidRPr="00AD33E8">
        <w:t>pas. Nu görs den separat från myndigheternas ekonomiska redovisning. Revisorernas bedöm</w:t>
      </w:r>
      <w:r w:rsidRPr="00AD33E8">
        <w:softHyphen/>
        <w:t>ning är att olika nyckeltal, för bl.a. verksamhet, resultat, personal, ekonomi eller hälsa, bör redo</w:t>
      </w:r>
      <w:r w:rsidRPr="00AD33E8">
        <w:softHyphen/>
        <w:t>visas och analyseras samlat myndig</w:t>
      </w:r>
      <w:r w:rsidRPr="00AD33E8">
        <w:softHyphen/>
        <w:t>hets</w:t>
      </w:r>
      <w:r w:rsidRPr="00AD33E8">
        <w:softHyphen/>
        <w:t>vis. Det bör enligt revisorerna ske i myndigheternas resultat</w:t>
      </w:r>
      <w:r w:rsidRPr="00AD33E8">
        <w:softHyphen/>
        <w:t>redo</w:t>
      </w:r>
      <w:r w:rsidRPr="00AD33E8">
        <w:softHyphen/>
        <w:t>vis</w:t>
      </w:r>
      <w:r w:rsidRPr="00AD33E8">
        <w:softHyphen/>
        <w:t>ningar.</w:t>
      </w:r>
    </w:p>
    <w:p w:rsidR="007B7A21" w:rsidRPr="00AD33E8" w:rsidRDefault="007B7A21">
      <w:pPr>
        <w:pStyle w:val="Normaltindrag"/>
      </w:pPr>
      <w:r w:rsidRPr="00AD33E8">
        <w:t>Myndigheternas årsredovisningar bör ligga till grund för</w:t>
      </w:r>
      <w:r w:rsidRPr="00AD33E8">
        <w:t xml:space="preserve"> personalpolitisk uppföljning på övergripande nivå. Regeringen bör uppmärksamma och sy</w:t>
      </w:r>
      <w:r w:rsidRPr="00AD33E8">
        <w:t>s</w:t>
      </w:r>
      <w:r w:rsidRPr="00AD33E8">
        <w:t>tematisera de tendenser som kan utläsas ur årsredovisningarna. Den framtida redovisningen av den statliga personalpolitiken bör innehålla mer av kvalit</w:t>
      </w:r>
      <w:r w:rsidRPr="00AD33E8">
        <w:t>a</w:t>
      </w:r>
      <w:r w:rsidRPr="00AD33E8">
        <w:t>tiva mått där ev. skillnader mellan myndigheter bör lyftas fram. Försiktighet krävs vid redovisning av enskilda kvantitativa nyckeltal. I flera fall är de mått som i dag redovisas inte lämpade att aggregera till den statliga nivån som helhet. Personalrörlighet blir t.ex. v</w:t>
      </w:r>
      <w:r w:rsidRPr="00AD33E8">
        <w:t>id en beräkning på cen</w:t>
      </w:r>
      <w:r w:rsidRPr="00AD33E8">
        <w:softHyphen/>
        <w:t>tral nivå ett medeltal som skymmer olikheter i de enskilda verk</w:t>
      </w:r>
      <w:r w:rsidRPr="00AD33E8">
        <w:softHyphen/>
        <w:t>sam</w:t>
      </w:r>
      <w:r w:rsidRPr="00AD33E8">
        <w:softHyphen/>
        <w:t xml:space="preserve">heterna. </w:t>
      </w:r>
    </w:p>
    <w:p w:rsidR="007B7A21" w:rsidRPr="00AD33E8" w:rsidRDefault="007B7A21">
      <w:pPr>
        <w:pStyle w:val="Normaltindrag"/>
      </w:pPr>
      <w:r w:rsidRPr="00AD33E8">
        <w:t>Regeringen bör också utveckla kostnadsredovisningar som gör det möjligt att identifiera kostnader för personalpolitiska inslag i myndigheternas ver</w:t>
      </w:r>
      <w:r w:rsidRPr="00AD33E8">
        <w:t>k</w:t>
      </w:r>
      <w:r w:rsidRPr="00AD33E8">
        <w:t>samhet som t.ex. rekryteringar eller ställkostnader vid omorganisationer eller chefsbyten.</w:t>
      </w:r>
    </w:p>
    <w:p w:rsidR="007B7A21" w:rsidRPr="00AD33E8" w:rsidRDefault="007B7A21">
      <w:pPr>
        <w:pStyle w:val="Rubrik3"/>
        <w:numPr>
          <w:ilvl w:val="2"/>
          <w:numId w:val="99"/>
        </w:numPr>
      </w:pPr>
      <w:bookmarkStart w:id="379" w:name="_Toc3887458"/>
      <w:bookmarkStart w:id="380" w:name="_Toc21425371"/>
      <w:r w:rsidRPr="00AD33E8">
        <w:t>Regeringen behöver identifiera risksituationer för tidiga åtgärder</w:t>
      </w:r>
      <w:bookmarkEnd w:id="379"/>
      <w:bookmarkEnd w:id="380"/>
    </w:p>
    <w:p w:rsidR="007B7A21" w:rsidRPr="00AD33E8" w:rsidRDefault="007B7A21">
      <w:r w:rsidRPr="00AD33E8">
        <w:t>Enligt revisorerna finns det särskilda risksituationer i personal</w:t>
      </w:r>
      <w:r w:rsidRPr="00AD33E8">
        <w:softHyphen/>
        <w:t>politiken där regeringen bör identifiera risker för tidiga åtgärder, situationer där lösningar inte fungerat som avsetts. Dessa kan variera över tiden och mellan verksa</w:t>
      </w:r>
      <w:r w:rsidRPr="00AD33E8">
        <w:t>m</w:t>
      </w:r>
      <w:r w:rsidRPr="00AD33E8">
        <w:t>heter. Det kan vara en omorganisation som inte varit tillräckligt väl förb</w:t>
      </w:r>
      <w:r w:rsidRPr="00AD33E8">
        <w:t>e</w:t>
      </w:r>
      <w:r w:rsidRPr="00AD33E8">
        <w:t>redd eller motiverad. Det kan vara chefs</w:t>
      </w:r>
      <w:r w:rsidRPr="00AD33E8">
        <w:softHyphen/>
        <w:t>tillsätt</w:t>
      </w:r>
      <w:r w:rsidRPr="00AD33E8">
        <w:softHyphen/>
        <w:t>ningar som inte fungerat. Det finns en föreställning om att nya chefer automatiskt ska sätta sin prägel på verksamheten oavsett hur den fungerat. Det kan vara informella hierarkier som ger interna spänningar eller t.o</w:t>
      </w:r>
      <w:r w:rsidRPr="00AD33E8">
        <w:t>.m. mobbningssituationer. Det kan vara besparingsprogram som byggt på felaktiga föreställningar om t.ex. ratio</w:t>
      </w:r>
      <w:r w:rsidRPr="00AD33E8">
        <w:softHyphen/>
        <w:t>na</w:t>
      </w:r>
      <w:r w:rsidRPr="00AD33E8">
        <w:softHyphen/>
        <w:t>lise</w:t>
      </w:r>
      <w:r w:rsidRPr="00AD33E8">
        <w:softHyphen/>
        <w:t>ringspotentialen.</w:t>
      </w:r>
    </w:p>
    <w:p w:rsidR="007B7A21" w:rsidRPr="00AD33E8" w:rsidRDefault="007B7A21">
      <w:pPr>
        <w:pStyle w:val="Normaltindrag"/>
      </w:pPr>
      <w:r w:rsidRPr="00AD33E8">
        <w:t>Ofta finns det samband mellan sådana omständigheter och den sjukskri</w:t>
      </w:r>
      <w:r w:rsidRPr="00AD33E8">
        <w:t>v</w:t>
      </w:r>
      <w:r w:rsidRPr="00AD33E8">
        <w:t>ning som kan rela</w:t>
      </w:r>
      <w:r w:rsidRPr="00AD33E8">
        <w:softHyphen/>
        <w:t>te</w:t>
      </w:r>
      <w:r w:rsidRPr="00AD33E8">
        <w:softHyphen/>
        <w:t>ras till arbetssituationen. Ett ökat antal sjukskrivna på en arbetsplats är dock en sen signal i en lång och komplicerad process. Det finns ofta indikationer eller reaktioner som i ett betydligt tidigare skeende kunnat motivera insatser.</w:t>
      </w:r>
    </w:p>
    <w:p w:rsidR="007B7A21" w:rsidRPr="00AD33E8" w:rsidRDefault="007B7A21">
      <w:pPr>
        <w:pStyle w:val="Normaltindrag"/>
      </w:pPr>
      <w:r w:rsidRPr="00AD33E8">
        <w:t>Tidiga indikationer på missförhållanden i personalpolitiken är t.ex. olika öppna reaktioner från personalen, icke-motiverade, hastiga eller upprepade omorganisationer samt ökad personal</w:t>
      </w:r>
      <w:r w:rsidRPr="00AD33E8">
        <w:softHyphen/>
        <w:t>omsättning och chefsbyten. Hastiga förändringar i produktions</w:t>
      </w:r>
      <w:r w:rsidRPr="00AD33E8">
        <w:softHyphen/>
        <w:t>relaterade nyckeltal kan vara tecken på missfö</w:t>
      </w:r>
      <w:r w:rsidRPr="00AD33E8">
        <w:t>r</w:t>
      </w:r>
      <w:r w:rsidRPr="00AD33E8">
        <w:t>hållanden inom personalpolitiken. Det kan gälla styckkostnader, hand</w:t>
      </w:r>
      <w:r w:rsidRPr="00AD33E8">
        <w:softHyphen/>
        <w:t>lägg</w:t>
      </w:r>
      <w:r w:rsidRPr="00AD33E8">
        <w:softHyphen/>
        <w:t>ningstider, övertidsuttag eller konsultkostnader där orsakerna bakom förän</w:t>
      </w:r>
      <w:r w:rsidRPr="00AD33E8">
        <w:t>d</w:t>
      </w:r>
      <w:r w:rsidRPr="00AD33E8">
        <w:t>ringarna behöver analyseras bl.a. med avseende på pe</w:t>
      </w:r>
      <w:r w:rsidRPr="00AD33E8">
        <w:t>r</w:t>
      </w:r>
      <w:r w:rsidRPr="00AD33E8">
        <w:t>sonalområdet.</w:t>
      </w:r>
    </w:p>
    <w:p w:rsidR="007B7A21" w:rsidRPr="00AD33E8" w:rsidRDefault="007B7A21">
      <w:pPr>
        <w:pStyle w:val="Rubrik1-Utannumrering"/>
      </w:pPr>
      <w:r w:rsidRPr="00AD33E8">
        <w:br w:type="page"/>
      </w:r>
      <w:bookmarkStart w:id="381" w:name="_Toc536012869"/>
      <w:bookmarkStart w:id="382" w:name="_Toc536240574"/>
      <w:bookmarkStart w:id="383" w:name="_Toc3887459"/>
      <w:bookmarkStart w:id="384" w:name="_Toc21425372"/>
      <w:r w:rsidRPr="00AD33E8">
        <w:t>Referenser</w:t>
      </w:r>
      <w:bookmarkEnd w:id="381"/>
      <w:bookmarkEnd w:id="382"/>
      <w:bookmarkEnd w:id="383"/>
      <w:bookmarkEnd w:id="384"/>
      <w:r w:rsidRPr="00AD33E8">
        <w:t xml:space="preserve"> </w:t>
      </w:r>
    </w:p>
    <w:p w:rsidR="007B7A21" w:rsidRPr="00AD33E8" w:rsidRDefault="007B7A21">
      <w:pPr>
        <w:pStyle w:val="Rubrik2-Utannumrering"/>
      </w:pPr>
      <w:bookmarkStart w:id="385" w:name="_Toc21425373"/>
      <w:r w:rsidRPr="00AD33E8">
        <w:t>Offentligt tryck</w:t>
      </w:r>
      <w:bookmarkEnd w:id="385"/>
    </w:p>
    <w:p w:rsidR="007B7A21" w:rsidRPr="00AD33E8" w:rsidRDefault="007B7A21">
      <w:pPr>
        <w:pStyle w:val="Rubrik3-Utannumrering"/>
      </w:pPr>
      <w:bookmarkStart w:id="386" w:name="_Toc21425374"/>
      <w:r w:rsidRPr="00AD33E8">
        <w:t>Riksdagen</w:t>
      </w:r>
      <w:bookmarkEnd w:id="386"/>
    </w:p>
    <w:p w:rsidR="007B7A21" w:rsidRPr="00AD33E8" w:rsidRDefault="007B7A21">
      <w:pPr>
        <w:spacing w:before="120"/>
      </w:pPr>
      <w:r w:rsidRPr="00AD33E8">
        <w:t>1986/87: KU 29 Ledningen av den statliga förvaltningen</w:t>
      </w:r>
    </w:p>
    <w:p w:rsidR="007B7A21" w:rsidRPr="00AD33E8" w:rsidRDefault="007B7A21">
      <w:pPr>
        <w:spacing w:before="120"/>
      </w:pPr>
      <w:r w:rsidRPr="00AD33E8">
        <w:t>1992/93:FiU17 Omstruktureringar i statsförvaltningen</w:t>
      </w:r>
    </w:p>
    <w:p w:rsidR="007B7A21" w:rsidRPr="00AD33E8" w:rsidRDefault="007B7A21">
      <w:pPr>
        <w:spacing w:before="120"/>
      </w:pPr>
      <w:r w:rsidRPr="00AD33E8">
        <w:t xml:space="preserve">1993/94:AU16 Ändrad lagstiftning för statsanställda m.fl. </w:t>
      </w:r>
    </w:p>
    <w:p w:rsidR="007B7A21" w:rsidRPr="00AD33E8" w:rsidRDefault="007B7A21">
      <w:pPr>
        <w:spacing w:before="120"/>
      </w:pPr>
      <w:r w:rsidRPr="00AD33E8">
        <w:t>1995/96:AU10 Riksdagens revisorers förslag angående den statliga pers</w:t>
      </w:r>
      <w:r w:rsidRPr="00AD33E8">
        <w:t>o</w:t>
      </w:r>
      <w:r w:rsidRPr="00AD33E8">
        <w:t>nalpol</w:t>
      </w:r>
      <w:r w:rsidRPr="00AD33E8">
        <w:t>i</w:t>
      </w:r>
      <w:r w:rsidRPr="00AD33E8">
        <w:t>tiken</w:t>
      </w:r>
    </w:p>
    <w:p w:rsidR="007B7A21" w:rsidRPr="00AD33E8" w:rsidRDefault="007B7A21">
      <w:pPr>
        <w:spacing w:before="120"/>
      </w:pPr>
      <w:r w:rsidRPr="00AD33E8">
        <w:t>1996/97:AU11 Statlig personalpolitik</w:t>
      </w:r>
    </w:p>
    <w:p w:rsidR="007B7A21" w:rsidRPr="00AD33E8" w:rsidRDefault="007B7A21">
      <w:pPr>
        <w:spacing w:before="120"/>
      </w:pPr>
      <w:r w:rsidRPr="00AD33E8">
        <w:t>1999/2000:FiU17 Statliga myndigheters lönekostnader</w:t>
      </w:r>
    </w:p>
    <w:p w:rsidR="007B7A21" w:rsidRPr="00AD33E8" w:rsidRDefault="007B7A21">
      <w:pPr>
        <w:spacing w:before="120"/>
      </w:pPr>
      <w:r w:rsidRPr="00AD33E8">
        <w:t>1999/2000:KU20 Granskning av statsrådens tjänsteutövning och regering</w:t>
      </w:r>
      <w:r w:rsidRPr="00AD33E8">
        <w:t>s</w:t>
      </w:r>
      <w:r w:rsidRPr="00AD33E8">
        <w:t>ärendenas handläg</w:t>
      </w:r>
      <w:r w:rsidRPr="00AD33E8">
        <w:t>g</w:t>
      </w:r>
      <w:r w:rsidRPr="00AD33E8">
        <w:t>ning</w:t>
      </w:r>
    </w:p>
    <w:p w:rsidR="007B7A21" w:rsidRPr="00AD33E8" w:rsidRDefault="007B7A21">
      <w:pPr>
        <w:spacing w:before="120"/>
      </w:pPr>
      <w:r w:rsidRPr="00AD33E8">
        <w:t xml:space="preserve">2000/01:RS1 Riksdagen inför 2000-talet </w:t>
      </w:r>
    </w:p>
    <w:p w:rsidR="007B7A21" w:rsidRPr="00AD33E8" w:rsidRDefault="007B7A21">
      <w:pPr>
        <w:pStyle w:val="Rubrik3-Utannumrering"/>
      </w:pPr>
      <w:bookmarkStart w:id="387" w:name="_Toc21425375"/>
      <w:r w:rsidRPr="00AD33E8">
        <w:t>Författningar</w:t>
      </w:r>
      <w:bookmarkEnd w:id="387"/>
    </w:p>
    <w:p w:rsidR="007B7A21" w:rsidRPr="00AD33E8" w:rsidRDefault="007B7A21">
      <w:pPr>
        <w:spacing w:before="120"/>
      </w:pPr>
      <w:r w:rsidRPr="00AD33E8">
        <w:t>Regeringsformen (1974:152)</w:t>
      </w:r>
    </w:p>
    <w:p w:rsidR="007B7A21" w:rsidRPr="00AD33E8" w:rsidRDefault="007B7A21">
      <w:pPr>
        <w:spacing w:before="120"/>
      </w:pPr>
      <w:r w:rsidRPr="00AD33E8">
        <w:t>Lag om offentlig anställning (1994:260)</w:t>
      </w:r>
    </w:p>
    <w:p w:rsidR="007B7A21" w:rsidRPr="00AD33E8" w:rsidRDefault="007B7A21">
      <w:pPr>
        <w:spacing w:before="120"/>
      </w:pPr>
      <w:r w:rsidRPr="00AD33E8">
        <w:t>Lag om statsbudget (1996:1059)</w:t>
      </w:r>
    </w:p>
    <w:p w:rsidR="007B7A21" w:rsidRPr="00AD33E8" w:rsidRDefault="007B7A21">
      <w:pPr>
        <w:spacing w:before="120"/>
      </w:pPr>
      <w:r w:rsidRPr="00AD33E8">
        <w:t>Förordning om instruktion för Arbetsgivarverket</w:t>
      </w:r>
    </w:p>
    <w:p w:rsidR="007B7A21" w:rsidRPr="00AD33E8" w:rsidRDefault="007B7A21">
      <w:pPr>
        <w:spacing w:before="120"/>
      </w:pPr>
      <w:r w:rsidRPr="00AD33E8">
        <w:t>Verksförordning (1995:1322)</w:t>
      </w:r>
    </w:p>
    <w:p w:rsidR="007B7A21" w:rsidRPr="00AD33E8" w:rsidRDefault="007B7A21">
      <w:pPr>
        <w:spacing w:before="120"/>
      </w:pPr>
      <w:r w:rsidRPr="00AD33E8">
        <w:t>Anslagförordning (1996:1159)</w:t>
      </w:r>
    </w:p>
    <w:p w:rsidR="007B7A21" w:rsidRPr="00AD33E8" w:rsidRDefault="007B7A21">
      <w:pPr>
        <w:spacing w:before="120"/>
      </w:pPr>
      <w:r w:rsidRPr="00AD33E8">
        <w:t>Förordning om myndigheters årsredovisning (2000:605)</w:t>
      </w:r>
    </w:p>
    <w:p w:rsidR="007B7A21" w:rsidRPr="00AD33E8" w:rsidRDefault="007B7A21">
      <w:pPr>
        <w:pStyle w:val="Rubrik3-Utannumrering"/>
      </w:pPr>
      <w:bookmarkStart w:id="388" w:name="_Toc21425376"/>
      <w:r w:rsidRPr="00AD33E8">
        <w:t>Riksdagens revisorer</w:t>
      </w:r>
      <w:bookmarkEnd w:id="388"/>
    </w:p>
    <w:p w:rsidR="007B7A21" w:rsidRPr="00AD33E8" w:rsidRDefault="007B7A21">
      <w:pPr>
        <w:spacing w:before="120"/>
      </w:pPr>
      <w:r w:rsidRPr="00AD33E8">
        <w:t>Effekter av vissa besparingsåtgärder i statsförvaltningen (1981/82:5)</w:t>
      </w:r>
    </w:p>
    <w:p w:rsidR="007B7A21" w:rsidRPr="00AD33E8" w:rsidRDefault="007B7A21">
      <w:pPr>
        <w:spacing w:before="120"/>
      </w:pPr>
      <w:r w:rsidRPr="00AD33E8">
        <w:t xml:space="preserve">Effektivitetskonsekvenser av utlokaliseringen av statliga civila myndigheter (1983/84:8) </w:t>
      </w:r>
    </w:p>
    <w:p w:rsidR="007B7A21" w:rsidRPr="00AD33E8" w:rsidRDefault="007B7A21">
      <w:pPr>
        <w:spacing w:before="120"/>
      </w:pPr>
      <w:r w:rsidRPr="00AD33E8">
        <w:t xml:space="preserve">Kronofogdemyndigheternas utnyttjande av personalresurserna (1985/86:7) </w:t>
      </w:r>
    </w:p>
    <w:p w:rsidR="007B7A21" w:rsidRPr="00AD33E8" w:rsidRDefault="007B7A21">
      <w:pPr>
        <w:spacing w:before="120"/>
      </w:pPr>
      <w:r w:rsidRPr="00AD33E8">
        <w:t>Att ändra statsförvaltningen (1991/92:12)</w:t>
      </w:r>
    </w:p>
    <w:p w:rsidR="007B7A21" w:rsidRPr="00AD33E8" w:rsidRDefault="007B7A21">
      <w:pPr>
        <w:spacing w:before="120"/>
      </w:pPr>
      <w:r w:rsidRPr="00AD33E8">
        <w:t>Den statliga personalpolitiken (1994/95:12)</w:t>
      </w:r>
    </w:p>
    <w:p w:rsidR="007B7A21" w:rsidRPr="00AD33E8" w:rsidRDefault="007B7A21">
      <w:pPr>
        <w:spacing w:before="120"/>
      </w:pPr>
      <w:r w:rsidRPr="00AD33E8">
        <w:t>Utrikesförvaltningen (1996/97:10)</w:t>
      </w:r>
    </w:p>
    <w:p w:rsidR="007B7A21" w:rsidRPr="00AD33E8" w:rsidRDefault="007B7A21">
      <w:pPr>
        <w:spacing w:before="120"/>
      </w:pPr>
      <w:r w:rsidRPr="00AD33E8">
        <w:t>Analys och användning av resultat i Regeringskansliet (1996/97:11)</w:t>
      </w:r>
    </w:p>
    <w:p w:rsidR="007B7A21" w:rsidRPr="00AD33E8" w:rsidRDefault="007B7A21">
      <w:pPr>
        <w:spacing w:before="120"/>
      </w:pPr>
      <w:r w:rsidRPr="00AD33E8">
        <w:t>Primärvårdens resurser (1997/98:5)</w:t>
      </w:r>
    </w:p>
    <w:p w:rsidR="007B7A21" w:rsidRPr="00AD33E8" w:rsidRDefault="007B7A21">
      <w:pPr>
        <w:spacing w:before="120"/>
      </w:pPr>
      <w:r w:rsidRPr="00AD33E8">
        <w:t>Resursförstärkning till skattemyndigheternas kontrollverksamhet (1997/98:6)</w:t>
      </w:r>
    </w:p>
    <w:p w:rsidR="007B7A21" w:rsidRPr="00AD33E8" w:rsidRDefault="007B7A21">
      <w:pPr>
        <w:spacing w:before="120"/>
      </w:pPr>
      <w:r w:rsidRPr="00AD33E8">
        <w:t>Socialförsäkringens administration - kostnader och produktivitet (1998/99:1)</w:t>
      </w:r>
    </w:p>
    <w:p w:rsidR="007B7A21" w:rsidRPr="00AD33E8" w:rsidRDefault="007B7A21">
      <w:pPr>
        <w:spacing w:before="120"/>
      </w:pPr>
      <w:r w:rsidRPr="00AD33E8">
        <w:t xml:space="preserve">Myndigheternas lönekostnader (1998/99:5) </w:t>
      </w:r>
    </w:p>
    <w:p w:rsidR="007B7A21" w:rsidRPr="00AD33E8" w:rsidRDefault="007B7A21">
      <w:pPr>
        <w:spacing w:before="120"/>
      </w:pPr>
      <w:r w:rsidRPr="00AD33E8">
        <w:t>Organisationsförändringar inom rättsväse</w:t>
      </w:r>
      <w:r w:rsidRPr="00AD33E8">
        <w:t>n</w:t>
      </w:r>
      <w:r w:rsidRPr="00AD33E8">
        <w:t>det (1998/99:9)</w:t>
      </w:r>
    </w:p>
    <w:p w:rsidR="007B7A21" w:rsidRPr="00AD33E8" w:rsidRDefault="007B7A21">
      <w:pPr>
        <w:spacing w:before="120"/>
      </w:pPr>
      <w:r w:rsidRPr="00AD33E8">
        <w:t>Arbetsgivarverket och det delegerade arbetsgivaransvaret (Förstudie 1999/2000:21)</w:t>
      </w:r>
    </w:p>
    <w:p w:rsidR="007B7A21" w:rsidRPr="00AD33E8" w:rsidRDefault="007B7A21">
      <w:pPr>
        <w:spacing w:before="120"/>
      </w:pPr>
      <w:r w:rsidRPr="00AD33E8">
        <w:t>Resursanvändningen inom högskolans grundutbildning (2000/01:4)</w:t>
      </w:r>
    </w:p>
    <w:p w:rsidR="007B7A21" w:rsidRPr="00AD33E8" w:rsidRDefault="007B7A21">
      <w:pPr>
        <w:spacing w:before="120"/>
      </w:pPr>
      <w:r w:rsidRPr="00AD33E8">
        <w:t>Anslag till regeringens disposition (2000/01:7)</w:t>
      </w:r>
    </w:p>
    <w:p w:rsidR="007B7A21" w:rsidRPr="00AD33E8" w:rsidRDefault="007B7A21">
      <w:pPr>
        <w:spacing w:before="120"/>
      </w:pPr>
      <w:r w:rsidRPr="00AD33E8">
        <w:t>Domarlöner (Informationsrapport 2001/02: 1)</w:t>
      </w:r>
    </w:p>
    <w:p w:rsidR="007B7A21" w:rsidRPr="00AD33E8" w:rsidRDefault="007B7A21">
      <w:pPr>
        <w:rPr>
          <w:b/>
        </w:rPr>
      </w:pPr>
      <w:r w:rsidRPr="00AD33E8">
        <w:rPr>
          <w:b/>
        </w:rPr>
        <w:t>Regeringen</w:t>
      </w:r>
    </w:p>
    <w:p w:rsidR="007B7A21" w:rsidRPr="00AD33E8" w:rsidRDefault="007B7A21">
      <w:pPr>
        <w:spacing w:before="120"/>
        <w:rPr>
          <w:b/>
        </w:rPr>
      </w:pPr>
      <w:r w:rsidRPr="00AD33E8">
        <w:t>Prop. 1965:60 Statstjänstemännens villkor</w:t>
      </w:r>
    </w:p>
    <w:p w:rsidR="007B7A21" w:rsidRPr="00AD33E8" w:rsidRDefault="007B7A21">
      <w:pPr>
        <w:spacing w:before="120"/>
      </w:pPr>
      <w:r w:rsidRPr="00AD33E8">
        <w:t>Prop. 1973:90 Förslag till ny regeringsform och ny riksdagsor</w:t>
      </w:r>
      <w:r w:rsidRPr="00AD33E8">
        <w:t>d</w:t>
      </w:r>
      <w:r w:rsidRPr="00AD33E8">
        <w:t>ning</w:t>
      </w:r>
    </w:p>
    <w:p w:rsidR="007B7A21" w:rsidRPr="00AD33E8" w:rsidRDefault="007B7A21">
      <w:pPr>
        <w:spacing w:before="120"/>
      </w:pPr>
      <w:r w:rsidRPr="00AD33E8">
        <w:t>Skr.1984/85:202 Den offentliga sektorns förnyelse</w:t>
      </w:r>
    </w:p>
    <w:p w:rsidR="007B7A21" w:rsidRPr="00AD33E8" w:rsidRDefault="007B7A21">
      <w:pPr>
        <w:spacing w:before="120"/>
      </w:pPr>
      <w:r w:rsidRPr="00AD33E8">
        <w:t>Prop.1984/85:219 Om den statliga personalpolitiken</w:t>
      </w:r>
    </w:p>
    <w:p w:rsidR="007B7A21" w:rsidRPr="00AD33E8" w:rsidRDefault="007B7A21">
      <w:pPr>
        <w:spacing w:before="120"/>
      </w:pPr>
      <w:r w:rsidRPr="00AD33E8">
        <w:t>Prop.1986/87:99 Ledningen av den statliga förvaltningen</w:t>
      </w:r>
    </w:p>
    <w:p w:rsidR="007B7A21" w:rsidRPr="00AD33E8" w:rsidRDefault="007B7A21">
      <w:pPr>
        <w:spacing w:before="120"/>
      </w:pPr>
      <w:r w:rsidRPr="00AD33E8">
        <w:t>Prop. 1987/88:150 Kompletteringsproposition, Bilaga 1, Utveckling av sty</w:t>
      </w:r>
      <w:r w:rsidRPr="00AD33E8">
        <w:t>r</w:t>
      </w:r>
      <w:r w:rsidRPr="00AD33E8">
        <w:t>ningen i den statliga förvaltnin</w:t>
      </w:r>
      <w:r w:rsidRPr="00AD33E8">
        <w:t>g</w:t>
      </w:r>
      <w:r w:rsidRPr="00AD33E8">
        <w:t>en</w:t>
      </w:r>
    </w:p>
    <w:p w:rsidR="007B7A21" w:rsidRPr="00AD33E8" w:rsidRDefault="007B7A21">
      <w:pPr>
        <w:spacing w:before="120"/>
      </w:pPr>
      <w:r w:rsidRPr="00AD33E8">
        <w:t>Prop. 1988/89:150 Kompletteringsproposition, Bilaga 1, Utveckling av sty</w:t>
      </w:r>
      <w:r w:rsidRPr="00AD33E8">
        <w:t>r</w:t>
      </w:r>
      <w:r w:rsidRPr="00AD33E8">
        <w:t>ningen i den statliga förvaltnin</w:t>
      </w:r>
      <w:r w:rsidRPr="00AD33E8">
        <w:t>g</w:t>
      </w:r>
      <w:r w:rsidRPr="00AD33E8">
        <w:t>en</w:t>
      </w:r>
    </w:p>
    <w:p w:rsidR="007B7A21" w:rsidRPr="00AD33E8" w:rsidRDefault="007B7A21">
      <w:pPr>
        <w:spacing w:before="120"/>
      </w:pPr>
      <w:r w:rsidRPr="00AD33E8">
        <w:t>Prop. 1993/94:65 Ny lag om offentlig anställning</w:t>
      </w:r>
    </w:p>
    <w:p w:rsidR="007B7A21" w:rsidRPr="00AD33E8" w:rsidRDefault="007B7A21">
      <w:pPr>
        <w:spacing w:before="120"/>
      </w:pPr>
      <w:r w:rsidRPr="00AD33E8">
        <w:t>Prop. 1997/98:136 En förvaltning i medborgarnas tjänst</w:t>
      </w:r>
    </w:p>
    <w:p w:rsidR="007B7A21" w:rsidRPr="00AD33E8" w:rsidRDefault="007B7A21">
      <w:pPr>
        <w:spacing w:before="120"/>
      </w:pPr>
      <w:r w:rsidRPr="00AD33E8">
        <w:t xml:space="preserve">Prop. 1999/00:1 Budgetproposition för 2000 </w:t>
      </w:r>
    </w:p>
    <w:p w:rsidR="007B7A21" w:rsidRPr="00AD33E8" w:rsidRDefault="007B7A21">
      <w:pPr>
        <w:spacing w:before="120"/>
      </w:pPr>
      <w:r w:rsidRPr="00AD33E8">
        <w:t>Prop. 2000/01:1 Budgetproposition för 2001</w:t>
      </w:r>
    </w:p>
    <w:p w:rsidR="007B7A21" w:rsidRPr="00AD33E8" w:rsidRDefault="007B7A21">
      <w:pPr>
        <w:spacing w:before="120"/>
      </w:pPr>
      <w:r w:rsidRPr="00AD33E8">
        <w:t>Prop. 2001/02:1 Budgetproposition för år 2002</w:t>
      </w:r>
    </w:p>
    <w:p w:rsidR="007B7A21" w:rsidRPr="00AD33E8" w:rsidRDefault="007B7A21">
      <w:pPr>
        <w:spacing w:before="120"/>
      </w:pPr>
      <w:r w:rsidRPr="00AD33E8">
        <w:t xml:space="preserve">Skr. 1999/00:150 Årsredovisning för staten 1999 </w:t>
      </w:r>
    </w:p>
    <w:p w:rsidR="007B7A21" w:rsidRPr="00AD33E8" w:rsidRDefault="007B7A21">
      <w:pPr>
        <w:spacing w:before="120"/>
      </w:pPr>
      <w:r w:rsidRPr="00AD33E8">
        <w:t xml:space="preserve">Skr. 2000/01:150 Årsredovisning för staten 2001 </w:t>
      </w:r>
    </w:p>
    <w:p w:rsidR="007B7A21" w:rsidRPr="00AD33E8" w:rsidRDefault="007B7A21">
      <w:pPr>
        <w:spacing w:before="120"/>
      </w:pPr>
      <w:r w:rsidRPr="00AD33E8">
        <w:t>Skr. 2000/01:151 Regeringens förvaltningspolitik</w:t>
      </w:r>
    </w:p>
    <w:p w:rsidR="007B7A21" w:rsidRPr="00AD33E8" w:rsidRDefault="007B7A21">
      <w:pPr>
        <w:spacing w:before="120"/>
      </w:pPr>
      <w:r w:rsidRPr="00AD33E8">
        <w:t>Finansdepartementet, Handledning för regleringsbrev 2000</w:t>
      </w:r>
    </w:p>
    <w:p w:rsidR="007B7A21" w:rsidRPr="00AD33E8" w:rsidRDefault="007B7A21">
      <w:pPr>
        <w:spacing w:before="120"/>
      </w:pPr>
      <w:r w:rsidRPr="00AD33E8">
        <w:t>Justitiedepartementet, Verksamhetsplan för 2000</w:t>
      </w:r>
    </w:p>
    <w:p w:rsidR="007B7A21" w:rsidRPr="00AD33E8" w:rsidRDefault="007B7A21">
      <w:pPr>
        <w:spacing w:before="120"/>
      </w:pPr>
      <w:r w:rsidRPr="00AD33E8">
        <w:t>Justitiedepartementet, (2000) En förvaltning i demokratins tjänst - ett han</w:t>
      </w:r>
      <w:r w:rsidRPr="00AD33E8">
        <w:t>d</w:t>
      </w:r>
      <w:r w:rsidRPr="00AD33E8">
        <w:t>ling</w:t>
      </w:r>
      <w:r w:rsidRPr="00AD33E8">
        <w:t>s</w:t>
      </w:r>
      <w:r w:rsidRPr="00AD33E8">
        <w:t>program</w:t>
      </w:r>
    </w:p>
    <w:p w:rsidR="007B7A21" w:rsidRPr="00AD33E8" w:rsidRDefault="007B7A21">
      <w:pPr>
        <w:spacing w:before="120"/>
      </w:pPr>
      <w:r w:rsidRPr="00AD33E8">
        <w:t xml:space="preserve">Justitiedepartementet – Organisation och uppgifter Faktablad mars 2000 </w:t>
      </w:r>
    </w:p>
    <w:p w:rsidR="007B7A21" w:rsidRPr="00AD33E8" w:rsidRDefault="007B7A21">
      <w:pPr>
        <w:spacing w:before="120"/>
      </w:pPr>
      <w:r w:rsidRPr="00AD33E8">
        <w:t>Justitiedepartementet (2000) Samlad resultatredovisning för rättsväsendet 1999</w:t>
      </w:r>
    </w:p>
    <w:p w:rsidR="007B7A21" w:rsidRPr="00AD33E8" w:rsidRDefault="007B7A21">
      <w:pPr>
        <w:spacing w:before="120"/>
      </w:pPr>
      <w:r w:rsidRPr="00AD33E8">
        <w:t>Justitiedepartementet, (2000) Kvalitet i chefsförsörjningen – regeringens chefspolicy</w:t>
      </w:r>
    </w:p>
    <w:p w:rsidR="007B7A21" w:rsidRPr="00AD33E8" w:rsidRDefault="007B7A21">
      <w:pPr>
        <w:pStyle w:val="Rubrik3-Utannumrering"/>
        <w:rPr>
          <w:b w:val="0"/>
        </w:rPr>
      </w:pPr>
      <w:bookmarkStart w:id="389" w:name="_Toc21425377"/>
      <w:r w:rsidRPr="00AD33E8">
        <w:t>Statens offentliga utredningar</w:t>
      </w:r>
      <w:r w:rsidRPr="00AD33E8">
        <w:br/>
      </w:r>
      <w:r w:rsidRPr="00AD33E8">
        <w:rPr>
          <w:b w:val="0"/>
        </w:rPr>
        <w:t>Förnyelse genom omprövning (SOU 1979:61)</w:t>
      </w:r>
      <w:bookmarkEnd w:id="389"/>
    </w:p>
    <w:p w:rsidR="007B7A21" w:rsidRPr="00AD33E8" w:rsidRDefault="007B7A21">
      <w:pPr>
        <w:spacing w:before="120"/>
      </w:pPr>
      <w:r w:rsidRPr="00AD33E8">
        <w:t>Politisk styrning – administrativ självständighet (SOU 1983:39)</w:t>
      </w:r>
    </w:p>
    <w:p w:rsidR="007B7A21" w:rsidRPr="00AD33E8" w:rsidRDefault="007B7A21">
      <w:pPr>
        <w:spacing w:before="120"/>
      </w:pPr>
      <w:r w:rsidRPr="00AD33E8">
        <w:t>Regeringen, myndigheterna och myndigheternas ledning (SOU 1986:40)</w:t>
      </w:r>
    </w:p>
    <w:p w:rsidR="007B7A21" w:rsidRPr="00AD33E8" w:rsidRDefault="007B7A21">
      <w:pPr>
        <w:spacing w:before="120"/>
      </w:pPr>
      <w:r w:rsidRPr="00AD33E8">
        <w:t>Resurser för högskolans grundutbildning (SOU 1992:44)</w:t>
      </w:r>
    </w:p>
    <w:p w:rsidR="007B7A21" w:rsidRPr="00AD33E8" w:rsidRDefault="007B7A21">
      <w:pPr>
        <w:spacing w:before="120"/>
      </w:pPr>
      <w:r w:rsidRPr="00AD33E8">
        <w:t>Utredning om offentligt anställda (SOU 1992:60)</w:t>
      </w:r>
    </w:p>
    <w:p w:rsidR="007B7A21" w:rsidRPr="00AD33E8" w:rsidRDefault="007B7A21">
      <w:pPr>
        <w:spacing w:before="120"/>
      </w:pPr>
      <w:r w:rsidRPr="00AD33E8">
        <w:t>Byråkratin i backspegeln – femtio år av förändring på sex förvaltningsomr</w:t>
      </w:r>
      <w:r w:rsidRPr="00AD33E8">
        <w:t>å</w:t>
      </w:r>
      <w:r w:rsidRPr="00AD33E8">
        <w:t>den (SOU 1997:7)</w:t>
      </w:r>
    </w:p>
    <w:p w:rsidR="007B7A21" w:rsidRPr="00AD33E8" w:rsidRDefault="007B7A21">
      <w:pPr>
        <w:spacing w:before="120"/>
      </w:pPr>
      <w:r w:rsidRPr="00AD33E8">
        <w:t>Arbetsgivarpolitik i staten – för kompetens och resultat (SOU 1997:48)</w:t>
      </w:r>
    </w:p>
    <w:p w:rsidR="007B7A21" w:rsidRPr="00AD33E8" w:rsidRDefault="007B7A21">
      <w:pPr>
        <w:spacing w:before="120"/>
      </w:pPr>
      <w:r w:rsidRPr="00AD33E8">
        <w:t>I medborgarnas tjänst (SOU 1997:57)</w:t>
      </w:r>
    </w:p>
    <w:p w:rsidR="007B7A21" w:rsidRPr="00AD33E8" w:rsidRDefault="007B7A21">
      <w:pPr>
        <w:spacing w:before="120"/>
      </w:pPr>
      <w:r w:rsidRPr="00AD33E8">
        <w:t>Statistikreformen (SOU 1999:96)</w:t>
      </w:r>
    </w:p>
    <w:p w:rsidR="007B7A21" w:rsidRPr="00AD33E8" w:rsidRDefault="007B7A21">
      <w:pPr>
        <w:spacing w:before="120"/>
      </w:pPr>
      <w:r w:rsidRPr="00AD33E8">
        <w:t>En uthållig demokrati (SOU 2000:1)</w:t>
      </w:r>
    </w:p>
    <w:p w:rsidR="007B7A21" w:rsidRPr="00AD33E8" w:rsidRDefault="007B7A21">
      <w:pPr>
        <w:spacing w:before="120"/>
      </w:pPr>
      <w:r w:rsidRPr="00AD33E8">
        <w:t>Utvärdering av budgetprocessen (SOU 2000:61)</w:t>
      </w:r>
    </w:p>
    <w:p w:rsidR="007B7A21" w:rsidRPr="00AD33E8" w:rsidRDefault="007B7A21">
      <w:pPr>
        <w:pStyle w:val="Rubrik3-Utannumrering"/>
      </w:pPr>
      <w:bookmarkStart w:id="390" w:name="_Toc21425378"/>
      <w:r w:rsidRPr="00AD33E8">
        <w:t>Departementsskrivelser</w:t>
      </w:r>
      <w:bookmarkEnd w:id="390"/>
    </w:p>
    <w:p w:rsidR="007B7A21" w:rsidRPr="00AD33E8" w:rsidRDefault="007B7A21">
      <w:pPr>
        <w:spacing w:before="120"/>
      </w:pPr>
      <w:r w:rsidRPr="00AD33E8">
        <w:t>Vad kostar det? Prislista för statliga tjänster (Ds 1991:26)</w:t>
      </w:r>
    </w:p>
    <w:p w:rsidR="007B7A21" w:rsidRPr="00AD33E8" w:rsidRDefault="007B7A21">
      <w:pPr>
        <w:spacing w:before="120"/>
      </w:pPr>
      <w:r w:rsidRPr="00AD33E8">
        <w:t>ELMA – åtgärder för att stärka resultatstyrningen (Ds 1995:6)</w:t>
      </w:r>
    </w:p>
    <w:p w:rsidR="007B7A21" w:rsidRPr="00AD33E8" w:rsidRDefault="007B7A21">
      <w:pPr>
        <w:spacing w:before="120"/>
      </w:pPr>
      <w:r w:rsidRPr="00AD33E8">
        <w:t>Kompetensparadox? Rapport om hinder och möjligheter att tillvarata ko</w:t>
      </w:r>
      <w:r w:rsidRPr="00AD33E8">
        <w:t>m</w:t>
      </w:r>
      <w:r w:rsidRPr="00AD33E8">
        <w:t>petensen på arbetsmarkn</w:t>
      </w:r>
      <w:r w:rsidRPr="00AD33E8">
        <w:t>a</w:t>
      </w:r>
      <w:r w:rsidRPr="00AD33E8">
        <w:t>den (Ds 2000:49)</w:t>
      </w:r>
    </w:p>
    <w:p w:rsidR="007B7A21" w:rsidRPr="00AD33E8" w:rsidRDefault="007B7A21">
      <w:pPr>
        <w:spacing w:before="120"/>
      </w:pPr>
      <w:r w:rsidRPr="00AD33E8">
        <w:t>Ekonomisk styrning (Ds 2000:63)</w:t>
      </w:r>
    </w:p>
    <w:p w:rsidR="007B7A21" w:rsidRPr="00AD33E8" w:rsidRDefault="007B7A21">
      <w:pPr>
        <w:spacing w:before="120"/>
      </w:pPr>
      <w:r w:rsidRPr="00AD33E8">
        <w:t>I rikets tjänst - en ESO-rapport om statliga kårer (Ds 2001 2001:45)</w:t>
      </w:r>
    </w:p>
    <w:p w:rsidR="007B7A21" w:rsidRPr="00AD33E8" w:rsidRDefault="007B7A21">
      <w:pPr>
        <w:pStyle w:val="Rubrik3-Utannumrering"/>
      </w:pPr>
      <w:bookmarkStart w:id="391" w:name="_Toc21425379"/>
      <w:r w:rsidRPr="00AD33E8">
        <w:t>Riksrevisionsverket</w:t>
      </w:r>
      <w:bookmarkEnd w:id="391"/>
      <w:r w:rsidRPr="00AD33E8">
        <w:t xml:space="preserve"> </w:t>
      </w:r>
    </w:p>
    <w:p w:rsidR="007B7A21" w:rsidRPr="00AD33E8" w:rsidRDefault="007B7A21">
      <w:pPr>
        <w:spacing w:before="120"/>
      </w:pPr>
      <w:r w:rsidRPr="00AD33E8">
        <w:t>Om metoder för att bedöma statliga myndigheter (1976) Dnr 1972:3</w:t>
      </w:r>
    </w:p>
    <w:p w:rsidR="007B7A21" w:rsidRPr="00AD33E8" w:rsidRDefault="007B7A21">
      <w:pPr>
        <w:spacing w:before="120"/>
      </w:pPr>
      <w:r w:rsidRPr="00AD33E8">
        <w:t>Vad blev resultatet? Utgångspunkter för uppföljning och utvärdering. (RRV P 1983:2)</w:t>
      </w:r>
    </w:p>
    <w:p w:rsidR="007B7A21" w:rsidRPr="00AD33E8" w:rsidRDefault="007B7A21">
      <w:pPr>
        <w:spacing w:before="120"/>
      </w:pPr>
      <w:r w:rsidRPr="00AD33E8">
        <w:t>Varför blev det dyrare – kostnadsutveckling för statliga reformer (1984) Dnr 1983:334</w:t>
      </w:r>
    </w:p>
    <w:p w:rsidR="007B7A21" w:rsidRPr="00AD33E8" w:rsidRDefault="007B7A21">
      <w:pPr>
        <w:spacing w:before="120"/>
      </w:pPr>
      <w:r w:rsidRPr="00AD33E8">
        <w:t>Lär sig SIDA (1988) Dnr 1986:858</w:t>
      </w:r>
    </w:p>
    <w:p w:rsidR="007B7A21" w:rsidRPr="00AD33E8" w:rsidRDefault="007B7A21">
      <w:pPr>
        <w:spacing w:before="120"/>
      </w:pPr>
      <w:r w:rsidRPr="00AD33E8">
        <w:t>Invandrarverket och den lokala flyktingmottagningen (1988) Dnr 1986:903</w:t>
      </w:r>
    </w:p>
    <w:p w:rsidR="007B7A21" w:rsidRPr="00AD33E8" w:rsidRDefault="007B7A21">
      <w:pPr>
        <w:spacing w:before="120"/>
      </w:pPr>
      <w:r w:rsidRPr="00AD33E8">
        <w:t xml:space="preserve">Kompetensförsörjning i ett förändringsperspektiv (Fg 1991:2) </w:t>
      </w:r>
    </w:p>
    <w:p w:rsidR="007B7A21" w:rsidRPr="00AD33E8" w:rsidRDefault="007B7A21">
      <w:pPr>
        <w:spacing w:before="120"/>
      </w:pPr>
      <w:r w:rsidRPr="00AD33E8">
        <w:t>”Bättre än förr...” Ohälsotalet och resultatstyrningen inom socialförsäkring</w:t>
      </w:r>
      <w:r w:rsidRPr="00AD33E8">
        <w:t>s</w:t>
      </w:r>
      <w:r w:rsidRPr="00AD33E8">
        <w:t>adminis</w:t>
      </w:r>
      <w:r w:rsidRPr="00AD33E8">
        <w:t>t</w:t>
      </w:r>
      <w:r w:rsidRPr="00AD33E8">
        <w:t xml:space="preserve">rationen (1994:22) </w:t>
      </w:r>
      <w:r w:rsidRPr="00AD33E8">
        <w:br/>
        <w:t>Förvaltningspolitik i förändring (1996:50)</w:t>
      </w:r>
    </w:p>
    <w:p w:rsidR="007B7A21" w:rsidRPr="00AD33E8" w:rsidRDefault="007B7A21">
      <w:pPr>
        <w:spacing w:before="120"/>
      </w:pPr>
      <w:r w:rsidRPr="00AD33E8">
        <w:t>Vägledning årlig revision (RRV 1999:14)</w:t>
      </w:r>
    </w:p>
    <w:p w:rsidR="007B7A21" w:rsidRPr="00AD33E8" w:rsidRDefault="007B7A21">
      <w:pPr>
        <w:spacing w:before="120"/>
      </w:pPr>
      <w:r w:rsidRPr="00AD33E8">
        <w:t>Myndigheters agerande i ett besparingsskede (RRV 1999:35)</w:t>
      </w:r>
    </w:p>
    <w:p w:rsidR="007B7A21" w:rsidRPr="00AD33E8" w:rsidRDefault="007B7A21">
      <w:pPr>
        <w:spacing w:before="120"/>
      </w:pPr>
      <w:r w:rsidRPr="00AD33E8">
        <w:t>RRV:s årliga rapport till regeringen för år 2000 (RRV 2000:16)</w:t>
      </w:r>
    </w:p>
    <w:p w:rsidR="007B7A21" w:rsidRPr="00AD33E8" w:rsidRDefault="007B7A21">
      <w:pPr>
        <w:spacing w:before="120"/>
      </w:pPr>
      <w:r w:rsidRPr="00AD33E8">
        <w:t>Myndigheters ledning – en strategistudie (2000)</w:t>
      </w:r>
    </w:p>
    <w:p w:rsidR="007B7A21" w:rsidRPr="00AD33E8" w:rsidRDefault="007B7A21">
      <w:pPr>
        <w:spacing w:before="120"/>
      </w:pPr>
      <w:r w:rsidRPr="00AD33E8">
        <w:t>Håller måtten måttet? (RRV 2001:13)</w:t>
      </w:r>
    </w:p>
    <w:p w:rsidR="007B7A21" w:rsidRPr="00AD33E8" w:rsidRDefault="007B7A21">
      <w:pPr>
        <w:pStyle w:val="Rubrik3-Utannumrering"/>
      </w:pPr>
      <w:bookmarkStart w:id="392" w:name="_Toc21425380"/>
      <w:r w:rsidRPr="00AD33E8">
        <w:t>Årliga publikationer</w:t>
      </w:r>
      <w:bookmarkEnd w:id="392"/>
    </w:p>
    <w:p w:rsidR="007B7A21" w:rsidRPr="00AD33E8" w:rsidRDefault="007B7A21">
      <w:pPr>
        <w:spacing w:before="120"/>
      </w:pPr>
      <w:r w:rsidRPr="00AD33E8">
        <w:t>Staten i omvandling (Statskontoret)</w:t>
      </w:r>
    </w:p>
    <w:p w:rsidR="007B7A21" w:rsidRPr="00AD33E8" w:rsidRDefault="007B7A21">
      <w:pPr>
        <w:spacing w:before="120"/>
      </w:pPr>
      <w:r w:rsidRPr="00AD33E8">
        <w:t>Statistisk årsbok (SCB)</w:t>
      </w:r>
    </w:p>
    <w:p w:rsidR="007B7A21" w:rsidRPr="00AD33E8" w:rsidRDefault="007B7A21">
      <w:pPr>
        <w:spacing w:before="120"/>
      </w:pPr>
      <w:r w:rsidRPr="00AD33E8">
        <w:t xml:space="preserve">Statsliggaren (Ekonomistyrningsverket) </w:t>
      </w:r>
    </w:p>
    <w:p w:rsidR="007B7A21" w:rsidRPr="00AD33E8" w:rsidRDefault="007B7A21">
      <w:pPr>
        <w:spacing w:before="120"/>
      </w:pPr>
      <w:r w:rsidRPr="00AD33E8">
        <w:t>Årsredovisning för staten</w:t>
      </w:r>
    </w:p>
    <w:p w:rsidR="007B7A21" w:rsidRPr="00AD33E8" w:rsidRDefault="007B7A21">
      <w:pPr>
        <w:pStyle w:val="Rubrik3-Utannumrering"/>
      </w:pPr>
      <w:bookmarkStart w:id="393" w:name="_Toc21425381"/>
      <w:r w:rsidRPr="00AD33E8">
        <w:t>Litteratur</w:t>
      </w:r>
      <w:bookmarkEnd w:id="393"/>
    </w:p>
    <w:p w:rsidR="007B7A21" w:rsidRPr="00AD33E8" w:rsidRDefault="007B7A21">
      <w:pPr>
        <w:spacing w:before="120"/>
        <w:rPr>
          <w:snapToGrid w:val="0"/>
        </w:rPr>
      </w:pPr>
      <w:r w:rsidRPr="00AD33E8">
        <w:rPr>
          <w:snapToGrid w:val="0"/>
        </w:rPr>
        <w:t>Amnå Erik (1981) Planhushållning i den offentliga sektorn</w:t>
      </w:r>
    </w:p>
    <w:p w:rsidR="007B7A21" w:rsidRPr="00AD33E8" w:rsidRDefault="007B7A21">
      <w:pPr>
        <w:spacing w:before="120"/>
      </w:pPr>
      <w:r w:rsidRPr="00AD33E8">
        <w:t>Arbetsgivarpolitiken inom polisen (2000) Rikspolisstyrelsen</w:t>
      </w:r>
    </w:p>
    <w:p w:rsidR="007B7A21" w:rsidRPr="00AD33E8" w:rsidRDefault="007B7A21">
      <w:pPr>
        <w:spacing w:before="120"/>
        <w:rPr>
          <w:snapToGrid w:val="0"/>
        </w:rPr>
      </w:pPr>
      <w:r w:rsidRPr="00AD33E8">
        <w:rPr>
          <w:snapToGrid w:val="0"/>
        </w:rPr>
        <w:t>Ask-Uppmark (1969) Resa genom åren.</w:t>
      </w:r>
    </w:p>
    <w:p w:rsidR="007B7A21" w:rsidRPr="00AD33E8" w:rsidRDefault="007B7A21">
      <w:pPr>
        <w:spacing w:before="120"/>
        <w:rPr>
          <w:snapToGrid w:val="0"/>
        </w:rPr>
      </w:pPr>
      <w:r w:rsidRPr="00AD33E8">
        <w:rPr>
          <w:snapToGrid w:val="0"/>
        </w:rPr>
        <w:t xml:space="preserve">Bergman, P och Wigblad, Rune, </w:t>
      </w:r>
      <w:r w:rsidRPr="00AD33E8">
        <w:rPr>
          <w:snapToGrid w:val="0"/>
        </w:rPr>
        <w:t>(1999) Worker´s Last Performance: Why Some Factories Show their Best Results during Coun</w:t>
      </w:r>
      <w:r w:rsidRPr="00AD33E8">
        <w:rPr>
          <w:snapToGrid w:val="0"/>
        </w:rPr>
        <w:t>t</w:t>
      </w:r>
      <w:r w:rsidRPr="00AD33E8">
        <w:rPr>
          <w:snapToGrid w:val="0"/>
        </w:rPr>
        <w:t>down.</w:t>
      </w:r>
    </w:p>
    <w:p w:rsidR="007B7A21" w:rsidRPr="00AD33E8" w:rsidRDefault="007B7A21">
      <w:pPr>
        <w:spacing w:before="120"/>
      </w:pPr>
      <w:r w:rsidRPr="00AD33E8">
        <w:t>Bloch Marc (1962) Feudal society</w:t>
      </w:r>
    </w:p>
    <w:p w:rsidR="007B7A21" w:rsidRPr="00AD33E8" w:rsidRDefault="007B7A21">
      <w:pPr>
        <w:spacing w:before="120"/>
      </w:pPr>
      <w:r w:rsidRPr="00AD33E8">
        <w:t>Bouckaert Geert och Politt Christopher (1999) Public Management Reform – a comp</w:t>
      </w:r>
      <w:r w:rsidRPr="00AD33E8">
        <w:t>a</w:t>
      </w:r>
      <w:r w:rsidRPr="00AD33E8">
        <w:t xml:space="preserve">rative analysis </w:t>
      </w:r>
    </w:p>
    <w:p w:rsidR="007B7A21" w:rsidRPr="00AD33E8" w:rsidRDefault="007B7A21">
      <w:pPr>
        <w:spacing w:before="120"/>
      </w:pPr>
      <w:r w:rsidRPr="00AD33E8">
        <w:t>Braw Christian. (1990) Erfarenhetsbaserat ledarskap</w:t>
      </w:r>
    </w:p>
    <w:p w:rsidR="007B7A21" w:rsidRPr="00AD33E8" w:rsidRDefault="007B7A21">
      <w:pPr>
        <w:spacing w:before="120"/>
      </w:pPr>
      <w:r w:rsidRPr="00AD33E8">
        <w:t>Brunsson Nils och Jacobsson Bengt (red) (1998), Standardisering</w:t>
      </w:r>
    </w:p>
    <w:p w:rsidR="007B7A21" w:rsidRPr="00AD33E8" w:rsidRDefault="007B7A21">
      <w:pPr>
        <w:spacing w:before="120"/>
      </w:pPr>
      <w:r w:rsidRPr="00AD33E8">
        <w:t>Brunsson Nils och Olsen J.P. (red) (1990) Makten att reform</w:t>
      </w:r>
      <w:r w:rsidRPr="00AD33E8">
        <w:t>e</w:t>
      </w:r>
      <w:r w:rsidRPr="00AD33E8">
        <w:t>ra</w:t>
      </w:r>
    </w:p>
    <w:p w:rsidR="007B7A21" w:rsidRPr="00AD33E8" w:rsidRDefault="007B7A21">
      <w:pPr>
        <w:spacing w:before="120"/>
      </w:pPr>
      <w:r w:rsidRPr="00AD33E8">
        <w:t xml:space="preserve">Bäckström, Henrik och Lind, J. 2000, Managementstrategier och företag i nätverk, Arbetsmarknad &amp; Arbetsliv, </w:t>
      </w:r>
    </w:p>
    <w:p w:rsidR="007B7A21" w:rsidRPr="00AD33E8" w:rsidRDefault="007B7A21">
      <w:pPr>
        <w:spacing w:before="120"/>
      </w:pPr>
      <w:r w:rsidRPr="00AD33E8">
        <w:t>Danielsen Gunnel Frost (2000) Kompetens försörjning i staten, på uppdrag av Statens kvalitets- och kompetensråd</w:t>
      </w:r>
    </w:p>
    <w:p w:rsidR="007B7A21" w:rsidRPr="00AD33E8" w:rsidRDefault="007B7A21">
      <w:pPr>
        <w:spacing w:before="120"/>
      </w:pPr>
      <w:r w:rsidRPr="00AD33E8">
        <w:t xml:space="preserve">de Geer Hans (1978) Rationaliseringsrörelsen i Sverige </w:t>
      </w:r>
    </w:p>
    <w:p w:rsidR="007B7A21" w:rsidRPr="00AD33E8" w:rsidRDefault="007B7A21">
      <w:pPr>
        <w:spacing w:before="120"/>
      </w:pPr>
      <w:r w:rsidRPr="00AD33E8">
        <w:t>Efraimsson Inger och Eklund Margareta Chefer struntar i forskningen, DN 981117</w:t>
      </w:r>
    </w:p>
    <w:p w:rsidR="007B7A21" w:rsidRPr="00AD33E8" w:rsidRDefault="007B7A21">
      <w:pPr>
        <w:spacing w:before="120"/>
      </w:pPr>
      <w:r w:rsidRPr="00AD33E8">
        <w:t>Eklund Nils. Ny årsredovisning belönar goda resultat. RRV:s år</w:t>
      </w:r>
      <w:r w:rsidRPr="00AD33E8">
        <w:t>s</w:t>
      </w:r>
      <w:r w:rsidRPr="00AD33E8">
        <w:t>bok 1992</w:t>
      </w:r>
    </w:p>
    <w:p w:rsidR="007B7A21" w:rsidRPr="00AD33E8" w:rsidRDefault="007B7A21">
      <w:pPr>
        <w:spacing w:before="120"/>
      </w:pPr>
      <w:r w:rsidRPr="00AD33E8">
        <w:t>Eklund Nils. Visa resultat! Va’ sa’ resultatet? ESV-Nytt 1/2000</w:t>
      </w:r>
    </w:p>
    <w:p w:rsidR="007B7A21" w:rsidRPr="00AD33E8" w:rsidRDefault="007B7A21">
      <w:pPr>
        <w:spacing w:before="120"/>
      </w:pPr>
      <w:r w:rsidRPr="00AD33E8">
        <w:t xml:space="preserve">Ekman Gunnar (1999) Från text till batong – Om poliser, busar och svennar </w:t>
      </w:r>
    </w:p>
    <w:p w:rsidR="007B7A21" w:rsidRPr="00AD33E8" w:rsidRDefault="007B7A21">
      <w:pPr>
        <w:spacing w:before="120"/>
      </w:pPr>
      <w:r w:rsidRPr="00AD33E8">
        <w:t>Eriksson, Carin B., 1997, Akademiskt ledarskap</w:t>
      </w:r>
    </w:p>
    <w:p w:rsidR="007B7A21" w:rsidRPr="00AD33E8" w:rsidRDefault="007B7A21">
      <w:pPr>
        <w:spacing w:before="120"/>
      </w:pPr>
      <w:r w:rsidRPr="00AD33E8">
        <w:t>Esping Hans (1999) En vittrande rättsstat, Moderna tider septe</w:t>
      </w:r>
      <w:r w:rsidRPr="00AD33E8">
        <w:t>m</w:t>
      </w:r>
      <w:r w:rsidRPr="00AD33E8">
        <w:t>ber 1999</w:t>
      </w:r>
    </w:p>
    <w:p w:rsidR="007B7A21" w:rsidRPr="00AD33E8" w:rsidRDefault="007B7A21">
      <w:pPr>
        <w:spacing w:before="120"/>
      </w:pPr>
      <w:r w:rsidRPr="00AD33E8">
        <w:t>Forsell Anders och Anders Ivarsson Westerberg (2000) Administrera mera! Organisationsförändring och administr</w:t>
      </w:r>
      <w:r w:rsidRPr="00AD33E8">
        <w:t>a</w:t>
      </w:r>
      <w:r w:rsidRPr="00AD33E8">
        <w:t>tivt arbete.</w:t>
      </w:r>
    </w:p>
    <w:p w:rsidR="007B7A21" w:rsidRPr="00AD33E8" w:rsidRDefault="007B7A21">
      <w:pPr>
        <w:spacing w:before="120"/>
      </w:pPr>
      <w:r w:rsidRPr="00AD33E8">
        <w:t>Forsman Anders (1979) En teori om staten och den offentliga sektorn</w:t>
      </w:r>
    </w:p>
    <w:p w:rsidR="007B7A21" w:rsidRPr="00AD33E8" w:rsidRDefault="007B7A21">
      <w:pPr>
        <w:spacing w:before="120"/>
      </w:pPr>
      <w:r w:rsidRPr="00AD33E8">
        <w:t>Forsman Anders (1984) Det nya tjänstesamhället</w:t>
      </w:r>
    </w:p>
    <w:p w:rsidR="007B7A21" w:rsidRPr="00AD33E8" w:rsidRDefault="007B7A21">
      <w:pPr>
        <w:spacing w:before="120"/>
      </w:pPr>
      <w:r w:rsidRPr="00AD33E8">
        <w:t>Forsman Anders (1999) Tillväxt och kunskap</w:t>
      </w:r>
    </w:p>
    <w:p w:rsidR="007B7A21" w:rsidRPr="00AD33E8" w:rsidRDefault="007B7A21">
      <w:pPr>
        <w:spacing w:before="120"/>
      </w:pPr>
      <w:r w:rsidRPr="00AD33E8">
        <w:t>Furåker Bengt (2000) Offentligt och privat anställdas uppgifter om sitt arb</w:t>
      </w:r>
      <w:r w:rsidRPr="00AD33E8">
        <w:t>e</w:t>
      </w:r>
      <w:r w:rsidRPr="00AD33E8">
        <w:t>te, Arbetsmarknad &amp; Arbetsliv, Vol. 6,</w:t>
      </w:r>
    </w:p>
    <w:p w:rsidR="007B7A21" w:rsidRPr="00AD33E8" w:rsidRDefault="007B7A21">
      <w:pPr>
        <w:spacing w:before="120"/>
      </w:pPr>
      <w:r w:rsidRPr="00AD33E8">
        <w:t>Försäkringskassan Älvsborgs län (1998) Två kommuner med olikartad sju</w:t>
      </w:r>
      <w:r w:rsidRPr="00AD33E8">
        <w:t>k</w:t>
      </w:r>
      <w:r w:rsidRPr="00AD33E8">
        <w:t>fallsutveckling</w:t>
      </w:r>
    </w:p>
    <w:p w:rsidR="007B7A21" w:rsidRPr="00AD33E8" w:rsidRDefault="007B7A21">
      <w:pPr>
        <w:spacing w:before="120"/>
      </w:pPr>
      <w:r w:rsidRPr="00AD33E8">
        <w:t>Geijer Erik Gustaf (1841) Människans historia – första förelä</w:t>
      </w:r>
      <w:r w:rsidRPr="00AD33E8">
        <w:t>s</w:t>
      </w:r>
      <w:r w:rsidRPr="00AD33E8">
        <w:t>ningen</w:t>
      </w:r>
    </w:p>
    <w:p w:rsidR="007B7A21" w:rsidRPr="00AD33E8" w:rsidRDefault="007B7A21">
      <w:pPr>
        <w:spacing w:before="120"/>
      </w:pPr>
      <w:r w:rsidRPr="00AD33E8">
        <w:t xml:space="preserve">Genberg Mats (1992) The Horndal effect. </w:t>
      </w:r>
    </w:p>
    <w:p w:rsidR="007B7A21" w:rsidRPr="00AD33E8" w:rsidRDefault="007B7A21">
      <w:pPr>
        <w:spacing w:before="120"/>
      </w:pPr>
      <w:r w:rsidRPr="00AD33E8">
        <w:t>Grohman Hans (1986) Produktivitetsmätningar och produktiv</w:t>
      </w:r>
      <w:r w:rsidRPr="00AD33E8">
        <w:t>i</w:t>
      </w:r>
      <w:r w:rsidRPr="00AD33E8">
        <w:t>tetsmått</w:t>
      </w:r>
    </w:p>
    <w:p w:rsidR="007B7A21" w:rsidRPr="00AD33E8" w:rsidRDefault="007B7A21">
      <w:pPr>
        <w:spacing w:before="120"/>
      </w:pPr>
      <w:r w:rsidRPr="00AD33E8">
        <w:t>Gustafsson Bo (1965) Den norrländska sågverksindustrins arbet</w:t>
      </w:r>
      <w:r w:rsidRPr="00AD33E8">
        <w:t>a</w:t>
      </w:r>
      <w:r w:rsidRPr="00AD33E8">
        <w:t xml:space="preserve">re 1890-1913. arbets- och levnadsförhållanden. </w:t>
      </w:r>
      <w:r w:rsidRPr="00AD33E8">
        <w:t>Gustafsson Bo (1971) Ekonomisk tillväxtteori och ekonomisk historia</w:t>
      </w:r>
    </w:p>
    <w:p w:rsidR="007B7A21" w:rsidRPr="00AD33E8" w:rsidRDefault="007B7A21">
      <w:pPr>
        <w:spacing w:before="120"/>
      </w:pPr>
      <w:r w:rsidRPr="00AD33E8">
        <w:t>Gustafsson Bo (1983) The causes of the Expansion of the Public Sector in Sw</w:t>
      </w:r>
      <w:r w:rsidRPr="00AD33E8">
        <w:t>e</w:t>
      </w:r>
      <w:r w:rsidRPr="00AD33E8">
        <w:t>den during the 20</w:t>
      </w:r>
      <w:r w:rsidRPr="00AD33E8">
        <w:rPr>
          <w:vertAlign w:val="superscript"/>
        </w:rPr>
        <w:t>th</w:t>
      </w:r>
      <w:r w:rsidRPr="00AD33E8">
        <w:t xml:space="preserve"> Century.</w:t>
      </w:r>
    </w:p>
    <w:p w:rsidR="007B7A21" w:rsidRPr="00AD33E8" w:rsidRDefault="007B7A21">
      <w:pPr>
        <w:spacing w:before="120"/>
      </w:pPr>
      <w:r w:rsidRPr="00AD33E8">
        <w:t>Gustafsson Bo (1996) Offentliga åtaganden: teori och historia i Det statliga åt</w:t>
      </w:r>
      <w:r w:rsidRPr="00AD33E8">
        <w:t>a</w:t>
      </w:r>
      <w:r w:rsidRPr="00AD33E8">
        <w:t>gandet (RRV 1996:41)</w:t>
      </w:r>
    </w:p>
    <w:p w:rsidR="007B7A21" w:rsidRPr="00AD33E8" w:rsidRDefault="007B7A21">
      <w:pPr>
        <w:spacing w:before="120"/>
      </w:pPr>
      <w:r w:rsidRPr="00AD33E8">
        <w:t>Hagerman Maja (1996) Spåren av kungens män</w:t>
      </w:r>
    </w:p>
    <w:p w:rsidR="007B7A21" w:rsidRPr="00AD33E8" w:rsidRDefault="007B7A21">
      <w:pPr>
        <w:spacing w:before="120"/>
      </w:pPr>
      <w:r w:rsidRPr="00AD33E8">
        <w:t>Henning Roger och Ramström Dick (1989) Förvaltningsförnyelse</w:t>
      </w:r>
    </w:p>
    <w:p w:rsidR="007B7A21" w:rsidRPr="00AD33E8" w:rsidRDefault="007B7A21">
      <w:pPr>
        <w:spacing w:before="120"/>
      </w:pPr>
      <w:r w:rsidRPr="00AD33E8">
        <w:t>Hirdman Yvonne (1989) Att lägga livet till rätta</w:t>
      </w:r>
    </w:p>
    <w:p w:rsidR="007B7A21" w:rsidRPr="00AD33E8" w:rsidRDefault="007B7A21">
      <w:pPr>
        <w:spacing w:before="120"/>
      </w:pPr>
      <w:r w:rsidRPr="00AD33E8">
        <w:t>Holmbäck Åke och Wessén E. (1946) Svenska Landskapslager 5</w:t>
      </w:r>
    </w:p>
    <w:p w:rsidR="007B7A21" w:rsidRPr="00AD33E8" w:rsidRDefault="007B7A21">
      <w:pPr>
        <w:spacing w:before="120"/>
      </w:pPr>
      <w:r w:rsidRPr="00AD33E8">
        <w:t>Holmbäck Åke och Wessén E. (1979) Svenska Landskapslager 1</w:t>
      </w:r>
    </w:p>
    <w:p w:rsidR="007B7A21" w:rsidRPr="00AD33E8" w:rsidRDefault="007B7A21">
      <w:pPr>
        <w:spacing w:before="120"/>
      </w:pPr>
      <w:r w:rsidRPr="00AD33E8">
        <w:t>Jacobsson Bengt (2000) ”Lär av egna erfarenheter – lita mindre på modelle</w:t>
      </w:r>
      <w:r w:rsidRPr="00AD33E8">
        <w:t>r</w:t>
      </w:r>
      <w:r w:rsidRPr="00AD33E8">
        <w:t>na”, Personal och ledarskap nr 9 2000</w:t>
      </w:r>
    </w:p>
    <w:p w:rsidR="007B7A21" w:rsidRPr="00AD33E8" w:rsidRDefault="007B7A21">
      <w:pPr>
        <w:spacing w:before="120"/>
      </w:pPr>
      <w:r w:rsidRPr="00AD33E8">
        <w:t>Jacobsson Bengt (red) (1994) Organisationsexperiment i kommuner och land</w:t>
      </w:r>
      <w:r w:rsidRPr="00AD33E8">
        <w:t>s</w:t>
      </w:r>
      <w:r w:rsidRPr="00AD33E8">
        <w:t>ting</w:t>
      </w:r>
    </w:p>
    <w:p w:rsidR="007B7A21" w:rsidRPr="00AD33E8" w:rsidRDefault="007B7A21">
      <w:pPr>
        <w:spacing w:before="120"/>
      </w:pPr>
      <w:r w:rsidRPr="00AD33E8">
        <w:t>Jones George (1998) Reforming NO. 10, LSE Public Policy Group Series</w:t>
      </w:r>
    </w:p>
    <w:p w:rsidR="007B7A21" w:rsidRPr="00AD33E8" w:rsidRDefault="007B7A21">
      <w:pPr>
        <w:spacing w:before="120"/>
      </w:pPr>
      <w:r w:rsidRPr="00AD33E8">
        <w:t>Lasch Christopher (1997) Eliternas uppror</w:t>
      </w:r>
    </w:p>
    <w:p w:rsidR="007B7A21" w:rsidRPr="00AD33E8" w:rsidRDefault="007B7A21">
      <w:pPr>
        <w:spacing w:before="120"/>
      </w:pPr>
      <w:r w:rsidRPr="00AD33E8">
        <w:t>Lågt i tak på statliga arbetsplatser, Välfärdsbulletinen Nr 4 1999</w:t>
      </w:r>
    </w:p>
    <w:p w:rsidR="007B7A21" w:rsidRPr="00AD33E8" w:rsidRDefault="007B7A21">
      <w:pPr>
        <w:spacing w:before="120"/>
      </w:pPr>
      <w:r w:rsidRPr="00AD33E8">
        <w:t>Lönnroth Erik (1998) Tidens flykt</w:t>
      </w:r>
    </w:p>
    <w:p w:rsidR="007B7A21" w:rsidRPr="00AD33E8" w:rsidRDefault="007B7A21">
      <w:pPr>
        <w:spacing w:before="120"/>
      </w:pPr>
      <w:r w:rsidRPr="00AD33E8">
        <w:t>Mer än var tredje på Rosenbad har slutat, Sydsvenskan 8 juni 2000</w:t>
      </w:r>
    </w:p>
    <w:p w:rsidR="007B7A21" w:rsidRPr="00AD33E8" w:rsidRDefault="007B7A21">
      <w:pPr>
        <w:spacing w:before="120"/>
      </w:pPr>
      <w:r w:rsidRPr="00AD33E8">
        <w:t xml:space="preserve">Modernising Government – white paper (1999) Cabinet Office UK </w:t>
      </w:r>
    </w:p>
    <w:p w:rsidR="007B7A21" w:rsidRPr="00AD33E8" w:rsidRDefault="007B7A21">
      <w:pPr>
        <w:spacing w:before="120"/>
      </w:pPr>
      <w:r w:rsidRPr="00AD33E8">
        <w:t>Molander Per, 1999 Styrningen av statsförvaltningen behöver en reform</w:t>
      </w:r>
      <w:r w:rsidRPr="00AD33E8">
        <w:t>e</w:t>
      </w:r>
      <w:r w:rsidRPr="00AD33E8">
        <w:t>ring. ESV-Nytt 4/99</w:t>
      </w:r>
    </w:p>
    <w:p w:rsidR="007B7A21" w:rsidRPr="00AD33E8" w:rsidRDefault="007B7A21">
      <w:pPr>
        <w:spacing w:before="120"/>
      </w:pPr>
      <w:r w:rsidRPr="00AD33E8">
        <w:t>Myrdal Gunnar (1934) Finanspolitikens ekonomiska verkningar</w:t>
      </w:r>
    </w:p>
    <w:p w:rsidR="007B7A21" w:rsidRPr="00AD33E8" w:rsidRDefault="007B7A21">
      <w:pPr>
        <w:spacing w:before="120"/>
      </w:pPr>
      <w:r w:rsidRPr="00AD33E8">
        <w:t>Nelander Lars, Låt förändringarna få ta tid, Upsala Nya Tidning 010411</w:t>
      </w:r>
    </w:p>
    <w:p w:rsidR="007B7A21" w:rsidRPr="00AD33E8" w:rsidRDefault="007B7A21">
      <w:pPr>
        <w:spacing w:before="120"/>
      </w:pPr>
      <w:r w:rsidRPr="00AD33E8">
        <w:t>Nilsonne Åsa (2000) Kyskhetsbältet</w:t>
      </w:r>
    </w:p>
    <w:p w:rsidR="007B7A21" w:rsidRPr="00AD33E8" w:rsidRDefault="007B7A21">
      <w:pPr>
        <w:spacing w:before="120"/>
      </w:pPr>
      <w:r w:rsidRPr="00AD33E8">
        <w:t>Nylander Sven (2001) Den fjärde mannen</w:t>
      </w:r>
    </w:p>
    <w:p w:rsidR="007B7A21" w:rsidRPr="00AD33E8" w:rsidRDefault="007B7A21">
      <w:pPr>
        <w:spacing w:before="120"/>
      </w:pPr>
      <w:r w:rsidRPr="00AD33E8">
        <w:t>Palme Sven Ulric (1948) Byråkratin som historiskt problem.</w:t>
      </w:r>
    </w:p>
    <w:p w:rsidR="007B7A21" w:rsidRPr="00AD33E8" w:rsidRDefault="007B7A21">
      <w:pPr>
        <w:spacing w:before="120"/>
      </w:pPr>
      <w:r w:rsidRPr="00AD33E8">
        <w:t>Personaluthyrarna ratar de äldre, professor Eskil Wadensjö och konsulterna Lennart Fridén och Ylva Hedén, DN</w:t>
      </w:r>
    </w:p>
    <w:p w:rsidR="007B7A21" w:rsidRPr="00AD33E8" w:rsidRDefault="007B7A21">
      <w:pPr>
        <w:spacing w:before="120"/>
      </w:pPr>
      <w:r w:rsidRPr="00AD33E8">
        <w:t>Petersson Olof et al. (1998) Demokrati och medborgarskap, Demokratirådets rapport 1998.</w:t>
      </w:r>
    </w:p>
    <w:p w:rsidR="007B7A21" w:rsidRPr="00AD33E8" w:rsidRDefault="007B7A21">
      <w:pPr>
        <w:spacing w:before="120"/>
      </w:pPr>
      <w:r w:rsidRPr="00AD33E8">
        <w:t>Power Michael (1997) The Perils of the Audit Society, LSE Public Policy Group Series</w:t>
      </w:r>
    </w:p>
    <w:p w:rsidR="007B7A21" w:rsidRPr="00AD33E8" w:rsidRDefault="007B7A21">
      <w:pPr>
        <w:spacing w:before="120"/>
      </w:pPr>
      <w:r w:rsidRPr="00AD33E8">
        <w:t>Promoting effective detection of crime (2000) National Audit Office UK, Work in progress</w:t>
      </w:r>
    </w:p>
    <w:p w:rsidR="007B7A21" w:rsidRPr="00AD33E8" w:rsidRDefault="007B7A21">
      <w:pPr>
        <w:spacing w:before="120"/>
      </w:pPr>
      <w:r w:rsidRPr="00AD33E8">
        <w:t>Rhenman Eric (1975) Systemsamhället</w:t>
      </w:r>
    </w:p>
    <w:p w:rsidR="007B7A21" w:rsidRPr="00AD33E8" w:rsidRDefault="007B7A21">
      <w:pPr>
        <w:spacing w:before="120"/>
      </w:pPr>
      <w:r w:rsidRPr="00AD33E8">
        <w:t>Rydén Göran (1990) , Hammarlag och hushåll. Om relationerna mellan smidesarbetet och smedshushållen vid Tore Petrés bru</w:t>
      </w:r>
      <w:r w:rsidRPr="00AD33E8">
        <w:t>k</w:t>
      </w:r>
      <w:r w:rsidRPr="00AD33E8">
        <w:t>skomplex 1830-1850.</w:t>
      </w:r>
    </w:p>
    <w:p w:rsidR="007B7A21" w:rsidRPr="00AD33E8" w:rsidRDefault="007B7A21">
      <w:pPr>
        <w:spacing w:before="120"/>
      </w:pPr>
      <w:r w:rsidRPr="00AD33E8">
        <w:t>Sandahl Rolf. 2000. Spelar resultatet någon roll ESV-Nytt 2/2000</w:t>
      </w:r>
    </w:p>
    <w:p w:rsidR="007B7A21" w:rsidRPr="00AD33E8" w:rsidRDefault="007B7A21">
      <w:pPr>
        <w:spacing w:before="120"/>
      </w:pPr>
      <w:r w:rsidRPr="00AD33E8">
        <w:t>Statens förnyelsefonder (1996) Hinder för förändringsarbetet</w:t>
      </w:r>
    </w:p>
    <w:p w:rsidR="007B7A21" w:rsidRPr="00AD33E8" w:rsidRDefault="007B7A21">
      <w:pPr>
        <w:spacing w:before="120"/>
        <w:rPr>
          <w:snapToGrid w:val="0"/>
        </w:rPr>
      </w:pPr>
      <w:r w:rsidRPr="00AD33E8">
        <w:t>Statens kvalitets- och kompetensråd, Kompetensförsörjningen i staten (dnr A 219-00).</w:t>
      </w:r>
    </w:p>
    <w:p w:rsidR="007B7A21" w:rsidRPr="00AD33E8" w:rsidRDefault="007B7A21">
      <w:pPr>
        <w:spacing w:before="120"/>
      </w:pPr>
      <w:r w:rsidRPr="00AD33E8">
        <w:t xml:space="preserve">Statskontoret Det viktiga valet av verkschef (1999:21) </w:t>
      </w:r>
    </w:p>
    <w:p w:rsidR="007B7A21" w:rsidRPr="00AD33E8" w:rsidRDefault="007B7A21">
      <w:pPr>
        <w:spacing w:before="120"/>
        <w:rPr>
          <w:rFonts w:ascii="Sabon-BoldOsF" w:hAnsi="Sabon-BoldOsF"/>
          <w:snapToGrid w:val="0"/>
        </w:rPr>
      </w:pPr>
      <w:r w:rsidRPr="00AD33E8">
        <w:rPr>
          <w:snapToGrid w:val="0"/>
        </w:rPr>
        <w:t>Statstjänstemannaförbundet (1995) ”Ingen vet vad notan slutar på” Statsfö</w:t>
      </w:r>
      <w:r w:rsidRPr="00AD33E8">
        <w:rPr>
          <w:snapToGrid w:val="0"/>
        </w:rPr>
        <w:t>r</w:t>
      </w:r>
      <w:r w:rsidRPr="00AD33E8">
        <w:rPr>
          <w:snapToGrid w:val="0"/>
        </w:rPr>
        <w:t>val</w:t>
      </w:r>
      <w:r w:rsidRPr="00AD33E8">
        <w:rPr>
          <w:snapToGrid w:val="0"/>
        </w:rPr>
        <w:t>t</w:t>
      </w:r>
      <w:r w:rsidRPr="00AD33E8">
        <w:rPr>
          <w:snapToGrid w:val="0"/>
        </w:rPr>
        <w:t>ning i förändring</w:t>
      </w:r>
    </w:p>
    <w:p w:rsidR="007B7A21" w:rsidRPr="00AD33E8" w:rsidRDefault="007B7A21">
      <w:pPr>
        <w:spacing w:before="120"/>
        <w:rPr>
          <w:rFonts w:ascii="Sabon-BoldOsF" w:hAnsi="Sabon-BoldOsF"/>
          <w:snapToGrid w:val="0"/>
        </w:rPr>
      </w:pPr>
      <w:r w:rsidRPr="00AD33E8">
        <w:rPr>
          <w:snapToGrid w:val="0"/>
        </w:rPr>
        <w:t xml:space="preserve">Statstjänstemannaförbundet </w:t>
      </w:r>
      <w:r w:rsidRPr="00AD33E8">
        <w:rPr>
          <w:rFonts w:ascii="Sabon-Roman" w:hAnsi="Sabon-Roman"/>
          <w:snapToGrid w:val="0"/>
        </w:rPr>
        <w:t>och SCB (1999)</w:t>
      </w:r>
      <w:r w:rsidRPr="00AD33E8">
        <w:rPr>
          <w:rFonts w:ascii="Sabon-BoldOsF" w:hAnsi="Sabon-BoldOsF"/>
          <w:snapToGrid w:val="0"/>
        </w:rPr>
        <w:t xml:space="preserve"> Så mår ST-medlemmen</w:t>
      </w:r>
    </w:p>
    <w:p w:rsidR="007B7A21" w:rsidRPr="00AD33E8" w:rsidRDefault="007B7A21">
      <w:pPr>
        <w:spacing w:before="120"/>
        <w:rPr>
          <w:snapToGrid w:val="0"/>
        </w:rPr>
      </w:pPr>
      <w:r w:rsidRPr="00AD33E8">
        <w:rPr>
          <w:snapToGrid w:val="0"/>
        </w:rPr>
        <w:t>Statstjänstemannaförbundet och SCB (2001) Så mår ST-medlemmen</w:t>
      </w:r>
    </w:p>
    <w:p w:rsidR="007B7A21" w:rsidRPr="00AD33E8" w:rsidRDefault="007B7A21">
      <w:pPr>
        <w:spacing w:before="120"/>
      </w:pPr>
      <w:r w:rsidRPr="00AD33E8">
        <w:t>Stressigt vid försäkringskassan, Upsala Nya Tidning 00/10/14</w:t>
      </w:r>
    </w:p>
    <w:p w:rsidR="007B7A21" w:rsidRPr="00AD33E8" w:rsidRDefault="007B7A21">
      <w:pPr>
        <w:spacing w:before="120"/>
        <w:rPr>
          <w:snapToGrid w:val="0"/>
        </w:rPr>
      </w:pPr>
      <w:r w:rsidRPr="00AD33E8">
        <w:rPr>
          <w:snapToGrid w:val="0"/>
        </w:rPr>
        <w:t>Söderlind Donald och Petersson Olof (1986) Svensk förvaltning</w:t>
      </w:r>
      <w:r w:rsidRPr="00AD33E8">
        <w:rPr>
          <w:snapToGrid w:val="0"/>
        </w:rPr>
        <w:t>s</w:t>
      </w:r>
      <w:r w:rsidRPr="00AD33E8">
        <w:rPr>
          <w:snapToGrid w:val="0"/>
        </w:rPr>
        <w:t>politik</w:t>
      </w:r>
    </w:p>
    <w:p w:rsidR="007B7A21" w:rsidRPr="00AD33E8" w:rsidRDefault="007B7A21">
      <w:pPr>
        <w:spacing w:before="120"/>
      </w:pPr>
      <w:r w:rsidRPr="00AD33E8">
        <w:rPr>
          <w:snapToGrid w:val="0"/>
        </w:rPr>
        <w:t>Tegle Stig (1999) Drivkrafter för tillväxt</w:t>
      </w:r>
    </w:p>
    <w:p w:rsidR="007B7A21" w:rsidRPr="00AD33E8" w:rsidRDefault="007B7A21">
      <w:pPr>
        <w:spacing w:before="120"/>
        <w:rPr>
          <w:snapToGrid w:val="0"/>
        </w:rPr>
      </w:pPr>
      <w:r w:rsidRPr="00AD33E8">
        <w:rPr>
          <w:snapToGrid w:val="0"/>
        </w:rPr>
        <w:t>Trollestad Claes (1994) Människosyn i ledarskapsutbildning</w:t>
      </w:r>
    </w:p>
    <w:p w:rsidR="007B7A21" w:rsidRPr="00AD33E8" w:rsidRDefault="007B7A21">
      <w:pPr>
        <w:spacing w:before="120"/>
      </w:pPr>
      <w:r w:rsidRPr="00AD33E8">
        <w:t>Tyst kunskap eller förtr</w:t>
      </w:r>
      <w:r w:rsidRPr="00AD33E8">
        <w:t>o</w:t>
      </w:r>
      <w:r w:rsidRPr="00AD33E8">
        <w:t>genhetskunskap. (Upptinget 8/00)</w:t>
      </w:r>
    </w:p>
    <w:p w:rsidR="007B7A21" w:rsidRPr="00AD33E8" w:rsidRDefault="007B7A21">
      <w:pPr>
        <w:spacing w:before="120"/>
      </w:pPr>
      <w:r w:rsidRPr="00AD33E8">
        <w:t>Wadensjö Eskil och Sjögren Gabriella (2000) Arbetslinjen för äldre i prakt</w:t>
      </w:r>
      <w:r w:rsidRPr="00AD33E8">
        <w:t>i</w:t>
      </w:r>
      <w:r w:rsidRPr="00AD33E8">
        <w:t>ken.</w:t>
      </w:r>
    </w:p>
    <w:p w:rsidR="007B7A21" w:rsidRPr="00AD33E8" w:rsidRDefault="007B7A21">
      <w:pPr>
        <w:pStyle w:val="Rubrik1"/>
        <w:numPr>
          <w:ilvl w:val="0"/>
          <w:numId w:val="0"/>
        </w:numPr>
      </w:pPr>
    </w:p>
    <w:p w:rsidR="007B7A21" w:rsidRPr="00AD33E8" w:rsidRDefault="007B7A21"/>
    <w:p w:rsidR="007B7A21" w:rsidRPr="00AD33E8" w:rsidRDefault="007B7A21">
      <w:pPr>
        <w:pStyle w:val="Normaltindrag"/>
      </w:pPr>
    </w:p>
    <w:p w:rsidR="007B7A21" w:rsidRPr="00AD33E8" w:rsidRDefault="007B7A21">
      <w:pPr>
        <w:pStyle w:val="Normaltindrag"/>
        <w:jc w:val="left"/>
      </w:pPr>
    </w:p>
    <w:p w:rsidR="007B7A21" w:rsidRPr="00AD33E8" w:rsidRDefault="007B7A21">
      <w:pPr>
        <w:pStyle w:val="Normaltindrag"/>
        <w:jc w:val="left"/>
      </w:pPr>
    </w:p>
    <w:p w:rsidR="007B7A21" w:rsidRPr="00AD33E8" w:rsidRDefault="007B7A21">
      <w:pPr>
        <w:pStyle w:val="Normaltindrag"/>
        <w:jc w:val="left"/>
        <w:sectPr w:rsidR="00000000" w:rsidRPr="00AD33E8">
          <w:headerReference w:type="default" r:id="rId13"/>
          <w:footerReference w:type="default" r:id="rId14"/>
          <w:type w:val="oddPage"/>
          <w:pgSz w:w="11906" w:h="16838" w:code="9"/>
          <w:pgMar w:top="567" w:right="4876" w:bottom="4508" w:left="1134" w:header="227" w:footer="227" w:gutter="0"/>
          <w:cols w:space="720"/>
        </w:sectPr>
      </w:pPr>
    </w:p>
    <w:p w:rsidR="007B7A21" w:rsidRPr="00AD33E8" w:rsidRDefault="007B7A21">
      <w:pPr>
        <w:pStyle w:val="Rubrik1-Utannumrering"/>
      </w:pPr>
      <w:bookmarkStart w:id="394" w:name="_Toc21425382"/>
      <w:r w:rsidRPr="00AD33E8">
        <w:t>Innehållsförteckning</w:t>
      </w:r>
      <w:bookmarkEnd w:id="394"/>
    </w:p>
    <w:p w:rsidR="007B7A21" w:rsidRPr="00AD33E8" w:rsidRDefault="007B7A21">
      <w:pPr>
        <w:pStyle w:val="Innehll1"/>
        <w:tabs>
          <w:tab w:val="left" w:pos="454"/>
        </w:tabs>
        <w:rPr>
          <w:noProof w:val="0"/>
        </w:rPr>
      </w:pPr>
      <w:r w:rsidRPr="00AD33E8">
        <w:rPr>
          <w:noProof w:val="0"/>
        </w:rPr>
        <w:t>1</w:t>
      </w:r>
      <w:r w:rsidRPr="00AD33E8">
        <w:rPr>
          <w:noProof w:val="0"/>
        </w:rPr>
        <w:tab/>
        <w:t>Revisorernas granskning</w:t>
      </w:r>
      <w:r w:rsidRPr="00AD33E8">
        <w:rPr>
          <w:noProof w:val="0"/>
        </w:rPr>
        <w:tab/>
        <w:t>1</w:t>
      </w:r>
    </w:p>
    <w:p w:rsidR="007B7A21" w:rsidRPr="00AD33E8" w:rsidRDefault="007B7A21">
      <w:pPr>
        <w:pStyle w:val="Innehll1"/>
        <w:tabs>
          <w:tab w:val="left" w:pos="454"/>
        </w:tabs>
        <w:rPr>
          <w:noProof w:val="0"/>
        </w:rPr>
      </w:pPr>
      <w:r w:rsidRPr="00AD33E8">
        <w:rPr>
          <w:noProof w:val="0"/>
        </w:rPr>
        <w:t>2</w:t>
      </w:r>
      <w:r w:rsidRPr="00AD33E8">
        <w:rPr>
          <w:noProof w:val="0"/>
        </w:rPr>
        <w:tab/>
        <w:t>Remissinstansernas synpunkter och revisorernas överväganden</w:t>
      </w:r>
      <w:r w:rsidRPr="00AD33E8">
        <w:rPr>
          <w:noProof w:val="0"/>
        </w:rPr>
        <w:tab/>
        <w:t>3</w:t>
      </w:r>
    </w:p>
    <w:p w:rsidR="007B7A21" w:rsidRPr="00AD33E8" w:rsidRDefault="007B7A21">
      <w:pPr>
        <w:pStyle w:val="Innehll1"/>
        <w:tabs>
          <w:tab w:val="left" w:pos="454"/>
        </w:tabs>
        <w:rPr>
          <w:noProof w:val="0"/>
        </w:rPr>
      </w:pPr>
      <w:r w:rsidRPr="00AD33E8">
        <w:rPr>
          <w:noProof w:val="0"/>
        </w:rPr>
        <w:t>2.1</w:t>
      </w:r>
      <w:r w:rsidRPr="00AD33E8">
        <w:rPr>
          <w:noProof w:val="0"/>
        </w:rPr>
        <w:tab/>
        <w:t>Utgångspunkter och allmänna synpunkter</w:t>
      </w:r>
      <w:r w:rsidRPr="00AD33E8">
        <w:rPr>
          <w:noProof w:val="0"/>
        </w:rPr>
        <w:tab/>
        <w:t>3</w:t>
      </w:r>
    </w:p>
    <w:p w:rsidR="007B7A21" w:rsidRPr="00AD33E8" w:rsidRDefault="007B7A21">
      <w:pPr>
        <w:pStyle w:val="Innehll1"/>
        <w:tabs>
          <w:tab w:val="left" w:pos="454"/>
        </w:tabs>
        <w:rPr>
          <w:noProof w:val="0"/>
        </w:rPr>
      </w:pPr>
      <w:r w:rsidRPr="00AD33E8">
        <w:rPr>
          <w:noProof w:val="0"/>
        </w:rPr>
        <w:t>2.2</w:t>
      </w:r>
      <w:r w:rsidRPr="00AD33E8">
        <w:rPr>
          <w:noProof w:val="0"/>
        </w:rPr>
        <w:tab/>
        <w:t>Definition av den statliga personalpolitiken</w:t>
      </w:r>
      <w:r w:rsidRPr="00AD33E8">
        <w:rPr>
          <w:noProof w:val="0"/>
        </w:rPr>
        <w:tab/>
        <w:t>9</w:t>
      </w:r>
    </w:p>
    <w:p w:rsidR="007B7A21" w:rsidRPr="00AD33E8" w:rsidRDefault="007B7A21">
      <w:pPr>
        <w:pStyle w:val="Innehll1"/>
        <w:tabs>
          <w:tab w:val="left" w:pos="454"/>
        </w:tabs>
        <w:rPr>
          <w:noProof w:val="0"/>
        </w:rPr>
      </w:pPr>
      <w:r w:rsidRPr="00AD33E8">
        <w:rPr>
          <w:noProof w:val="0"/>
        </w:rPr>
        <w:t>2.3</w:t>
      </w:r>
      <w:r w:rsidRPr="00AD33E8">
        <w:rPr>
          <w:noProof w:val="0"/>
        </w:rPr>
        <w:tab/>
        <w:t>Precisering av den arbetsgivarpolitiska delegeringen</w:t>
      </w:r>
      <w:r w:rsidRPr="00AD33E8">
        <w:rPr>
          <w:noProof w:val="0"/>
        </w:rPr>
        <w:tab/>
        <w:t>12</w:t>
      </w:r>
    </w:p>
    <w:p w:rsidR="007B7A21" w:rsidRPr="00AD33E8" w:rsidRDefault="007B7A21">
      <w:pPr>
        <w:pStyle w:val="Innehll1"/>
        <w:tabs>
          <w:tab w:val="left" w:pos="454"/>
        </w:tabs>
        <w:rPr>
          <w:noProof w:val="0"/>
        </w:rPr>
      </w:pPr>
      <w:r w:rsidRPr="00AD33E8">
        <w:rPr>
          <w:noProof w:val="0"/>
        </w:rPr>
        <w:t>2.4</w:t>
      </w:r>
      <w:r w:rsidRPr="00AD33E8">
        <w:rPr>
          <w:noProof w:val="0"/>
        </w:rPr>
        <w:tab/>
        <w:t>Tydligare chefskap och redovisning</w:t>
      </w:r>
      <w:r w:rsidRPr="00AD33E8">
        <w:rPr>
          <w:noProof w:val="0"/>
        </w:rPr>
        <w:tab/>
        <w:t>15</w:t>
      </w:r>
    </w:p>
    <w:p w:rsidR="007B7A21" w:rsidRPr="00AD33E8" w:rsidRDefault="007B7A21">
      <w:pPr>
        <w:pStyle w:val="Innehll1"/>
        <w:tabs>
          <w:tab w:val="left" w:pos="454"/>
        </w:tabs>
        <w:rPr>
          <w:noProof w:val="0"/>
        </w:rPr>
      </w:pPr>
      <w:r w:rsidRPr="00AD33E8">
        <w:rPr>
          <w:noProof w:val="0"/>
        </w:rPr>
        <w:t>2.5</w:t>
      </w:r>
      <w:r w:rsidRPr="00AD33E8">
        <w:rPr>
          <w:noProof w:val="0"/>
        </w:rPr>
        <w:tab/>
        <w:t>Verksamhetsanpassning av uppföljningen</w:t>
      </w:r>
      <w:r w:rsidRPr="00AD33E8">
        <w:rPr>
          <w:noProof w:val="0"/>
        </w:rPr>
        <w:tab/>
        <w:t>18</w:t>
      </w:r>
    </w:p>
    <w:p w:rsidR="007B7A21" w:rsidRPr="00AD33E8" w:rsidRDefault="007B7A21">
      <w:pPr>
        <w:pStyle w:val="Innehll1"/>
        <w:tabs>
          <w:tab w:val="left" w:pos="454"/>
        </w:tabs>
        <w:rPr>
          <w:noProof w:val="0"/>
        </w:rPr>
      </w:pPr>
      <w:r w:rsidRPr="00AD33E8">
        <w:rPr>
          <w:noProof w:val="0"/>
        </w:rPr>
        <w:t>2.6</w:t>
      </w:r>
      <w:r w:rsidRPr="00AD33E8">
        <w:rPr>
          <w:noProof w:val="0"/>
        </w:rPr>
        <w:tab/>
        <w:t>Identifikation av risksituationer</w:t>
      </w:r>
      <w:r w:rsidRPr="00AD33E8">
        <w:rPr>
          <w:noProof w:val="0"/>
        </w:rPr>
        <w:tab/>
        <w:t>21</w:t>
      </w:r>
    </w:p>
    <w:p w:rsidR="007B7A21" w:rsidRPr="00AD33E8" w:rsidRDefault="007B7A21">
      <w:pPr>
        <w:pStyle w:val="Innehll1"/>
        <w:tabs>
          <w:tab w:val="left" w:pos="454"/>
        </w:tabs>
        <w:rPr>
          <w:noProof w:val="0"/>
        </w:rPr>
      </w:pPr>
      <w:r w:rsidRPr="00AD33E8">
        <w:rPr>
          <w:noProof w:val="0"/>
        </w:rPr>
        <w:t>3</w:t>
      </w:r>
      <w:r w:rsidRPr="00AD33E8">
        <w:rPr>
          <w:noProof w:val="0"/>
        </w:rPr>
        <w:tab/>
        <w:t>Revisorernas förslag</w:t>
      </w:r>
      <w:r w:rsidRPr="00AD33E8">
        <w:rPr>
          <w:noProof w:val="0"/>
        </w:rPr>
        <w:tab/>
        <w:t>22</w:t>
      </w:r>
    </w:p>
    <w:p w:rsidR="007B7A21" w:rsidRPr="00AD33E8" w:rsidRDefault="007B7A21">
      <w:pPr>
        <w:pStyle w:val="Innehll1"/>
        <w:rPr>
          <w:i/>
          <w:noProof w:val="0"/>
        </w:rPr>
      </w:pPr>
      <w:r w:rsidRPr="00AD33E8">
        <w:rPr>
          <w:i/>
          <w:noProof w:val="0"/>
        </w:rPr>
        <w:t>Bilaga</w:t>
      </w:r>
    </w:p>
    <w:p w:rsidR="007B7A21" w:rsidRPr="00AD33E8" w:rsidRDefault="007B7A21">
      <w:pPr>
        <w:pStyle w:val="Innehll1"/>
        <w:rPr>
          <w:noProof w:val="0"/>
        </w:rPr>
      </w:pPr>
      <w:r w:rsidRPr="00AD33E8">
        <w:rPr>
          <w:noProof w:val="0"/>
        </w:rPr>
        <w:t>Rapport 2001/02:12 Statens personalpolitik – En uppföljning av 1985 års personalpolitiska beslut</w:t>
      </w:r>
      <w:r w:rsidRPr="00AD33E8">
        <w:rPr>
          <w:noProof w:val="0"/>
        </w:rPr>
        <w:tab/>
        <w:t>25</w:t>
      </w:r>
    </w:p>
    <w:p w:rsidR="007B7A21" w:rsidRPr="00AD33E8" w:rsidRDefault="007B7A21">
      <w:pPr>
        <w:pStyle w:val="Innehll1"/>
        <w:rPr>
          <w:noProof w:val="0"/>
        </w:rPr>
      </w:pPr>
      <w:r w:rsidRPr="00AD33E8">
        <w:rPr>
          <w:noProof w:val="0"/>
        </w:rPr>
        <w:t>Förord</w:t>
      </w:r>
      <w:r w:rsidRPr="00AD33E8">
        <w:rPr>
          <w:noProof w:val="0"/>
        </w:rPr>
        <w:tab/>
        <w:t>27</w:t>
      </w:r>
    </w:p>
    <w:p w:rsidR="007B7A21" w:rsidRPr="00AD33E8" w:rsidRDefault="007B7A21">
      <w:pPr>
        <w:pStyle w:val="Innehll1"/>
        <w:rPr>
          <w:noProof w:val="0"/>
        </w:rPr>
      </w:pPr>
      <w:r w:rsidRPr="00AD33E8">
        <w:rPr>
          <w:noProof w:val="0"/>
        </w:rPr>
        <w:t>Sammanfattning</w:t>
      </w:r>
      <w:r w:rsidRPr="00AD33E8">
        <w:rPr>
          <w:noProof w:val="0"/>
        </w:rPr>
        <w:tab/>
        <w:t>29</w:t>
      </w:r>
    </w:p>
    <w:p w:rsidR="007B7A21" w:rsidRPr="00AD33E8" w:rsidRDefault="007B7A21">
      <w:pPr>
        <w:pStyle w:val="Innehll2"/>
        <w:rPr>
          <w:noProof w:val="0"/>
        </w:rPr>
      </w:pPr>
      <w:r w:rsidRPr="00AD33E8">
        <w:rPr>
          <w:noProof w:val="0"/>
        </w:rPr>
        <w:t>Den statliga personalpolitikens måluppfyllelse har varierat</w:t>
      </w:r>
      <w:r w:rsidRPr="00AD33E8">
        <w:rPr>
          <w:noProof w:val="0"/>
        </w:rPr>
        <w:tab/>
        <w:t>29</w:t>
      </w:r>
    </w:p>
    <w:p w:rsidR="007B7A21" w:rsidRPr="00AD33E8" w:rsidRDefault="007B7A21">
      <w:pPr>
        <w:pStyle w:val="Innehll2"/>
        <w:rPr>
          <w:noProof w:val="0"/>
        </w:rPr>
      </w:pPr>
      <w:r w:rsidRPr="00AD33E8">
        <w:rPr>
          <w:noProof w:val="0"/>
        </w:rPr>
        <w:t>Ett långsiktigt perspektiv</w:t>
      </w:r>
      <w:r w:rsidRPr="00AD33E8">
        <w:rPr>
          <w:noProof w:val="0"/>
        </w:rPr>
        <w:tab/>
        <w:t>30</w:t>
      </w:r>
    </w:p>
    <w:p w:rsidR="007B7A21" w:rsidRPr="00AD33E8" w:rsidRDefault="007B7A21">
      <w:pPr>
        <w:pStyle w:val="Innehll2"/>
        <w:rPr>
          <w:noProof w:val="0"/>
        </w:rPr>
      </w:pPr>
      <w:r w:rsidRPr="00AD33E8">
        <w:rPr>
          <w:noProof w:val="0"/>
        </w:rPr>
        <w:t>Slutsatser och förslag</w:t>
      </w:r>
      <w:r w:rsidRPr="00AD33E8">
        <w:rPr>
          <w:noProof w:val="0"/>
        </w:rPr>
        <w:tab/>
        <w:t>31</w:t>
      </w:r>
    </w:p>
    <w:p w:rsidR="007B7A21" w:rsidRPr="00AD33E8" w:rsidRDefault="007B7A21">
      <w:pPr>
        <w:pStyle w:val="Innehll1"/>
        <w:tabs>
          <w:tab w:val="left" w:pos="454"/>
        </w:tabs>
        <w:rPr>
          <w:noProof w:val="0"/>
        </w:rPr>
      </w:pPr>
      <w:r w:rsidRPr="00AD33E8">
        <w:rPr>
          <w:noProof w:val="0"/>
        </w:rPr>
        <w:t>1</w:t>
      </w:r>
      <w:r w:rsidRPr="00AD33E8">
        <w:rPr>
          <w:noProof w:val="0"/>
        </w:rPr>
        <w:tab/>
        <w:t>Granskningens bakgrund och inriktning</w:t>
      </w:r>
      <w:r w:rsidRPr="00AD33E8">
        <w:rPr>
          <w:noProof w:val="0"/>
        </w:rPr>
        <w:tab/>
        <w:t>33</w:t>
      </w:r>
    </w:p>
    <w:p w:rsidR="007B7A21" w:rsidRPr="00AD33E8" w:rsidRDefault="007B7A21">
      <w:pPr>
        <w:pStyle w:val="Innehll1"/>
        <w:tabs>
          <w:tab w:val="left" w:pos="454"/>
        </w:tabs>
        <w:rPr>
          <w:noProof w:val="0"/>
        </w:rPr>
      </w:pPr>
      <w:r w:rsidRPr="00AD33E8">
        <w:rPr>
          <w:noProof w:val="0"/>
        </w:rPr>
        <w:t>1.1</w:t>
      </w:r>
      <w:r w:rsidRPr="00AD33E8">
        <w:rPr>
          <w:noProof w:val="0"/>
        </w:rPr>
        <w:tab/>
        <w:t>Bakgrund</w:t>
      </w:r>
      <w:r w:rsidRPr="00AD33E8">
        <w:rPr>
          <w:noProof w:val="0"/>
        </w:rPr>
        <w:tab/>
        <w:t>33</w:t>
      </w:r>
    </w:p>
    <w:p w:rsidR="007B7A21" w:rsidRPr="00AD33E8" w:rsidRDefault="007B7A21">
      <w:pPr>
        <w:pStyle w:val="Innehll1"/>
        <w:tabs>
          <w:tab w:val="left" w:pos="454"/>
        </w:tabs>
        <w:rPr>
          <w:noProof w:val="0"/>
        </w:rPr>
      </w:pPr>
      <w:r w:rsidRPr="00AD33E8">
        <w:rPr>
          <w:noProof w:val="0"/>
        </w:rPr>
        <w:t>1.2</w:t>
      </w:r>
      <w:r w:rsidRPr="00AD33E8">
        <w:rPr>
          <w:noProof w:val="0"/>
        </w:rPr>
        <w:tab/>
        <w:t>Problem</w:t>
      </w:r>
      <w:r w:rsidRPr="00AD33E8">
        <w:rPr>
          <w:noProof w:val="0"/>
        </w:rPr>
        <w:tab/>
        <w:t>33</w:t>
      </w:r>
    </w:p>
    <w:p w:rsidR="007B7A21" w:rsidRPr="00AD33E8" w:rsidRDefault="007B7A21">
      <w:pPr>
        <w:pStyle w:val="Innehll1"/>
        <w:tabs>
          <w:tab w:val="left" w:pos="454"/>
        </w:tabs>
        <w:rPr>
          <w:noProof w:val="0"/>
        </w:rPr>
      </w:pPr>
      <w:r w:rsidRPr="00AD33E8">
        <w:rPr>
          <w:noProof w:val="0"/>
        </w:rPr>
        <w:t>1.2.1</w:t>
      </w:r>
      <w:r w:rsidRPr="00AD33E8">
        <w:rPr>
          <w:noProof w:val="0"/>
        </w:rPr>
        <w:tab/>
        <w:t>Problemdiskussion</w:t>
      </w:r>
      <w:r w:rsidRPr="00AD33E8">
        <w:rPr>
          <w:noProof w:val="0"/>
        </w:rPr>
        <w:tab/>
        <w:t>33</w:t>
      </w:r>
    </w:p>
    <w:p w:rsidR="007B7A21" w:rsidRPr="00AD33E8" w:rsidRDefault="007B7A21">
      <w:pPr>
        <w:pStyle w:val="Innehll1"/>
        <w:tabs>
          <w:tab w:val="left" w:pos="454"/>
        </w:tabs>
        <w:rPr>
          <w:noProof w:val="0"/>
        </w:rPr>
      </w:pPr>
      <w:r w:rsidRPr="00AD33E8">
        <w:rPr>
          <w:noProof w:val="0"/>
        </w:rPr>
        <w:t>1.3</w:t>
      </w:r>
      <w:r w:rsidRPr="00AD33E8">
        <w:rPr>
          <w:noProof w:val="0"/>
        </w:rPr>
        <w:tab/>
        <w:t>Inriktning</w:t>
      </w:r>
      <w:r w:rsidRPr="00AD33E8">
        <w:rPr>
          <w:noProof w:val="0"/>
        </w:rPr>
        <w:tab/>
        <w:t>34</w:t>
      </w:r>
    </w:p>
    <w:p w:rsidR="007B7A21" w:rsidRPr="00AD33E8" w:rsidRDefault="007B7A21">
      <w:pPr>
        <w:pStyle w:val="Innehll1"/>
        <w:tabs>
          <w:tab w:val="left" w:pos="454"/>
        </w:tabs>
        <w:rPr>
          <w:noProof w:val="0"/>
        </w:rPr>
      </w:pPr>
      <w:r w:rsidRPr="00AD33E8">
        <w:rPr>
          <w:noProof w:val="0"/>
        </w:rPr>
        <w:t>2</w:t>
      </w:r>
      <w:r w:rsidRPr="00AD33E8">
        <w:rPr>
          <w:noProof w:val="0"/>
        </w:rPr>
        <w:tab/>
        <w:t>Personalpolitiska reformer från 1985</w:t>
      </w:r>
      <w:r w:rsidRPr="00AD33E8">
        <w:rPr>
          <w:noProof w:val="0"/>
        </w:rPr>
        <w:tab/>
        <w:t>35</w:t>
      </w:r>
    </w:p>
    <w:p w:rsidR="007B7A21" w:rsidRPr="00AD33E8" w:rsidRDefault="007B7A21">
      <w:pPr>
        <w:pStyle w:val="Innehll1"/>
        <w:tabs>
          <w:tab w:val="left" w:pos="454"/>
        </w:tabs>
        <w:rPr>
          <w:noProof w:val="0"/>
        </w:rPr>
      </w:pPr>
      <w:r w:rsidRPr="00AD33E8">
        <w:rPr>
          <w:noProof w:val="0"/>
        </w:rPr>
        <w:t>2.1</w:t>
      </w:r>
      <w:r w:rsidRPr="00AD33E8">
        <w:rPr>
          <w:noProof w:val="0"/>
        </w:rPr>
        <w:tab/>
        <w:t>Den konstitutionella grunden</w:t>
      </w:r>
      <w:r w:rsidRPr="00AD33E8">
        <w:rPr>
          <w:noProof w:val="0"/>
        </w:rPr>
        <w:tab/>
        <w:t>35</w:t>
      </w:r>
    </w:p>
    <w:p w:rsidR="007B7A21" w:rsidRPr="00AD33E8" w:rsidRDefault="007B7A21">
      <w:pPr>
        <w:pStyle w:val="Innehll1"/>
        <w:tabs>
          <w:tab w:val="left" w:pos="454"/>
        </w:tabs>
        <w:rPr>
          <w:noProof w:val="0"/>
        </w:rPr>
      </w:pPr>
      <w:r w:rsidRPr="00AD33E8">
        <w:rPr>
          <w:noProof w:val="0"/>
        </w:rPr>
        <w:tab/>
        <w:t>Regeringsformen</w:t>
      </w:r>
      <w:r w:rsidRPr="00AD33E8">
        <w:rPr>
          <w:noProof w:val="0"/>
        </w:rPr>
        <w:tab/>
        <w:t>36</w:t>
      </w:r>
    </w:p>
    <w:p w:rsidR="007B7A21" w:rsidRPr="00AD33E8" w:rsidRDefault="007B7A21">
      <w:pPr>
        <w:pStyle w:val="Innehll1"/>
        <w:tabs>
          <w:tab w:val="left" w:pos="454"/>
        </w:tabs>
        <w:rPr>
          <w:noProof w:val="0"/>
        </w:rPr>
      </w:pPr>
      <w:r w:rsidRPr="00AD33E8">
        <w:rPr>
          <w:noProof w:val="0"/>
        </w:rPr>
        <w:t>2.2</w:t>
      </w:r>
      <w:r w:rsidRPr="00AD33E8">
        <w:rPr>
          <w:noProof w:val="0"/>
        </w:rPr>
        <w:tab/>
        <w:t>Den personalpolitiska reformen 1985</w:t>
      </w:r>
      <w:r w:rsidRPr="00AD33E8">
        <w:rPr>
          <w:noProof w:val="0"/>
        </w:rPr>
        <w:tab/>
        <w:t>37</w:t>
      </w:r>
    </w:p>
    <w:p w:rsidR="007B7A21" w:rsidRPr="00AD33E8" w:rsidRDefault="007B7A21">
      <w:pPr>
        <w:pStyle w:val="Innehll1"/>
        <w:tabs>
          <w:tab w:val="left" w:pos="454"/>
        </w:tabs>
        <w:rPr>
          <w:noProof w:val="0"/>
        </w:rPr>
      </w:pPr>
      <w:r w:rsidRPr="00AD33E8">
        <w:rPr>
          <w:noProof w:val="0"/>
        </w:rPr>
        <w:t>2.2.1</w:t>
      </w:r>
      <w:r w:rsidRPr="00AD33E8">
        <w:rPr>
          <w:noProof w:val="0"/>
        </w:rPr>
        <w:tab/>
        <w:t>Innehållet i 1985 års personalpolitiska beslut</w:t>
      </w:r>
      <w:r w:rsidRPr="00AD33E8">
        <w:rPr>
          <w:noProof w:val="0"/>
        </w:rPr>
        <w:tab/>
        <w:t>38</w:t>
      </w:r>
    </w:p>
    <w:p w:rsidR="007B7A21" w:rsidRPr="00AD33E8" w:rsidRDefault="007B7A21">
      <w:pPr>
        <w:pStyle w:val="Innehll1"/>
        <w:tabs>
          <w:tab w:val="left" w:pos="454"/>
        </w:tabs>
        <w:rPr>
          <w:noProof w:val="0"/>
        </w:rPr>
      </w:pPr>
      <w:r w:rsidRPr="00AD33E8">
        <w:rPr>
          <w:noProof w:val="0"/>
        </w:rPr>
        <w:tab/>
        <w:t>Avstannande expansion</w:t>
      </w:r>
      <w:r w:rsidRPr="00AD33E8">
        <w:rPr>
          <w:noProof w:val="0"/>
        </w:rPr>
        <w:tab/>
        <w:t>38</w:t>
      </w:r>
    </w:p>
    <w:p w:rsidR="007B7A21" w:rsidRPr="00AD33E8" w:rsidRDefault="007B7A21">
      <w:pPr>
        <w:pStyle w:val="Innehll1"/>
        <w:tabs>
          <w:tab w:val="left" w:pos="454"/>
        </w:tabs>
        <w:rPr>
          <w:noProof w:val="0"/>
        </w:rPr>
      </w:pPr>
      <w:r w:rsidRPr="00AD33E8">
        <w:rPr>
          <w:noProof w:val="0"/>
        </w:rPr>
        <w:tab/>
        <w:t>Förändringsberedskap och ökad rörlighet</w:t>
      </w:r>
      <w:r w:rsidRPr="00AD33E8">
        <w:rPr>
          <w:noProof w:val="0"/>
        </w:rPr>
        <w:tab/>
        <w:t>38</w:t>
      </w:r>
    </w:p>
    <w:p w:rsidR="007B7A21" w:rsidRPr="00AD33E8" w:rsidRDefault="007B7A21">
      <w:pPr>
        <w:pStyle w:val="Innehll1"/>
        <w:tabs>
          <w:tab w:val="left" w:pos="454"/>
        </w:tabs>
        <w:rPr>
          <w:noProof w:val="0"/>
        </w:rPr>
      </w:pPr>
      <w:r w:rsidRPr="00AD33E8">
        <w:rPr>
          <w:noProof w:val="0"/>
        </w:rPr>
        <w:tab/>
        <w:t>Lönefrågorna</w:t>
      </w:r>
      <w:r w:rsidRPr="00AD33E8">
        <w:rPr>
          <w:noProof w:val="0"/>
        </w:rPr>
        <w:tab/>
        <w:t>39</w:t>
      </w:r>
    </w:p>
    <w:p w:rsidR="007B7A21" w:rsidRPr="00AD33E8" w:rsidRDefault="007B7A21">
      <w:pPr>
        <w:pStyle w:val="Innehll1"/>
        <w:tabs>
          <w:tab w:val="left" w:pos="454"/>
        </w:tabs>
        <w:rPr>
          <w:noProof w:val="0"/>
        </w:rPr>
      </w:pPr>
      <w:r w:rsidRPr="00AD33E8">
        <w:rPr>
          <w:noProof w:val="0"/>
        </w:rPr>
        <w:tab/>
        <w:t xml:space="preserve">Rekrytering och befordran på saklig grund: förtjänst och </w:t>
      </w:r>
      <w:r w:rsidRPr="00AD33E8">
        <w:rPr>
          <w:noProof w:val="0"/>
          <w:spacing w:val="-6"/>
        </w:rPr>
        <w:t>skicklighet</w:t>
      </w:r>
      <w:r w:rsidRPr="00AD33E8">
        <w:rPr>
          <w:noProof w:val="0"/>
        </w:rPr>
        <w:tab/>
        <w:t>39</w:t>
      </w:r>
    </w:p>
    <w:p w:rsidR="007B7A21" w:rsidRPr="00AD33E8" w:rsidRDefault="007B7A21">
      <w:pPr>
        <w:pStyle w:val="Innehll1"/>
        <w:tabs>
          <w:tab w:val="left" w:pos="454"/>
        </w:tabs>
        <w:rPr>
          <w:noProof w:val="0"/>
        </w:rPr>
      </w:pPr>
      <w:r w:rsidRPr="00AD33E8">
        <w:rPr>
          <w:noProof w:val="0"/>
        </w:rPr>
        <w:tab/>
        <w:t>Decentralisering och förenkling</w:t>
      </w:r>
      <w:r w:rsidRPr="00AD33E8">
        <w:rPr>
          <w:noProof w:val="0"/>
        </w:rPr>
        <w:tab/>
        <w:t>40</w:t>
      </w:r>
    </w:p>
    <w:p w:rsidR="007B7A21" w:rsidRPr="00AD33E8" w:rsidRDefault="007B7A21">
      <w:pPr>
        <w:pStyle w:val="Innehll1"/>
        <w:tabs>
          <w:tab w:val="left" w:pos="454"/>
        </w:tabs>
        <w:rPr>
          <w:noProof w:val="0"/>
        </w:rPr>
      </w:pPr>
      <w:r w:rsidRPr="00AD33E8">
        <w:rPr>
          <w:noProof w:val="0"/>
        </w:rPr>
        <w:tab/>
        <w:t>Statlig personalpolitik i ett process och resultatperspektiv</w:t>
      </w:r>
      <w:r w:rsidRPr="00AD33E8">
        <w:rPr>
          <w:noProof w:val="0"/>
        </w:rPr>
        <w:tab/>
        <w:t>40</w:t>
      </w:r>
    </w:p>
    <w:p w:rsidR="007B7A21" w:rsidRPr="00AD33E8" w:rsidRDefault="007B7A21">
      <w:pPr>
        <w:pStyle w:val="Innehll1"/>
        <w:tabs>
          <w:tab w:val="left" w:pos="454"/>
        </w:tabs>
        <w:rPr>
          <w:noProof w:val="0"/>
        </w:rPr>
      </w:pPr>
      <w:r w:rsidRPr="00AD33E8">
        <w:rPr>
          <w:noProof w:val="0"/>
        </w:rPr>
        <w:t>2.2.2</w:t>
      </w:r>
      <w:r w:rsidRPr="00AD33E8">
        <w:rPr>
          <w:noProof w:val="0"/>
        </w:rPr>
        <w:tab/>
        <w:t>Den förvaltningspolitiska förnyelsen</w:t>
      </w:r>
      <w:r w:rsidRPr="00AD33E8">
        <w:rPr>
          <w:noProof w:val="0"/>
        </w:rPr>
        <w:tab/>
        <w:t>41</w:t>
      </w:r>
    </w:p>
    <w:p w:rsidR="007B7A21" w:rsidRPr="00AD33E8" w:rsidRDefault="007B7A21">
      <w:pPr>
        <w:pStyle w:val="Innehll1"/>
        <w:tabs>
          <w:tab w:val="left" w:pos="454"/>
        </w:tabs>
        <w:rPr>
          <w:noProof w:val="0"/>
        </w:rPr>
      </w:pPr>
      <w:r w:rsidRPr="00AD33E8">
        <w:rPr>
          <w:noProof w:val="0"/>
        </w:rPr>
        <w:tab/>
        <w:t>Förvaltningsutredningen och Verksledningskommittén</w:t>
      </w:r>
      <w:r w:rsidRPr="00AD33E8">
        <w:rPr>
          <w:noProof w:val="0"/>
        </w:rPr>
        <w:tab/>
        <w:t>41</w:t>
      </w:r>
    </w:p>
    <w:p w:rsidR="007B7A21" w:rsidRPr="00AD33E8" w:rsidRDefault="007B7A21">
      <w:pPr>
        <w:pStyle w:val="Innehll1"/>
        <w:tabs>
          <w:tab w:val="left" w:pos="454"/>
        </w:tabs>
        <w:rPr>
          <w:noProof w:val="0"/>
        </w:rPr>
      </w:pPr>
      <w:r w:rsidRPr="00AD33E8">
        <w:rPr>
          <w:noProof w:val="0"/>
        </w:rPr>
        <w:tab/>
        <w:t>Verksledningsbeslutet och den nya verksförordningen</w:t>
      </w:r>
      <w:r w:rsidRPr="00AD33E8">
        <w:rPr>
          <w:noProof w:val="0"/>
        </w:rPr>
        <w:tab/>
        <w:t>42</w:t>
      </w:r>
    </w:p>
    <w:p w:rsidR="007B7A21" w:rsidRPr="00AD33E8" w:rsidRDefault="007B7A21">
      <w:pPr>
        <w:pStyle w:val="Innehll1"/>
        <w:tabs>
          <w:tab w:val="left" w:pos="454"/>
        </w:tabs>
        <w:rPr>
          <w:noProof w:val="0"/>
        </w:rPr>
      </w:pPr>
      <w:r w:rsidRPr="00AD33E8">
        <w:rPr>
          <w:noProof w:val="0"/>
        </w:rPr>
        <w:t>2.2.3</w:t>
      </w:r>
      <w:r w:rsidRPr="00AD33E8">
        <w:rPr>
          <w:noProof w:val="0"/>
        </w:rPr>
        <w:tab/>
        <w:t>Personalfrågorna och resultatstyrningen</w:t>
      </w:r>
      <w:r w:rsidRPr="00AD33E8">
        <w:rPr>
          <w:noProof w:val="0"/>
        </w:rPr>
        <w:tab/>
        <w:t>44</w:t>
      </w:r>
    </w:p>
    <w:p w:rsidR="007B7A21" w:rsidRPr="00AD33E8" w:rsidRDefault="007B7A21">
      <w:pPr>
        <w:pStyle w:val="Innehll1"/>
        <w:tabs>
          <w:tab w:val="left" w:pos="454"/>
        </w:tabs>
        <w:rPr>
          <w:noProof w:val="0"/>
        </w:rPr>
      </w:pPr>
      <w:r w:rsidRPr="00AD33E8">
        <w:rPr>
          <w:noProof w:val="0"/>
        </w:rPr>
        <w:tab/>
        <w:t>Personalfrågorna i 1989 års kompletteringsproposition</w:t>
      </w:r>
      <w:r w:rsidRPr="00AD33E8">
        <w:rPr>
          <w:noProof w:val="0"/>
        </w:rPr>
        <w:tab/>
        <w:t>45</w:t>
      </w:r>
    </w:p>
    <w:p w:rsidR="007B7A21" w:rsidRPr="00AD33E8" w:rsidRDefault="007B7A21">
      <w:pPr>
        <w:pStyle w:val="Innehll1"/>
        <w:tabs>
          <w:tab w:val="left" w:pos="454"/>
        </w:tabs>
        <w:rPr>
          <w:noProof w:val="0"/>
        </w:rPr>
      </w:pPr>
      <w:r w:rsidRPr="00AD33E8">
        <w:rPr>
          <w:noProof w:val="0"/>
        </w:rPr>
        <w:t>2.3</w:t>
      </w:r>
      <w:r w:rsidRPr="00AD33E8">
        <w:rPr>
          <w:noProof w:val="0"/>
        </w:rPr>
        <w:tab/>
        <w:t>Personalreformer under 1990-talet</w:t>
      </w:r>
      <w:r w:rsidRPr="00AD33E8">
        <w:rPr>
          <w:noProof w:val="0"/>
        </w:rPr>
        <w:tab/>
        <w:t>45</w:t>
      </w:r>
    </w:p>
    <w:p w:rsidR="007B7A21" w:rsidRPr="00AD33E8" w:rsidRDefault="007B7A21">
      <w:pPr>
        <w:pStyle w:val="Innehll1"/>
        <w:tabs>
          <w:tab w:val="left" w:pos="454"/>
        </w:tabs>
        <w:rPr>
          <w:noProof w:val="0"/>
        </w:rPr>
      </w:pPr>
      <w:r w:rsidRPr="00AD33E8">
        <w:rPr>
          <w:noProof w:val="0"/>
        </w:rPr>
        <w:t>2.3.1</w:t>
      </w:r>
      <w:r w:rsidRPr="00AD33E8">
        <w:rPr>
          <w:noProof w:val="0"/>
        </w:rPr>
        <w:tab/>
        <w:t>Det nya arbetsgivarverket</w:t>
      </w:r>
      <w:r w:rsidRPr="00AD33E8">
        <w:rPr>
          <w:noProof w:val="0"/>
        </w:rPr>
        <w:tab/>
        <w:t>46</w:t>
      </w:r>
    </w:p>
    <w:p w:rsidR="007B7A21" w:rsidRPr="00AD33E8" w:rsidRDefault="007B7A21">
      <w:pPr>
        <w:pStyle w:val="Innehll1"/>
        <w:tabs>
          <w:tab w:val="left" w:pos="454"/>
        </w:tabs>
        <w:rPr>
          <w:noProof w:val="0"/>
        </w:rPr>
      </w:pPr>
      <w:r w:rsidRPr="00AD33E8">
        <w:rPr>
          <w:noProof w:val="0"/>
        </w:rPr>
        <w:t>2.3.2</w:t>
      </w:r>
      <w:r w:rsidRPr="00AD33E8">
        <w:rPr>
          <w:noProof w:val="0"/>
        </w:rPr>
        <w:tab/>
        <w:t>Tjänsteinstitutets avveckling</w:t>
      </w:r>
      <w:r w:rsidRPr="00AD33E8">
        <w:rPr>
          <w:noProof w:val="0"/>
        </w:rPr>
        <w:tab/>
        <w:t>47</w:t>
      </w:r>
    </w:p>
    <w:p w:rsidR="007B7A21" w:rsidRPr="00AD33E8" w:rsidRDefault="007B7A21">
      <w:pPr>
        <w:pStyle w:val="Innehll1"/>
        <w:tabs>
          <w:tab w:val="left" w:pos="454"/>
        </w:tabs>
        <w:rPr>
          <w:noProof w:val="0"/>
        </w:rPr>
      </w:pPr>
      <w:r w:rsidRPr="00AD33E8">
        <w:rPr>
          <w:noProof w:val="0"/>
        </w:rPr>
        <w:t>2.3.3</w:t>
      </w:r>
      <w:r w:rsidRPr="00AD33E8">
        <w:rPr>
          <w:noProof w:val="0"/>
        </w:rPr>
        <w:tab/>
        <w:t>Begreppet personalpolitik avlägsnas från verksförordningen</w:t>
      </w:r>
      <w:r w:rsidRPr="00AD33E8">
        <w:rPr>
          <w:noProof w:val="0"/>
        </w:rPr>
        <w:tab/>
        <w:t>48</w:t>
      </w:r>
    </w:p>
    <w:p w:rsidR="007B7A21" w:rsidRPr="00AD33E8" w:rsidRDefault="007B7A21">
      <w:pPr>
        <w:pStyle w:val="Innehll1"/>
        <w:tabs>
          <w:tab w:val="left" w:pos="454"/>
        </w:tabs>
        <w:rPr>
          <w:noProof w:val="0"/>
        </w:rPr>
      </w:pPr>
      <w:r w:rsidRPr="00AD33E8">
        <w:rPr>
          <w:noProof w:val="0"/>
        </w:rPr>
        <w:t>2.3.4</w:t>
      </w:r>
      <w:r w:rsidRPr="00AD33E8">
        <w:rPr>
          <w:noProof w:val="0"/>
        </w:rPr>
        <w:tab/>
        <w:t>Kvalitets- och kompetensrådet</w:t>
      </w:r>
      <w:r w:rsidRPr="00AD33E8">
        <w:rPr>
          <w:noProof w:val="0"/>
        </w:rPr>
        <w:tab/>
        <w:t>48</w:t>
      </w:r>
    </w:p>
    <w:p w:rsidR="007B7A21" w:rsidRPr="00AD33E8" w:rsidRDefault="007B7A21">
      <w:pPr>
        <w:pStyle w:val="Innehll1"/>
        <w:tabs>
          <w:tab w:val="left" w:pos="454"/>
        </w:tabs>
        <w:rPr>
          <w:noProof w:val="0"/>
        </w:rPr>
      </w:pPr>
      <w:r w:rsidRPr="00AD33E8">
        <w:rPr>
          <w:noProof w:val="0"/>
        </w:rPr>
        <w:t>2.4</w:t>
      </w:r>
      <w:r w:rsidRPr="00AD33E8">
        <w:rPr>
          <w:noProof w:val="0"/>
        </w:rPr>
        <w:tab/>
        <w:t>Sammanfattning</w:t>
      </w:r>
      <w:r w:rsidRPr="00AD33E8">
        <w:rPr>
          <w:noProof w:val="0"/>
        </w:rPr>
        <w:tab/>
        <w:t>49</w:t>
      </w:r>
    </w:p>
    <w:p w:rsidR="007B7A21" w:rsidRPr="00AD33E8" w:rsidRDefault="007B7A21">
      <w:pPr>
        <w:pStyle w:val="Innehll1"/>
        <w:tabs>
          <w:tab w:val="left" w:pos="454"/>
        </w:tabs>
        <w:rPr>
          <w:noProof w:val="0"/>
        </w:rPr>
      </w:pPr>
      <w:r w:rsidRPr="00AD33E8">
        <w:rPr>
          <w:noProof w:val="0"/>
        </w:rPr>
        <w:t>3</w:t>
      </w:r>
      <w:r w:rsidRPr="00AD33E8">
        <w:rPr>
          <w:noProof w:val="0"/>
        </w:rPr>
        <w:tab/>
        <w:t>Statens personaluppföljning efter år 1985</w:t>
      </w:r>
      <w:r w:rsidRPr="00AD33E8">
        <w:rPr>
          <w:noProof w:val="0"/>
        </w:rPr>
        <w:tab/>
        <w:t>50</w:t>
      </w:r>
    </w:p>
    <w:p w:rsidR="007B7A21" w:rsidRPr="00AD33E8" w:rsidRDefault="007B7A21">
      <w:pPr>
        <w:pStyle w:val="Innehll1"/>
        <w:tabs>
          <w:tab w:val="left" w:pos="454"/>
        </w:tabs>
        <w:rPr>
          <w:noProof w:val="0"/>
        </w:rPr>
      </w:pPr>
      <w:r w:rsidRPr="00AD33E8">
        <w:rPr>
          <w:noProof w:val="0"/>
        </w:rPr>
        <w:t>3.1</w:t>
      </w:r>
      <w:r w:rsidRPr="00AD33E8">
        <w:rPr>
          <w:noProof w:val="0"/>
        </w:rPr>
        <w:tab/>
        <w:t>Uppföljning av reformens mål</w:t>
      </w:r>
      <w:r w:rsidRPr="00AD33E8">
        <w:rPr>
          <w:noProof w:val="0"/>
        </w:rPr>
        <w:tab/>
        <w:t>50</w:t>
      </w:r>
    </w:p>
    <w:p w:rsidR="007B7A21" w:rsidRPr="00AD33E8" w:rsidRDefault="007B7A21">
      <w:pPr>
        <w:pStyle w:val="Innehll1"/>
        <w:tabs>
          <w:tab w:val="left" w:pos="454"/>
        </w:tabs>
        <w:rPr>
          <w:noProof w:val="0"/>
        </w:rPr>
      </w:pPr>
      <w:r w:rsidRPr="00AD33E8">
        <w:rPr>
          <w:noProof w:val="0"/>
        </w:rPr>
        <w:t>3.2</w:t>
      </w:r>
      <w:r w:rsidRPr="00AD33E8">
        <w:rPr>
          <w:noProof w:val="0"/>
        </w:rPr>
        <w:tab/>
        <w:t>Utveckling av uppföljningens organisation</w:t>
      </w:r>
      <w:r w:rsidRPr="00AD33E8">
        <w:rPr>
          <w:noProof w:val="0"/>
        </w:rPr>
        <w:tab/>
        <w:t>50</w:t>
      </w:r>
    </w:p>
    <w:p w:rsidR="007B7A21" w:rsidRPr="00AD33E8" w:rsidRDefault="007B7A21">
      <w:pPr>
        <w:pStyle w:val="Innehll1"/>
        <w:tabs>
          <w:tab w:val="left" w:pos="454"/>
        </w:tabs>
        <w:rPr>
          <w:noProof w:val="0"/>
        </w:rPr>
      </w:pPr>
      <w:r w:rsidRPr="00AD33E8">
        <w:rPr>
          <w:noProof w:val="0"/>
        </w:rPr>
        <w:t>3.2.1</w:t>
      </w:r>
      <w:r w:rsidRPr="00AD33E8">
        <w:rPr>
          <w:noProof w:val="0"/>
        </w:rPr>
        <w:tab/>
        <w:t>Regeringens uppföljning i årsredovisningar</w:t>
      </w:r>
      <w:r w:rsidRPr="00AD33E8">
        <w:rPr>
          <w:noProof w:val="0"/>
        </w:rPr>
        <w:tab/>
        <w:t>50</w:t>
      </w:r>
    </w:p>
    <w:p w:rsidR="007B7A21" w:rsidRPr="00AD33E8" w:rsidRDefault="007B7A21">
      <w:pPr>
        <w:pStyle w:val="Innehll1"/>
        <w:tabs>
          <w:tab w:val="left" w:pos="454"/>
        </w:tabs>
        <w:rPr>
          <w:noProof w:val="0"/>
        </w:rPr>
      </w:pPr>
      <w:r w:rsidRPr="00AD33E8">
        <w:rPr>
          <w:noProof w:val="0"/>
        </w:rPr>
        <w:t>3.2.2</w:t>
      </w:r>
      <w:r w:rsidRPr="00AD33E8">
        <w:rPr>
          <w:noProof w:val="0"/>
        </w:rPr>
        <w:tab/>
        <w:t>Redovisningsreformen 1993</w:t>
      </w:r>
      <w:r w:rsidRPr="00AD33E8">
        <w:rPr>
          <w:noProof w:val="0"/>
        </w:rPr>
        <w:tab/>
        <w:t>51</w:t>
      </w:r>
    </w:p>
    <w:p w:rsidR="007B7A21" w:rsidRPr="00AD33E8" w:rsidRDefault="007B7A21">
      <w:pPr>
        <w:pStyle w:val="Innehll1"/>
        <w:tabs>
          <w:tab w:val="left" w:pos="454"/>
        </w:tabs>
        <w:rPr>
          <w:noProof w:val="0"/>
        </w:rPr>
      </w:pPr>
      <w:r w:rsidRPr="00AD33E8">
        <w:rPr>
          <w:noProof w:val="0"/>
        </w:rPr>
        <w:t>3.2.3</w:t>
      </w:r>
      <w:r w:rsidRPr="00AD33E8">
        <w:rPr>
          <w:noProof w:val="0"/>
        </w:rPr>
        <w:tab/>
        <w:t>Den arbetsgivarpolitiska uppföljningen</w:t>
      </w:r>
      <w:r w:rsidRPr="00AD33E8">
        <w:rPr>
          <w:noProof w:val="0"/>
        </w:rPr>
        <w:tab/>
        <w:t>51</w:t>
      </w:r>
    </w:p>
    <w:p w:rsidR="007B7A21" w:rsidRPr="00AD33E8" w:rsidRDefault="007B7A21">
      <w:pPr>
        <w:pStyle w:val="Innehll1"/>
        <w:tabs>
          <w:tab w:val="left" w:pos="454"/>
        </w:tabs>
        <w:rPr>
          <w:noProof w:val="0"/>
        </w:rPr>
      </w:pPr>
      <w:r w:rsidRPr="00AD33E8">
        <w:rPr>
          <w:noProof w:val="0"/>
        </w:rPr>
        <w:t>3.2.4</w:t>
      </w:r>
      <w:r w:rsidRPr="00AD33E8">
        <w:rPr>
          <w:noProof w:val="0"/>
        </w:rPr>
        <w:tab/>
        <w:t>Kriterier för mål i regeringens handledning för regleringsbrev</w:t>
      </w:r>
      <w:r w:rsidRPr="00AD33E8">
        <w:rPr>
          <w:noProof w:val="0"/>
        </w:rPr>
        <w:tab/>
        <w:t>52</w:t>
      </w:r>
    </w:p>
    <w:p w:rsidR="007B7A21" w:rsidRPr="00AD33E8" w:rsidRDefault="007B7A21">
      <w:pPr>
        <w:pStyle w:val="Innehll1"/>
        <w:tabs>
          <w:tab w:val="left" w:pos="454"/>
        </w:tabs>
        <w:rPr>
          <w:noProof w:val="0"/>
        </w:rPr>
      </w:pPr>
      <w:r w:rsidRPr="00AD33E8">
        <w:rPr>
          <w:noProof w:val="0"/>
        </w:rPr>
        <w:t>3.2.5</w:t>
      </w:r>
      <w:r w:rsidRPr="00AD33E8">
        <w:rPr>
          <w:noProof w:val="0"/>
        </w:rPr>
        <w:tab/>
        <w:t>Regeringens bedömning av utvecklingsbehov</w:t>
      </w:r>
      <w:r w:rsidRPr="00AD33E8">
        <w:rPr>
          <w:noProof w:val="0"/>
        </w:rPr>
        <w:tab/>
        <w:t>53</w:t>
      </w:r>
    </w:p>
    <w:p w:rsidR="007B7A21" w:rsidRPr="00AD33E8" w:rsidRDefault="007B7A21">
      <w:pPr>
        <w:pStyle w:val="Innehll1"/>
        <w:tabs>
          <w:tab w:val="left" w:pos="454"/>
        </w:tabs>
        <w:rPr>
          <w:noProof w:val="0"/>
        </w:rPr>
      </w:pPr>
      <w:r w:rsidRPr="00AD33E8">
        <w:rPr>
          <w:noProof w:val="0"/>
        </w:rPr>
        <w:t>3.2.6</w:t>
      </w:r>
      <w:r w:rsidRPr="00AD33E8">
        <w:rPr>
          <w:noProof w:val="0"/>
        </w:rPr>
        <w:tab/>
        <w:t>Riksdagens uppföljning</w:t>
      </w:r>
      <w:r w:rsidRPr="00AD33E8">
        <w:rPr>
          <w:noProof w:val="0"/>
        </w:rPr>
        <w:tab/>
        <w:t>54</w:t>
      </w:r>
    </w:p>
    <w:p w:rsidR="007B7A21" w:rsidRPr="00AD33E8" w:rsidRDefault="007B7A21">
      <w:pPr>
        <w:pStyle w:val="Innehll1"/>
        <w:tabs>
          <w:tab w:val="left" w:pos="454"/>
        </w:tabs>
        <w:rPr>
          <w:noProof w:val="0"/>
        </w:rPr>
      </w:pPr>
      <w:r w:rsidRPr="00AD33E8">
        <w:rPr>
          <w:noProof w:val="0"/>
        </w:rPr>
        <w:t>3.2.7</w:t>
      </w:r>
      <w:r w:rsidRPr="00AD33E8">
        <w:rPr>
          <w:noProof w:val="0"/>
        </w:rPr>
        <w:tab/>
        <w:t>Kommentarer till uppföljningens utformning</w:t>
      </w:r>
      <w:r w:rsidRPr="00AD33E8">
        <w:rPr>
          <w:noProof w:val="0"/>
        </w:rPr>
        <w:tab/>
        <w:t>55</w:t>
      </w:r>
    </w:p>
    <w:p w:rsidR="007B7A21" w:rsidRPr="00AD33E8" w:rsidRDefault="007B7A21">
      <w:pPr>
        <w:pStyle w:val="Innehll1"/>
        <w:tabs>
          <w:tab w:val="left" w:pos="454"/>
        </w:tabs>
        <w:rPr>
          <w:noProof w:val="0"/>
        </w:rPr>
      </w:pPr>
      <w:r w:rsidRPr="00AD33E8">
        <w:rPr>
          <w:noProof w:val="0"/>
        </w:rPr>
        <w:t>3.3</w:t>
      </w:r>
      <w:r w:rsidRPr="00AD33E8">
        <w:rPr>
          <w:noProof w:val="0"/>
        </w:rPr>
        <w:tab/>
        <w:t>Den statliga bemanningen</w:t>
      </w:r>
      <w:r w:rsidRPr="00AD33E8">
        <w:rPr>
          <w:noProof w:val="0"/>
        </w:rPr>
        <w:tab/>
        <w:t>55</w:t>
      </w:r>
    </w:p>
    <w:p w:rsidR="007B7A21" w:rsidRPr="00AD33E8" w:rsidRDefault="007B7A21">
      <w:pPr>
        <w:pStyle w:val="Innehll1"/>
        <w:tabs>
          <w:tab w:val="left" w:pos="454"/>
        </w:tabs>
        <w:rPr>
          <w:noProof w:val="0"/>
        </w:rPr>
      </w:pPr>
      <w:r w:rsidRPr="00AD33E8">
        <w:rPr>
          <w:noProof w:val="0"/>
        </w:rPr>
        <w:t>3.3.1</w:t>
      </w:r>
      <w:r w:rsidRPr="00AD33E8">
        <w:rPr>
          <w:noProof w:val="0"/>
        </w:rPr>
        <w:tab/>
        <w:t>Utveckling för olika personalkategorier</w:t>
      </w:r>
      <w:r w:rsidRPr="00AD33E8">
        <w:rPr>
          <w:noProof w:val="0"/>
        </w:rPr>
        <w:tab/>
        <w:t>57</w:t>
      </w:r>
    </w:p>
    <w:p w:rsidR="007B7A21" w:rsidRPr="00AD33E8" w:rsidRDefault="007B7A21">
      <w:pPr>
        <w:pStyle w:val="Innehll1"/>
        <w:tabs>
          <w:tab w:val="left" w:pos="454"/>
        </w:tabs>
        <w:rPr>
          <w:noProof w:val="0"/>
        </w:rPr>
      </w:pPr>
      <w:r w:rsidRPr="00AD33E8">
        <w:rPr>
          <w:noProof w:val="0"/>
        </w:rPr>
        <w:t>3.4</w:t>
      </w:r>
      <w:r w:rsidRPr="00AD33E8">
        <w:rPr>
          <w:noProof w:val="0"/>
        </w:rPr>
        <w:tab/>
        <w:t>Rörlighet, omställning och utveckling</w:t>
      </w:r>
      <w:r w:rsidRPr="00AD33E8">
        <w:rPr>
          <w:noProof w:val="0"/>
        </w:rPr>
        <w:tab/>
        <w:t>60</w:t>
      </w:r>
    </w:p>
    <w:p w:rsidR="007B7A21" w:rsidRPr="00AD33E8" w:rsidRDefault="007B7A21">
      <w:pPr>
        <w:pStyle w:val="Innehll1"/>
        <w:tabs>
          <w:tab w:val="left" w:pos="454"/>
        </w:tabs>
        <w:rPr>
          <w:noProof w:val="0"/>
        </w:rPr>
      </w:pPr>
      <w:r w:rsidRPr="00AD33E8">
        <w:rPr>
          <w:noProof w:val="0"/>
        </w:rPr>
        <w:t>3.4.1</w:t>
      </w:r>
      <w:r w:rsidRPr="00AD33E8">
        <w:rPr>
          <w:noProof w:val="0"/>
        </w:rPr>
        <w:tab/>
        <w:t>Personalomsättning</w:t>
      </w:r>
      <w:r w:rsidRPr="00AD33E8">
        <w:rPr>
          <w:noProof w:val="0"/>
        </w:rPr>
        <w:tab/>
        <w:t>60</w:t>
      </w:r>
    </w:p>
    <w:p w:rsidR="007B7A21" w:rsidRPr="00AD33E8" w:rsidRDefault="007B7A21">
      <w:pPr>
        <w:pStyle w:val="Innehll1"/>
        <w:tabs>
          <w:tab w:val="left" w:pos="454"/>
        </w:tabs>
        <w:rPr>
          <w:noProof w:val="0"/>
        </w:rPr>
      </w:pPr>
      <w:r w:rsidRPr="00AD33E8">
        <w:rPr>
          <w:noProof w:val="0"/>
        </w:rPr>
        <w:t>3.4.2</w:t>
      </w:r>
      <w:r w:rsidRPr="00AD33E8">
        <w:rPr>
          <w:noProof w:val="0"/>
        </w:rPr>
        <w:tab/>
        <w:t>Uppsägningar</w:t>
      </w:r>
      <w:r w:rsidRPr="00AD33E8">
        <w:rPr>
          <w:noProof w:val="0"/>
        </w:rPr>
        <w:tab/>
        <w:t>62</w:t>
      </w:r>
    </w:p>
    <w:p w:rsidR="007B7A21" w:rsidRPr="00AD33E8" w:rsidRDefault="007B7A21">
      <w:pPr>
        <w:pStyle w:val="Innehll1"/>
        <w:tabs>
          <w:tab w:val="left" w:pos="454"/>
        </w:tabs>
        <w:rPr>
          <w:noProof w:val="0"/>
        </w:rPr>
      </w:pPr>
      <w:r w:rsidRPr="00AD33E8">
        <w:rPr>
          <w:noProof w:val="0"/>
        </w:rPr>
        <w:t>3.4.3</w:t>
      </w:r>
      <w:r w:rsidRPr="00AD33E8">
        <w:rPr>
          <w:noProof w:val="0"/>
        </w:rPr>
        <w:tab/>
        <w:t>Åldersstrukturen i staten</w:t>
      </w:r>
      <w:r w:rsidRPr="00AD33E8">
        <w:rPr>
          <w:noProof w:val="0"/>
        </w:rPr>
        <w:tab/>
        <w:t>63</w:t>
      </w:r>
    </w:p>
    <w:p w:rsidR="007B7A21" w:rsidRPr="00AD33E8" w:rsidRDefault="007B7A21">
      <w:pPr>
        <w:pStyle w:val="Innehll1"/>
        <w:tabs>
          <w:tab w:val="left" w:pos="454"/>
        </w:tabs>
        <w:rPr>
          <w:noProof w:val="0"/>
        </w:rPr>
      </w:pPr>
      <w:r w:rsidRPr="00AD33E8">
        <w:rPr>
          <w:noProof w:val="0"/>
        </w:rPr>
        <w:t>3.4.4</w:t>
      </w:r>
      <w:r w:rsidRPr="00AD33E8">
        <w:rPr>
          <w:noProof w:val="0"/>
        </w:rPr>
        <w:tab/>
        <w:t>Pensioner</w:t>
      </w:r>
      <w:r w:rsidRPr="00AD33E8">
        <w:rPr>
          <w:noProof w:val="0"/>
        </w:rPr>
        <w:tab/>
        <w:t>64</w:t>
      </w:r>
    </w:p>
    <w:p w:rsidR="007B7A21" w:rsidRPr="00AD33E8" w:rsidRDefault="007B7A21">
      <w:pPr>
        <w:pStyle w:val="Innehll1"/>
        <w:tabs>
          <w:tab w:val="left" w:pos="454"/>
        </w:tabs>
        <w:rPr>
          <w:noProof w:val="0"/>
        </w:rPr>
      </w:pPr>
      <w:r w:rsidRPr="00AD33E8">
        <w:rPr>
          <w:noProof w:val="0"/>
        </w:rPr>
        <w:t>3.4.5</w:t>
      </w:r>
      <w:r w:rsidRPr="00AD33E8">
        <w:rPr>
          <w:noProof w:val="0"/>
        </w:rPr>
        <w:tab/>
        <w:t>Kompetensutveckling</w:t>
      </w:r>
      <w:r w:rsidRPr="00AD33E8">
        <w:rPr>
          <w:noProof w:val="0"/>
        </w:rPr>
        <w:tab/>
        <w:t>65</w:t>
      </w:r>
    </w:p>
    <w:p w:rsidR="007B7A21" w:rsidRPr="00AD33E8" w:rsidRDefault="007B7A21">
      <w:pPr>
        <w:pStyle w:val="Innehll1"/>
        <w:tabs>
          <w:tab w:val="left" w:pos="454"/>
        </w:tabs>
        <w:rPr>
          <w:noProof w:val="0"/>
        </w:rPr>
      </w:pPr>
      <w:r w:rsidRPr="00AD33E8">
        <w:rPr>
          <w:noProof w:val="0"/>
        </w:rPr>
        <w:tab/>
        <w:t>Utbildningskostnaderna i förhållande till personalkostnaderna</w:t>
      </w:r>
      <w:r w:rsidRPr="00AD33E8">
        <w:rPr>
          <w:noProof w:val="0"/>
        </w:rPr>
        <w:tab/>
        <w:t>65</w:t>
      </w:r>
    </w:p>
    <w:p w:rsidR="007B7A21" w:rsidRPr="00AD33E8" w:rsidRDefault="007B7A21">
      <w:pPr>
        <w:pStyle w:val="Innehll1"/>
        <w:tabs>
          <w:tab w:val="left" w:pos="454"/>
        </w:tabs>
        <w:rPr>
          <w:noProof w:val="0"/>
        </w:rPr>
      </w:pPr>
      <w:r w:rsidRPr="00AD33E8">
        <w:rPr>
          <w:noProof w:val="0"/>
        </w:rPr>
        <w:tab/>
        <w:t>Utbildningsvolym</w:t>
      </w:r>
      <w:r w:rsidRPr="00AD33E8">
        <w:rPr>
          <w:noProof w:val="0"/>
        </w:rPr>
        <w:tab/>
        <w:t>66</w:t>
      </w:r>
    </w:p>
    <w:p w:rsidR="007B7A21" w:rsidRPr="00AD33E8" w:rsidRDefault="007B7A21">
      <w:pPr>
        <w:pStyle w:val="Innehll1"/>
        <w:tabs>
          <w:tab w:val="left" w:pos="454"/>
        </w:tabs>
        <w:rPr>
          <w:noProof w:val="0"/>
        </w:rPr>
      </w:pPr>
      <w:r w:rsidRPr="00AD33E8">
        <w:rPr>
          <w:noProof w:val="0"/>
        </w:rPr>
        <w:t>3.4.6</w:t>
      </w:r>
      <w:r w:rsidRPr="00AD33E8">
        <w:rPr>
          <w:noProof w:val="0"/>
        </w:rPr>
        <w:tab/>
        <w:t>Förändringar i myndighetsstrukturen</w:t>
      </w:r>
      <w:r w:rsidRPr="00AD33E8">
        <w:rPr>
          <w:noProof w:val="0"/>
        </w:rPr>
        <w:tab/>
        <w:t>67</w:t>
      </w:r>
    </w:p>
    <w:p w:rsidR="007B7A21" w:rsidRPr="00AD33E8" w:rsidRDefault="007B7A21">
      <w:pPr>
        <w:pStyle w:val="Innehll1"/>
        <w:tabs>
          <w:tab w:val="left" w:pos="454"/>
        </w:tabs>
        <w:rPr>
          <w:noProof w:val="0"/>
        </w:rPr>
      </w:pPr>
      <w:r w:rsidRPr="00AD33E8">
        <w:rPr>
          <w:noProof w:val="0"/>
        </w:rPr>
        <w:t>3.5</w:t>
      </w:r>
      <w:r w:rsidRPr="00AD33E8">
        <w:rPr>
          <w:noProof w:val="0"/>
        </w:rPr>
        <w:tab/>
        <w:t>Kostnadsutveckling och sjukfrånvaro</w:t>
      </w:r>
      <w:r w:rsidRPr="00AD33E8">
        <w:rPr>
          <w:noProof w:val="0"/>
        </w:rPr>
        <w:tab/>
        <w:t>67</w:t>
      </w:r>
    </w:p>
    <w:p w:rsidR="007B7A21" w:rsidRPr="00AD33E8" w:rsidRDefault="007B7A21">
      <w:pPr>
        <w:pStyle w:val="Innehll1"/>
        <w:tabs>
          <w:tab w:val="left" w:pos="454"/>
        </w:tabs>
        <w:rPr>
          <w:noProof w:val="0"/>
        </w:rPr>
      </w:pPr>
      <w:r w:rsidRPr="00AD33E8">
        <w:rPr>
          <w:noProof w:val="0"/>
        </w:rPr>
        <w:t>3.5.1</w:t>
      </w:r>
      <w:r w:rsidRPr="00AD33E8">
        <w:rPr>
          <w:noProof w:val="0"/>
        </w:rPr>
        <w:tab/>
        <w:t>Statsbudgetens utgifter</w:t>
      </w:r>
      <w:r w:rsidRPr="00AD33E8">
        <w:rPr>
          <w:noProof w:val="0"/>
        </w:rPr>
        <w:tab/>
        <w:t>68</w:t>
      </w:r>
    </w:p>
    <w:p w:rsidR="007B7A21" w:rsidRPr="00AD33E8" w:rsidRDefault="007B7A21">
      <w:pPr>
        <w:pStyle w:val="Innehll1"/>
        <w:tabs>
          <w:tab w:val="left" w:pos="454"/>
        </w:tabs>
        <w:rPr>
          <w:noProof w:val="0"/>
        </w:rPr>
      </w:pPr>
      <w:r w:rsidRPr="00AD33E8">
        <w:rPr>
          <w:noProof w:val="0"/>
        </w:rPr>
        <w:t>3.5.2</w:t>
      </w:r>
      <w:r w:rsidRPr="00AD33E8">
        <w:rPr>
          <w:noProof w:val="0"/>
        </w:rPr>
        <w:tab/>
        <w:t>Statskontorets mätningar</w:t>
      </w:r>
      <w:r w:rsidRPr="00AD33E8">
        <w:rPr>
          <w:noProof w:val="0"/>
        </w:rPr>
        <w:tab/>
        <w:t>70</w:t>
      </w:r>
    </w:p>
    <w:p w:rsidR="007B7A21" w:rsidRPr="00AD33E8" w:rsidRDefault="007B7A21">
      <w:pPr>
        <w:pStyle w:val="Innehll1"/>
        <w:tabs>
          <w:tab w:val="left" w:pos="454"/>
        </w:tabs>
        <w:rPr>
          <w:noProof w:val="0"/>
        </w:rPr>
      </w:pPr>
      <w:r w:rsidRPr="00AD33E8">
        <w:rPr>
          <w:noProof w:val="0"/>
        </w:rPr>
        <w:t>3.5.3</w:t>
      </w:r>
      <w:r w:rsidRPr="00AD33E8">
        <w:rPr>
          <w:noProof w:val="0"/>
        </w:rPr>
        <w:tab/>
        <w:t>Sjukfrånvaro</w:t>
      </w:r>
      <w:r w:rsidRPr="00AD33E8">
        <w:rPr>
          <w:noProof w:val="0"/>
        </w:rPr>
        <w:tab/>
        <w:t>71</w:t>
      </w:r>
    </w:p>
    <w:p w:rsidR="007B7A21" w:rsidRPr="00AD33E8" w:rsidRDefault="007B7A21">
      <w:pPr>
        <w:pStyle w:val="Innehll1"/>
        <w:tabs>
          <w:tab w:val="left" w:pos="454"/>
        </w:tabs>
        <w:rPr>
          <w:noProof w:val="0"/>
        </w:rPr>
      </w:pPr>
      <w:r w:rsidRPr="00AD33E8">
        <w:rPr>
          <w:noProof w:val="0"/>
        </w:rPr>
        <w:t>3.6</w:t>
      </w:r>
      <w:r w:rsidRPr="00AD33E8">
        <w:rPr>
          <w:noProof w:val="0"/>
        </w:rPr>
        <w:tab/>
        <w:t>Sammanfattning av iakttagelser</w:t>
      </w:r>
      <w:r w:rsidRPr="00AD33E8">
        <w:rPr>
          <w:noProof w:val="0"/>
        </w:rPr>
        <w:tab/>
        <w:t>74</w:t>
      </w:r>
    </w:p>
    <w:p w:rsidR="007B7A21" w:rsidRPr="00AD33E8" w:rsidRDefault="007B7A21">
      <w:pPr>
        <w:pStyle w:val="Innehll1"/>
        <w:tabs>
          <w:tab w:val="left" w:pos="454"/>
        </w:tabs>
        <w:rPr>
          <w:noProof w:val="0"/>
        </w:rPr>
      </w:pPr>
      <w:r w:rsidRPr="00AD33E8">
        <w:rPr>
          <w:noProof w:val="0"/>
        </w:rPr>
        <w:t>4</w:t>
      </w:r>
      <w:r w:rsidRPr="00AD33E8">
        <w:rPr>
          <w:noProof w:val="0"/>
        </w:rPr>
        <w:tab/>
        <w:t>Utredningar om personal och förvaltningspolitik</w:t>
      </w:r>
      <w:r w:rsidRPr="00AD33E8">
        <w:rPr>
          <w:noProof w:val="0"/>
        </w:rPr>
        <w:tab/>
        <w:t>75</w:t>
      </w:r>
    </w:p>
    <w:p w:rsidR="007B7A21" w:rsidRPr="00AD33E8" w:rsidRDefault="007B7A21">
      <w:pPr>
        <w:pStyle w:val="Innehll1"/>
        <w:tabs>
          <w:tab w:val="left" w:pos="454"/>
        </w:tabs>
        <w:rPr>
          <w:noProof w:val="0"/>
        </w:rPr>
      </w:pPr>
      <w:r w:rsidRPr="00AD33E8">
        <w:rPr>
          <w:noProof w:val="0"/>
        </w:rPr>
        <w:t>4.1</w:t>
      </w:r>
      <w:r w:rsidRPr="00AD33E8">
        <w:rPr>
          <w:noProof w:val="0"/>
        </w:rPr>
        <w:tab/>
        <w:t>Personalpolitiska utvärderingar</w:t>
      </w:r>
      <w:r w:rsidRPr="00AD33E8">
        <w:rPr>
          <w:noProof w:val="0"/>
        </w:rPr>
        <w:tab/>
        <w:t>75</w:t>
      </w:r>
    </w:p>
    <w:p w:rsidR="007B7A21" w:rsidRPr="00AD33E8" w:rsidRDefault="007B7A21">
      <w:pPr>
        <w:pStyle w:val="Innehll1"/>
        <w:tabs>
          <w:tab w:val="left" w:pos="454"/>
        </w:tabs>
        <w:rPr>
          <w:noProof w:val="0"/>
        </w:rPr>
      </w:pPr>
      <w:r w:rsidRPr="00AD33E8">
        <w:rPr>
          <w:noProof w:val="0"/>
        </w:rPr>
        <w:t>4.1.1</w:t>
      </w:r>
      <w:r w:rsidRPr="00AD33E8">
        <w:rPr>
          <w:noProof w:val="0"/>
        </w:rPr>
        <w:tab/>
        <w:t>Riksrevisionsverket om kompetensförsörjning</w:t>
      </w:r>
      <w:r w:rsidRPr="00AD33E8">
        <w:rPr>
          <w:noProof w:val="0"/>
        </w:rPr>
        <w:tab/>
        <w:t>75</w:t>
      </w:r>
    </w:p>
    <w:p w:rsidR="007B7A21" w:rsidRPr="00AD33E8" w:rsidRDefault="007B7A21">
      <w:pPr>
        <w:pStyle w:val="Innehll1"/>
        <w:tabs>
          <w:tab w:val="left" w:pos="454"/>
        </w:tabs>
        <w:rPr>
          <w:noProof w:val="0"/>
        </w:rPr>
      </w:pPr>
      <w:r w:rsidRPr="00AD33E8">
        <w:rPr>
          <w:noProof w:val="0"/>
        </w:rPr>
        <w:t>4.1.2</w:t>
      </w:r>
      <w:r w:rsidRPr="00AD33E8">
        <w:rPr>
          <w:noProof w:val="0"/>
        </w:rPr>
        <w:tab/>
        <w:t>Riksdagens revisorers granskning av den statliga personalpolitiken</w:t>
      </w:r>
      <w:r w:rsidRPr="00AD33E8">
        <w:rPr>
          <w:noProof w:val="0"/>
        </w:rPr>
        <w:tab/>
        <w:t>76</w:t>
      </w:r>
    </w:p>
    <w:p w:rsidR="007B7A21" w:rsidRPr="00AD33E8" w:rsidRDefault="007B7A21">
      <w:pPr>
        <w:pStyle w:val="Innehll1"/>
        <w:tabs>
          <w:tab w:val="left" w:pos="454"/>
        </w:tabs>
        <w:rPr>
          <w:noProof w:val="0"/>
        </w:rPr>
      </w:pPr>
      <w:r w:rsidRPr="00AD33E8">
        <w:rPr>
          <w:noProof w:val="0"/>
        </w:rPr>
        <w:t>4.1.3</w:t>
      </w:r>
      <w:r w:rsidRPr="00AD33E8">
        <w:rPr>
          <w:noProof w:val="0"/>
        </w:rPr>
        <w:tab/>
        <w:t>ELMA-rapporten</w:t>
      </w:r>
      <w:r w:rsidRPr="00AD33E8">
        <w:rPr>
          <w:noProof w:val="0"/>
        </w:rPr>
        <w:tab/>
        <w:t>77</w:t>
      </w:r>
    </w:p>
    <w:p w:rsidR="007B7A21" w:rsidRPr="00AD33E8" w:rsidRDefault="007B7A21">
      <w:pPr>
        <w:pStyle w:val="Innehll1"/>
        <w:tabs>
          <w:tab w:val="left" w:pos="454"/>
        </w:tabs>
        <w:rPr>
          <w:noProof w:val="0"/>
        </w:rPr>
      </w:pPr>
      <w:r w:rsidRPr="00AD33E8">
        <w:rPr>
          <w:noProof w:val="0"/>
        </w:rPr>
        <w:t>4.1.4</w:t>
      </w:r>
      <w:r w:rsidRPr="00AD33E8">
        <w:rPr>
          <w:noProof w:val="0"/>
        </w:rPr>
        <w:tab/>
        <w:t>Utredningen om arbetsgivarpolitik i staten</w:t>
      </w:r>
      <w:r w:rsidRPr="00AD33E8">
        <w:rPr>
          <w:noProof w:val="0"/>
        </w:rPr>
        <w:tab/>
        <w:t>78</w:t>
      </w:r>
    </w:p>
    <w:p w:rsidR="007B7A21" w:rsidRPr="00AD33E8" w:rsidRDefault="007B7A21">
      <w:pPr>
        <w:pStyle w:val="Innehll1"/>
        <w:tabs>
          <w:tab w:val="left" w:pos="454"/>
        </w:tabs>
        <w:rPr>
          <w:noProof w:val="0"/>
        </w:rPr>
      </w:pPr>
      <w:r w:rsidRPr="00AD33E8">
        <w:rPr>
          <w:noProof w:val="0"/>
        </w:rPr>
        <w:t>4.1.5</w:t>
      </w:r>
      <w:r w:rsidRPr="00AD33E8">
        <w:rPr>
          <w:noProof w:val="0"/>
        </w:rPr>
        <w:tab/>
        <w:t>Riksrevisionsverket om chefsförsörjning</w:t>
      </w:r>
      <w:r w:rsidRPr="00AD33E8">
        <w:rPr>
          <w:noProof w:val="0"/>
        </w:rPr>
        <w:tab/>
        <w:t>78</w:t>
      </w:r>
    </w:p>
    <w:p w:rsidR="007B7A21" w:rsidRPr="00AD33E8" w:rsidRDefault="007B7A21">
      <w:pPr>
        <w:pStyle w:val="Innehll1"/>
        <w:tabs>
          <w:tab w:val="left" w:pos="454"/>
        </w:tabs>
        <w:rPr>
          <w:noProof w:val="0"/>
        </w:rPr>
      </w:pPr>
      <w:r w:rsidRPr="00AD33E8">
        <w:rPr>
          <w:noProof w:val="0"/>
        </w:rPr>
        <w:t>4.1.6</w:t>
      </w:r>
      <w:r w:rsidRPr="00AD33E8">
        <w:rPr>
          <w:noProof w:val="0"/>
        </w:rPr>
        <w:tab/>
        <w:t>Riksdagens revisorer om myndigheternas lönekostnader</w:t>
      </w:r>
      <w:r w:rsidRPr="00AD33E8">
        <w:rPr>
          <w:noProof w:val="0"/>
        </w:rPr>
        <w:tab/>
        <w:t>79</w:t>
      </w:r>
    </w:p>
    <w:p w:rsidR="007B7A21" w:rsidRPr="00AD33E8" w:rsidRDefault="007B7A21">
      <w:pPr>
        <w:pStyle w:val="Innehll1"/>
        <w:tabs>
          <w:tab w:val="left" w:pos="454"/>
        </w:tabs>
        <w:rPr>
          <w:noProof w:val="0"/>
        </w:rPr>
      </w:pPr>
      <w:r w:rsidRPr="00AD33E8">
        <w:rPr>
          <w:noProof w:val="0"/>
        </w:rPr>
        <w:t>4.1.7</w:t>
      </w:r>
      <w:r w:rsidRPr="00AD33E8">
        <w:rPr>
          <w:noProof w:val="0"/>
        </w:rPr>
        <w:tab/>
        <w:t>Kompetensförsörjning enligt Kompetensrådet</w:t>
      </w:r>
      <w:r w:rsidRPr="00AD33E8">
        <w:rPr>
          <w:noProof w:val="0"/>
        </w:rPr>
        <w:tab/>
        <w:t>79</w:t>
      </w:r>
    </w:p>
    <w:p w:rsidR="007B7A21" w:rsidRPr="00AD33E8" w:rsidRDefault="007B7A21">
      <w:pPr>
        <w:pStyle w:val="Innehll1"/>
        <w:tabs>
          <w:tab w:val="left" w:pos="454"/>
        </w:tabs>
        <w:rPr>
          <w:noProof w:val="0"/>
        </w:rPr>
      </w:pPr>
      <w:r w:rsidRPr="00AD33E8">
        <w:rPr>
          <w:noProof w:val="0"/>
        </w:rPr>
        <w:t>4.1.8</w:t>
      </w:r>
      <w:r w:rsidRPr="00AD33E8">
        <w:rPr>
          <w:noProof w:val="0"/>
        </w:rPr>
        <w:tab/>
        <w:t>I rikets tjänst</w:t>
      </w:r>
      <w:r w:rsidRPr="00AD33E8">
        <w:rPr>
          <w:noProof w:val="0"/>
        </w:rPr>
        <w:tab/>
        <w:t>80</w:t>
      </w:r>
    </w:p>
    <w:p w:rsidR="007B7A21" w:rsidRPr="00AD33E8" w:rsidRDefault="007B7A21">
      <w:pPr>
        <w:pStyle w:val="Innehll1"/>
        <w:tabs>
          <w:tab w:val="left" w:pos="454"/>
        </w:tabs>
        <w:rPr>
          <w:noProof w:val="0"/>
        </w:rPr>
      </w:pPr>
      <w:r w:rsidRPr="00AD33E8">
        <w:rPr>
          <w:noProof w:val="0"/>
        </w:rPr>
        <w:t>4.1.9</w:t>
      </w:r>
      <w:r w:rsidRPr="00AD33E8">
        <w:rPr>
          <w:noProof w:val="0"/>
        </w:rPr>
        <w:tab/>
        <w:t>Samlad utvärdering av den arbetsgivarpolitiska reformen</w:t>
      </w:r>
      <w:r w:rsidRPr="00AD33E8">
        <w:rPr>
          <w:noProof w:val="0"/>
        </w:rPr>
        <w:tab/>
        <w:t>81</w:t>
      </w:r>
    </w:p>
    <w:p w:rsidR="007B7A21" w:rsidRPr="00AD33E8" w:rsidRDefault="007B7A21">
      <w:pPr>
        <w:pStyle w:val="Innehll1"/>
        <w:tabs>
          <w:tab w:val="left" w:pos="454"/>
        </w:tabs>
        <w:rPr>
          <w:noProof w:val="0"/>
        </w:rPr>
      </w:pPr>
      <w:r w:rsidRPr="00AD33E8">
        <w:rPr>
          <w:noProof w:val="0"/>
        </w:rPr>
        <w:t>4.2</w:t>
      </w:r>
      <w:r w:rsidRPr="00AD33E8">
        <w:rPr>
          <w:noProof w:val="0"/>
        </w:rPr>
        <w:tab/>
        <w:t>Utredningar om organisation och ekonomiadministration</w:t>
      </w:r>
      <w:r w:rsidRPr="00AD33E8">
        <w:rPr>
          <w:noProof w:val="0"/>
        </w:rPr>
        <w:tab/>
        <w:t>81</w:t>
      </w:r>
    </w:p>
    <w:p w:rsidR="007B7A21" w:rsidRPr="00AD33E8" w:rsidRDefault="007B7A21">
      <w:pPr>
        <w:pStyle w:val="Innehll1"/>
        <w:tabs>
          <w:tab w:val="left" w:pos="454"/>
        </w:tabs>
        <w:rPr>
          <w:noProof w:val="0"/>
        </w:rPr>
      </w:pPr>
      <w:r w:rsidRPr="00AD33E8">
        <w:rPr>
          <w:noProof w:val="0"/>
        </w:rPr>
        <w:t>4.2.1</w:t>
      </w:r>
      <w:r w:rsidRPr="00AD33E8">
        <w:rPr>
          <w:noProof w:val="0"/>
        </w:rPr>
        <w:tab/>
        <w:t>Tvåprocentaren på 1980-talet</w:t>
      </w:r>
      <w:r w:rsidRPr="00AD33E8">
        <w:rPr>
          <w:noProof w:val="0"/>
        </w:rPr>
        <w:tab/>
        <w:t>81</w:t>
      </w:r>
    </w:p>
    <w:p w:rsidR="007B7A21" w:rsidRPr="00AD33E8" w:rsidRDefault="007B7A21">
      <w:pPr>
        <w:pStyle w:val="Innehll1"/>
        <w:tabs>
          <w:tab w:val="left" w:pos="454"/>
        </w:tabs>
        <w:rPr>
          <w:noProof w:val="0"/>
        </w:rPr>
      </w:pPr>
      <w:r w:rsidRPr="00AD33E8">
        <w:rPr>
          <w:noProof w:val="0"/>
        </w:rPr>
        <w:t>4.2.2</w:t>
      </w:r>
      <w:r w:rsidRPr="00AD33E8">
        <w:rPr>
          <w:noProof w:val="0"/>
        </w:rPr>
        <w:tab/>
        <w:t>Riksdagens revisorer om statens omställningsarbete</w:t>
      </w:r>
      <w:r w:rsidRPr="00AD33E8">
        <w:rPr>
          <w:noProof w:val="0"/>
        </w:rPr>
        <w:tab/>
        <w:t>82</w:t>
      </w:r>
    </w:p>
    <w:p w:rsidR="007B7A21" w:rsidRPr="00AD33E8" w:rsidRDefault="007B7A21">
      <w:pPr>
        <w:pStyle w:val="Innehll1"/>
        <w:tabs>
          <w:tab w:val="left" w:pos="454"/>
        </w:tabs>
        <w:rPr>
          <w:noProof w:val="0"/>
        </w:rPr>
      </w:pPr>
      <w:r w:rsidRPr="00AD33E8">
        <w:rPr>
          <w:noProof w:val="0"/>
        </w:rPr>
        <w:t>4.2.3</w:t>
      </w:r>
      <w:r w:rsidRPr="00AD33E8">
        <w:rPr>
          <w:noProof w:val="0"/>
        </w:rPr>
        <w:tab/>
        <w:t>Rapport om hinder för förnyelsearbetet vid statliga myndigheter</w:t>
      </w:r>
      <w:r w:rsidRPr="00AD33E8">
        <w:rPr>
          <w:noProof w:val="0"/>
        </w:rPr>
        <w:tab/>
        <w:t>82</w:t>
      </w:r>
    </w:p>
    <w:p w:rsidR="007B7A21" w:rsidRPr="00AD33E8" w:rsidRDefault="007B7A21">
      <w:pPr>
        <w:pStyle w:val="Innehll1"/>
        <w:tabs>
          <w:tab w:val="left" w:pos="454"/>
        </w:tabs>
        <w:rPr>
          <w:noProof w:val="0"/>
        </w:rPr>
      </w:pPr>
      <w:r w:rsidRPr="00AD33E8">
        <w:rPr>
          <w:noProof w:val="0"/>
        </w:rPr>
        <w:t>4.2.4</w:t>
      </w:r>
      <w:r w:rsidRPr="00AD33E8">
        <w:rPr>
          <w:noProof w:val="0"/>
        </w:rPr>
        <w:tab/>
        <w:t>Sparprogrammet under 1990-talet</w:t>
      </w:r>
      <w:r w:rsidRPr="00AD33E8">
        <w:rPr>
          <w:noProof w:val="0"/>
        </w:rPr>
        <w:tab/>
        <w:t>83</w:t>
      </w:r>
    </w:p>
    <w:p w:rsidR="007B7A21" w:rsidRPr="00AD33E8" w:rsidRDefault="007B7A21">
      <w:pPr>
        <w:pStyle w:val="Innehll1"/>
        <w:tabs>
          <w:tab w:val="left" w:pos="454"/>
        </w:tabs>
        <w:rPr>
          <w:noProof w:val="0"/>
        </w:rPr>
      </w:pPr>
      <w:r w:rsidRPr="00AD33E8">
        <w:rPr>
          <w:noProof w:val="0"/>
        </w:rPr>
        <w:t>4.3</w:t>
      </w:r>
      <w:r w:rsidRPr="00AD33E8">
        <w:rPr>
          <w:noProof w:val="0"/>
        </w:rPr>
        <w:tab/>
        <w:t>Förvaltningspolitiska utredningar</w:t>
      </w:r>
      <w:r w:rsidRPr="00AD33E8">
        <w:rPr>
          <w:noProof w:val="0"/>
        </w:rPr>
        <w:tab/>
        <w:t>84</w:t>
      </w:r>
    </w:p>
    <w:p w:rsidR="007B7A21" w:rsidRPr="00AD33E8" w:rsidRDefault="007B7A21">
      <w:pPr>
        <w:pStyle w:val="Innehll1"/>
        <w:tabs>
          <w:tab w:val="left" w:pos="454"/>
        </w:tabs>
        <w:rPr>
          <w:noProof w:val="0"/>
        </w:rPr>
      </w:pPr>
      <w:r w:rsidRPr="00AD33E8">
        <w:rPr>
          <w:noProof w:val="0"/>
        </w:rPr>
        <w:t>4.3.1</w:t>
      </w:r>
      <w:r w:rsidRPr="00AD33E8">
        <w:rPr>
          <w:noProof w:val="0"/>
        </w:rPr>
        <w:tab/>
        <w:t>Maktutredningen</w:t>
      </w:r>
      <w:r w:rsidRPr="00AD33E8">
        <w:rPr>
          <w:noProof w:val="0"/>
        </w:rPr>
        <w:tab/>
        <w:t>84</w:t>
      </w:r>
    </w:p>
    <w:p w:rsidR="007B7A21" w:rsidRPr="00AD33E8" w:rsidRDefault="007B7A21">
      <w:pPr>
        <w:pStyle w:val="Innehll1"/>
        <w:tabs>
          <w:tab w:val="left" w:pos="454"/>
        </w:tabs>
        <w:rPr>
          <w:noProof w:val="0"/>
        </w:rPr>
      </w:pPr>
      <w:r w:rsidRPr="00AD33E8">
        <w:rPr>
          <w:noProof w:val="0"/>
        </w:rPr>
        <w:t>4.3.2</w:t>
      </w:r>
      <w:r w:rsidRPr="00AD33E8">
        <w:rPr>
          <w:noProof w:val="0"/>
        </w:rPr>
        <w:tab/>
        <w:t>Förvaltningspolitiska kommissionen</w:t>
      </w:r>
      <w:r w:rsidRPr="00AD33E8">
        <w:rPr>
          <w:noProof w:val="0"/>
        </w:rPr>
        <w:tab/>
        <w:t>85</w:t>
      </w:r>
    </w:p>
    <w:p w:rsidR="007B7A21" w:rsidRPr="00AD33E8" w:rsidRDefault="007B7A21">
      <w:pPr>
        <w:pStyle w:val="Innehll1"/>
        <w:tabs>
          <w:tab w:val="left" w:pos="454"/>
        </w:tabs>
        <w:rPr>
          <w:noProof w:val="0"/>
        </w:rPr>
      </w:pPr>
      <w:r w:rsidRPr="00AD33E8">
        <w:rPr>
          <w:noProof w:val="0"/>
        </w:rPr>
        <w:tab/>
        <w:t>Förvaltningspolitiska propositionen</w:t>
      </w:r>
      <w:r w:rsidRPr="00AD33E8">
        <w:rPr>
          <w:noProof w:val="0"/>
        </w:rPr>
        <w:tab/>
        <w:t>86</w:t>
      </w:r>
    </w:p>
    <w:p w:rsidR="007B7A21" w:rsidRPr="00AD33E8" w:rsidRDefault="007B7A21">
      <w:pPr>
        <w:pStyle w:val="Innehll1"/>
        <w:tabs>
          <w:tab w:val="left" w:pos="454"/>
        </w:tabs>
        <w:rPr>
          <w:noProof w:val="0"/>
        </w:rPr>
      </w:pPr>
      <w:r w:rsidRPr="00AD33E8">
        <w:rPr>
          <w:noProof w:val="0"/>
        </w:rPr>
        <w:t>4.3.3</w:t>
      </w:r>
      <w:r w:rsidRPr="00AD33E8">
        <w:rPr>
          <w:noProof w:val="0"/>
        </w:rPr>
        <w:tab/>
        <w:t>Demokratiutredningen</w:t>
      </w:r>
      <w:r w:rsidRPr="00AD33E8">
        <w:rPr>
          <w:noProof w:val="0"/>
        </w:rPr>
        <w:tab/>
        <w:t>88</w:t>
      </w:r>
    </w:p>
    <w:p w:rsidR="007B7A21" w:rsidRPr="00AD33E8" w:rsidRDefault="007B7A21">
      <w:pPr>
        <w:pStyle w:val="Innehll1"/>
        <w:tabs>
          <w:tab w:val="left" w:pos="454"/>
        </w:tabs>
        <w:rPr>
          <w:noProof w:val="0"/>
        </w:rPr>
      </w:pPr>
      <w:r w:rsidRPr="00AD33E8">
        <w:rPr>
          <w:noProof w:val="0"/>
        </w:rPr>
        <w:t>4.4</w:t>
      </w:r>
      <w:r w:rsidRPr="00AD33E8">
        <w:rPr>
          <w:noProof w:val="0"/>
        </w:rPr>
        <w:tab/>
        <w:t>Sammanfattning av iakttagelser</w:t>
      </w:r>
      <w:r w:rsidRPr="00AD33E8">
        <w:rPr>
          <w:noProof w:val="0"/>
        </w:rPr>
        <w:tab/>
        <w:t>88</w:t>
      </w:r>
    </w:p>
    <w:p w:rsidR="007B7A21" w:rsidRPr="00AD33E8" w:rsidRDefault="007B7A21">
      <w:pPr>
        <w:pStyle w:val="Innehll1"/>
        <w:tabs>
          <w:tab w:val="left" w:pos="454"/>
        </w:tabs>
        <w:rPr>
          <w:noProof w:val="0"/>
        </w:rPr>
      </w:pPr>
      <w:r w:rsidRPr="00AD33E8">
        <w:rPr>
          <w:noProof w:val="0"/>
        </w:rPr>
        <w:t>5</w:t>
      </w:r>
      <w:r w:rsidRPr="00AD33E8">
        <w:rPr>
          <w:noProof w:val="0"/>
        </w:rPr>
        <w:tab/>
        <w:t>Den personalpolitiska praktiken – fallstudier</w:t>
      </w:r>
      <w:r w:rsidRPr="00AD33E8">
        <w:rPr>
          <w:noProof w:val="0"/>
        </w:rPr>
        <w:tab/>
        <w:t>90</w:t>
      </w:r>
    </w:p>
    <w:p w:rsidR="007B7A21" w:rsidRPr="00AD33E8" w:rsidRDefault="007B7A21">
      <w:pPr>
        <w:pStyle w:val="Innehll1"/>
        <w:tabs>
          <w:tab w:val="left" w:pos="454"/>
        </w:tabs>
        <w:rPr>
          <w:noProof w:val="0"/>
        </w:rPr>
      </w:pPr>
      <w:r w:rsidRPr="00AD33E8">
        <w:rPr>
          <w:noProof w:val="0"/>
        </w:rPr>
        <w:t>5.1</w:t>
      </w:r>
      <w:r w:rsidRPr="00AD33E8">
        <w:rPr>
          <w:noProof w:val="0"/>
        </w:rPr>
        <w:tab/>
        <w:t>Metod</w:t>
      </w:r>
      <w:r w:rsidRPr="00AD33E8">
        <w:rPr>
          <w:noProof w:val="0"/>
        </w:rPr>
        <w:tab/>
        <w:t>90</w:t>
      </w:r>
    </w:p>
    <w:p w:rsidR="007B7A21" w:rsidRPr="00AD33E8" w:rsidRDefault="007B7A21">
      <w:pPr>
        <w:pStyle w:val="Innehll1"/>
        <w:tabs>
          <w:tab w:val="left" w:pos="454"/>
        </w:tabs>
        <w:rPr>
          <w:noProof w:val="0"/>
        </w:rPr>
      </w:pPr>
      <w:r w:rsidRPr="00AD33E8">
        <w:rPr>
          <w:noProof w:val="0"/>
        </w:rPr>
        <w:t>5.2</w:t>
      </w:r>
      <w:r w:rsidRPr="00AD33E8">
        <w:rPr>
          <w:noProof w:val="0"/>
        </w:rPr>
        <w:tab/>
        <w:t>De fyra exemplen</w:t>
      </w:r>
      <w:r w:rsidRPr="00AD33E8">
        <w:rPr>
          <w:noProof w:val="0"/>
        </w:rPr>
        <w:tab/>
        <w:t>92</w:t>
      </w:r>
    </w:p>
    <w:p w:rsidR="007B7A21" w:rsidRPr="00AD33E8" w:rsidRDefault="007B7A21">
      <w:pPr>
        <w:pStyle w:val="Innehll1"/>
        <w:tabs>
          <w:tab w:val="left" w:pos="454"/>
        </w:tabs>
        <w:rPr>
          <w:noProof w:val="0"/>
        </w:rPr>
      </w:pPr>
      <w:r w:rsidRPr="00AD33E8">
        <w:rPr>
          <w:noProof w:val="0"/>
        </w:rPr>
        <w:t>5.3</w:t>
      </w:r>
      <w:r w:rsidRPr="00AD33E8">
        <w:rPr>
          <w:noProof w:val="0"/>
        </w:rPr>
        <w:tab/>
        <w:t>Begreppet personalpolitik</w:t>
      </w:r>
      <w:r w:rsidRPr="00AD33E8">
        <w:rPr>
          <w:noProof w:val="0"/>
        </w:rPr>
        <w:tab/>
        <w:t>94</w:t>
      </w:r>
    </w:p>
    <w:p w:rsidR="007B7A21" w:rsidRPr="00AD33E8" w:rsidRDefault="007B7A21">
      <w:pPr>
        <w:pStyle w:val="Innehll1"/>
        <w:tabs>
          <w:tab w:val="left" w:pos="454"/>
        </w:tabs>
        <w:rPr>
          <w:noProof w:val="0"/>
        </w:rPr>
      </w:pPr>
      <w:r w:rsidRPr="00AD33E8">
        <w:rPr>
          <w:noProof w:val="0"/>
        </w:rPr>
        <w:t>5.3.1</w:t>
      </w:r>
      <w:r w:rsidRPr="00AD33E8">
        <w:rPr>
          <w:noProof w:val="0"/>
        </w:rPr>
        <w:tab/>
        <w:t>Definition</w:t>
      </w:r>
      <w:r w:rsidRPr="00AD33E8">
        <w:rPr>
          <w:noProof w:val="0"/>
        </w:rPr>
        <w:tab/>
        <w:t>94</w:t>
      </w:r>
    </w:p>
    <w:p w:rsidR="007B7A21" w:rsidRPr="00AD33E8" w:rsidRDefault="007B7A21">
      <w:pPr>
        <w:pStyle w:val="Innehll1"/>
        <w:tabs>
          <w:tab w:val="left" w:pos="454"/>
        </w:tabs>
        <w:rPr>
          <w:noProof w:val="0"/>
        </w:rPr>
      </w:pPr>
      <w:r w:rsidRPr="00AD33E8">
        <w:rPr>
          <w:noProof w:val="0"/>
        </w:rPr>
        <w:tab/>
        <w:t>Tjänstens karaktär</w:t>
      </w:r>
      <w:r w:rsidRPr="00AD33E8">
        <w:rPr>
          <w:noProof w:val="0"/>
        </w:rPr>
        <w:tab/>
        <w:t>95</w:t>
      </w:r>
    </w:p>
    <w:p w:rsidR="007B7A21" w:rsidRPr="00AD33E8" w:rsidRDefault="007B7A21">
      <w:pPr>
        <w:pStyle w:val="Innehll1"/>
        <w:tabs>
          <w:tab w:val="left" w:pos="454"/>
        </w:tabs>
        <w:rPr>
          <w:noProof w:val="0"/>
        </w:rPr>
      </w:pPr>
      <w:r w:rsidRPr="00AD33E8">
        <w:rPr>
          <w:noProof w:val="0"/>
        </w:rPr>
        <w:t>5.3.2</w:t>
      </w:r>
      <w:r w:rsidRPr="00AD33E8">
        <w:rPr>
          <w:noProof w:val="0"/>
        </w:rPr>
        <w:tab/>
        <w:t>Tjänstebegreppet</w:t>
      </w:r>
      <w:r w:rsidRPr="00AD33E8">
        <w:rPr>
          <w:noProof w:val="0"/>
        </w:rPr>
        <w:tab/>
        <w:t>95</w:t>
      </w:r>
    </w:p>
    <w:p w:rsidR="007B7A21" w:rsidRPr="00AD33E8" w:rsidRDefault="007B7A21">
      <w:pPr>
        <w:pStyle w:val="Innehll1"/>
        <w:tabs>
          <w:tab w:val="left" w:pos="454"/>
        </w:tabs>
        <w:rPr>
          <w:noProof w:val="0"/>
        </w:rPr>
      </w:pPr>
      <w:r w:rsidRPr="00AD33E8">
        <w:rPr>
          <w:noProof w:val="0"/>
        </w:rPr>
        <w:t>5.3.3</w:t>
      </w:r>
      <w:r w:rsidRPr="00AD33E8">
        <w:rPr>
          <w:noProof w:val="0"/>
        </w:rPr>
        <w:tab/>
        <w:t>Personalpolitiska program</w:t>
      </w:r>
      <w:r w:rsidRPr="00AD33E8">
        <w:rPr>
          <w:noProof w:val="0"/>
        </w:rPr>
        <w:tab/>
        <w:t>96</w:t>
      </w:r>
    </w:p>
    <w:p w:rsidR="007B7A21" w:rsidRPr="00AD33E8" w:rsidRDefault="007B7A21">
      <w:pPr>
        <w:pStyle w:val="Innehll1"/>
        <w:tabs>
          <w:tab w:val="left" w:pos="454"/>
        </w:tabs>
        <w:rPr>
          <w:noProof w:val="0"/>
        </w:rPr>
      </w:pPr>
      <w:r w:rsidRPr="00AD33E8">
        <w:rPr>
          <w:noProof w:val="0"/>
        </w:rPr>
        <w:t>5.4</w:t>
      </w:r>
      <w:r w:rsidRPr="00AD33E8">
        <w:rPr>
          <w:noProof w:val="0"/>
        </w:rPr>
        <w:tab/>
        <w:t>Personalpolitiken som förändringsinstrument</w:t>
      </w:r>
      <w:r w:rsidRPr="00AD33E8">
        <w:rPr>
          <w:noProof w:val="0"/>
        </w:rPr>
        <w:tab/>
        <w:t>97</w:t>
      </w:r>
    </w:p>
    <w:p w:rsidR="007B7A21" w:rsidRPr="00AD33E8" w:rsidRDefault="007B7A21">
      <w:pPr>
        <w:pStyle w:val="Innehll1"/>
        <w:tabs>
          <w:tab w:val="left" w:pos="454"/>
        </w:tabs>
        <w:rPr>
          <w:noProof w:val="0"/>
        </w:rPr>
      </w:pPr>
      <w:r w:rsidRPr="00AD33E8">
        <w:rPr>
          <w:noProof w:val="0"/>
        </w:rPr>
        <w:t>5.4.1</w:t>
      </w:r>
      <w:r w:rsidRPr="00AD33E8">
        <w:rPr>
          <w:noProof w:val="0"/>
        </w:rPr>
        <w:tab/>
        <w:t>Avreglering</w:t>
      </w:r>
      <w:r w:rsidRPr="00AD33E8">
        <w:rPr>
          <w:noProof w:val="0"/>
        </w:rPr>
        <w:tab/>
        <w:t>97</w:t>
      </w:r>
    </w:p>
    <w:p w:rsidR="007B7A21" w:rsidRPr="00AD33E8" w:rsidRDefault="007B7A21">
      <w:pPr>
        <w:pStyle w:val="Innehll1"/>
        <w:tabs>
          <w:tab w:val="left" w:pos="454"/>
        </w:tabs>
        <w:rPr>
          <w:noProof w:val="0"/>
        </w:rPr>
      </w:pPr>
      <w:r w:rsidRPr="00AD33E8">
        <w:rPr>
          <w:noProof w:val="0"/>
        </w:rPr>
        <w:t>5.4.2</w:t>
      </w:r>
      <w:r w:rsidRPr="00AD33E8">
        <w:rPr>
          <w:noProof w:val="0"/>
        </w:rPr>
        <w:tab/>
        <w:t>Förändringsbenägenhet och omorganisationer</w:t>
      </w:r>
      <w:r w:rsidRPr="00AD33E8">
        <w:rPr>
          <w:noProof w:val="0"/>
        </w:rPr>
        <w:tab/>
        <w:t>98</w:t>
      </w:r>
    </w:p>
    <w:p w:rsidR="007B7A21" w:rsidRPr="00AD33E8" w:rsidRDefault="007B7A21">
      <w:pPr>
        <w:pStyle w:val="Innehll1"/>
        <w:tabs>
          <w:tab w:val="left" w:pos="454"/>
        </w:tabs>
        <w:rPr>
          <w:noProof w:val="0"/>
        </w:rPr>
      </w:pPr>
      <w:r w:rsidRPr="00AD33E8">
        <w:rPr>
          <w:noProof w:val="0"/>
        </w:rPr>
        <w:tab/>
        <w:t>Teknisk utveckling</w:t>
      </w:r>
      <w:r w:rsidRPr="00AD33E8">
        <w:rPr>
          <w:noProof w:val="0"/>
        </w:rPr>
        <w:tab/>
        <w:t>100</w:t>
      </w:r>
    </w:p>
    <w:p w:rsidR="007B7A21" w:rsidRPr="00AD33E8" w:rsidRDefault="007B7A21">
      <w:pPr>
        <w:pStyle w:val="Innehll1"/>
        <w:tabs>
          <w:tab w:val="left" w:pos="454"/>
        </w:tabs>
        <w:rPr>
          <w:noProof w:val="0"/>
        </w:rPr>
      </w:pPr>
      <w:r w:rsidRPr="00AD33E8">
        <w:rPr>
          <w:noProof w:val="0"/>
        </w:rPr>
        <w:tab/>
        <w:t>Personalavveckling</w:t>
      </w:r>
      <w:r w:rsidRPr="00AD33E8">
        <w:rPr>
          <w:noProof w:val="0"/>
        </w:rPr>
        <w:tab/>
        <w:t>100</w:t>
      </w:r>
    </w:p>
    <w:p w:rsidR="007B7A21" w:rsidRPr="00AD33E8" w:rsidRDefault="007B7A21">
      <w:pPr>
        <w:pStyle w:val="Innehll1"/>
        <w:tabs>
          <w:tab w:val="left" w:pos="454"/>
        </w:tabs>
        <w:rPr>
          <w:noProof w:val="0"/>
        </w:rPr>
      </w:pPr>
      <w:r w:rsidRPr="00AD33E8">
        <w:rPr>
          <w:noProof w:val="0"/>
        </w:rPr>
        <w:tab/>
        <w:t>Kompetensutveckling</w:t>
      </w:r>
      <w:r w:rsidRPr="00AD33E8">
        <w:rPr>
          <w:noProof w:val="0"/>
        </w:rPr>
        <w:tab/>
        <w:t>102</w:t>
      </w:r>
    </w:p>
    <w:p w:rsidR="007B7A21" w:rsidRPr="00AD33E8" w:rsidRDefault="007B7A21">
      <w:pPr>
        <w:pStyle w:val="Innehll1"/>
        <w:tabs>
          <w:tab w:val="left" w:pos="454"/>
        </w:tabs>
        <w:rPr>
          <w:noProof w:val="0"/>
        </w:rPr>
      </w:pPr>
      <w:r w:rsidRPr="00AD33E8">
        <w:rPr>
          <w:noProof w:val="0"/>
        </w:rPr>
        <w:tab/>
        <w:t>Rekrytering</w:t>
      </w:r>
      <w:r w:rsidRPr="00AD33E8">
        <w:rPr>
          <w:noProof w:val="0"/>
        </w:rPr>
        <w:tab/>
        <w:t>103</w:t>
      </w:r>
    </w:p>
    <w:p w:rsidR="007B7A21" w:rsidRPr="00AD33E8" w:rsidRDefault="007B7A21">
      <w:pPr>
        <w:pStyle w:val="Innehll1"/>
        <w:tabs>
          <w:tab w:val="left" w:pos="454"/>
        </w:tabs>
        <w:rPr>
          <w:noProof w:val="0"/>
        </w:rPr>
      </w:pPr>
      <w:r w:rsidRPr="00AD33E8">
        <w:rPr>
          <w:noProof w:val="0"/>
        </w:rPr>
        <w:t>5.5</w:t>
      </w:r>
      <w:r w:rsidRPr="00AD33E8">
        <w:rPr>
          <w:noProof w:val="0"/>
        </w:rPr>
        <w:tab/>
        <w:t>Delegering och effektivisering</w:t>
      </w:r>
      <w:r w:rsidRPr="00AD33E8">
        <w:rPr>
          <w:noProof w:val="0"/>
        </w:rPr>
        <w:tab/>
        <w:t>104</w:t>
      </w:r>
    </w:p>
    <w:p w:rsidR="007B7A21" w:rsidRPr="00AD33E8" w:rsidRDefault="007B7A21">
      <w:pPr>
        <w:pStyle w:val="Innehll1"/>
        <w:tabs>
          <w:tab w:val="left" w:pos="454"/>
        </w:tabs>
        <w:rPr>
          <w:noProof w:val="0"/>
        </w:rPr>
      </w:pPr>
      <w:r w:rsidRPr="00AD33E8">
        <w:rPr>
          <w:noProof w:val="0"/>
        </w:rPr>
        <w:tab/>
        <w:t>Långtgående delegering och ledarskapets utveckling</w:t>
      </w:r>
      <w:r w:rsidRPr="00AD33E8">
        <w:rPr>
          <w:noProof w:val="0"/>
        </w:rPr>
        <w:tab/>
        <w:t>104</w:t>
      </w:r>
    </w:p>
    <w:p w:rsidR="007B7A21" w:rsidRPr="00AD33E8" w:rsidRDefault="007B7A21">
      <w:pPr>
        <w:pStyle w:val="Innehll1"/>
        <w:tabs>
          <w:tab w:val="left" w:pos="454"/>
        </w:tabs>
        <w:rPr>
          <w:noProof w:val="0"/>
        </w:rPr>
      </w:pPr>
      <w:r w:rsidRPr="00AD33E8">
        <w:rPr>
          <w:noProof w:val="0"/>
        </w:rPr>
        <w:t>5.5.1</w:t>
      </w:r>
      <w:r w:rsidRPr="00AD33E8">
        <w:rPr>
          <w:noProof w:val="0"/>
        </w:rPr>
        <w:tab/>
        <w:t>Chefsegenskaper</w:t>
      </w:r>
      <w:r w:rsidRPr="00AD33E8">
        <w:rPr>
          <w:noProof w:val="0"/>
        </w:rPr>
        <w:tab/>
        <w:t>106</w:t>
      </w:r>
    </w:p>
    <w:p w:rsidR="007B7A21" w:rsidRPr="00AD33E8" w:rsidRDefault="007B7A21">
      <w:pPr>
        <w:pStyle w:val="Innehll1"/>
        <w:tabs>
          <w:tab w:val="left" w:pos="454"/>
        </w:tabs>
        <w:rPr>
          <w:noProof w:val="0"/>
        </w:rPr>
      </w:pPr>
      <w:r w:rsidRPr="00AD33E8">
        <w:rPr>
          <w:noProof w:val="0"/>
        </w:rPr>
        <w:tab/>
        <w:t>Chefstillsättning som budskap</w:t>
      </w:r>
      <w:r w:rsidRPr="00AD33E8">
        <w:rPr>
          <w:noProof w:val="0"/>
        </w:rPr>
        <w:tab/>
        <w:t>107</w:t>
      </w:r>
    </w:p>
    <w:p w:rsidR="007B7A21" w:rsidRPr="00AD33E8" w:rsidRDefault="007B7A21">
      <w:pPr>
        <w:pStyle w:val="Innehll1"/>
        <w:tabs>
          <w:tab w:val="left" w:pos="454"/>
        </w:tabs>
        <w:rPr>
          <w:noProof w:val="0"/>
        </w:rPr>
      </w:pPr>
      <w:r w:rsidRPr="00AD33E8">
        <w:rPr>
          <w:noProof w:val="0"/>
        </w:rPr>
        <w:tab/>
        <w:t>Uppföljning</w:t>
      </w:r>
      <w:r w:rsidRPr="00AD33E8">
        <w:rPr>
          <w:noProof w:val="0"/>
        </w:rPr>
        <w:tab/>
        <w:t>108</w:t>
      </w:r>
    </w:p>
    <w:p w:rsidR="007B7A21" w:rsidRPr="00AD33E8" w:rsidRDefault="007B7A21">
      <w:pPr>
        <w:pStyle w:val="Innehll1"/>
        <w:tabs>
          <w:tab w:val="left" w:pos="454"/>
        </w:tabs>
        <w:rPr>
          <w:noProof w:val="0"/>
        </w:rPr>
      </w:pPr>
      <w:r w:rsidRPr="00AD33E8">
        <w:rPr>
          <w:noProof w:val="0"/>
        </w:rPr>
        <w:t>5.5.2</w:t>
      </w:r>
      <w:r w:rsidRPr="00AD33E8">
        <w:rPr>
          <w:noProof w:val="0"/>
        </w:rPr>
        <w:tab/>
        <w:t>Minskad bemanning och ohälsa</w:t>
      </w:r>
      <w:r w:rsidRPr="00AD33E8">
        <w:rPr>
          <w:noProof w:val="0"/>
        </w:rPr>
        <w:tab/>
        <w:t>109</w:t>
      </w:r>
    </w:p>
    <w:p w:rsidR="007B7A21" w:rsidRPr="00AD33E8" w:rsidRDefault="007B7A21">
      <w:pPr>
        <w:pStyle w:val="Innehll1"/>
        <w:tabs>
          <w:tab w:val="left" w:pos="454"/>
        </w:tabs>
        <w:rPr>
          <w:noProof w:val="0"/>
        </w:rPr>
      </w:pPr>
      <w:r w:rsidRPr="00AD33E8">
        <w:rPr>
          <w:noProof w:val="0"/>
        </w:rPr>
        <w:t>5.5.3</w:t>
      </w:r>
      <w:r w:rsidRPr="00AD33E8">
        <w:rPr>
          <w:noProof w:val="0"/>
        </w:rPr>
        <w:tab/>
        <w:t>Effektiviseringens innehåll</w:t>
      </w:r>
      <w:r w:rsidRPr="00AD33E8">
        <w:rPr>
          <w:noProof w:val="0"/>
        </w:rPr>
        <w:tab/>
        <w:t>110</w:t>
      </w:r>
    </w:p>
    <w:p w:rsidR="007B7A21" w:rsidRPr="00AD33E8" w:rsidRDefault="007B7A21">
      <w:pPr>
        <w:pStyle w:val="Innehll1"/>
        <w:tabs>
          <w:tab w:val="left" w:pos="454"/>
        </w:tabs>
        <w:rPr>
          <w:noProof w:val="0"/>
        </w:rPr>
      </w:pPr>
      <w:r w:rsidRPr="00AD33E8">
        <w:rPr>
          <w:noProof w:val="0"/>
        </w:rPr>
        <w:t>5.6</w:t>
      </w:r>
      <w:r w:rsidRPr="00AD33E8">
        <w:rPr>
          <w:noProof w:val="0"/>
        </w:rPr>
        <w:tab/>
        <w:t>Sammanfattning</w:t>
      </w:r>
      <w:r w:rsidRPr="00AD33E8">
        <w:rPr>
          <w:noProof w:val="0"/>
        </w:rPr>
        <w:tab/>
        <w:t>111</w:t>
      </w:r>
    </w:p>
    <w:p w:rsidR="007B7A21" w:rsidRPr="00AD33E8" w:rsidRDefault="007B7A21">
      <w:pPr>
        <w:pStyle w:val="Innehll1"/>
        <w:tabs>
          <w:tab w:val="left" w:pos="454"/>
        </w:tabs>
        <w:rPr>
          <w:noProof w:val="0"/>
        </w:rPr>
      </w:pPr>
      <w:r w:rsidRPr="00AD33E8">
        <w:rPr>
          <w:noProof w:val="0"/>
        </w:rPr>
        <w:t>6</w:t>
      </w:r>
      <w:r w:rsidRPr="00AD33E8">
        <w:rPr>
          <w:noProof w:val="0"/>
        </w:rPr>
        <w:tab/>
        <w:t>Revisorernas överväganden och förslag</w:t>
      </w:r>
      <w:r w:rsidRPr="00AD33E8">
        <w:rPr>
          <w:noProof w:val="0"/>
        </w:rPr>
        <w:tab/>
        <w:t>113</w:t>
      </w:r>
    </w:p>
    <w:p w:rsidR="007B7A21" w:rsidRPr="00AD33E8" w:rsidRDefault="007B7A21">
      <w:pPr>
        <w:pStyle w:val="Innehll1"/>
        <w:tabs>
          <w:tab w:val="left" w:pos="454"/>
        </w:tabs>
        <w:rPr>
          <w:noProof w:val="0"/>
        </w:rPr>
      </w:pPr>
      <w:r w:rsidRPr="00AD33E8">
        <w:rPr>
          <w:noProof w:val="0"/>
        </w:rPr>
        <w:t>6.1</w:t>
      </w:r>
      <w:r w:rsidRPr="00AD33E8">
        <w:rPr>
          <w:noProof w:val="0"/>
        </w:rPr>
        <w:tab/>
        <w:t>Inledning</w:t>
      </w:r>
      <w:r w:rsidRPr="00AD33E8">
        <w:rPr>
          <w:noProof w:val="0"/>
        </w:rPr>
        <w:tab/>
        <w:t>113</w:t>
      </w:r>
    </w:p>
    <w:p w:rsidR="007B7A21" w:rsidRPr="00AD33E8" w:rsidRDefault="007B7A21">
      <w:pPr>
        <w:pStyle w:val="Innehll1"/>
        <w:tabs>
          <w:tab w:val="left" w:pos="454"/>
        </w:tabs>
        <w:rPr>
          <w:noProof w:val="0"/>
        </w:rPr>
      </w:pPr>
      <w:r w:rsidRPr="00AD33E8">
        <w:rPr>
          <w:noProof w:val="0"/>
        </w:rPr>
        <w:t>6.2</w:t>
      </w:r>
      <w:r w:rsidRPr="00AD33E8">
        <w:rPr>
          <w:noProof w:val="0"/>
        </w:rPr>
        <w:tab/>
        <w:t>Överväganden och förslag</w:t>
      </w:r>
      <w:r w:rsidRPr="00AD33E8">
        <w:rPr>
          <w:noProof w:val="0"/>
        </w:rPr>
        <w:tab/>
        <w:t>114</w:t>
      </w:r>
    </w:p>
    <w:p w:rsidR="007B7A21" w:rsidRPr="00AD33E8" w:rsidRDefault="007B7A21">
      <w:pPr>
        <w:pStyle w:val="Innehll1"/>
        <w:tabs>
          <w:tab w:val="left" w:pos="454"/>
        </w:tabs>
        <w:rPr>
          <w:noProof w:val="0"/>
        </w:rPr>
      </w:pPr>
      <w:r w:rsidRPr="00AD33E8">
        <w:rPr>
          <w:noProof w:val="0"/>
        </w:rPr>
        <w:t>6.2.1</w:t>
      </w:r>
      <w:r w:rsidRPr="00AD33E8">
        <w:rPr>
          <w:noProof w:val="0"/>
        </w:rPr>
        <w:tab/>
        <w:t>Begreppet statlig personalpolitik behöver definieras</w:t>
      </w:r>
      <w:r w:rsidRPr="00AD33E8">
        <w:rPr>
          <w:noProof w:val="0"/>
        </w:rPr>
        <w:tab/>
        <w:t>114</w:t>
      </w:r>
    </w:p>
    <w:p w:rsidR="007B7A21" w:rsidRPr="00AD33E8" w:rsidRDefault="007B7A21">
      <w:pPr>
        <w:pStyle w:val="Innehll1"/>
        <w:tabs>
          <w:tab w:val="left" w:pos="454"/>
        </w:tabs>
        <w:rPr>
          <w:noProof w:val="0"/>
        </w:rPr>
      </w:pPr>
      <w:r w:rsidRPr="00AD33E8">
        <w:rPr>
          <w:noProof w:val="0"/>
        </w:rPr>
        <w:t>6.2.2</w:t>
      </w:r>
      <w:r w:rsidRPr="00AD33E8">
        <w:rPr>
          <w:noProof w:val="0"/>
        </w:rPr>
        <w:tab/>
        <w:t>Innebörden av den arbetsgivarpolitiska delegeringen måste  preciseras</w:t>
      </w:r>
      <w:r w:rsidRPr="00AD33E8">
        <w:rPr>
          <w:noProof w:val="0"/>
        </w:rPr>
        <w:tab/>
        <w:t>114</w:t>
      </w:r>
    </w:p>
    <w:p w:rsidR="007B7A21" w:rsidRPr="00AD33E8" w:rsidRDefault="007B7A21">
      <w:pPr>
        <w:pStyle w:val="Innehll1"/>
        <w:tabs>
          <w:tab w:val="left" w:pos="454"/>
        </w:tabs>
        <w:rPr>
          <w:noProof w:val="0"/>
        </w:rPr>
      </w:pPr>
      <w:r w:rsidRPr="00AD33E8">
        <w:rPr>
          <w:noProof w:val="0"/>
        </w:rPr>
        <w:tab/>
        <w:t>Delegering innebär inte godtycke</w:t>
      </w:r>
      <w:r w:rsidRPr="00AD33E8">
        <w:rPr>
          <w:noProof w:val="0"/>
        </w:rPr>
        <w:tab/>
        <w:t>114</w:t>
      </w:r>
    </w:p>
    <w:p w:rsidR="007B7A21" w:rsidRPr="00AD33E8" w:rsidRDefault="007B7A21">
      <w:pPr>
        <w:pStyle w:val="Innehll1"/>
        <w:tabs>
          <w:tab w:val="left" w:pos="454"/>
        </w:tabs>
        <w:rPr>
          <w:noProof w:val="0"/>
        </w:rPr>
      </w:pPr>
      <w:r w:rsidRPr="00AD33E8">
        <w:rPr>
          <w:noProof w:val="0"/>
        </w:rPr>
        <w:tab/>
        <w:t>Arbetslednings- och arbetsgivarfrågor är inte identiska</w:t>
      </w:r>
      <w:r w:rsidRPr="00AD33E8">
        <w:rPr>
          <w:noProof w:val="0"/>
        </w:rPr>
        <w:tab/>
        <w:t>115</w:t>
      </w:r>
    </w:p>
    <w:p w:rsidR="007B7A21" w:rsidRPr="00AD33E8" w:rsidRDefault="007B7A21">
      <w:pPr>
        <w:pStyle w:val="Innehll1"/>
        <w:tabs>
          <w:tab w:val="left" w:pos="454"/>
        </w:tabs>
        <w:rPr>
          <w:noProof w:val="0"/>
        </w:rPr>
      </w:pPr>
      <w:r w:rsidRPr="00AD33E8">
        <w:rPr>
          <w:noProof w:val="0"/>
        </w:rPr>
        <w:tab/>
        <w:t>Innebörden av personalpolitikens  mål  kan inte delegeras</w:t>
      </w:r>
      <w:r w:rsidRPr="00AD33E8">
        <w:rPr>
          <w:noProof w:val="0"/>
        </w:rPr>
        <w:tab/>
        <w:t>115</w:t>
      </w:r>
    </w:p>
    <w:p w:rsidR="007B7A21" w:rsidRPr="00AD33E8" w:rsidRDefault="007B7A21">
      <w:pPr>
        <w:pStyle w:val="Innehll1"/>
        <w:tabs>
          <w:tab w:val="left" w:pos="454"/>
        </w:tabs>
        <w:rPr>
          <w:noProof w:val="0"/>
        </w:rPr>
      </w:pPr>
      <w:r w:rsidRPr="00AD33E8">
        <w:rPr>
          <w:noProof w:val="0"/>
        </w:rPr>
        <w:t>6.2.3</w:t>
      </w:r>
      <w:r w:rsidRPr="00AD33E8">
        <w:rPr>
          <w:noProof w:val="0"/>
        </w:rPr>
        <w:tab/>
        <w:t>Tydligare chefskap och bättre redovisning</w:t>
      </w:r>
      <w:r w:rsidRPr="00AD33E8">
        <w:rPr>
          <w:noProof w:val="0"/>
        </w:rPr>
        <w:tab/>
        <w:t>115</w:t>
      </w:r>
    </w:p>
    <w:p w:rsidR="007B7A21" w:rsidRPr="00AD33E8" w:rsidRDefault="007B7A21">
      <w:pPr>
        <w:pStyle w:val="Innehll1"/>
        <w:tabs>
          <w:tab w:val="left" w:pos="454"/>
        </w:tabs>
        <w:rPr>
          <w:noProof w:val="0"/>
        </w:rPr>
      </w:pPr>
      <w:r w:rsidRPr="00AD33E8">
        <w:rPr>
          <w:noProof w:val="0"/>
        </w:rPr>
        <w:t>6.2.4</w:t>
      </w:r>
      <w:r w:rsidRPr="00AD33E8">
        <w:rPr>
          <w:noProof w:val="0"/>
        </w:rPr>
        <w:tab/>
        <w:t>Den personalpolitiska uppföljningen behöver  verksamhetsanpassas</w:t>
      </w:r>
      <w:r w:rsidRPr="00AD33E8">
        <w:rPr>
          <w:noProof w:val="0"/>
        </w:rPr>
        <w:tab/>
        <w:t>116</w:t>
      </w:r>
    </w:p>
    <w:p w:rsidR="007B7A21" w:rsidRPr="00AD33E8" w:rsidRDefault="007B7A21">
      <w:pPr>
        <w:pStyle w:val="Innehll1"/>
        <w:tabs>
          <w:tab w:val="left" w:pos="454"/>
        </w:tabs>
        <w:rPr>
          <w:noProof w:val="0"/>
        </w:rPr>
      </w:pPr>
      <w:r w:rsidRPr="00AD33E8">
        <w:rPr>
          <w:noProof w:val="0"/>
        </w:rPr>
        <w:t>6.2.5</w:t>
      </w:r>
      <w:r w:rsidRPr="00AD33E8">
        <w:rPr>
          <w:noProof w:val="0"/>
        </w:rPr>
        <w:tab/>
        <w:t>Regeringen behöver identifiera risksituationer för tidiga åtgärder</w:t>
      </w:r>
      <w:r w:rsidRPr="00AD33E8">
        <w:rPr>
          <w:noProof w:val="0"/>
        </w:rPr>
        <w:tab/>
        <w:t>117</w:t>
      </w:r>
    </w:p>
    <w:p w:rsidR="007B7A21" w:rsidRPr="00AD33E8" w:rsidRDefault="007B7A21">
      <w:pPr>
        <w:pStyle w:val="Innehll1"/>
        <w:tabs>
          <w:tab w:val="left" w:pos="454"/>
        </w:tabs>
        <w:rPr>
          <w:noProof w:val="0"/>
        </w:rPr>
      </w:pPr>
      <w:r w:rsidRPr="00AD33E8">
        <w:rPr>
          <w:noProof w:val="0"/>
        </w:rPr>
        <w:t>Referenser</w:t>
      </w:r>
      <w:r w:rsidRPr="00AD33E8">
        <w:rPr>
          <w:noProof w:val="0"/>
        </w:rPr>
        <w:tab/>
        <w:t>118</w:t>
      </w:r>
    </w:p>
    <w:p w:rsidR="007B7A21" w:rsidRPr="00AD33E8" w:rsidRDefault="007B7A21">
      <w:pPr>
        <w:pStyle w:val="Innehll2"/>
        <w:rPr>
          <w:noProof w:val="0"/>
        </w:rPr>
      </w:pPr>
      <w:r w:rsidRPr="00AD33E8">
        <w:rPr>
          <w:noProof w:val="0"/>
        </w:rPr>
        <w:t>Offentligt tryck</w:t>
      </w:r>
      <w:r w:rsidRPr="00AD33E8">
        <w:rPr>
          <w:noProof w:val="0"/>
        </w:rPr>
        <w:tab/>
        <w:t>118</w:t>
      </w:r>
    </w:p>
    <w:p w:rsidR="007B7A21" w:rsidRPr="00AD33E8" w:rsidRDefault="007B7A21">
      <w:pPr>
        <w:pStyle w:val="Innehll3"/>
        <w:rPr>
          <w:noProof w:val="0"/>
        </w:rPr>
      </w:pPr>
      <w:r w:rsidRPr="00AD33E8">
        <w:rPr>
          <w:noProof w:val="0"/>
        </w:rPr>
        <w:t>Riksdagen</w:t>
      </w:r>
      <w:r w:rsidRPr="00AD33E8">
        <w:rPr>
          <w:noProof w:val="0"/>
        </w:rPr>
        <w:tab/>
      </w:r>
      <w:r w:rsidRPr="00AD33E8">
        <w:rPr>
          <w:noProof w:val="0"/>
        </w:rPr>
        <w:tab/>
        <w:t>118</w:t>
      </w:r>
    </w:p>
    <w:p w:rsidR="007B7A21" w:rsidRPr="00AD33E8" w:rsidRDefault="007B7A21">
      <w:pPr>
        <w:pStyle w:val="Innehll3"/>
        <w:rPr>
          <w:noProof w:val="0"/>
        </w:rPr>
      </w:pPr>
      <w:r w:rsidRPr="00AD33E8">
        <w:rPr>
          <w:noProof w:val="0"/>
        </w:rPr>
        <w:t>Författningar</w:t>
      </w:r>
      <w:r w:rsidRPr="00AD33E8">
        <w:rPr>
          <w:noProof w:val="0"/>
        </w:rPr>
        <w:tab/>
      </w:r>
      <w:r w:rsidRPr="00AD33E8">
        <w:rPr>
          <w:noProof w:val="0"/>
        </w:rPr>
        <w:tab/>
        <w:t>118</w:t>
      </w:r>
    </w:p>
    <w:p w:rsidR="007B7A21" w:rsidRPr="00AD33E8" w:rsidRDefault="007B7A21">
      <w:pPr>
        <w:pStyle w:val="Innehll3"/>
        <w:rPr>
          <w:noProof w:val="0"/>
        </w:rPr>
      </w:pPr>
      <w:r w:rsidRPr="00AD33E8">
        <w:rPr>
          <w:noProof w:val="0"/>
        </w:rPr>
        <w:t>Riksdagens revisorer</w:t>
      </w:r>
      <w:r w:rsidRPr="00AD33E8">
        <w:rPr>
          <w:noProof w:val="0"/>
        </w:rPr>
        <w:tab/>
        <w:t>118</w:t>
      </w:r>
    </w:p>
    <w:p w:rsidR="007B7A21" w:rsidRPr="00AD33E8" w:rsidRDefault="007B7A21">
      <w:pPr>
        <w:pStyle w:val="Innehll1"/>
        <w:rPr>
          <w:noProof w:val="0"/>
        </w:rPr>
      </w:pPr>
      <w:r w:rsidRPr="00AD33E8">
        <w:rPr>
          <w:noProof w:val="0"/>
        </w:rPr>
        <w:t>Statens offentliga utredningar Förnyelse genom omprövning (SOU 1979:61)</w:t>
      </w:r>
      <w:r w:rsidRPr="00AD33E8">
        <w:rPr>
          <w:noProof w:val="0"/>
        </w:rPr>
        <w:tab/>
        <w:t>120</w:t>
      </w:r>
    </w:p>
    <w:p w:rsidR="007B7A21" w:rsidRPr="00AD33E8" w:rsidRDefault="007B7A21">
      <w:pPr>
        <w:pStyle w:val="Innehll3"/>
        <w:rPr>
          <w:noProof w:val="0"/>
        </w:rPr>
      </w:pPr>
      <w:r w:rsidRPr="00AD33E8">
        <w:rPr>
          <w:noProof w:val="0"/>
        </w:rPr>
        <w:t>Departementsskrivelser</w:t>
      </w:r>
      <w:r w:rsidRPr="00AD33E8">
        <w:rPr>
          <w:noProof w:val="0"/>
        </w:rPr>
        <w:tab/>
        <w:t>120</w:t>
      </w:r>
    </w:p>
    <w:p w:rsidR="007B7A21" w:rsidRPr="00AD33E8" w:rsidRDefault="007B7A21">
      <w:pPr>
        <w:pStyle w:val="Innehll3"/>
        <w:rPr>
          <w:noProof w:val="0"/>
        </w:rPr>
      </w:pPr>
      <w:r w:rsidRPr="00AD33E8">
        <w:rPr>
          <w:noProof w:val="0"/>
        </w:rPr>
        <w:t>Riksrevisionsverket</w:t>
      </w:r>
      <w:r w:rsidRPr="00AD33E8">
        <w:rPr>
          <w:noProof w:val="0"/>
        </w:rPr>
        <w:tab/>
        <w:t>120</w:t>
      </w:r>
    </w:p>
    <w:p w:rsidR="007B7A21" w:rsidRPr="00AD33E8" w:rsidRDefault="007B7A21">
      <w:pPr>
        <w:pStyle w:val="Innehll3"/>
        <w:rPr>
          <w:noProof w:val="0"/>
        </w:rPr>
      </w:pPr>
      <w:r w:rsidRPr="00AD33E8">
        <w:rPr>
          <w:noProof w:val="0"/>
        </w:rPr>
        <w:t>Årliga publikationer</w:t>
      </w:r>
      <w:r w:rsidRPr="00AD33E8">
        <w:rPr>
          <w:noProof w:val="0"/>
        </w:rPr>
        <w:tab/>
        <w:t>121</w:t>
      </w:r>
    </w:p>
    <w:p w:rsidR="007B7A21" w:rsidRPr="00AD33E8" w:rsidRDefault="007B7A21">
      <w:pPr>
        <w:pStyle w:val="Innehll3"/>
        <w:rPr>
          <w:noProof w:val="0"/>
        </w:rPr>
      </w:pPr>
      <w:r w:rsidRPr="00AD33E8">
        <w:rPr>
          <w:noProof w:val="0"/>
        </w:rPr>
        <w:t>Litteratur</w:t>
      </w:r>
      <w:r w:rsidRPr="00AD33E8">
        <w:rPr>
          <w:noProof w:val="0"/>
        </w:rPr>
        <w:tab/>
      </w:r>
      <w:r w:rsidRPr="00AD33E8">
        <w:rPr>
          <w:noProof w:val="0"/>
        </w:rPr>
        <w:tab/>
      </w:r>
      <w:bookmarkStart w:id="395" w:name="_Hlt21503372"/>
      <w:r w:rsidRPr="00AD33E8">
        <w:rPr>
          <w:noProof w:val="0"/>
        </w:rPr>
        <w:t>121</w:t>
      </w:r>
      <w:bookmarkEnd w:id="395"/>
    </w:p>
    <w:p w:rsidR="007B7A21" w:rsidRPr="00AD33E8" w:rsidRDefault="007B7A21">
      <w:pPr>
        <w:pStyle w:val="Normaltindrag"/>
        <w:ind w:firstLine="0"/>
      </w:pPr>
    </w:p>
    <w:p w:rsidR="007B7A21" w:rsidRPr="00AD33E8" w:rsidRDefault="007B7A21">
      <w:pPr>
        <w:pStyle w:val="Tryckort"/>
        <w:framePr w:wrap="around"/>
      </w:pPr>
      <w:r w:rsidRPr="00AD33E8">
        <w:t>Elanders Gotab, Stockholm  2002</w:t>
      </w:r>
    </w:p>
    <w:p w:rsidR="007B7A21" w:rsidRPr="00AD33E8" w:rsidRDefault="007B7A21">
      <w:pPr>
        <w:pStyle w:val="Normaltindrag"/>
        <w:ind w:firstLine="0"/>
      </w:pPr>
      <w:r w:rsidRPr="00AD33E8">
        <w:t xml:space="preserve"> </w:t>
      </w:r>
    </w:p>
    <w:sectPr w:rsidR="007B7A21" w:rsidRPr="00AD33E8">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A21" w:rsidRPr="00AD33E8" w:rsidRDefault="007B7A21">
      <w:pPr>
        <w:spacing w:before="0" w:line="240" w:lineRule="auto"/>
      </w:pPr>
      <w:r w:rsidRPr="00AD33E8">
        <w:separator/>
      </w:r>
    </w:p>
  </w:endnote>
  <w:endnote w:type="continuationSeparator" w:id="0">
    <w:p w:rsidR="007B7A21" w:rsidRPr="00AD33E8" w:rsidRDefault="007B7A21">
      <w:pPr>
        <w:spacing w:before="0" w:line="240" w:lineRule="auto"/>
      </w:pPr>
      <w:r w:rsidRPr="00AD33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B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illSans Light">
    <w:altName w:val="Calibri"/>
    <w:charset w:val="00"/>
    <w:family w:val="swiss"/>
    <w:pitch w:val="variable"/>
    <w:sig w:usb0="00000003" w:usb1="00000000" w:usb2="00000000" w:usb3="00000000" w:csb0="00000001" w:csb1="00000000"/>
  </w:font>
  <w:font w:name="Times.New.Roman.Kursiv092">
    <w:altName w:val="Times New Roman"/>
    <w:panose1 w:val="00000000000000000000"/>
    <w:charset w:val="00"/>
    <w:family w:val="auto"/>
    <w:notTrueType/>
    <w:pitch w:val="default"/>
    <w:sig w:usb0="00000003" w:usb1="00000000" w:usb2="00000000" w:usb3="00000000" w:csb0="00000001" w:csb1="00000000"/>
  </w:font>
  <w:font w:name="Sabon-BoldOsF">
    <w:altName w:val="Cambria"/>
    <w:panose1 w:val="00000000000000000000"/>
    <w:charset w:val="00"/>
    <w:family w:val="roman"/>
    <w:notTrueType/>
    <w:pitch w:val="default"/>
    <w:sig w:usb0="00000003" w:usb1="00000000" w:usb2="00000000" w:usb3="00000000" w:csb0="00000001" w:csb1="00000000"/>
  </w:font>
  <w:font w:name="Sabon-Roman">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A21" w:rsidRPr="00AD33E8" w:rsidRDefault="007B7A21">
    <w:pPr>
      <w:pStyle w:val="SidfotH"/>
      <w:framePr w:wrap="around"/>
    </w:pPr>
    <w:r w:rsidRPr="00AD33E8">
      <w:fldChar w:fldCharType="begin" w:fldLock="1"/>
    </w:r>
    <w:r w:rsidRPr="00AD33E8">
      <w:instrText xml:space="preserve"> PAGE </w:instrText>
    </w:r>
    <w:r w:rsidRPr="00AD33E8">
      <w:fldChar w:fldCharType="separate"/>
    </w:r>
    <w:r w:rsidRPr="00AD33E8">
      <w:t>23</w:t>
    </w:r>
    <w:r w:rsidRPr="00AD33E8">
      <w:fldChar w:fldCharType="end"/>
    </w:r>
  </w:p>
  <w:p w:rsidR="007B7A21" w:rsidRPr="00AD33E8" w:rsidRDefault="007B7A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9" w:name="sidEttNr"/>
  <w:p w:rsidR="007B7A21" w:rsidRPr="00AD33E8" w:rsidRDefault="007B7A21">
    <w:pPr>
      <w:pStyle w:val="SidfotH"/>
      <w:framePr w:wrap="around"/>
    </w:pPr>
    <w:r w:rsidRPr="00AD33E8">
      <w:fldChar w:fldCharType="begin" w:fldLock="1"/>
    </w:r>
    <w:r w:rsidRPr="00AD33E8">
      <w:instrText xml:space="preserve"> if </w:instrText>
    </w:r>
    <w:r w:rsidRPr="00AD33E8">
      <w:fldChar w:fldCharType="begin" w:fldLock="1"/>
    </w:r>
    <w:r w:rsidRPr="00AD33E8">
      <w:instrText xml:space="preserve"> page</w:instrText>
    </w:r>
    <w:r w:rsidRPr="00AD33E8">
      <w:fldChar w:fldCharType="separate"/>
    </w:r>
    <w:r w:rsidRPr="00AD33E8">
      <w:instrText>25</w:instrText>
    </w:r>
    <w:r w:rsidRPr="00AD33E8">
      <w:fldChar w:fldCharType="end"/>
    </w:r>
    <w:r w:rsidRPr="00AD33E8">
      <w:instrText xml:space="preserve"> &gt; 1 "</w:instrText>
    </w:r>
    <w:r w:rsidRPr="00AD33E8">
      <w:fldChar w:fldCharType="begin" w:fldLock="1"/>
    </w:r>
    <w:r w:rsidRPr="00AD33E8">
      <w:instrText xml:space="preserve"> PAGE </w:instrText>
    </w:r>
    <w:r w:rsidRPr="00AD33E8">
      <w:fldChar w:fldCharType="separate"/>
    </w:r>
    <w:r w:rsidRPr="00AD33E8">
      <w:instrText>25</w:instrText>
    </w:r>
    <w:r w:rsidRPr="00AD33E8">
      <w:fldChar w:fldCharType="end"/>
    </w:r>
    <w:r w:rsidRPr="00AD33E8">
      <w:instrText>"</w:instrText>
    </w:r>
    <w:r w:rsidRPr="00AD33E8">
      <w:fldChar w:fldCharType="separate"/>
    </w:r>
    <w:r w:rsidRPr="00AD33E8">
      <w:t>25</w:t>
    </w:r>
    <w:r w:rsidRPr="00AD33E8">
      <w:fldChar w:fldCharType="end"/>
    </w:r>
    <w:bookmarkEnd w:id="79"/>
  </w:p>
  <w:p w:rsidR="007B7A21" w:rsidRPr="00AD33E8" w:rsidRDefault="007B7A2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A21" w:rsidRPr="00AD33E8" w:rsidRDefault="007B7A21">
    <w:pPr>
      <w:pStyle w:val="SidfotH"/>
      <w:framePr w:wrap="around"/>
    </w:pPr>
    <w:r w:rsidRPr="00AD33E8">
      <w:fldChar w:fldCharType="begin" w:fldLock="1"/>
    </w:r>
    <w:r w:rsidRPr="00AD33E8">
      <w:instrText xml:space="preserve"> PAGE </w:instrText>
    </w:r>
    <w:r w:rsidRPr="00AD33E8">
      <w:fldChar w:fldCharType="separate"/>
    </w:r>
    <w:r w:rsidRPr="00AD33E8">
      <w:t>122</w:t>
    </w:r>
    <w:r w:rsidRPr="00AD33E8">
      <w:fldChar w:fldCharType="end"/>
    </w:r>
  </w:p>
  <w:p w:rsidR="007B7A21" w:rsidRPr="00AD33E8" w:rsidRDefault="007B7A2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A21" w:rsidRPr="00AD33E8" w:rsidRDefault="007B7A21">
    <w:pPr>
      <w:pStyle w:val="SidfotH"/>
      <w:framePr w:wrap="around"/>
    </w:pPr>
    <w:r w:rsidRPr="00AD33E8">
      <w:fldChar w:fldCharType="begin" w:fldLock="1"/>
    </w:r>
    <w:r w:rsidRPr="00AD33E8">
      <w:instrText xml:space="preserve"> PAGE </w:instrText>
    </w:r>
    <w:r w:rsidRPr="00AD33E8">
      <w:fldChar w:fldCharType="separate"/>
    </w:r>
    <w:r w:rsidRPr="00AD33E8">
      <w:t>125</w:t>
    </w:r>
    <w:r w:rsidRPr="00AD33E8">
      <w:fldChar w:fldCharType="end"/>
    </w:r>
  </w:p>
  <w:p w:rsidR="007B7A21" w:rsidRPr="00AD33E8" w:rsidRDefault="007B7A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A21" w:rsidRPr="00AD33E8" w:rsidRDefault="007B7A21">
      <w:pPr>
        <w:pStyle w:val="Sidfot"/>
      </w:pPr>
    </w:p>
  </w:footnote>
  <w:footnote w:type="continuationSeparator" w:id="0">
    <w:p w:rsidR="007B7A21" w:rsidRPr="00AD33E8" w:rsidRDefault="007B7A21">
      <w:pPr>
        <w:spacing w:before="0" w:line="240" w:lineRule="auto"/>
      </w:pPr>
      <w:r w:rsidRPr="00AD33E8">
        <w:continuationSeparator/>
      </w:r>
    </w:p>
  </w:footnote>
  <w:footnote w:id="1">
    <w:p w:rsidR="007B7A21" w:rsidRPr="00AD33E8" w:rsidRDefault="007B7A21">
      <w:pPr>
        <w:pStyle w:val="Fotnotstext"/>
      </w:pPr>
      <w:r w:rsidRPr="00AD33E8">
        <w:rPr>
          <w:rStyle w:val="Fotnotsreferens"/>
        </w:rPr>
        <w:footnoteRef/>
      </w:r>
      <w:r w:rsidRPr="00AD33E8">
        <w:t xml:space="preserve"> När det gäller förändringen i ansvarsförhållandet mellan statsmakterna och myndi</w:t>
      </w:r>
      <w:r w:rsidRPr="00AD33E8">
        <w:t>g</w:t>
      </w:r>
      <w:r w:rsidRPr="00AD33E8">
        <w:t>heterna beskrivs denna utveckling till och med som ett ”systemskifte” (SOU 2002:32, s. 201).</w:t>
      </w:r>
    </w:p>
  </w:footnote>
  <w:footnote w:id="2">
    <w:p w:rsidR="007B7A21" w:rsidRPr="00AD33E8" w:rsidRDefault="007B7A21">
      <w:pPr>
        <w:pStyle w:val="Fotnotstext"/>
      </w:pPr>
      <w:r w:rsidRPr="00AD33E8">
        <w:rPr>
          <w:rStyle w:val="Fotnotsreferens"/>
        </w:rPr>
        <w:footnoteRef/>
      </w:r>
      <w:r w:rsidRPr="00AD33E8">
        <w:t xml:space="preserve"> ”Den arbetsgivarpolitiska delegeringen i staten – en samlad analys” (kap. 8 och 10). Utredningens uppgift var att utvärdera den statliga arbetsgivarpolitiken, främst i form av Arbetsgivarverkets funktion. Utredningens analyser och slutsatser har dock rel</w:t>
      </w:r>
      <w:r w:rsidRPr="00AD33E8">
        <w:t>e</w:t>
      </w:r>
      <w:r w:rsidRPr="00AD33E8">
        <w:t>vans också för den statliga personalpolitiken.</w:t>
      </w:r>
    </w:p>
  </w:footnote>
  <w:footnote w:id="3">
    <w:p w:rsidR="007B7A21" w:rsidRPr="00AD33E8" w:rsidRDefault="007B7A21">
      <w:pPr>
        <w:pStyle w:val="Fotnotstext"/>
      </w:pPr>
      <w:r w:rsidRPr="00AD33E8">
        <w:rPr>
          <w:rStyle w:val="Fotnotsreferens"/>
        </w:rPr>
        <w:footnoteRef/>
      </w:r>
      <w:r w:rsidRPr="00AD33E8">
        <w:t xml:space="preserve"> SOU 2002:32, s. 219.</w:t>
      </w:r>
    </w:p>
  </w:footnote>
  <w:footnote w:id="4">
    <w:p w:rsidR="007B7A21" w:rsidRPr="00AD33E8" w:rsidRDefault="007B7A21">
      <w:pPr>
        <w:pStyle w:val="Fotnotstext"/>
      </w:pPr>
      <w:r w:rsidRPr="00AD33E8">
        <w:rPr>
          <w:rStyle w:val="Fotnotsreferens"/>
        </w:rPr>
        <w:footnoteRef/>
      </w:r>
      <w:r w:rsidRPr="00AD33E8">
        <w:t xml:space="preserve"> </w:t>
      </w:r>
      <w:r w:rsidRPr="00AD33E8">
        <w:rPr>
          <w:snapToGrid w:val="0"/>
        </w:rPr>
        <w:t>Se avsnitt 1 ovan.</w:t>
      </w:r>
    </w:p>
  </w:footnote>
  <w:footnote w:id="5">
    <w:p w:rsidR="007B7A21" w:rsidRPr="00AD33E8" w:rsidRDefault="007B7A21">
      <w:pPr>
        <w:pStyle w:val="Fotnotstext"/>
      </w:pPr>
      <w:r w:rsidRPr="00AD33E8">
        <w:rPr>
          <w:rStyle w:val="Fotnotsreferens"/>
        </w:rPr>
        <w:footnoteRef/>
      </w:r>
      <w:r w:rsidRPr="00AD33E8">
        <w:t xml:space="preserve"> Revisorerna uppmärksammade nyligen de små myndigheternas situation vad gäller stöd och information kring handhavandet av  statens avtalsförsäkringar (förslag 2001/02:RR21).</w:t>
      </w:r>
    </w:p>
  </w:footnote>
  <w:footnote w:id="6">
    <w:p w:rsidR="007B7A21" w:rsidRPr="00AD33E8" w:rsidRDefault="007B7A21">
      <w:pPr>
        <w:pStyle w:val="Fotnotstext"/>
      </w:pPr>
      <w:r w:rsidRPr="00AD33E8">
        <w:rPr>
          <w:rStyle w:val="Fotnotsreferens"/>
        </w:rPr>
        <w:footnoteRef/>
      </w:r>
      <w:r w:rsidRPr="00AD33E8">
        <w:t xml:space="preserve"> Med ”24-timmarsmyndigheten” menas det utvecklingsarbete som sker med syfte att all information och alla tjänster till medborgarna som kan tillhandahållas elektroniskt ska göra det. </w:t>
      </w:r>
    </w:p>
  </w:footnote>
  <w:footnote w:id="7">
    <w:p w:rsidR="007B7A21" w:rsidRPr="00AD33E8" w:rsidRDefault="007B7A21">
      <w:pPr>
        <w:pStyle w:val="Fotnotstext"/>
      </w:pPr>
      <w:r w:rsidRPr="00AD33E8">
        <w:rPr>
          <w:rStyle w:val="Fotnotsreferens"/>
        </w:rPr>
        <w:footnoteRef/>
      </w:r>
      <w:r w:rsidRPr="00AD33E8">
        <w:t xml:space="preserve"> I Statskontorets senaste lägesrapport från arbetet med 24-timmarsmyndigheten från juni 2002 finns inte ett ord om vad arbetet kan medföra för den statliga personalpolit</w:t>
      </w:r>
      <w:r w:rsidRPr="00AD33E8">
        <w:t>i</w:t>
      </w:r>
      <w:r w:rsidRPr="00AD33E8">
        <w:t>ken eller personalen vad avser t.ex. rekrytering, kompetensutveckling, chefsutvec</w:t>
      </w:r>
      <w:r w:rsidRPr="00AD33E8">
        <w:t>k</w:t>
      </w:r>
      <w:r w:rsidRPr="00AD33E8">
        <w:t>ling, arbetsorganisation m.m. Det enda som sägs i lägesrapporten som kan hänföras till detta område handlar om att det ”krävs nyskapande omorganisationer och pers</w:t>
      </w:r>
      <w:r w:rsidRPr="00AD33E8">
        <w:t>o</w:t>
      </w:r>
      <w:r w:rsidRPr="00AD33E8">
        <w:t>nalmins</w:t>
      </w:r>
      <w:r w:rsidRPr="00AD33E8">
        <w:t>k</w:t>
      </w:r>
      <w:r w:rsidRPr="00AD33E8">
        <w:t>ningar” (s. 15).</w:t>
      </w:r>
    </w:p>
  </w:footnote>
  <w:footnote w:id="8">
    <w:p w:rsidR="007B7A21" w:rsidRPr="00AD33E8" w:rsidRDefault="007B7A21">
      <w:pPr>
        <w:pStyle w:val="Fotnotstext"/>
      </w:pPr>
      <w:r w:rsidRPr="00AD33E8">
        <w:rPr>
          <w:rStyle w:val="Fotnotsreferens"/>
        </w:rPr>
        <w:footnoteRef/>
      </w:r>
      <w:r w:rsidRPr="00AD33E8">
        <w:t xml:space="preserve"> Av programmets 26 sidor behandlas personalpolitiska frågor på 3 sidor under rubr</w:t>
      </w:r>
      <w:r w:rsidRPr="00AD33E8">
        <w:t>i</w:t>
      </w:r>
      <w:r w:rsidRPr="00AD33E8">
        <w:t>ken Staten som föredömlig arbetsgivare.</w:t>
      </w:r>
    </w:p>
  </w:footnote>
  <w:footnote w:id="9">
    <w:p w:rsidR="007B7A21" w:rsidRPr="00AD33E8" w:rsidRDefault="007B7A21">
      <w:pPr>
        <w:pStyle w:val="Fotnotstext"/>
      </w:pPr>
      <w:r w:rsidRPr="00AD33E8">
        <w:rPr>
          <w:rStyle w:val="Fotnotsreferens"/>
        </w:rPr>
        <w:footnoteRef/>
      </w:r>
      <w:r w:rsidRPr="00AD33E8">
        <w:t>Arbetsgivarpolitikutredningen (SOU 2002:32, s. 284) drar på grundval av sina  inte</w:t>
      </w:r>
      <w:r w:rsidRPr="00AD33E8">
        <w:t>r</w:t>
      </w:r>
      <w:r w:rsidRPr="00AD33E8">
        <w:t>vjuer med  myndighetsföreträdare  slutsatsen att de arbetsgivarpolitiska frågorna i många fall tas upp i mål- och resultatdialogen men att de oftast får ett mycket begrä</w:t>
      </w:r>
      <w:r w:rsidRPr="00AD33E8">
        <w:t>n</w:t>
      </w:r>
      <w:r w:rsidRPr="00AD33E8">
        <w:t xml:space="preserve">sat utrymme. </w:t>
      </w:r>
    </w:p>
  </w:footnote>
  <w:footnote w:id="10">
    <w:p w:rsidR="007B7A21" w:rsidRPr="00AD33E8" w:rsidRDefault="007B7A21">
      <w:pPr>
        <w:pStyle w:val="Fotnotstext"/>
      </w:pPr>
      <w:r w:rsidRPr="00AD33E8">
        <w:rPr>
          <w:rStyle w:val="Fotnotsreferens"/>
        </w:rPr>
        <w:footnoteRef/>
      </w:r>
      <w:r w:rsidRPr="00AD33E8">
        <w:t xml:space="preserve"> SOU 2002:32, s. 286, 344.</w:t>
      </w:r>
    </w:p>
  </w:footnote>
  <w:footnote w:id="11">
    <w:p w:rsidR="007B7A21" w:rsidRPr="00AD33E8" w:rsidRDefault="007B7A21">
      <w:pPr>
        <w:pStyle w:val="Fotnotstext"/>
      </w:pPr>
      <w:r w:rsidRPr="00AD33E8">
        <w:rPr>
          <w:rStyle w:val="Fotnotsreferens"/>
        </w:rPr>
        <w:footnoteRef/>
      </w:r>
      <w:r w:rsidRPr="00AD33E8">
        <w:t xml:space="preserve"> Vikten av uppföljning och utvärdering, och av en stabsresurs till regeringen i dessa frågor, betonas också i den nyligen avlämnade interna utredningen (av Jan Carling) om ”Regeringskansliets kontroll och styrning av statlig verksamhet”, Finansdepart</w:t>
      </w:r>
      <w:r w:rsidRPr="00AD33E8">
        <w:t>e</w:t>
      </w:r>
      <w:r w:rsidRPr="00AD33E8">
        <w:t>mentet, 2002-09-17.</w:t>
      </w:r>
    </w:p>
  </w:footnote>
  <w:footnote w:id="12">
    <w:p w:rsidR="007B7A21" w:rsidRPr="00AD33E8" w:rsidRDefault="007B7A21">
      <w:pPr>
        <w:pStyle w:val="Fotnotstext"/>
      </w:pPr>
      <w:r w:rsidRPr="00AD33E8">
        <w:rPr>
          <w:rStyle w:val="Fotnotsreferens"/>
        </w:rPr>
        <w:footnoteRef/>
      </w:r>
      <w:r w:rsidRPr="00AD33E8">
        <w:t xml:space="preserve"> Se t.ex. Bulder, B m.fl., ”Networks and Evaluating Public-sector Reforms”, </w:t>
      </w:r>
      <w:r w:rsidRPr="00AD33E8">
        <w:rPr>
          <w:i/>
        </w:rPr>
        <w:t>Eval</w:t>
      </w:r>
      <w:r w:rsidRPr="00AD33E8">
        <w:rPr>
          <w:i/>
        </w:rPr>
        <w:t>u</w:t>
      </w:r>
      <w:r w:rsidRPr="00AD33E8">
        <w:rPr>
          <w:i/>
        </w:rPr>
        <w:t>ation</w:t>
      </w:r>
      <w:r w:rsidRPr="00AD33E8">
        <w:t xml:space="preserve"> (1996), vol 2(3), pp 261-276.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A21" w:rsidRPr="00AD33E8" w:rsidRDefault="007B7A21">
    <w:pPr>
      <w:pStyle w:val="SidhuvudKant"/>
      <w:framePr w:w="1758" w:h="2744" w:hRule="exact" w:wrap="around" w:vAnchor="page" w:hAnchor="page" w:x="7372" w:y="568" w:anchorLock="0"/>
    </w:pPr>
    <w:r w:rsidRPr="00AD33E8">
      <w:t>2002/03:RR2</w:t>
    </w:r>
  </w:p>
  <w:p w:rsidR="007B7A21" w:rsidRPr="00AD33E8" w:rsidRDefault="007B7A21">
    <w:pPr>
      <w:pStyle w:val="SidhuvudKantBilaga"/>
      <w:framePr w:w="1758" w:h="2744" w:hRule="exact" w:wrap="around" w:vAnchor="page" w:hAnchor="page" w:x="7372" w:y="568" w:anchorLock="0"/>
    </w:pPr>
  </w:p>
  <w:p w:rsidR="007B7A21" w:rsidRPr="00AD33E8" w:rsidRDefault="007B7A21">
    <w:pPr>
      <w:pStyle w:val="SidhuvudKant"/>
      <w:framePr w:w="1758" w:h="2744" w:hRule="exact" w:wrap="around" w:vAnchor="page" w:hAnchor="page" w:x="7372" w:y="568" w:anchorLock="0"/>
    </w:pPr>
  </w:p>
  <w:p w:rsidR="007B7A21" w:rsidRPr="00AD33E8" w:rsidRDefault="007B7A21">
    <w:pPr>
      <w:pStyle w:val="SidhuvudKant"/>
      <w:framePr w:w="1758" w:h="2744" w:hRule="exact" w:wrap="around" w:vAnchor="page" w:hAnchor="page" w:x="7372" w:y="568" w:anchorLock="0"/>
    </w:pPr>
  </w:p>
  <w:p w:rsidR="007B7A21" w:rsidRPr="00AD33E8" w:rsidRDefault="007B7A2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A21" w:rsidRPr="00AD33E8" w:rsidRDefault="007B7A21">
    <w:pPr>
      <w:pStyle w:val="SidhuvudKant"/>
      <w:framePr w:w="1758" w:h="2744" w:hRule="exact" w:wrap="around" w:vAnchor="page" w:hAnchor="page" w:x="7372" w:y="568" w:anchorLock="0"/>
    </w:pPr>
    <w:r w:rsidRPr="00AD33E8">
      <w:t>2002/03:RR2</w:t>
    </w:r>
  </w:p>
  <w:p w:rsidR="007B7A21" w:rsidRPr="00AD33E8" w:rsidRDefault="007B7A21">
    <w:pPr>
      <w:pStyle w:val="SidhuvudKant"/>
      <w:framePr w:w="1758" w:h="2744" w:hRule="exact" w:wrap="around" w:vAnchor="page" w:hAnchor="page" w:x="7372" w:y="568" w:anchorLock="0"/>
    </w:pPr>
    <w:r w:rsidRPr="00AD33E8">
      <w:t xml:space="preserve">Bilaga </w:t>
    </w:r>
  </w:p>
  <w:p w:rsidR="007B7A21" w:rsidRPr="00AD33E8" w:rsidRDefault="007B7A2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A21" w:rsidRPr="00AD33E8" w:rsidRDefault="007B7A21">
    <w:pPr>
      <w:pStyle w:val="SidhuvudKant"/>
      <w:framePr w:w="1757" w:h="2744" w:hRule="exact" w:wrap="around" w:vAnchor="page" w:hAnchor="page" w:x="7371" w:y="567" w:anchorLock="0"/>
    </w:pPr>
    <w:r w:rsidRPr="00AD33E8">
      <w:t>2002/03:RR2</w:t>
    </w:r>
  </w:p>
  <w:p w:rsidR="007B7A21" w:rsidRPr="00AD33E8" w:rsidRDefault="007B7A21">
    <w:pPr>
      <w:pStyle w:val="SidhuvudKant"/>
      <w:framePr w:w="1757" w:h="2744" w:hRule="exact" w:wrap="around" w:vAnchor="page" w:hAnchor="page" w:x="7371" w:y="567" w:anchorLock="0"/>
    </w:pPr>
    <w:r w:rsidRPr="00AD33E8">
      <w:t>Bilaga</w:t>
    </w:r>
  </w:p>
  <w:p w:rsidR="007B7A21" w:rsidRPr="00AD33E8" w:rsidRDefault="007B7A21">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A21" w:rsidRPr="00AD33E8" w:rsidRDefault="007B7A21">
    <w:pPr>
      <w:pStyle w:val="SidhuvudKant"/>
      <w:framePr w:w="1758" w:h="2744" w:hRule="exact" w:wrap="around" w:vAnchor="page" w:hAnchor="page" w:x="7372" w:y="568" w:anchorLock="0"/>
    </w:pPr>
    <w:r w:rsidRPr="00AD33E8">
      <w:t>2002/03:RR2</w:t>
    </w:r>
  </w:p>
  <w:p w:rsidR="007B7A21" w:rsidRPr="00AD33E8" w:rsidRDefault="007B7A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20" w:legacyIndent="737"/>
      <w:lvlJc w:val="left"/>
      <w:pPr>
        <w:ind w:left="737" w:hanging="737"/>
      </w:pPr>
    </w:lvl>
    <w:lvl w:ilvl="1">
      <w:start w:val="1"/>
      <w:numFmt w:val="decimal"/>
      <w:lvlText w:val="%1.%2"/>
      <w:legacy w:legacy="1" w:legacySpace="120" w:legacyIndent="227"/>
      <w:lvlJc w:val="left"/>
      <w:pPr>
        <w:ind w:left="227" w:hanging="227"/>
      </w:pPr>
    </w:lvl>
    <w:lvl w:ilvl="2">
      <w:start w:val="1"/>
      <w:numFmt w:val="decimal"/>
      <w:lvlText w:val="%1.%2.%3"/>
      <w:legacy w:legacy="1" w:legacySpace="120" w:legacyIndent="851"/>
      <w:lvlJc w:val="left"/>
      <w:pPr>
        <w:ind w:left="851" w:hanging="851"/>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0BE27C7"/>
    <w:multiLevelType w:val="singleLevel"/>
    <w:tmpl w:val="75F6C502"/>
    <w:lvl w:ilvl="0">
      <w:start w:val="1"/>
      <w:numFmt w:val="bullet"/>
      <w:lvlText w:val=""/>
      <w:lvlJc w:val="left"/>
      <w:pPr>
        <w:tabs>
          <w:tab w:val="num" w:pos="360"/>
        </w:tabs>
        <w:ind w:left="0" w:firstLine="0"/>
      </w:pPr>
      <w:rPr>
        <w:rFonts w:ascii="Symbol" w:hAnsi="Symbol" w:hint="default"/>
      </w:rPr>
    </w:lvl>
  </w:abstractNum>
  <w:abstractNum w:abstractNumId="2" w15:restartNumberingAfterBreak="0">
    <w:nsid w:val="01F958A6"/>
    <w:multiLevelType w:val="singleLevel"/>
    <w:tmpl w:val="75F6C502"/>
    <w:lvl w:ilvl="0">
      <w:start w:val="1"/>
      <w:numFmt w:val="bullet"/>
      <w:lvlText w:val=""/>
      <w:lvlJc w:val="left"/>
      <w:pPr>
        <w:tabs>
          <w:tab w:val="num" w:pos="360"/>
        </w:tabs>
        <w:ind w:left="0" w:firstLine="0"/>
      </w:pPr>
      <w:rPr>
        <w:rFonts w:ascii="Symbol" w:hAnsi="Symbol" w:hint="default"/>
      </w:rPr>
    </w:lvl>
  </w:abstractNum>
  <w:abstractNum w:abstractNumId="3" w15:restartNumberingAfterBreak="0">
    <w:nsid w:val="029F3A80"/>
    <w:multiLevelType w:val="singleLevel"/>
    <w:tmpl w:val="197CE7DC"/>
    <w:lvl w:ilvl="0">
      <w:numFmt w:val="bullet"/>
      <w:lvlText w:val="-"/>
      <w:lvlJc w:val="left"/>
      <w:pPr>
        <w:tabs>
          <w:tab w:val="num" w:pos="360"/>
        </w:tabs>
        <w:ind w:left="360" w:hanging="360"/>
      </w:pPr>
      <w:rPr>
        <w:rFonts w:hint="default"/>
        <w:i w:val="0"/>
      </w:rPr>
    </w:lvl>
  </w:abstractNum>
  <w:abstractNum w:abstractNumId="4" w15:restartNumberingAfterBreak="0">
    <w:nsid w:val="034B7CCB"/>
    <w:multiLevelType w:val="multilevel"/>
    <w:tmpl w:val="27B47804"/>
    <w:lvl w:ilvl="0">
      <w:start w:val="1"/>
      <w:numFmt w:val="decimal"/>
      <w:lvlText w:val="%1"/>
      <w:lvlJc w:val="left"/>
      <w:pPr>
        <w:tabs>
          <w:tab w:val="num" w:pos="737"/>
        </w:tabs>
        <w:ind w:left="737" w:hanging="737"/>
      </w:pPr>
    </w:lvl>
    <w:lvl w:ilvl="1">
      <w:start w:val="1"/>
      <w:numFmt w:val="decimal"/>
      <w:lvlText w:val="%1.%2"/>
      <w:lvlJc w:val="left"/>
      <w:pPr>
        <w:tabs>
          <w:tab w:val="num" w:pos="720"/>
        </w:tabs>
        <w:ind w:left="227" w:hanging="227"/>
      </w:pPr>
    </w:lvl>
    <w:lvl w:ilvl="2">
      <w:start w:val="1"/>
      <w:numFmt w:val="decimal"/>
      <w:lvlText w:val="%1.%2.%3"/>
      <w:lvlJc w:val="left"/>
      <w:pPr>
        <w:tabs>
          <w:tab w:val="num" w:pos="851"/>
        </w:tabs>
        <w:ind w:left="851"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6173F8B"/>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07267B1B"/>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7" w15:restartNumberingAfterBreak="0">
    <w:nsid w:val="07562194"/>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8" w15:restartNumberingAfterBreak="0">
    <w:nsid w:val="07EF1E2D"/>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097B59F6"/>
    <w:multiLevelType w:val="singleLevel"/>
    <w:tmpl w:val="041D000F"/>
    <w:lvl w:ilvl="0">
      <w:start w:val="1"/>
      <w:numFmt w:val="decimal"/>
      <w:lvlText w:val="%1."/>
      <w:lvlJc w:val="left"/>
      <w:pPr>
        <w:tabs>
          <w:tab w:val="num" w:pos="360"/>
        </w:tabs>
        <w:ind w:left="360" w:hanging="360"/>
      </w:pPr>
      <w:rPr>
        <w:rFonts w:hint="default"/>
      </w:rPr>
    </w:lvl>
  </w:abstractNum>
  <w:abstractNum w:abstractNumId="10" w15:restartNumberingAfterBreak="0">
    <w:nsid w:val="09EA7AA4"/>
    <w:multiLevelType w:val="singleLevel"/>
    <w:tmpl w:val="197CE7DC"/>
    <w:lvl w:ilvl="0">
      <w:numFmt w:val="bullet"/>
      <w:lvlText w:val="-"/>
      <w:lvlJc w:val="left"/>
      <w:pPr>
        <w:tabs>
          <w:tab w:val="num" w:pos="360"/>
        </w:tabs>
        <w:ind w:left="360" w:hanging="360"/>
      </w:pPr>
      <w:rPr>
        <w:rFonts w:hint="default"/>
        <w:i w:val="0"/>
      </w:rPr>
    </w:lvl>
  </w:abstractNum>
  <w:abstractNum w:abstractNumId="11" w15:restartNumberingAfterBreak="0">
    <w:nsid w:val="0AE403BA"/>
    <w:multiLevelType w:val="singleLevel"/>
    <w:tmpl w:val="75F6C502"/>
    <w:lvl w:ilvl="0">
      <w:start w:val="1"/>
      <w:numFmt w:val="bullet"/>
      <w:lvlText w:val=""/>
      <w:lvlJc w:val="left"/>
      <w:pPr>
        <w:tabs>
          <w:tab w:val="num" w:pos="360"/>
        </w:tabs>
        <w:ind w:left="0" w:firstLine="0"/>
      </w:pPr>
      <w:rPr>
        <w:rFonts w:ascii="Symbol" w:hAnsi="Symbol" w:hint="default"/>
      </w:rPr>
    </w:lvl>
  </w:abstractNum>
  <w:abstractNum w:abstractNumId="12" w15:restartNumberingAfterBreak="0">
    <w:nsid w:val="0B9457EA"/>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0C5956BD"/>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14" w15:restartNumberingAfterBreak="0">
    <w:nsid w:val="0FA71BC7"/>
    <w:multiLevelType w:val="singleLevel"/>
    <w:tmpl w:val="B3868B02"/>
    <w:lvl w:ilvl="0">
      <w:start w:val="1"/>
      <w:numFmt w:val="bullet"/>
      <w:lvlText w:val=""/>
      <w:lvlJc w:val="left"/>
      <w:pPr>
        <w:tabs>
          <w:tab w:val="num" w:pos="360"/>
        </w:tabs>
        <w:ind w:left="0" w:firstLine="0"/>
      </w:pPr>
      <w:rPr>
        <w:rFonts w:ascii="Symbol" w:hAnsi="Symbol" w:hint="default"/>
      </w:rPr>
    </w:lvl>
  </w:abstractNum>
  <w:abstractNum w:abstractNumId="15" w15:restartNumberingAfterBreak="0">
    <w:nsid w:val="15A7596C"/>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16"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17" w15:restartNumberingAfterBreak="0">
    <w:nsid w:val="1A4634A8"/>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18" w15:restartNumberingAfterBreak="0">
    <w:nsid w:val="1AC76ED8"/>
    <w:multiLevelType w:val="singleLevel"/>
    <w:tmpl w:val="AE3E32C8"/>
    <w:lvl w:ilvl="0">
      <w:start w:val="1"/>
      <w:numFmt w:val="bullet"/>
      <w:lvlText w:val=""/>
      <w:lvlJc w:val="left"/>
      <w:pPr>
        <w:tabs>
          <w:tab w:val="num" w:pos="360"/>
        </w:tabs>
        <w:ind w:left="0" w:firstLine="0"/>
      </w:pPr>
      <w:rPr>
        <w:rFonts w:ascii="Symbol" w:hAnsi="Symbol" w:hint="default"/>
      </w:rPr>
    </w:lvl>
  </w:abstractNum>
  <w:abstractNum w:abstractNumId="19" w15:restartNumberingAfterBreak="0">
    <w:nsid w:val="1BEA0C86"/>
    <w:multiLevelType w:val="singleLevel"/>
    <w:tmpl w:val="197CE7DC"/>
    <w:lvl w:ilvl="0">
      <w:numFmt w:val="bullet"/>
      <w:lvlText w:val="-"/>
      <w:lvlJc w:val="left"/>
      <w:pPr>
        <w:tabs>
          <w:tab w:val="num" w:pos="360"/>
        </w:tabs>
        <w:ind w:left="360" w:hanging="360"/>
      </w:pPr>
      <w:rPr>
        <w:rFonts w:hint="default"/>
        <w:i w:val="0"/>
      </w:rPr>
    </w:lvl>
  </w:abstractNum>
  <w:abstractNum w:abstractNumId="20" w15:restartNumberingAfterBreak="0">
    <w:nsid w:val="1C366AD9"/>
    <w:multiLevelType w:val="multilevel"/>
    <w:tmpl w:val="8CEA917E"/>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1CE52AE3"/>
    <w:multiLevelType w:val="singleLevel"/>
    <w:tmpl w:val="75F6C502"/>
    <w:lvl w:ilvl="0">
      <w:start w:val="1"/>
      <w:numFmt w:val="bullet"/>
      <w:lvlText w:val=""/>
      <w:lvlJc w:val="left"/>
      <w:pPr>
        <w:tabs>
          <w:tab w:val="num" w:pos="360"/>
        </w:tabs>
        <w:ind w:left="0" w:firstLine="0"/>
      </w:pPr>
      <w:rPr>
        <w:rFonts w:ascii="Symbol" w:hAnsi="Symbol" w:hint="default"/>
      </w:rPr>
    </w:lvl>
  </w:abstractNum>
  <w:abstractNum w:abstractNumId="22" w15:restartNumberingAfterBreak="0">
    <w:nsid w:val="1D87757F"/>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23" w15:restartNumberingAfterBreak="0">
    <w:nsid w:val="1D8D654D"/>
    <w:multiLevelType w:val="multilevel"/>
    <w:tmpl w:val="A9581C74"/>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25" w15:restartNumberingAfterBreak="0">
    <w:nsid w:val="231F1E11"/>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26" w15:restartNumberingAfterBreak="0">
    <w:nsid w:val="232C10C8"/>
    <w:multiLevelType w:val="singleLevel"/>
    <w:tmpl w:val="041D000F"/>
    <w:lvl w:ilvl="0">
      <w:start w:val="1"/>
      <w:numFmt w:val="decimal"/>
      <w:lvlText w:val="%1."/>
      <w:lvlJc w:val="left"/>
      <w:pPr>
        <w:tabs>
          <w:tab w:val="num" w:pos="360"/>
        </w:tabs>
        <w:ind w:left="360" w:hanging="360"/>
      </w:pPr>
    </w:lvl>
  </w:abstractNum>
  <w:abstractNum w:abstractNumId="27" w15:restartNumberingAfterBreak="0">
    <w:nsid w:val="23400044"/>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28" w15:restartNumberingAfterBreak="0">
    <w:nsid w:val="24CB3A11"/>
    <w:multiLevelType w:val="singleLevel"/>
    <w:tmpl w:val="041D000F"/>
    <w:lvl w:ilvl="0">
      <w:start w:val="1"/>
      <w:numFmt w:val="decimal"/>
      <w:lvlText w:val="%1."/>
      <w:lvlJc w:val="left"/>
      <w:pPr>
        <w:tabs>
          <w:tab w:val="num" w:pos="360"/>
        </w:tabs>
        <w:ind w:left="360" w:hanging="360"/>
      </w:pPr>
    </w:lvl>
  </w:abstractNum>
  <w:abstractNum w:abstractNumId="29" w15:restartNumberingAfterBreak="0">
    <w:nsid w:val="264E3D67"/>
    <w:multiLevelType w:val="multilevel"/>
    <w:tmpl w:val="B0121004"/>
    <w:lvl w:ilvl="0">
      <w:start w:val="1"/>
      <w:numFmt w:val="bullet"/>
      <w:lvlText w:val=""/>
      <w:lvlJc w:val="left"/>
      <w:pPr>
        <w:tabs>
          <w:tab w:val="num" w:pos="72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6AD66F8"/>
    <w:multiLevelType w:val="singleLevel"/>
    <w:tmpl w:val="75F6C502"/>
    <w:lvl w:ilvl="0">
      <w:start w:val="1"/>
      <w:numFmt w:val="bullet"/>
      <w:lvlText w:val=""/>
      <w:lvlJc w:val="left"/>
      <w:pPr>
        <w:tabs>
          <w:tab w:val="num" w:pos="360"/>
        </w:tabs>
        <w:ind w:left="0" w:firstLine="0"/>
      </w:pPr>
      <w:rPr>
        <w:rFonts w:ascii="Symbol" w:hAnsi="Symbol" w:hint="default"/>
      </w:rPr>
    </w:lvl>
  </w:abstractNum>
  <w:abstractNum w:abstractNumId="31" w15:restartNumberingAfterBreak="0">
    <w:nsid w:val="27DF58A5"/>
    <w:multiLevelType w:val="singleLevel"/>
    <w:tmpl w:val="041D000F"/>
    <w:lvl w:ilvl="0">
      <w:start w:val="1"/>
      <w:numFmt w:val="decimal"/>
      <w:lvlText w:val="%1."/>
      <w:lvlJc w:val="left"/>
      <w:pPr>
        <w:tabs>
          <w:tab w:val="num" w:pos="360"/>
        </w:tabs>
        <w:ind w:left="360" w:hanging="360"/>
      </w:pPr>
    </w:lvl>
  </w:abstractNum>
  <w:abstractNum w:abstractNumId="32" w15:restartNumberingAfterBreak="0">
    <w:nsid w:val="28475582"/>
    <w:multiLevelType w:val="singleLevel"/>
    <w:tmpl w:val="75F6C502"/>
    <w:lvl w:ilvl="0">
      <w:start w:val="1"/>
      <w:numFmt w:val="bullet"/>
      <w:lvlText w:val=""/>
      <w:lvlJc w:val="left"/>
      <w:pPr>
        <w:tabs>
          <w:tab w:val="num" w:pos="360"/>
        </w:tabs>
        <w:ind w:left="0" w:firstLine="0"/>
      </w:pPr>
      <w:rPr>
        <w:rFonts w:ascii="Symbol" w:hAnsi="Symbol" w:hint="default"/>
      </w:rPr>
    </w:lvl>
  </w:abstractNum>
  <w:abstractNum w:abstractNumId="33" w15:restartNumberingAfterBreak="0">
    <w:nsid w:val="29CA752F"/>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34" w15:restartNumberingAfterBreak="0">
    <w:nsid w:val="2AFB1CEF"/>
    <w:multiLevelType w:val="singleLevel"/>
    <w:tmpl w:val="31FABAF4"/>
    <w:lvl w:ilvl="0">
      <w:numFmt w:val="bullet"/>
      <w:lvlText w:val="-"/>
      <w:lvlJc w:val="left"/>
      <w:pPr>
        <w:tabs>
          <w:tab w:val="num" w:pos="360"/>
        </w:tabs>
        <w:ind w:left="360" w:hanging="360"/>
      </w:pPr>
      <w:rPr>
        <w:rFonts w:hint="default"/>
      </w:rPr>
    </w:lvl>
  </w:abstractNum>
  <w:abstractNum w:abstractNumId="35" w15:restartNumberingAfterBreak="0">
    <w:nsid w:val="2B7F53C9"/>
    <w:multiLevelType w:val="singleLevel"/>
    <w:tmpl w:val="041D000F"/>
    <w:lvl w:ilvl="0">
      <w:start w:val="1"/>
      <w:numFmt w:val="decimal"/>
      <w:lvlText w:val="%1."/>
      <w:lvlJc w:val="left"/>
      <w:pPr>
        <w:tabs>
          <w:tab w:val="num" w:pos="360"/>
        </w:tabs>
        <w:ind w:left="360" w:hanging="360"/>
      </w:pPr>
      <w:rPr>
        <w:rFonts w:hint="default"/>
      </w:rPr>
    </w:lvl>
  </w:abstractNum>
  <w:abstractNum w:abstractNumId="36" w15:restartNumberingAfterBreak="0">
    <w:nsid w:val="2D94368D"/>
    <w:multiLevelType w:val="singleLevel"/>
    <w:tmpl w:val="C2BAD19E"/>
    <w:lvl w:ilvl="0">
      <w:start w:val="1"/>
      <w:numFmt w:val="bullet"/>
      <w:lvlText w:val=""/>
      <w:lvlJc w:val="left"/>
      <w:pPr>
        <w:tabs>
          <w:tab w:val="num" w:pos="360"/>
        </w:tabs>
        <w:ind w:left="0" w:firstLine="0"/>
      </w:pPr>
      <w:rPr>
        <w:rFonts w:ascii="Symbol" w:hAnsi="Symbol" w:hint="default"/>
      </w:rPr>
    </w:lvl>
  </w:abstractNum>
  <w:abstractNum w:abstractNumId="37" w15:restartNumberingAfterBreak="0">
    <w:nsid w:val="2DAF5D17"/>
    <w:multiLevelType w:val="singleLevel"/>
    <w:tmpl w:val="D792860A"/>
    <w:lvl w:ilvl="0">
      <w:start w:val="1"/>
      <w:numFmt w:val="bullet"/>
      <w:lvlText w:val=""/>
      <w:lvlJc w:val="left"/>
      <w:pPr>
        <w:tabs>
          <w:tab w:val="num" w:pos="360"/>
        </w:tabs>
        <w:ind w:left="0" w:firstLine="0"/>
      </w:pPr>
      <w:rPr>
        <w:rFonts w:ascii="Symbol" w:hAnsi="Symbol" w:hint="default"/>
      </w:rPr>
    </w:lvl>
  </w:abstractNum>
  <w:abstractNum w:abstractNumId="38" w15:restartNumberingAfterBreak="0">
    <w:nsid w:val="308C21EB"/>
    <w:multiLevelType w:val="singleLevel"/>
    <w:tmpl w:val="041D000F"/>
    <w:lvl w:ilvl="0">
      <w:start w:val="1"/>
      <w:numFmt w:val="decimal"/>
      <w:lvlText w:val="%1."/>
      <w:lvlJc w:val="left"/>
      <w:pPr>
        <w:tabs>
          <w:tab w:val="num" w:pos="360"/>
        </w:tabs>
        <w:ind w:left="360" w:hanging="360"/>
      </w:pPr>
    </w:lvl>
  </w:abstractNum>
  <w:abstractNum w:abstractNumId="39" w15:restartNumberingAfterBreak="0">
    <w:nsid w:val="30E0338D"/>
    <w:multiLevelType w:val="singleLevel"/>
    <w:tmpl w:val="041D000F"/>
    <w:lvl w:ilvl="0">
      <w:start w:val="1"/>
      <w:numFmt w:val="decimal"/>
      <w:lvlText w:val="%1."/>
      <w:lvlJc w:val="left"/>
      <w:pPr>
        <w:tabs>
          <w:tab w:val="num" w:pos="360"/>
        </w:tabs>
        <w:ind w:left="360" w:hanging="360"/>
      </w:pPr>
    </w:lvl>
  </w:abstractNum>
  <w:abstractNum w:abstractNumId="40" w15:restartNumberingAfterBreak="0">
    <w:nsid w:val="3159638A"/>
    <w:multiLevelType w:val="multilevel"/>
    <w:tmpl w:val="F78AF5A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31F00121"/>
    <w:multiLevelType w:val="multilevel"/>
    <w:tmpl w:val="1CBA4ABE"/>
    <w:lvl w:ilvl="0">
      <w:start w:val="20"/>
      <w:numFmt w:val="bullet"/>
      <w:lvlText w:val="-"/>
      <w:lvlJc w:val="left"/>
      <w:pPr>
        <w:tabs>
          <w:tab w:val="num" w:pos="454"/>
        </w:tabs>
        <w:ind w:left="170" w:firstLine="0"/>
      </w:pPr>
      <w:rPr>
        <w:rFonts w:ascii="Times New Roman" w:eastAsia="Times New Roman" w:hAnsi="Times New Roman" w:cs="Times New Roman" w:hint="default"/>
      </w:rPr>
    </w:lvl>
    <w:lvl w:ilvl="1" w:tentative="1">
      <w:start w:val="1"/>
      <w:numFmt w:val="bullet"/>
      <w:lvlText w:val="o"/>
      <w:lvlJc w:val="left"/>
      <w:pPr>
        <w:tabs>
          <w:tab w:val="num" w:pos="1610"/>
        </w:tabs>
        <w:ind w:left="1610" w:hanging="360"/>
      </w:pPr>
      <w:rPr>
        <w:rFonts w:ascii="Courier New" w:hAnsi="Courier New" w:cs="OrigGarmndBT" w:hint="default"/>
      </w:rPr>
    </w:lvl>
    <w:lvl w:ilvl="2" w:tentative="1">
      <w:start w:val="1"/>
      <w:numFmt w:val="bullet"/>
      <w:lvlText w:val=""/>
      <w:lvlJc w:val="left"/>
      <w:pPr>
        <w:tabs>
          <w:tab w:val="num" w:pos="2330"/>
        </w:tabs>
        <w:ind w:left="2330" w:hanging="360"/>
      </w:pPr>
      <w:rPr>
        <w:rFonts w:ascii="Wingdings" w:hAnsi="Wingdings" w:hint="default"/>
      </w:rPr>
    </w:lvl>
    <w:lvl w:ilvl="3" w:tentative="1">
      <w:start w:val="1"/>
      <w:numFmt w:val="bullet"/>
      <w:lvlText w:val=""/>
      <w:lvlJc w:val="left"/>
      <w:pPr>
        <w:tabs>
          <w:tab w:val="num" w:pos="3050"/>
        </w:tabs>
        <w:ind w:left="3050" w:hanging="360"/>
      </w:pPr>
      <w:rPr>
        <w:rFonts w:ascii="Symbol" w:hAnsi="Symbol" w:hint="default"/>
      </w:rPr>
    </w:lvl>
    <w:lvl w:ilvl="4" w:tentative="1">
      <w:start w:val="1"/>
      <w:numFmt w:val="bullet"/>
      <w:lvlText w:val="o"/>
      <w:lvlJc w:val="left"/>
      <w:pPr>
        <w:tabs>
          <w:tab w:val="num" w:pos="3770"/>
        </w:tabs>
        <w:ind w:left="3770" w:hanging="360"/>
      </w:pPr>
      <w:rPr>
        <w:rFonts w:ascii="Courier New" w:hAnsi="Courier New" w:cs="OrigGarmndBT" w:hint="default"/>
      </w:rPr>
    </w:lvl>
    <w:lvl w:ilvl="5" w:tentative="1">
      <w:start w:val="1"/>
      <w:numFmt w:val="bullet"/>
      <w:lvlText w:val=""/>
      <w:lvlJc w:val="left"/>
      <w:pPr>
        <w:tabs>
          <w:tab w:val="num" w:pos="4490"/>
        </w:tabs>
        <w:ind w:left="4490" w:hanging="360"/>
      </w:pPr>
      <w:rPr>
        <w:rFonts w:ascii="Wingdings" w:hAnsi="Wingdings" w:hint="default"/>
      </w:rPr>
    </w:lvl>
    <w:lvl w:ilvl="6" w:tentative="1">
      <w:start w:val="1"/>
      <w:numFmt w:val="bullet"/>
      <w:lvlText w:val=""/>
      <w:lvlJc w:val="left"/>
      <w:pPr>
        <w:tabs>
          <w:tab w:val="num" w:pos="5210"/>
        </w:tabs>
        <w:ind w:left="5210" w:hanging="360"/>
      </w:pPr>
      <w:rPr>
        <w:rFonts w:ascii="Symbol" w:hAnsi="Symbol" w:hint="default"/>
      </w:rPr>
    </w:lvl>
    <w:lvl w:ilvl="7" w:tentative="1">
      <w:start w:val="1"/>
      <w:numFmt w:val="bullet"/>
      <w:lvlText w:val="o"/>
      <w:lvlJc w:val="left"/>
      <w:pPr>
        <w:tabs>
          <w:tab w:val="num" w:pos="5930"/>
        </w:tabs>
        <w:ind w:left="5930" w:hanging="360"/>
      </w:pPr>
      <w:rPr>
        <w:rFonts w:ascii="Courier New" w:hAnsi="Courier New" w:cs="OrigGarmndBT" w:hint="default"/>
      </w:rPr>
    </w:lvl>
    <w:lvl w:ilvl="8" w:tentative="1">
      <w:start w:val="1"/>
      <w:numFmt w:val="bullet"/>
      <w:lvlText w:val=""/>
      <w:lvlJc w:val="left"/>
      <w:pPr>
        <w:tabs>
          <w:tab w:val="num" w:pos="6650"/>
        </w:tabs>
        <w:ind w:left="6650" w:hanging="360"/>
      </w:pPr>
      <w:rPr>
        <w:rFonts w:ascii="Wingdings" w:hAnsi="Wingdings" w:hint="default"/>
      </w:rPr>
    </w:lvl>
  </w:abstractNum>
  <w:abstractNum w:abstractNumId="42" w15:restartNumberingAfterBreak="0">
    <w:nsid w:val="35FC47ED"/>
    <w:multiLevelType w:val="singleLevel"/>
    <w:tmpl w:val="041D000F"/>
    <w:lvl w:ilvl="0">
      <w:start w:val="1"/>
      <w:numFmt w:val="decimal"/>
      <w:lvlText w:val="%1."/>
      <w:lvlJc w:val="left"/>
      <w:pPr>
        <w:tabs>
          <w:tab w:val="num" w:pos="360"/>
        </w:tabs>
        <w:ind w:left="360" w:hanging="360"/>
      </w:pPr>
    </w:lvl>
  </w:abstractNum>
  <w:abstractNum w:abstractNumId="43" w15:restartNumberingAfterBreak="0">
    <w:nsid w:val="395B1622"/>
    <w:multiLevelType w:val="singleLevel"/>
    <w:tmpl w:val="041D000F"/>
    <w:lvl w:ilvl="0">
      <w:start w:val="1"/>
      <w:numFmt w:val="decimal"/>
      <w:lvlText w:val="%1."/>
      <w:lvlJc w:val="left"/>
      <w:pPr>
        <w:tabs>
          <w:tab w:val="num" w:pos="360"/>
        </w:tabs>
        <w:ind w:left="360" w:hanging="360"/>
      </w:pPr>
      <w:rPr>
        <w:rFonts w:hint="default"/>
      </w:rPr>
    </w:lvl>
  </w:abstractNum>
  <w:abstractNum w:abstractNumId="44" w15:restartNumberingAfterBreak="0">
    <w:nsid w:val="39A947ED"/>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45" w15:restartNumberingAfterBreak="0">
    <w:nsid w:val="3A4818F0"/>
    <w:multiLevelType w:val="singleLevel"/>
    <w:tmpl w:val="257201EA"/>
    <w:lvl w:ilvl="0">
      <w:start w:val="1"/>
      <w:numFmt w:val="bullet"/>
      <w:lvlText w:val=""/>
      <w:lvlJc w:val="left"/>
      <w:pPr>
        <w:tabs>
          <w:tab w:val="num" w:pos="360"/>
        </w:tabs>
        <w:ind w:left="0" w:firstLine="0"/>
      </w:pPr>
      <w:rPr>
        <w:rFonts w:ascii="Symbol" w:hAnsi="Symbol" w:hint="default"/>
      </w:rPr>
    </w:lvl>
  </w:abstractNum>
  <w:abstractNum w:abstractNumId="46" w15:restartNumberingAfterBreak="0">
    <w:nsid w:val="3CBB21C9"/>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47" w15:restartNumberingAfterBreak="0">
    <w:nsid w:val="40386C81"/>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48" w15:restartNumberingAfterBreak="0">
    <w:nsid w:val="41F46257"/>
    <w:multiLevelType w:val="singleLevel"/>
    <w:tmpl w:val="75F6C502"/>
    <w:lvl w:ilvl="0">
      <w:start w:val="1"/>
      <w:numFmt w:val="bullet"/>
      <w:lvlText w:val=""/>
      <w:lvlJc w:val="left"/>
      <w:pPr>
        <w:tabs>
          <w:tab w:val="num" w:pos="360"/>
        </w:tabs>
        <w:ind w:left="0" w:firstLine="0"/>
      </w:pPr>
      <w:rPr>
        <w:rFonts w:ascii="Symbol" w:hAnsi="Symbol" w:hint="default"/>
      </w:rPr>
    </w:lvl>
  </w:abstractNum>
  <w:abstractNum w:abstractNumId="49" w15:restartNumberingAfterBreak="0">
    <w:nsid w:val="46310822"/>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50" w15:restartNumberingAfterBreak="0">
    <w:nsid w:val="48437BDF"/>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51" w15:restartNumberingAfterBreak="0">
    <w:nsid w:val="491621C4"/>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52" w15:restartNumberingAfterBreak="0">
    <w:nsid w:val="4975517D"/>
    <w:multiLevelType w:val="singleLevel"/>
    <w:tmpl w:val="45089DEE"/>
    <w:lvl w:ilvl="0">
      <w:start w:val="1"/>
      <w:numFmt w:val="bullet"/>
      <w:lvlText w:val=""/>
      <w:lvlJc w:val="left"/>
      <w:pPr>
        <w:tabs>
          <w:tab w:val="num" w:pos="360"/>
        </w:tabs>
        <w:ind w:left="0" w:firstLine="0"/>
      </w:pPr>
      <w:rPr>
        <w:rFonts w:ascii="Symbol" w:hAnsi="Symbol" w:hint="default"/>
      </w:rPr>
    </w:lvl>
  </w:abstractNum>
  <w:abstractNum w:abstractNumId="53" w15:restartNumberingAfterBreak="0">
    <w:nsid w:val="4FB81907"/>
    <w:multiLevelType w:val="multilevel"/>
    <w:tmpl w:val="D0A4B71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4FFB145F"/>
    <w:multiLevelType w:val="singleLevel"/>
    <w:tmpl w:val="C89A6C74"/>
    <w:lvl w:ilvl="0">
      <w:start w:val="1"/>
      <w:numFmt w:val="bullet"/>
      <w:lvlText w:val=""/>
      <w:lvlJc w:val="left"/>
      <w:pPr>
        <w:tabs>
          <w:tab w:val="num" w:pos="360"/>
        </w:tabs>
        <w:ind w:left="0" w:firstLine="0"/>
      </w:pPr>
      <w:rPr>
        <w:rFonts w:ascii="Symbol" w:hAnsi="Symbol" w:hint="default"/>
      </w:rPr>
    </w:lvl>
  </w:abstractNum>
  <w:abstractNum w:abstractNumId="55" w15:restartNumberingAfterBreak="0">
    <w:nsid w:val="506C0244"/>
    <w:multiLevelType w:val="singleLevel"/>
    <w:tmpl w:val="041D000F"/>
    <w:lvl w:ilvl="0">
      <w:start w:val="1"/>
      <w:numFmt w:val="decimal"/>
      <w:lvlText w:val="%1."/>
      <w:lvlJc w:val="left"/>
      <w:pPr>
        <w:tabs>
          <w:tab w:val="num" w:pos="360"/>
        </w:tabs>
        <w:ind w:left="360" w:hanging="360"/>
      </w:pPr>
    </w:lvl>
  </w:abstractNum>
  <w:abstractNum w:abstractNumId="56" w15:restartNumberingAfterBreak="0">
    <w:nsid w:val="516B3870"/>
    <w:multiLevelType w:val="singleLevel"/>
    <w:tmpl w:val="041D0009"/>
    <w:lvl w:ilvl="0">
      <w:start w:val="1"/>
      <w:numFmt w:val="bullet"/>
      <w:lvlText w:val=""/>
      <w:lvlJc w:val="left"/>
      <w:pPr>
        <w:tabs>
          <w:tab w:val="num" w:pos="360"/>
        </w:tabs>
        <w:ind w:left="360" w:hanging="360"/>
      </w:pPr>
      <w:rPr>
        <w:rFonts w:ascii="Wingdings" w:hAnsi="Wingdings" w:hint="default"/>
      </w:rPr>
    </w:lvl>
  </w:abstractNum>
  <w:abstractNum w:abstractNumId="57" w15:restartNumberingAfterBreak="0">
    <w:nsid w:val="519A4BE0"/>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58" w15:restartNumberingAfterBreak="0">
    <w:nsid w:val="51BF435F"/>
    <w:multiLevelType w:val="singleLevel"/>
    <w:tmpl w:val="F2AAEE0A"/>
    <w:lvl w:ilvl="0">
      <w:start w:val="1"/>
      <w:numFmt w:val="bullet"/>
      <w:lvlText w:val=""/>
      <w:lvlJc w:val="left"/>
      <w:pPr>
        <w:tabs>
          <w:tab w:val="num" w:pos="360"/>
        </w:tabs>
        <w:ind w:left="0" w:firstLine="0"/>
      </w:pPr>
      <w:rPr>
        <w:rFonts w:ascii="Symbol" w:hAnsi="Symbol" w:hint="default"/>
      </w:rPr>
    </w:lvl>
  </w:abstractNum>
  <w:abstractNum w:abstractNumId="59" w15:restartNumberingAfterBreak="0">
    <w:nsid w:val="52C46F2A"/>
    <w:multiLevelType w:val="singleLevel"/>
    <w:tmpl w:val="041D000F"/>
    <w:lvl w:ilvl="0">
      <w:start w:val="1"/>
      <w:numFmt w:val="decimal"/>
      <w:lvlText w:val="%1."/>
      <w:lvlJc w:val="left"/>
      <w:pPr>
        <w:tabs>
          <w:tab w:val="num" w:pos="360"/>
        </w:tabs>
        <w:ind w:left="360" w:hanging="360"/>
      </w:pPr>
    </w:lvl>
  </w:abstractNum>
  <w:abstractNum w:abstractNumId="60" w15:restartNumberingAfterBreak="0">
    <w:nsid w:val="546B5B82"/>
    <w:multiLevelType w:val="singleLevel"/>
    <w:tmpl w:val="041D000F"/>
    <w:lvl w:ilvl="0">
      <w:start w:val="1"/>
      <w:numFmt w:val="decimal"/>
      <w:lvlText w:val="%1."/>
      <w:lvlJc w:val="left"/>
      <w:pPr>
        <w:tabs>
          <w:tab w:val="num" w:pos="360"/>
        </w:tabs>
        <w:ind w:left="360" w:hanging="360"/>
      </w:pPr>
    </w:lvl>
  </w:abstractNum>
  <w:abstractNum w:abstractNumId="61" w15:restartNumberingAfterBreak="0">
    <w:nsid w:val="554911AB"/>
    <w:multiLevelType w:val="singleLevel"/>
    <w:tmpl w:val="B3868B02"/>
    <w:lvl w:ilvl="0">
      <w:start w:val="1"/>
      <w:numFmt w:val="bullet"/>
      <w:lvlText w:val=""/>
      <w:lvlJc w:val="left"/>
      <w:pPr>
        <w:tabs>
          <w:tab w:val="num" w:pos="360"/>
        </w:tabs>
        <w:ind w:left="0" w:firstLine="0"/>
      </w:pPr>
      <w:rPr>
        <w:rFonts w:ascii="Symbol" w:hAnsi="Symbol" w:hint="default"/>
      </w:rPr>
    </w:lvl>
  </w:abstractNum>
  <w:abstractNum w:abstractNumId="62" w15:restartNumberingAfterBreak="0">
    <w:nsid w:val="56110DA0"/>
    <w:multiLevelType w:val="singleLevel"/>
    <w:tmpl w:val="B3868B02"/>
    <w:lvl w:ilvl="0">
      <w:start w:val="1"/>
      <w:numFmt w:val="bullet"/>
      <w:lvlText w:val=""/>
      <w:lvlJc w:val="left"/>
      <w:pPr>
        <w:tabs>
          <w:tab w:val="num" w:pos="360"/>
        </w:tabs>
        <w:ind w:left="0" w:firstLine="0"/>
      </w:pPr>
      <w:rPr>
        <w:rFonts w:ascii="Symbol" w:hAnsi="Symbol" w:hint="default"/>
      </w:rPr>
    </w:lvl>
  </w:abstractNum>
  <w:abstractNum w:abstractNumId="63" w15:restartNumberingAfterBreak="0">
    <w:nsid w:val="5863231D"/>
    <w:multiLevelType w:val="singleLevel"/>
    <w:tmpl w:val="B3868B02"/>
    <w:lvl w:ilvl="0">
      <w:start w:val="1"/>
      <w:numFmt w:val="bullet"/>
      <w:lvlText w:val=""/>
      <w:lvlJc w:val="left"/>
      <w:pPr>
        <w:tabs>
          <w:tab w:val="num" w:pos="360"/>
        </w:tabs>
        <w:ind w:left="0" w:firstLine="0"/>
      </w:pPr>
      <w:rPr>
        <w:rFonts w:ascii="Symbol" w:hAnsi="Symbol" w:hint="default"/>
      </w:rPr>
    </w:lvl>
  </w:abstractNum>
  <w:abstractNum w:abstractNumId="64" w15:restartNumberingAfterBreak="0">
    <w:nsid w:val="5D63620C"/>
    <w:multiLevelType w:val="singleLevel"/>
    <w:tmpl w:val="041D000F"/>
    <w:lvl w:ilvl="0">
      <w:start w:val="1"/>
      <w:numFmt w:val="decimal"/>
      <w:lvlText w:val="%1."/>
      <w:lvlJc w:val="left"/>
      <w:pPr>
        <w:tabs>
          <w:tab w:val="num" w:pos="360"/>
        </w:tabs>
        <w:ind w:left="360" w:hanging="360"/>
      </w:pPr>
    </w:lvl>
  </w:abstractNum>
  <w:abstractNum w:abstractNumId="65" w15:restartNumberingAfterBreak="0">
    <w:nsid w:val="5E13390E"/>
    <w:multiLevelType w:val="singleLevel"/>
    <w:tmpl w:val="041D000F"/>
    <w:lvl w:ilvl="0">
      <w:start w:val="1"/>
      <w:numFmt w:val="decimal"/>
      <w:lvlText w:val="%1."/>
      <w:lvlJc w:val="left"/>
      <w:pPr>
        <w:tabs>
          <w:tab w:val="num" w:pos="360"/>
        </w:tabs>
        <w:ind w:left="360" w:hanging="360"/>
      </w:pPr>
    </w:lvl>
  </w:abstractNum>
  <w:abstractNum w:abstractNumId="66" w15:restartNumberingAfterBreak="0">
    <w:nsid w:val="606C6453"/>
    <w:multiLevelType w:val="singleLevel"/>
    <w:tmpl w:val="197CE7DC"/>
    <w:lvl w:ilvl="0">
      <w:numFmt w:val="bullet"/>
      <w:lvlText w:val="-"/>
      <w:lvlJc w:val="left"/>
      <w:pPr>
        <w:tabs>
          <w:tab w:val="num" w:pos="360"/>
        </w:tabs>
        <w:ind w:left="360" w:hanging="360"/>
      </w:pPr>
      <w:rPr>
        <w:rFonts w:hint="default"/>
        <w:i w:val="0"/>
      </w:rPr>
    </w:lvl>
  </w:abstractNum>
  <w:abstractNum w:abstractNumId="67" w15:restartNumberingAfterBreak="0">
    <w:nsid w:val="62581278"/>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68" w15:restartNumberingAfterBreak="0">
    <w:nsid w:val="628723AB"/>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69"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0" w15:restartNumberingAfterBreak="0">
    <w:nsid w:val="65176D69"/>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71" w15:restartNumberingAfterBreak="0">
    <w:nsid w:val="656B15E6"/>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72" w15:restartNumberingAfterBreak="0">
    <w:nsid w:val="670F6E1D"/>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73" w15:restartNumberingAfterBreak="0">
    <w:nsid w:val="688915D7"/>
    <w:multiLevelType w:val="multilevel"/>
    <w:tmpl w:val="3C004C0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4" w15:restartNumberingAfterBreak="0">
    <w:nsid w:val="692752E5"/>
    <w:multiLevelType w:val="singleLevel"/>
    <w:tmpl w:val="0E4A77E0"/>
    <w:lvl w:ilvl="0">
      <w:start w:val="1"/>
      <w:numFmt w:val="bullet"/>
      <w:lvlText w:val="-"/>
      <w:lvlJc w:val="left"/>
      <w:pPr>
        <w:tabs>
          <w:tab w:val="num" w:pos="360"/>
        </w:tabs>
        <w:ind w:left="360" w:hanging="360"/>
      </w:pPr>
      <w:rPr>
        <w:rFonts w:ascii="Times New Roman" w:hAnsi="Times New Roman" w:hint="default"/>
      </w:rPr>
    </w:lvl>
  </w:abstractNum>
  <w:abstractNum w:abstractNumId="75" w15:restartNumberingAfterBreak="0">
    <w:nsid w:val="69FD6CA3"/>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76" w15:restartNumberingAfterBreak="0">
    <w:nsid w:val="6C1E001B"/>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77" w15:restartNumberingAfterBreak="0">
    <w:nsid w:val="6DDB376B"/>
    <w:multiLevelType w:val="singleLevel"/>
    <w:tmpl w:val="041D000F"/>
    <w:lvl w:ilvl="0">
      <w:start w:val="1"/>
      <w:numFmt w:val="decimal"/>
      <w:lvlText w:val="%1."/>
      <w:lvlJc w:val="left"/>
      <w:pPr>
        <w:tabs>
          <w:tab w:val="num" w:pos="360"/>
        </w:tabs>
        <w:ind w:left="360" w:hanging="360"/>
      </w:pPr>
    </w:lvl>
  </w:abstractNum>
  <w:abstractNum w:abstractNumId="78" w15:restartNumberingAfterBreak="0">
    <w:nsid w:val="709D76E8"/>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79" w15:restartNumberingAfterBreak="0">
    <w:nsid w:val="71F75058"/>
    <w:multiLevelType w:val="singleLevel"/>
    <w:tmpl w:val="FBE66104"/>
    <w:lvl w:ilvl="0">
      <w:start w:val="3"/>
      <w:numFmt w:val="bullet"/>
      <w:lvlText w:val="-"/>
      <w:lvlJc w:val="left"/>
      <w:pPr>
        <w:tabs>
          <w:tab w:val="num" w:pos="360"/>
        </w:tabs>
        <w:ind w:left="360" w:hanging="360"/>
      </w:pPr>
      <w:rPr>
        <w:rFonts w:hint="default"/>
      </w:rPr>
    </w:lvl>
  </w:abstractNum>
  <w:abstractNum w:abstractNumId="80" w15:restartNumberingAfterBreak="0">
    <w:nsid w:val="75307D4C"/>
    <w:multiLevelType w:val="singleLevel"/>
    <w:tmpl w:val="041D000F"/>
    <w:lvl w:ilvl="0">
      <w:start w:val="1"/>
      <w:numFmt w:val="decimal"/>
      <w:lvlText w:val="%1."/>
      <w:lvlJc w:val="left"/>
      <w:pPr>
        <w:tabs>
          <w:tab w:val="num" w:pos="360"/>
        </w:tabs>
        <w:ind w:left="360" w:hanging="360"/>
      </w:pPr>
    </w:lvl>
  </w:abstractNum>
  <w:abstractNum w:abstractNumId="81" w15:restartNumberingAfterBreak="0">
    <w:nsid w:val="75575D23"/>
    <w:multiLevelType w:val="multilevel"/>
    <w:tmpl w:val="C42E97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OrigGarmndBT"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OrigGarmndB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OrigGarmndB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6A557E4"/>
    <w:multiLevelType w:val="singleLevel"/>
    <w:tmpl w:val="041D000F"/>
    <w:lvl w:ilvl="0">
      <w:start w:val="1"/>
      <w:numFmt w:val="decimal"/>
      <w:lvlText w:val="%1."/>
      <w:lvlJc w:val="left"/>
      <w:pPr>
        <w:tabs>
          <w:tab w:val="num" w:pos="360"/>
        </w:tabs>
        <w:ind w:left="360" w:hanging="360"/>
      </w:pPr>
    </w:lvl>
  </w:abstractNum>
  <w:abstractNum w:abstractNumId="83" w15:restartNumberingAfterBreak="0">
    <w:nsid w:val="7A4622C1"/>
    <w:multiLevelType w:val="singleLevel"/>
    <w:tmpl w:val="041D000F"/>
    <w:lvl w:ilvl="0">
      <w:start w:val="1"/>
      <w:numFmt w:val="decimal"/>
      <w:lvlText w:val="%1."/>
      <w:lvlJc w:val="left"/>
      <w:pPr>
        <w:tabs>
          <w:tab w:val="num" w:pos="360"/>
        </w:tabs>
        <w:ind w:left="360" w:hanging="360"/>
      </w:pPr>
    </w:lvl>
  </w:abstractNum>
  <w:abstractNum w:abstractNumId="84" w15:restartNumberingAfterBreak="0">
    <w:nsid w:val="7BA52C15"/>
    <w:multiLevelType w:val="singleLevel"/>
    <w:tmpl w:val="041D000F"/>
    <w:lvl w:ilvl="0">
      <w:start w:val="1"/>
      <w:numFmt w:val="decimal"/>
      <w:lvlText w:val="%1."/>
      <w:lvlJc w:val="left"/>
      <w:pPr>
        <w:tabs>
          <w:tab w:val="num" w:pos="360"/>
        </w:tabs>
        <w:ind w:left="360" w:hanging="360"/>
      </w:pPr>
    </w:lvl>
  </w:abstractNum>
  <w:abstractNum w:abstractNumId="85" w15:restartNumberingAfterBreak="0">
    <w:nsid w:val="7BBD65A9"/>
    <w:multiLevelType w:val="singleLevel"/>
    <w:tmpl w:val="D26402F4"/>
    <w:lvl w:ilvl="0">
      <w:start w:val="1"/>
      <w:numFmt w:val="bullet"/>
      <w:lvlText w:val=""/>
      <w:lvlJc w:val="left"/>
      <w:pPr>
        <w:tabs>
          <w:tab w:val="num" w:pos="360"/>
        </w:tabs>
        <w:ind w:left="340" w:hanging="340"/>
      </w:pPr>
      <w:rPr>
        <w:rFonts w:ascii="Symbol" w:hAnsi="Symbol" w:hint="default"/>
      </w:rPr>
    </w:lvl>
  </w:abstractNum>
  <w:abstractNum w:abstractNumId="86" w15:restartNumberingAfterBreak="0">
    <w:nsid w:val="7C743333"/>
    <w:multiLevelType w:val="multilevel"/>
    <w:tmpl w:val="3B9E71E0"/>
    <w:lvl w:ilvl="0">
      <w:start w:val="1"/>
      <w:numFmt w:val="decimal"/>
      <w:pStyle w:val="Rubrik1"/>
      <w:isLgl/>
      <w:lvlText w:val="%1"/>
      <w:lvlJc w:val="left"/>
      <w:pPr>
        <w:tabs>
          <w:tab w:val="num" w:pos="397"/>
        </w:tabs>
        <w:ind w:left="397" w:hanging="397"/>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7" w15:restartNumberingAfterBreak="0">
    <w:nsid w:val="7C870770"/>
    <w:multiLevelType w:val="singleLevel"/>
    <w:tmpl w:val="197CE7DC"/>
    <w:lvl w:ilvl="0">
      <w:numFmt w:val="bullet"/>
      <w:lvlText w:val="-"/>
      <w:lvlJc w:val="left"/>
      <w:pPr>
        <w:tabs>
          <w:tab w:val="num" w:pos="360"/>
        </w:tabs>
        <w:ind w:left="360" w:hanging="360"/>
      </w:pPr>
      <w:rPr>
        <w:rFonts w:hint="default"/>
        <w:i w:val="0"/>
      </w:rPr>
    </w:lvl>
  </w:abstractNum>
  <w:abstractNum w:abstractNumId="88" w15:restartNumberingAfterBreak="0">
    <w:nsid w:val="7E7D5071"/>
    <w:multiLevelType w:val="singleLevel"/>
    <w:tmpl w:val="041D000F"/>
    <w:lvl w:ilvl="0">
      <w:start w:val="1"/>
      <w:numFmt w:val="decimal"/>
      <w:lvlText w:val="%1."/>
      <w:lvlJc w:val="left"/>
      <w:pPr>
        <w:tabs>
          <w:tab w:val="num" w:pos="360"/>
        </w:tabs>
        <w:ind w:left="360" w:hanging="360"/>
      </w:pPr>
    </w:lvl>
  </w:abstractNum>
  <w:num w:numId="1" w16cid:durableId="1849369378">
    <w:abstractNumId w:val="73"/>
  </w:num>
  <w:num w:numId="2" w16cid:durableId="2002463593">
    <w:abstractNumId w:val="73"/>
  </w:num>
  <w:num w:numId="3" w16cid:durableId="124661334">
    <w:abstractNumId w:val="73"/>
  </w:num>
  <w:num w:numId="4" w16cid:durableId="1499613203">
    <w:abstractNumId w:val="73"/>
  </w:num>
  <w:num w:numId="5" w16cid:durableId="1253202691">
    <w:abstractNumId w:val="73"/>
  </w:num>
  <w:num w:numId="6" w16cid:durableId="1541043727">
    <w:abstractNumId w:val="73"/>
  </w:num>
  <w:num w:numId="7" w16cid:durableId="1757282501">
    <w:abstractNumId w:val="73"/>
  </w:num>
  <w:num w:numId="8" w16cid:durableId="1139231353">
    <w:abstractNumId w:val="73"/>
  </w:num>
  <w:num w:numId="9" w16cid:durableId="1286034837">
    <w:abstractNumId w:val="81"/>
  </w:num>
  <w:num w:numId="10" w16cid:durableId="2010517995">
    <w:abstractNumId w:val="74"/>
  </w:num>
  <w:num w:numId="11" w16cid:durableId="577909233">
    <w:abstractNumId w:val="35"/>
  </w:num>
  <w:num w:numId="12" w16cid:durableId="456141112">
    <w:abstractNumId w:val="69"/>
  </w:num>
  <w:num w:numId="13" w16cid:durableId="112793629">
    <w:abstractNumId w:val="24"/>
  </w:num>
  <w:num w:numId="14" w16cid:durableId="1427994647">
    <w:abstractNumId w:val="16"/>
  </w:num>
  <w:num w:numId="15" w16cid:durableId="1405757249">
    <w:abstractNumId w:val="40"/>
  </w:num>
  <w:num w:numId="16" w16cid:durableId="520362742">
    <w:abstractNumId w:val="31"/>
  </w:num>
  <w:num w:numId="17" w16cid:durableId="103428421">
    <w:abstractNumId w:val="0"/>
  </w:num>
  <w:num w:numId="18" w16cid:durableId="1342125946">
    <w:abstractNumId w:val="39"/>
  </w:num>
  <w:num w:numId="19" w16cid:durableId="32387271">
    <w:abstractNumId w:val="23"/>
  </w:num>
  <w:num w:numId="20" w16cid:durableId="1958951432">
    <w:abstractNumId w:val="80"/>
  </w:num>
  <w:num w:numId="21" w16cid:durableId="1938127061">
    <w:abstractNumId w:val="53"/>
  </w:num>
  <w:num w:numId="22" w16cid:durableId="1159034043">
    <w:abstractNumId w:val="20"/>
  </w:num>
  <w:num w:numId="23" w16cid:durableId="176307513">
    <w:abstractNumId w:val="48"/>
  </w:num>
  <w:num w:numId="24" w16cid:durableId="1804737675">
    <w:abstractNumId w:val="21"/>
  </w:num>
  <w:num w:numId="25" w16cid:durableId="1010177612">
    <w:abstractNumId w:val="12"/>
  </w:num>
  <w:num w:numId="26" w16cid:durableId="283077248">
    <w:abstractNumId w:val="2"/>
  </w:num>
  <w:num w:numId="27" w16cid:durableId="1842508016">
    <w:abstractNumId w:val="84"/>
  </w:num>
  <w:num w:numId="28" w16cid:durableId="6102424">
    <w:abstractNumId w:val="30"/>
  </w:num>
  <w:num w:numId="29" w16cid:durableId="2146897066">
    <w:abstractNumId w:val="1"/>
  </w:num>
  <w:num w:numId="30" w16cid:durableId="1958099259">
    <w:abstractNumId w:val="32"/>
  </w:num>
  <w:num w:numId="31" w16cid:durableId="1145850539">
    <w:abstractNumId w:val="8"/>
  </w:num>
  <w:num w:numId="32" w16cid:durableId="1191646371">
    <w:abstractNumId w:val="66"/>
  </w:num>
  <w:num w:numId="33" w16cid:durableId="1467042047">
    <w:abstractNumId w:val="26"/>
  </w:num>
  <w:num w:numId="34" w16cid:durableId="489560778">
    <w:abstractNumId w:val="87"/>
  </w:num>
  <w:num w:numId="35" w16cid:durableId="2128352077">
    <w:abstractNumId w:val="10"/>
  </w:num>
  <w:num w:numId="36" w16cid:durableId="680398049">
    <w:abstractNumId w:val="4"/>
  </w:num>
  <w:num w:numId="37" w16cid:durableId="1043948565">
    <w:abstractNumId w:val="38"/>
  </w:num>
  <w:num w:numId="38" w16cid:durableId="1261529059">
    <w:abstractNumId w:val="34"/>
  </w:num>
  <w:num w:numId="39" w16cid:durableId="1088380170">
    <w:abstractNumId w:val="42"/>
  </w:num>
  <w:num w:numId="40" w16cid:durableId="557321295">
    <w:abstractNumId w:val="3"/>
  </w:num>
  <w:num w:numId="41" w16cid:durableId="1492716272">
    <w:abstractNumId w:val="82"/>
  </w:num>
  <w:num w:numId="42" w16cid:durableId="1393968093">
    <w:abstractNumId w:val="19"/>
  </w:num>
  <w:num w:numId="43" w16cid:durableId="1243417171">
    <w:abstractNumId w:val="25"/>
  </w:num>
  <w:num w:numId="44" w16cid:durableId="947128264">
    <w:abstractNumId w:val="17"/>
  </w:num>
  <w:num w:numId="45" w16cid:durableId="817769670">
    <w:abstractNumId w:val="78"/>
  </w:num>
  <w:num w:numId="46" w16cid:durableId="1517184824">
    <w:abstractNumId w:val="9"/>
  </w:num>
  <w:num w:numId="47" w16cid:durableId="669677463">
    <w:abstractNumId w:val="79"/>
  </w:num>
  <w:num w:numId="48" w16cid:durableId="940793308">
    <w:abstractNumId w:val="5"/>
  </w:num>
  <w:num w:numId="49" w16cid:durableId="56900821">
    <w:abstractNumId w:val="7"/>
  </w:num>
  <w:num w:numId="50" w16cid:durableId="2070691764">
    <w:abstractNumId w:val="77"/>
  </w:num>
  <w:num w:numId="51" w16cid:durableId="322858233">
    <w:abstractNumId w:val="70"/>
  </w:num>
  <w:num w:numId="52" w16cid:durableId="1786730437">
    <w:abstractNumId w:val="33"/>
  </w:num>
  <w:num w:numId="53" w16cid:durableId="1961380642">
    <w:abstractNumId w:val="68"/>
  </w:num>
  <w:num w:numId="54" w16cid:durableId="615016659">
    <w:abstractNumId w:val="13"/>
  </w:num>
  <w:num w:numId="55" w16cid:durableId="742725967">
    <w:abstractNumId w:val="72"/>
  </w:num>
  <w:num w:numId="56" w16cid:durableId="273287858">
    <w:abstractNumId w:val="43"/>
  </w:num>
  <w:num w:numId="57" w16cid:durableId="165444066">
    <w:abstractNumId w:val="51"/>
  </w:num>
  <w:num w:numId="58" w16cid:durableId="422386668">
    <w:abstractNumId w:val="29"/>
  </w:num>
  <w:num w:numId="59" w16cid:durableId="1495536085">
    <w:abstractNumId w:val="36"/>
  </w:num>
  <w:num w:numId="60" w16cid:durableId="1126391390">
    <w:abstractNumId w:val="76"/>
  </w:num>
  <w:num w:numId="61" w16cid:durableId="93551951">
    <w:abstractNumId w:val="44"/>
  </w:num>
  <w:num w:numId="62" w16cid:durableId="519242409">
    <w:abstractNumId w:val="6"/>
  </w:num>
  <w:num w:numId="63" w16cid:durableId="1184250044">
    <w:abstractNumId w:val="85"/>
  </w:num>
  <w:num w:numId="64" w16cid:durableId="889420114">
    <w:abstractNumId w:val="47"/>
  </w:num>
  <w:num w:numId="65" w16cid:durableId="547179498">
    <w:abstractNumId w:val="57"/>
  </w:num>
  <w:num w:numId="66" w16cid:durableId="187835446">
    <w:abstractNumId w:val="22"/>
  </w:num>
  <w:num w:numId="67" w16cid:durableId="1626158295">
    <w:abstractNumId w:val="46"/>
  </w:num>
  <w:num w:numId="68" w16cid:durableId="1685783752">
    <w:abstractNumId w:val="58"/>
  </w:num>
  <w:num w:numId="69" w16cid:durableId="777602824">
    <w:abstractNumId w:val="37"/>
  </w:num>
  <w:num w:numId="70" w16cid:durableId="1234854015">
    <w:abstractNumId w:val="52"/>
  </w:num>
  <w:num w:numId="71" w16cid:durableId="803886236">
    <w:abstractNumId w:val="60"/>
  </w:num>
  <w:num w:numId="72" w16cid:durableId="717316246">
    <w:abstractNumId w:val="54"/>
  </w:num>
  <w:num w:numId="73" w16cid:durableId="384186536">
    <w:abstractNumId w:val="45"/>
  </w:num>
  <w:num w:numId="74" w16cid:durableId="1285960517">
    <w:abstractNumId w:val="18"/>
  </w:num>
  <w:num w:numId="75" w16cid:durableId="432436762">
    <w:abstractNumId w:val="11"/>
  </w:num>
  <w:num w:numId="76" w16cid:durableId="236987039">
    <w:abstractNumId w:val="15"/>
  </w:num>
  <w:num w:numId="77" w16cid:durableId="1684742217">
    <w:abstractNumId w:val="55"/>
  </w:num>
  <w:num w:numId="78" w16cid:durableId="1254126275">
    <w:abstractNumId w:val="27"/>
  </w:num>
  <w:num w:numId="79" w16cid:durableId="1640266123">
    <w:abstractNumId w:val="67"/>
  </w:num>
  <w:num w:numId="80" w16cid:durableId="321349790">
    <w:abstractNumId w:val="50"/>
  </w:num>
  <w:num w:numId="81" w16cid:durableId="1396006178">
    <w:abstractNumId w:val="75"/>
  </w:num>
  <w:num w:numId="82" w16cid:durableId="966666648">
    <w:abstractNumId w:val="64"/>
  </w:num>
  <w:num w:numId="83" w16cid:durableId="1471826763">
    <w:abstractNumId w:val="49"/>
  </w:num>
  <w:num w:numId="84" w16cid:durableId="1166168519">
    <w:abstractNumId w:val="61"/>
  </w:num>
  <w:num w:numId="85" w16cid:durableId="366414704">
    <w:abstractNumId w:val="14"/>
  </w:num>
  <w:num w:numId="86" w16cid:durableId="188488709">
    <w:abstractNumId w:val="63"/>
  </w:num>
  <w:num w:numId="87" w16cid:durableId="698700869">
    <w:abstractNumId w:val="62"/>
  </w:num>
  <w:num w:numId="88" w16cid:durableId="811871387">
    <w:abstractNumId w:val="56"/>
  </w:num>
  <w:num w:numId="89" w16cid:durableId="1953634679">
    <w:abstractNumId w:val="71"/>
  </w:num>
  <w:num w:numId="90" w16cid:durableId="567109501">
    <w:abstractNumId w:val="65"/>
  </w:num>
  <w:num w:numId="91" w16cid:durableId="1637373329">
    <w:abstractNumId w:val="83"/>
  </w:num>
  <w:num w:numId="92" w16cid:durableId="1968661116">
    <w:abstractNumId w:val="88"/>
  </w:num>
  <w:num w:numId="93" w16cid:durableId="1981377112">
    <w:abstractNumId w:val="59"/>
  </w:num>
  <w:num w:numId="94" w16cid:durableId="266080511">
    <w:abstractNumId w:val="41"/>
  </w:num>
  <w:num w:numId="95" w16cid:durableId="1280141760">
    <w:abstractNumId w:val="28"/>
  </w:num>
  <w:num w:numId="96" w16cid:durableId="835808022">
    <w:abstractNumId w:val="73"/>
  </w:num>
  <w:num w:numId="97" w16cid:durableId="1746610200">
    <w:abstractNumId w:val="86"/>
  </w:num>
  <w:num w:numId="98" w16cid:durableId="1716351724">
    <w:abstractNumId w:val="86"/>
  </w:num>
  <w:num w:numId="99" w16cid:durableId="137957755">
    <w:abstractNumId w:val="86"/>
  </w:num>
  <w:num w:numId="100" w16cid:durableId="1646621139">
    <w:abstractNumId w:val="86"/>
  </w:num>
  <w:num w:numId="101" w16cid:durableId="2487056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203"/>
  </w:docVars>
  <w:rsids>
    <w:rsidRoot w:val="00883F82"/>
    <w:rsid w:val="007B7A21"/>
    <w:rsid w:val="00883F82"/>
    <w:rsid w:val="00AD33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DF0F23-5A9F-4850-9C25-8CDA1A2F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100"/>
      </w:numPr>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hembetr">
    <w:name w:val="hembetr"/>
    <w:basedOn w:val="Normaltindrag"/>
    <w:next w:val="Normal"/>
    <w:pPr>
      <w:ind w:left="510"/>
    </w:pPr>
    <w:rPr>
      <w:color w:val="000000"/>
    </w:rPr>
  </w:style>
  <w:style w:type="paragraph" w:customStyle="1" w:styleId="Reseftermom">
    <w:name w:val="Reseftermom"/>
    <w:basedOn w:val="Normal"/>
    <w:next w:val="Normal"/>
    <w:pPr>
      <w:spacing w:before="0"/>
      <w:ind w:left="2835"/>
    </w:pPr>
    <w:rPr>
      <w:i/>
      <w:color w:val="000000"/>
    </w:rPr>
  </w:style>
  <w:style w:type="paragraph" w:styleId="Innehll1">
    <w:name w:val="toc 1"/>
    <w:basedOn w:val="Normal"/>
    <w:next w:val="Normal"/>
    <w:autoRedefine/>
    <w:semiHidden/>
    <w:pPr>
      <w:tabs>
        <w:tab w:val="right" w:leader="dot" w:pos="5953"/>
      </w:tabs>
      <w:spacing w:before="0"/>
      <w:ind w:right="284"/>
      <w:jc w:val="left"/>
    </w:pPr>
    <w:rPr>
      <w:noProof/>
    </w:rPr>
  </w:style>
  <w:style w:type="paragraph" w:styleId="Innehll2">
    <w:name w:val="toc 2"/>
    <w:basedOn w:val="Normal"/>
    <w:next w:val="Normal"/>
    <w:autoRedefine/>
    <w:semiHidden/>
    <w:pPr>
      <w:tabs>
        <w:tab w:val="right" w:leader="dot" w:pos="5953"/>
      </w:tabs>
      <w:spacing w:before="0"/>
      <w:ind w:left="567" w:right="283" w:hanging="567"/>
      <w:jc w:val="left"/>
    </w:pPr>
    <w:rPr>
      <w:noProof/>
    </w:rPr>
  </w:style>
  <w:style w:type="paragraph" w:styleId="Innehll3">
    <w:name w:val="toc 3"/>
    <w:basedOn w:val="Normal"/>
    <w:next w:val="Normal"/>
    <w:autoRedefine/>
    <w:semiHidden/>
    <w:pPr>
      <w:tabs>
        <w:tab w:val="left" w:pos="709"/>
        <w:tab w:val="left" w:pos="1140"/>
        <w:tab w:val="right" w:leader="dot" w:pos="5953"/>
      </w:tabs>
      <w:spacing w:before="0"/>
      <w:ind w:left="709" w:right="284" w:hanging="709"/>
      <w:jc w:val="left"/>
    </w:pPr>
    <w:rPr>
      <w:noProof/>
    </w:rPr>
  </w:style>
  <w:style w:type="paragraph" w:styleId="Innehll4">
    <w:name w:val="toc 4"/>
    <w:basedOn w:val="Normal"/>
    <w:next w:val="Normal"/>
    <w:autoRedefine/>
    <w:semiHidden/>
    <w:pPr>
      <w:tabs>
        <w:tab w:val="left" w:pos="851"/>
        <w:tab w:val="right" w:leader="dot" w:pos="5886"/>
        <w:tab w:val="right" w:leader="dot" w:pos="5953"/>
      </w:tabs>
      <w:spacing w:before="0"/>
      <w:ind w:left="851" w:right="284" w:hanging="851"/>
      <w:jc w:val="left"/>
    </w:pPr>
    <w:rPr>
      <w:noProof/>
    </w:r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character" w:styleId="Fotnotsreferens">
    <w:name w:val="footnote reference"/>
    <w:basedOn w:val="Standardstycketeckensnitt"/>
    <w:semiHidden/>
    <w:rPr>
      <w:vertAlign w:val="superscript"/>
    </w:rPr>
  </w:style>
  <w:style w:type="paragraph" w:customStyle="1" w:styleId="Rubrik4-Utannumrering">
    <w:name w:val="Rubrik 4 - Utan numrering"/>
    <w:basedOn w:val="Rubrik4"/>
    <w:pPr>
      <w:numPr>
        <w:ilvl w:val="0"/>
        <w:numId w:val="0"/>
      </w:numPr>
      <w:spacing w:before="320" w:line="300" w:lineRule="atLeast"/>
    </w:pPr>
    <w:rPr>
      <w:sz w:val="22"/>
    </w:rPr>
  </w:style>
  <w:style w:type="paragraph" w:customStyle="1" w:styleId="Rubrik1-Utannumrering">
    <w:name w:val="Rubrik 1 - Utan numrering"/>
    <w:basedOn w:val="Rubrik1"/>
    <w:next w:val="Normal"/>
    <w:pPr>
      <w:numPr>
        <w:numId w:val="0"/>
      </w:numPr>
      <w:spacing w:before="600" w:line="240" w:lineRule="auto"/>
    </w:pPr>
    <w:rPr>
      <w:sz w:val="30"/>
    </w:rPr>
  </w:style>
  <w:style w:type="paragraph" w:customStyle="1" w:styleId="Rubrik2-Utannumrering">
    <w:name w:val="Rubrik 2 - Utan numrering"/>
    <w:basedOn w:val="Rubrik2"/>
    <w:next w:val="Normal"/>
    <w:pPr>
      <w:numPr>
        <w:ilvl w:val="0"/>
        <w:numId w:val="0"/>
      </w:numPr>
      <w:tabs>
        <w:tab w:val="clear" w:pos="340"/>
      </w:tabs>
      <w:spacing w:before="440" w:line="300" w:lineRule="atLeast"/>
    </w:pPr>
    <w:rPr>
      <w:sz w:val="26"/>
    </w:rPr>
  </w:style>
  <w:style w:type="paragraph" w:customStyle="1" w:styleId="Rubrik3-Utannumrering">
    <w:name w:val="Rubrik 3 - Utan numrering"/>
    <w:basedOn w:val="Rubrik3"/>
    <w:next w:val="Normal"/>
    <w:pPr>
      <w:numPr>
        <w:ilvl w:val="0"/>
        <w:numId w:val="0"/>
      </w:numPr>
      <w:tabs>
        <w:tab w:val="clear" w:pos="578"/>
      </w:tabs>
      <w:spacing w:before="360" w:line="300" w:lineRule="atLeas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42134</Words>
  <Characters>274295</Characters>
  <Application>Microsoft Office Word</Application>
  <DocSecurity>4</DocSecurity>
  <Lines>5597</Lines>
  <Paragraphs>2028</Paragraphs>
  <ScaleCrop>false</ScaleCrop>
  <HeadingPairs>
    <vt:vector size="2" baseType="variant">
      <vt:variant>
        <vt:lpstr>Title</vt:lpstr>
      </vt:variant>
      <vt:variant>
        <vt:i4>1</vt:i4>
      </vt:variant>
    </vt:vector>
  </HeadingPairs>
  <TitlesOfParts>
    <vt:vector size="1" baseType="lpstr">
      <vt:lpstr>Förslag till riksdagen</vt:lpstr>
    </vt:vector>
  </TitlesOfParts>
  <Company>Riksdagen</Company>
  <LinksUpToDate>false</LinksUpToDate>
  <CharactersWithSpaces>314401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dc:description/>
  <cp:lastModifiedBy>Lars Brink</cp:lastModifiedBy>
  <cp:revision>2</cp:revision>
  <cp:lastPrinted>2002-10-11T10:24:00Z</cp:lastPrinted>
  <dcterms:created xsi:type="dcterms:W3CDTF">2025-12-16T17:12:00Z</dcterms:created>
  <dcterms:modified xsi:type="dcterms:W3CDTF">2025-12-16T17:12:00Z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RR2</vt:lpwstr>
  </property>
  <property fmtid="{D5CDD505-2E9C-101B-9397-08002B2CF9AE}" pid="3" name="BetänkandeÅr">
    <vt:lpwstr>2002/03</vt:lpwstr>
  </property>
  <property fmtid="{D5CDD505-2E9C-101B-9397-08002B2CF9AE}" pid="4" name="UtkastDatum">
    <vt:lpwstr>Ja</vt:lpwstr>
  </property>
  <property fmtid="{D5CDD505-2E9C-101B-9397-08002B2CF9AE}" pid="5" name="Status">
    <vt:lpwstr> </vt:lpwstr>
  </property>
  <property fmtid="{D5CDD505-2E9C-101B-9397-08002B2CF9AE}" pid="6" name="Numrering">
    <vt:lpwstr>NotUpdated</vt:lpwstr>
  </property>
  <property fmtid="{D5CDD505-2E9C-101B-9397-08002B2CF9AE}" pid="7" name="Utskott">
    <vt:lpwstr>RR2</vt:lpwstr>
  </property>
</Properties>
</file>