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76C8" w:rsidRDefault="006F4792" w14:paraId="5AF75DE2" w14:textId="77777777">
      <w:pPr>
        <w:pStyle w:val="RubrikFrslagTIllRiksdagsbeslut"/>
      </w:pPr>
      <w:sdt>
        <w:sdtPr>
          <w:alias w:val="CC_Boilerplate_4"/>
          <w:tag w:val="CC_Boilerplate_4"/>
          <w:id w:val="-1644581176"/>
          <w:lock w:val="sdtContentLocked"/>
          <w:placeholder>
            <w:docPart w:val="FB8F488784A54E6690521BD8CD5F9A7F"/>
          </w:placeholder>
          <w:text/>
        </w:sdtPr>
        <w:sdtEndPr/>
        <w:sdtContent>
          <w:r w:rsidRPr="009B062B" w:rsidR="00AF30DD">
            <w:t>Förslag till riksdagsbeslut</w:t>
          </w:r>
        </w:sdtContent>
      </w:sdt>
      <w:bookmarkEnd w:id="0"/>
      <w:bookmarkEnd w:id="1"/>
    </w:p>
    <w:sdt>
      <w:sdtPr>
        <w:alias w:val="Yrkande 1"/>
        <w:tag w:val="084a0354-83ee-4613-9e59-fc96089ea07a"/>
        <w:id w:val="34929673"/>
        <w:lock w:val="sdtLocked"/>
      </w:sdtPr>
      <w:sdtEndPr/>
      <w:sdtContent>
        <w:p w:rsidR="00A50317" w:rsidRDefault="006375C9" w14:paraId="3C13610C" w14:textId="77777777">
          <w:pPr>
            <w:pStyle w:val="Frslagstext"/>
            <w:numPr>
              <w:ilvl w:val="0"/>
              <w:numId w:val="0"/>
            </w:numPr>
          </w:pPr>
          <w:r>
            <w:t>Riksdagen anvisar anslagen för 2025 inom utgiftsområde 19 Regional utveckling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5D2EDBD83749DB86F343645E1CA430"/>
        </w:placeholder>
        <w:text/>
      </w:sdtPr>
      <w:sdtEndPr/>
      <w:sdtContent>
        <w:p w:rsidRPr="009B062B" w:rsidR="006D79C9" w:rsidP="00333E95" w:rsidRDefault="003F2E88" w14:paraId="59C708A0" w14:textId="00B56369">
          <w:pPr>
            <w:pStyle w:val="Rubrik1"/>
          </w:pPr>
          <w:r w:rsidRPr="003F2E88">
            <w:t>Utgiftsområde 19 Regional utveckling</w:t>
          </w:r>
        </w:p>
      </w:sdtContent>
    </w:sdt>
    <w:bookmarkEnd w:displacedByCustomXml="prev" w:id="3"/>
    <w:bookmarkEnd w:displacedByCustomXml="prev" w:id="4"/>
    <w:p w:rsidR="00422B9E" w:rsidP="00F212E6" w:rsidRDefault="003F2E88" w14:paraId="751F2855" w14:textId="6E123CE2">
      <w:pPr>
        <w:pStyle w:val="Normalutanindragellerluft"/>
      </w:pPr>
      <w:r>
        <w:t xml:space="preserve">Målet för den regionala utvecklingspolitiken är utvecklingskraft med stärkt lokal och regional konkurrenskraft för en hållbar utveckling i alla delar av landet. Centerpartiet anser att utgångspunkten för politikområdet är relevant </w:t>
      </w:r>
      <w:r w:rsidR="46B2E0C5">
        <w:t>men den</w:t>
      </w:r>
      <w:r w:rsidR="7E978FC1">
        <w:t xml:space="preserve"> i somras tillsatta utredningen om regional</w:t>
      </w:r>
      <w:r w:rsidR="6B7E758D">
        <w:t xml:space="preserve"> </w:t>
      </w:r>
      <w:r w:rsidR="7E978FC1">
        <w:t xml:space="preserve">utveckling behöver komma med konkreta förslag på hur </w:t>
      </w:r>
      <w:r>
        <w:t>staten kan agera mer samordnat för att nå politikens mål och samtidigt ge regionerna det ansvar och handlingsutrymme som de behöver för att kunna genomföra långsiktiga insatser lokalt och regionalt.</w:t>
      </w:r>
      <w:r w:rsidR="54CF4C5B">
        <w:t xml:space="preserve"> Det regionala utvecklingsarbetet behöver styras av just de regionala förutsättningarna</w:t>
      </w:r>
      <w:r>
        <w:t xml:space="preserve">. </w:t>
      </w:r>
      <w:r w:rsidR="43C5DBB3">
        <w:t>Med fokus på stärkt arbetsmarknad, utbildning</w:t>
      </w:r>
      <w:r w:rsidR="006375C9">
        <w:t>,</w:t>
      </w:r>
      <w:r w:rsidR="43C5DBB3">
        <w:t xml:space="preserve"> innovation och den gröna omställningen så stärks konkurrenskraft</w:t>
      </w:r>
      <w:r w:rsidR="612D6284">
        <w:t>en</w:t>
      </w:r>
      <w:r w:rsidR="43C5DBB3">
        <w:t xml:space="preserve"> för alla delar av Sverige.</w:t>
      </w:r>
    </w:p>
    <w:p w:rsidR="00F212E6" w:rsidP="00F212E6" w:rsidRDefault="003F2E88" w14:paraId="66FC77FD" w14:textId="2D33B7D0">
      <w:r>
        <w:t>Även regelverken för de regionala företagsstöden och transportbidraget skulle behöva ses över för att bli bättre anpassade för mindre företag och tydligare bidra till ökad hållbarhet och jämställdhet. Viktiga utgångspunkter för genomförandet av EU:s sammanhållningspolitik är hög måluppfyllelse och ett förenklat genomförande. Reger</w:t>
      </w:r>
      <w:r w:rsidR="00F212E6">
        <w:softHyphen/>
      </w:r>
      <w:r>
        <w:t xml:space="preserve">ingen bör verka för en samlad förvaltning av strukturfonderna på en myndighet. Det leder till en resursbesparing av nationell administration av fonderna och en förenkling för de aktörer som ska ansöka om finansiering. </w:t>
      </w:r>
    </w:p>
    <w:p w:rsidRPr="00F212E6" w:rsidR="00F212E6" w:rsidP="00F212E6" w:rsidRDefault="14277A50" w14:paraId="3265AEDD" w14:textId="77777777">
      <w:pPr>
        <w:pStyle w:val="Rubrik2"/>
      </w:pPr>
      <w:r w:rsidRPr="00F212E6">
        <w:t xml:space="preserve">Lokal näringslivsutveckling </w:t>
      </w:r>
      <w:r w:rsidRPr="00F212E6" w:rsidR="6D2D76AD">
        <w:t>på lands</w:t>
      </w:r>
      <w:r w:rsidRPr="00F212E6" w:rsidR="2139561E">
        <w:t>- och glesbygd</w:t>
      </w:r>
    </w:p>
    <w:p w:rsidR="00F212E6" w:rsidP="00F212E6" w:rsidRDefault="4F277EBD" w14:paraId="13D6A16B" w14:textId="01F22609">
      <w:pPr>
        <w:pStyle w:val="Normalutanindragellerluft"/>
      </w:pPr>
      <w:r>
        <w:t xml:space="preserve">Förutsättningarna för företagande ser annorlunda ut </w:t>
      </w:r>
      <w:r w:rsidR="64B4FD3E">
        <w:t xml:space="preserve">runt om i landet och </w:t>
      </w:r>
      <w:r w:rsidR="695DE9C0">
        <w:t>Centerpartiet</w:t>
      </w:r>
      <w:r w:rsidR="64B4FD3E">
        <w:t xml:space="preserve"> ser därför att den lokala instansen, kommunerna som finns närmast </w:t>
      </w:r>
      <w:r w:rsidR="39BC50EC">
        <w:t>de berörda företagen kan</w:t>
      </w:r>
      <w:r w:rsidR="32CC84E4">
        <w:t xml:space="preserve"> bidra med de lokala stöd och samarbete som behövs efter lokala förutsättningar</w:t>
      </w:r>
      <w:r w:rsidR="7533C860">
        <w:t>.</w:t>
      </w:r>
      <w:r>
        <w:t xml:space="preserve"> </w:t>
      </w:r>
      <w:r w:rsidR="7C159B0E">
        <w:lastRenderedPageBreak/>
        <w:t xml:space="preserve">Därför satsar vi 30 miljoner kronor för att kommunerna </w:t>
      </w:r>
      <w:r w:rsidR="08F2753D">
        <w:t>i Sveriges lands- och glesbygd åter</w:t>
      </w:r>
      <w:r w:rsidR="7C159B0E">
        <w:t xml:space="preserve">igen ska få möjlighet att stötta det lokala näringslivsklimatet. </w:t>
      </w:r>
    </w:p>
    <w:p w:rsidRPr="00F212E6" w:rsidR="003F2E88" w:rsidP="00F212E6" w:rsidRDefault="003F2E88" w14:paraId="3718C049" w14:textId="7E942183">
      <w:pPr>
        <w:pStyle w:val="Rubrik2"/>
      </w:pPr>
      <w:r w:rsidRPr="00F212E6">
        <w:t>Tillgång till kommersiell service</w:t>
      </w:r>
    </w:p>
    <w:p w:rsidR="00F212E6" w:rsidP="00F212E6" w:rsidRDefault="003F2E88" w14:paraId="61E5B1BF" w14:textId="1CCDFC4C">
      <w:pPr>
        <w:pStyle w:val="Normalutanindragellerluft"/>
        <w:rPr>
          <w:rFonts w:ascii="Times New Roman" w:hAnsi="Times New Roman" w:eastAsia="Times New Roman" w:cs="Times New Roman"/>
        </w:rPr>
      </w:pPr>
      <w:r>
        <w:t>Regionernas insatser för att upprätthålla en tillfredsställande tillgång till kommersiell service är av stor vikt för livskraftiga samhällen. Den lokala butiken eller drivmedels</w:t>
      </w:r>
      <w:r w:rsidR="00F212E6">
        <w:softHyphen/>
      </w:r>
      <w:r>
        <w:t>stationen är ofta en förutsättning för att en mindre ort på landsbygden ska kunna fungera och locka till sig invånare, företag och besökare. Centerpartiet bidrog till att de offent</w:t>
      </w:r>
      <w:r w:rsidR="00F212E6">
        <w:softHyphen/>
      </w:r>
      <w:r>
        <w:t xml:space="preserve">liga satsningarna på stöd till kommersiell service på landsbygden väsentligt ökade under alliansregeringen. Bland annat initierades ett driftsstöd för kommersiell service som bidrar till långsiktiga planeringsförutsättningar för </w:t>
      </w:r>
      <w:proofErr w:type="spellStart"/>
      <w:r>
        <w:t>lanthandlar</w:t>
      </w:r>
      <w:proofErr w:type="spellEnd"/>
      <w:r>
        <w:t xml:space="preserve"> i glesbygd. </w:t>
      </w:r>
      <w:r w:rsidRPr="2309710E" w:rsidR="6F3740F2">
        <w:rPr>
          <w:rFonts w:ascii="Times New Roman" w:hAnsi="Times New Roman" w:eastAsia="Times New Roman" w:cs="Times New Roman"/>
        </w:rPr>
        <w:t xml:space="preserve">Anslaget till kommersiell service på landsbygden är uppdelat mellan åtta olika poster och delas ut av flera olika myndigheter, vissa av Tillväxtverket, vissa av </w:t>
      </w:r>
      <w:r w:rsidR="006375C9">
        <w:rPr>
          <w:rFonts w:ascii="Times New Roman" w:hAnsi="Times New Roman" w:eastAsia="Times New Roman" w:cs="Times New Roman"/>
        </w:rPr>
        <w:t>r</w:t>
      </w:r>
      <w:r w:rsidRPr="2309710E" w:rsidR="6F3740F2">
        <w:rPr>
          <w:rFonts w:ascii="Times New Roman" w:hAnsi="Times New Roman" w:eastAsia="Times New Roman" w:cs="Times New Roman"/>
        </w:rPr>
        <w:t xml:space="preserve">egionerna och länsstyrelserna. </w:t>
      </w:r>
      <w:r w:rsidRPr="00F212E6" w:rsidR="6F3740F2">
        <w:rPr>
          <w:rFonts w:ascii="Times New Roman" w:hAnsi="Times New Roman" w:eastAsia="Times New Roman" w:cs="Times New Roman"/>
          <w:spacing w:val="-2"/>
        </w:rPr>
        <w:t>Detta bör ses över för att säkerställa att medel når företagen och inte fastnar i administra</w:t>
      </w:r>
      <w:r w:rsidRPr="00F212E6" w:rsidR="00F212E6">
        <w:rPr>
          <w:rFonts w:ascii="Times New Roman" w:hAnsi="Times New Roman" w:eastAsia="Times New Roman" w:cs="Times New Roman"/>
          <w:spacing w:val="-2"/>
        </w:rPr>
        <w:softHyphen/>
      </w:r>
      <w:r w:rsidRPr="00F212E6" w:rsidR="6F3740F2">
        <w:rPr>
          <w:rFonts w:ascii="Times New Roman" w:hAnsi="Times New Roman" w:eastAsia="Times New Roman" w:cs="Times New Roman"/>
          <w:spacing w:val="-2"/>
        </w:rPr>
        <w:t>t</w:t>
      </w:r>
      <w:r w:rsidRPr="2309710E" w:rsidR="6F3740F2">
        <w:rPr>
          <w:rFonts w:ascii="Times New Roman" w:hAnsi="Times New Roman" w:eastAsia="Times New Roman" w:cs="Times New Roman"/>
        </w:rPr>
        <w:t>ion. Tillväxtverket måste också se över hur stödet hanteras med så minimal administ</w:t>
      </w:r>
      <w:r w:rsidR="00F212E6">
        <w:rPr>
          <w:rFonts w:ascii="Times New Roman" w:hAnsi="Times New Roman" w:eastAsia="Times New Roman" w:cs="Times New Roman"/>
        </w:rPr>
        <w:softHyphen/>
      </w:r>
      <w:r w:rsidRPr="2309710E" w:rsidR="6F3740F2">
        <w:rPr>
          <w:rFonts w:ascii="Times New Roman" w:hAnsi="Times New Roman" w:eastAsia="Times New Roman" w:cs="Times New Roman"/>
        </w:rPr>
        <w:t>ration som möjligt så att anslagna medel når de näringsidkare de ska.</w:t>
      </w:r>
    </w:p>
    <w:p w:rsidRPr="00F212E6" w:rsidR="003F2E88" w:rsidP="00F212E6" w:rsidRDefault="003F2E88" w14:paraId="4700621B" w14:textId="1AB9B872">
      <w:pPr>
        <w:pStyle w:val="Rubrik2"/>
      </w:pPr>
      <w:r w:rsidRPr="00F212E6">
        <w:t>Centerpartiets överväganden </w:t>
      </w:r>
    </w:p>
    <w:p w:rsidRPr="00F212E6" w:rsidR="003F2E88" w:rsidP="00F212E6" w:rsidRDefault="6D64FD51" w14:paraId="68DA7C4E" w14:textId="2EE284EC">
      <w:pPr>
        <w:pStyle w:val="Tabellrubrik"/>
      </w:pPr>
      <w:r w:rsidRPr="00F212E6">
        <w:t xml:space="preserve">Anslagsförslag </w:t>
      </w:r>
      <w:r w:rsidRPr="00F212E6" w:rsidR="006375C9">
        <w:t xml:space="preserve">för </w:t>
      </w:r>
      <w:r w:rsidRPr="00F212E6">
        <w:t>2025 för utgiftsområde 19 Regional utveckling</w:t>
      </w:r>
    </w:p>
    <w:p w:rsidRPr="00F212E6" w:rsidR="003F2E88" w:rsidP="00F212E6" w:rsidRDefault="6D64FD51" w14:paraId="17E2FBC5" w14:textId="3A8BCA9A">
      <w:pPr>
        <w:pStyle w:val="Tabellunderrubrik"/>
      </w:pPr>
      <w:r w:rsidRPr="00F212E6">
        <w:t>Tusental kronor</w:t>
      </w:r>
    </w:p>
    <w:tbl>
      <w:tblPr>
        <w:tblW w:w="8505" w:type="dxa"/>
        <w:tblLayout w:type="fixed"/>
        <w:tblLook w:val="06A0" w:firstRow="1" w:lastRow="0" w:firstColumn="1" w:lastColumn="0" w:noHBand="1" w:noVBand="1"/>
      </w:tblPr>
      <w:tblGrid>
        <w:gridCol w:w="567"/>
        <w:gridCol w:w="4477"/>
        <w:gridCol w:w="1730"/>
        <w:gridCol w:w="1731"/>
      </w:tblGrid>
      <w:tr w:rsidRPr="00F212E6" w:rsidR="2309710E" w:rsidTr="00F212E6" w14:paraId="2C12B53E" w14:textId="77777777">
        <w:trPr>
          <w:trHeight w:val="165"/>
        </w:trPr>
        <w:tc>
          <w:tcPr>
            <w:tcW w:w="5044" w:type="dxa"/>
            <w:gridSpan w:val="2"/>
            <w:tcBorders>
              <w:top w:val="single" w:color="auto" w:sz="4" w:space="0"/>
              <w:bottom w:val="single" w:color="auto" w:sz="4" w:space="0"/>
            </w:tcBorders>
            <w:shd w:val="clear" w:color="auto" w:fill="FFFFFF" w:themeFill="background1"/>
          </w:tcPr>
          <w:p w:rsidRPr="00F212E6" w:rsidR="2309710E" w:rsidP="00F212E6" w:rsidRDefault="2309710E" w14:paraId="02C06163" w14:textId="057AFF19">
            <w:pPr>
              <w:pStyle w:val="Normalutanindragellerluft"/>
              <w:spacing w:line="240" w:lineRule="exact"/>
              <w:rPr>
                <w:rFonts w:eastAsia="Times New Roman"/>
                <w:b/>
                <w:bCs/>
                <w:sz w:val="20"/>
                <w:szCs w:val="20"/>
              </w:rPr>
            </w:pPr>
            <w:r w:rsidRPr="00F212E6">
              <w:rPr>
                <w:rFonts w:eastAsia="Times New Roman"/>
                <w:b/>
                <w:bCs/>
                <w:sz w:val="20"/>
                <w:szCs w:val="20"/>
              </w:rPr>
              <w:t>Ramanslag</w:t>
            </w:r>
          </w:p>
        </w:tc>
        <w:tc>
          <w:tcPr>
            <w:tcW w:w="1730" w:type="dxa"/>
            <w:tcBorders>
              <w:top w:val="single" w:color="auto" w:sz="4" w:space="0"/>
              <w:bottom w:val="single" w:color="auto" w:sz="4" w:space="0"/>
            </w:tcBorders>
            <w:shd w:val="clear" w:color="auto" w:fill="FFFFFF" w:themeFill="background1"/>
            <w:tcMar>
              <w:bottom w:w="20" w:type="dxa"/>
            </w:tcMar>
            <w:vAlign w:val="bottom"/>
          </w:tcPr>
          <w:p w:rsidRPr="00F212E6" w:rsidR="2309710E" w:rsidP="00F212E6" w:rsidRDefault="2309710E" w14:paraId="0C36C9DF" w14:textId="4F1E3283">
            <w:pPr>
              <w:pStyle w:val="Normalutanindragellerluft"/>
              <w:spacing w:line="240" w:lineRule="exact"/>
              <w:jc w:val="right"/>
              <w:rPr>
                <w:rFonts w:eastAsia="Times New Roman"/>
                <w:b/>
                <w:bCs/>
                <w:sz w:val="20"/>
                <w:szCs w:val="20"/>
              </w:rPr>
            </w:pPr>
            <w:r w:rsidRPr="00F212E6">
              <w:rPr>
                <w:rFonts w:eastAsia="Times New Roman"/>
                <w:b/>
                <w:bCs/>
                <w:sz w:val="20"/>
                <w:szCs w:val="20"/>
              </w:rPr>
              <w:t>Regeringens förslag</w:t>
            </w:r>
          </w:p>
        </w:tc>
        <w:tc>
          <w:tcPr>
            <w:tcW w:w="1731" w:type="dxa"/>
            <w:tcBorders>
              <w:top w:val="single" w:color="auto" w:sz="4" w:space="0"/>
              <w:bottom w:val="single" w:color="auto" w:sz="4" w:space="0"/>
            </w:tcBorders>
            <w:shd w:val="clear" w:color="auto" w:fill="FFFFFF" w:themeFill="background1"/>
            <w:vAlign w:val="bottom"/>
          </w:tcPr>
          <w:p w:rsidRPr="00F212E6" w:rsidR="2309710E" w:rsidP="00F212E6" w:rsidRDefault="2309710E" w14:paraId="5E03EF52" w14:textId="35F11CC3">
            <w:pPr>
              <w:pStyle w:val="Normalutanindragellerluft"/>
              <w:spacing w:line="240" w:lineRule="exact"/>
              <w:jc w:val="right"/>
              <w:rPr>
                <w:rFonts w:eastAsia="Times New Roman"/>
                <w:b/>
                <w:bCs/>
                <w:sz w:val="20"/>
                <w:szCs w:val="20"/>
              </w:rPr>
            </w:pPr>
            <w:r w:rsidRPr="00F212E6">
              <w:rPr>
                <w:rFonts w:eastAsia="Times New Roman"/>
                <w:b/>
                <w:bCs/>
                <w:sz w:val="20"/>
                <w:szCs w:val="20"/>
              </w:rPr>
              <w:t>Avvikelse från regeringen</w:t>
            </w:r>
          </w:p>
        </w:tc>
      </w:tr>
      <w:tr w:rsidRPr="00F212E6" w:rsidR="2309710E" w:rsidTr="00F212E6" w14:paraId="2BEE7DF1" w14:textId="77777777">
        <w:trPr>
          <w:trHeight w:val="165"/>
        </w:trPr>
        <w:tc>
          <w:tcPr>
            <w:tcW w:w="567" w:type="dxa"/>
            <w:tcBorders>
              <w:top w:val="single" w:color="auto" w:sz="4" w:space="0"/>
            </w:tcBorders>
            <w:shd w:val="clear" w:color="auto" w:fill="FFFFFF" w:themeFill="background1"/>
          </w:tcPr>
          <w:p w:rsidRPr="00F212E6" w:rsidR="2309710E" w:rsidP="00F212E6" w:rsidRDefault="2309710E" w14:paraId="051D70AD" w14:textId="5B27C839">
            <w:pPr>
              <w:pStyle w:val="Normalutanindragellerluft"/>
              <w:spacing w:line="240" w:lineRule="exact"/>
              <w:rPr>
                <w:rFonts w:eastAsia="Times New Roman"/>
                <w:sz w:val="20"/>
                <w:szCs w:val="20"/>
              </w:rPr>
            </w:pPr>
            <w:r w:rsidRPr="00F212E6">
              <w:rPr>
                <w:rFonts w:eastAsia="Times New Roman"/>
                <w:sz w:val="20"/>
                <w:szCs w:val="20"/>
              </w:rPr>
              <w:t>1:1</w:t>
            </w:r>
          </w:p>
        </w:tc>
        <w:tc>
          <w:tcPr>
            <w:tcW w:w="4477" w:type="dxa"/>
            <w:tcBorders>
              <w:top w:val="single" w:color="auto" w:sz="4" w:space="0"/>
            </w:tcBorders>
            <w:shd w:val="clear" w:color="auto" w:fill="FFFFFF" w:themeFill="background1"/>
            <w:vAlign w:val="center"/>
          </w:tcPr>
          <w:p w:rsidRPr="00F212E6" w:rsidR="2309710E" w:rsidP="00F212E6" w:rsidRDefault="2309710E" w14:paraId="14A1D72B" w14:textId="08F195A4">
            <w:pPr>
              <w:pStyle w:val="Normalutanindragellerluft"/>
              <w:spacing w:line="240" w:lineRule="exact"/>
              <w:rPr>
                <w:rFonts w:eastAsia="Times New Roman"/>
                <w:sz w:val="20"/>
                <w:szCs w:val="20"/>
              </w:rPr>
            </w:pPr>
            <w:r w:rsidRPr="00F212E6">
              <w:rPr>
                <w:rFonts w:eastAsia="Times New Roman"/>
                <w:sz w:val="20"/>
                <w:szCs w:val="20"/>
              </w:rPr>
              <w:t>Regionala utvecklingsåtgärder</w:t>
            </w:r>
          </w:p>
        </w:tc>
        <w:tc>
          <w:tcPr>
            <w:tcW w:w="1730" w:type="dxa"/>
            <w:tcBorders>
              <w:top w:val="single" w:color="auto" w:sz="4" w:space="0"/>
            </w:tcBorders>
            <w:shd w:val="clear" w:color="auto" w:fill="FFFFFF" w:themeFill="background1"/>
            <w:vAlign w:val="bottom"/>
          </w:tcPr>
          <w:p w:rsidRPr="00F212E6" w:rsidR="2309710E" w:rsidP="00F212E6" w:rsidRDefault="2309710E" w14:paraId="0458584D" w14:textId="25B69713">
            <w:pPr>
              <w:pStyle w:val="Normalutanindragellerluft"/>
              <w:spacing w:line="240" w:lineRule="exact"/>
              <w:jc w:val="right"/>
              <w:rPr>
                <w:rFonts w:eastAsia="Times New Roman"/>
                <w:sz w:val="20"/>
                <w:szCs w:val="20"/>
              </w:rPr>
            </w:pPr>
            <w:r w:rsidRPr="00F212E6">
              <w:rPr>
                <w:rFonts w:eastAsia="Times New Roman"/>
                <w:sz w:val="20"/>
                <w:szCs w:val="20"/>
              </w:rPr>
              <w:t>2 012 337</w:t>
            </w:r>
          </w:p>
        </w:tc>
        <w:tc>
          <w:tcPr>
            <w:tcW w:w="1731" w:type="dxa"/>
            <w:tcBorders>
              <w:top w:val="single" w:color="auto" w:sz="4" w:space="0"/>
            </w:tcBorders>
            <w:shd w:val="clear" w:color="auto" w:fill="FFFFFF" w:themeFill="background1"/>
            <w:vAlign w:val="bottom"/>
          </w:tcPr>
          <w:p w:rsidRPr="00F212E6" w:rsidR="2309710E" w:rsidP="00F212E6" w:rsidRDefault="2309710E" w14:paraId="12011845" w14:textId="2C40ECD6">
            <w:pPr>
              <w:pStyle w:val="Normalutanindragellerluft"/>
              <w:spacing w:line="240" w:lineRule="exact"/>
              <w:jc w:val="right"/>
              <w:rPr>
                <w:rFonts w:eastAsia="Times New Roman"/>
                <w:sz w:val="20"/>
                <w:szCs w:val="20"/>
              </w:rPr>
            </w:pPr>
            <w:r w:rsidRPr="00F212E6">
              <w:rPr>
                <w:rFonts w:eastAsia="Times New Roman"/>
                <w:sz w:val="20"/>
                <w:szCs w:val="20"/>
              </w:rPr>
              <w:t>55 000</w:t>
            </w:r>
          </w:p>
        </w:tc>
      </w:tr>
      <w:tr w:rsidRPr="00F212E6" w:rsidR="2309710E" w:rsidTr="00F212E6" w14:paraId="0C671918" w14:textId="77777777">
        <w:trPr>
          <w:trHeight w:val="165"/>
        </w:trPr>
        <w:tc>
          <w:tcPr>
            <w:tcW w:w="567" w:type="dxa"/>
            <w:shd w:val="clear" w:color="auto" w:fill="FFFFFF" w:themeFill="background1"/>
          </w:tcPr>
          <w:p w:rsidRPr="00F212E6" w:rsidR="2309710E" w:rsidP="00F212E6" w:rsidRDefault="2309710E" w14:paraId="6B60F4BD" w14:textId="7F22DB85">
            <w:pPr>
              <w:pStyle w:val="Normalutanindragellerluft"/>
              <w:spacing w:line="240" w:lineRule="exact"/>
              <w:rPr>
                <w:rFonts w:eastAsia="Times New Roman"/>
                <w:sz w:val="20"/>
                <w:szCs w:val="20"/>
              </w:rPr>
            </w:pPr>
            <w:r w:rsidRPr="00F212E6">
              <w:rPr>
                <w:rFonts w:eastAsia="Times New Roman"/>
                <w:sz w:val="20"/>
                <w:szCs w:val="20"/>
              </w:rPr>
              <w:t>1:2</w:t>
            </w:r>
          </w:p>
        </w:tc>
        <w:tc>
          <w:tcPr>
            <w:tcW w:w="4477" w:type="dxa"/>
            <w:shd w:val="clear" w:color="auto" w:fill="FFFFFF" w:themeFill="background1"/>
            <w:vAlign w:val="center"/>
          </w:tcPr>
          <w:p w:rsidRPr="00F212E6" w:rsidR="2309710E" w:rsidP="00F212E6" w:rsidRDefault="2309710E" w14:paraId="7C701B84" w14:textId="75646767">
            <w:pPr>
              <w:pStyle w:val="Normalutanindragellerluft"/>
              <w:spacing w:line="240" w:lineRule="exact"/>
              <w:rPr>
                <w:rFonts w:eastAsia="Times New Roman"/>
                <w:sz w:val="20"/>
                <w:szCs w:val="20"/>
              </w:rPr>
            </w:pPr>
            <w:r w:rsidRPr="00F212E6">
              <w:rPr>
                <w:rFonts w:eastAsia="Times New Roman"/>
                <w:sz w:val="20"/>
                <w:szCs w:val="20"/>
              </w:rPr>
              <w:t>Transportbidrag</w:t>
            </w:r>
          </w:p>
        </w:tc>
        <w:tc>
          <w:tcPr>
            <w:tcW w:w="1730" w:type="dxa"/>
            <w:shd w:val="clear" w:color="auto" w:fill="FFFFFF" w:themeFill="background1"/>
            <w:vAlign w:val="bottom"/>
          </w:tcPr>
          <w:p w:rsidRPr="00F212E6" w:rsidR="2309710E" w:rsidP="00F212E6" w:rsidRDefault="2309710E" w14:paraId="5C6A1E6F" w14:textId="41D0BE10">
            <w:pPr>
              <w:pStyle w:val="Normalutanindragellerluft"/>
              <w:spacing w:line="240" w:lineRule="exact"/>
              <w:jc w:val="right"/>
              <w:rPr>
                <w:rFonts w:eastAsia="Times New Roman"/>
                <w:sz w:val="20"/>
                <w:szCs w:val="20"/>
              </w:rPr>
            </w:pPr>
            <w:r w:rsidRPr="00F212E6">
              <w:rPr>
                <w:rFonts w:eastAsia="Times New Roman"/>
                <w:sz w:val="20"/>
                <w:szCs w:val="20"/>
              </w:rPr>
              <w:t>549 864</w:t>
            </w:r>
          </w:p>
        </w:tc>
        <w:tc>
          <w:tcPr>
            <w:tcW w:w="1731" w:type="dxa"/>
            <w:shd w:val="clear" w:color="auto" w:fill="FFFFFF" w:themeFill="background1"/>
            <w:vAlign w:val="bottom"/>
          </w:tcPr>
          <w:p w:rsidRPr="00F212E6" w:rsidR="2309710E" w:rsidP="00F212E6" w:rsidRDefault="2309710E" w14:paraId="3B13D92F" w14:textId="40D896E1">
            <w:pPr>
              <w:pStyle w:val="Normalutanindragellerluft"/>
              <w:spacing w:line="240" w:lineRule="exact"/>
              <w:jc w:val="right"/>
              <w:rPr>
                <w:rFonts w:eastAsia="Times New Roman"/>
                <w:sz w:val="20"/>
                <w:szCs w:val="20"/>
              </w:rPr>
            </w:pPr>
            <w:r w:rsidRPr="00F212E6">
              <w:rPr>
                <w:rFonts w:eastAsia="Times New Roman"/>
                <w:sz w:val="20"/>
                <w:szCs w:val="20"/>
              </w:rPr>
              <w:t>±0</w:t>
            </w:r>
          </w:p>
        </w:tc>
      </w:tr>
      <w:tr w:rsidRPr="00F212E6" w:rsidR="2309710E" w:rsidTr="00F212E6" w14:paraId="05648646" w14:textId="77777777">
        <w:trPr>
          <w:trHeight w:val="165"/>
        </w:trPr>
        <w:tc>
          <w:tcPr>
            <w:tcW w:w="567" w:type="dxa"/>
            <w:shd w:val="clear" w:color="auto" w:fill="FFFFFF" w:themeFill="background1"/>
          </w:tcPr>
          <w:p w:rsidRPr="00F212E6" w:rsidR="2309710E" w:rsidP="00F212E6" w:rsidRDefault="2309710E" w14:paraId="23602EA4" w14:textId="291E6385">
            <w:pPr>
              <w:pStyle w:val="Normalutanindragellerluft"/>
              <w:spacing w:line="240" w:lineRule="exact"/>
              <w:rPr>
                <w:rFonts w:eastAsia="Times New Roman"/>
                <w:sz w:val="20"/>
                <w:szCs w:val="20"/>
              </w:rPr>
            </w:pPr>
            <w:r w:rsidRPr="00F212E6">
              <w:rPr>
                <w:rFonts w:eastAsia="Times New Roman"/>
                <w:sz w:val="20"/>
                <w:szCs w:val="20"/>
              </w:rPr>
              <w:t>1:3</w:t>
            </w:r>
          </w:p>
        </w:tc>
        <w:tc>
          <w:tcPr>
            <w:tcW w:w="4477" w:type="dxa"/>
            <w:shd w:val="clear" w:color="auto" w:fill="FFFFFF" w:themeFill="background1"/>
            <w:vAlign w:val="center"/>
          </w:tcPr>
          <w:p w:rsidRPr="00F212E6" w:rsidR="2309710E" w:rsidP="00F212E6" w:rsidRDefault="2309710E" w14:paraId="5E681909" w14:textId="3CA54431">
            <w:pPr>
              <w:pStyle w:val="Normalutanindragellerluft"/>
              <w:spacing w:line="240" w:lineRule="exact"/>
              <w:rPr>
                <w:rFonts w:eastAsia="Times New Roman"/>
                <w:sz w:val="20"/>
                <w:szCs w:val="20"/>
              </w:rPr>
            </w:pPr>
            <w:r w:rsidRPr="00F212E6">
              <w:rPr>
                <w:rFonts w:eastAsia="Times New Roman"/>
                <w:sz w:val="20"/>
                <w:szCs w:val="20"/>
              </w:rPr>
              <w:t xml:space="preserve">Europeiska regionala utvecklingsfonden och Fonden för en rättvis </w:t>
            </w:r>
            <w:proofErr w:type="gramStart"/>
            <w:r w:rsidRPr="00F212E6">
              <w:rPr>
                <w:rFonts w:eastAsia="Times New Roman"/>
                <w:sz w:val="20"/>
                <w:szCs w:val="20"/>
              </w:rPr>
              <w:t>omställning perioden</w:t>
            </w:r>
            <w:proofErr w:type="gramEnd"/>
            <w:r w:rsidRPr="00F212E6">
              <w:rPr>
                <w:rFonts w:eastAsia="Times New Roman"/>
                <w:sz w:val="20"/>
                <w:szCs w:val="20"/>
              </w:rPr>
              <w:t xml:space="preserve"> 2021–2027</w:t>
            </w:r>
          </w:p>
        </w:tc>
        <w:tc>
          <w:tcPr>
            <w:tcW w:w="1730" w:type="dxa"/>
            <w:shd w:val="clear" w:color="auto" w:fill="FFFFFF" w:themeFill="background1"/>
            <w:vAlign w:val="bottom"/>
          </w:tcPr>
          <w:p w:rsidRPr="00F212E6" w:rsidR="2309710E" w:rsidP="00F212E6" w:rsidRDefault="2309710E" w14:paraId="48040334" w14:textId="53495900">
            <w:pPr>
              <w:pStyle w:val="Normalutanindragellerluft"/>
              <w:spacing w:line="240" w:lineRule="exact"/>
              <w:jc w:val="right"/>
              <w:rPr>
                <w:rFonts w:eastAsia="Times New Roman"/>
                <w:sz w:val="20"/>
                <w:szCs w:val="20"/>
              </w:rPr>
            </w:pPr>
            <w:r w:rsidRPr="00F212E6">
              <w:rPr>
                <w:rFonts w:eastAsia="Times New Roman"/>
                <w:sz w:val="20"/>
                <w:szCs w:val="20"/>
              </w:rPr>
              <w:t>1 732 000</w:t>
            </w:r>
          </w:p>
        </w:tc>
        <w:tc>
          <w:tcPr>
            <w:tcW w:w="1731" w:type="dxa"/>
            <w:shd w:val="clear" w:color="auto" w:fill="FFFFFF" w:themeFill="background1"/>
            <w:vAlign w:val="bottom"/>
          </w:tcPr>
          <w:p w:rsidRPr="00F212E6" w:rsidR="2309710E" w:rsidP="00F212E6" w:rsidRDefault="2309710E" w14:paraId="4CF4CB0D" w14:textId="1C4FC83D">
            <w:pPr>
              <w:pStyle w:val="Normalutanindragellerluft"/>
              <w:spacing w:line="240" w:lineRule="exact"/>
              <w:jc w:val="right"/>
              <w:rPr>
                <w:rFonts w:eastAsia="Times New Roman"/>
                <w:sz w:val="20"/>
                <w:szCs w:val="20"/>
              </w:rPr>
            </w:pPr>
            <w:r w:rsidRPr="00F212E6">
              <w:rPr>
                <w:rFonts w:eastAsia="Times New Roman"/>
                <w:sz w:val="20"/>
                <w:szCs w:val="20"/>
              </w:rPr>
              <w:t>±0</w:t>
            </w:r>
          </w:p>
        </w:tc>
      </w:tr>
      <w:tr w:rsidRPr="00F212E6" w:rsidR="2309710E" w:rsidTr="00F212E6" w14:paraId="6EE6DCCF" w14:textId="77777777">
        <w:trPr>
          <w:trHeight w:val="165"/>
        </w:trPr>
        <w:tc>
          <w:tcPr>
            <w:tcW w:w="5044" w:type="dxa"/>
            <w:gridSpan w:val="2"/>
            <w:tcBorders>
              <w:bottom w:val="single" w:color="auto" w:sz="4" w:space="0"/>
            </w:tcBorders>
            <w:shd w:val="clear" w:color="auto" w:fill="FFFFFF" w:themeFill="background1"/>
            <w:tcMar>
              <w:bottom w:w="20" w:type="dxa"/>
            </w:tcMar>
            <w:vAlign w:val="center"/>
          </w:tcPr>
          <w:p w:rsidRPr="00F212E6" w:rsidR="2309710E" w:rsidP="00F212E6" w:rsidRDefault="2309710E" w14:paraId="548FDDCB" w14:textId="3635B9CF">
            <w:pPr>
              <w:pStyle w:val="Normalutanindragellerluft"/>
              <w:spacing w:line="240" w:lineRule="exact"/>
              <w:rPr>
                <w:rFonts w:eastAsia="Times New Roman"/>
                <w:b/>
                <w:bCs/>
                <w:sz w:val="20"/>
                <w:szCs w:val="20"/>
              </w:rPr>
            </w:pPr>
            <w:r w:rsidRPr="00F212E6">
              <w:rPr>
                <w:rFonts w:eastAsia="Times New Roman"/>
                <w:b/>
                <w:bCs/>
                <w:sz w:val="20"/>
                <w:szCs w:val="20"/>
              </w:rPr>
              <w:t>Summa</w:t>
            </w:r>
          </w:p>
        </w:tc>
        <w:tc>
          <w:tcPr>
            <w:tcW w:w="1730" w:type="dxa"/>
            <w:tcBorders>
              <w:bottom w:val="single" w:color="auto" w:sz="4" w:space="0"/>
            </w:tcBorders>
            <w:shd w:val="clear" w:color="auto" w:fill="FFFFFF" w:themeFill="background1"/>
            <w:tcMar>
              <w:bottom w:w="20" w:type="dxa"/>
            </w:tcMar>
            <w:vAlign w:val="bottom"/>
          </w:tcPr>
          <w:p w:rsidRPr="00F212E6" w:rsidR="2309710E" w:rsidP="00F212E6" w:rsidRDefault="2309710E" w14:paraId="008DCDED" w14:textId="2D6920AA">
            <w:pPr>
              <w:pStyle w:val="Normalutanindragellerluft"/>
              <w:spacing w:line="240" w:lineRule="exact"/>
              <w:jc w:val="right"/>
              <w:rPr>
                <w:rFonts w:eastAsia="Times New Roman"/>
                <w:b/>
                <w:bCs/>
                <w:sz w:val="20"/>
                <w:szCs w:val="20"/>
              </w:rPr>
            </w:pPr>
            <w:r w:rsidRPr="00F212E6">
              <w:rPr>
                <w:rFonts w:eastAsia="Times New Roman"/>
                <w:b/>
                <w:bCs/>
                <w:sz w:val="20"/>
                <w:szCs w:val="20"/>
              </w:rPr>
              <w:t>4 294 201</w:t>
            </w:r>
          </w:p>
        </w:tc>
        <w:tc>
          <w:tcPr>
            <w:tcW w:w="1731" w:type="dxa"/>
            <w:tcBorders>
              <w:bottom w:val="single" w:color="auto" w:sz="4" w:space="0"/>
            </w:tcBorders>
            <w:shd w:val="clear" w:color="auto" w:fill="FFFFFF" w:themeFill="background1"/>
            <w:tcMar>
              <w:bottom w:w="20" w:type="dxa"/>
            </w:tcMar>
            <w:vAlign w:val="bottom"/>
          </w:tcPr>
          <w:p w:rsidRPr="00F212E6" w:rsidR="2309710E" w:rsidP="00F212E6" w:rsidRDefault="2309710E" w14:paraId="3E74BA61" w14:textId="51CAA9FA">
            <w:pPr>
              <w:pStyle w:val="Normalutanindragellerluft"/>
              <w:spacing w:line="240" w:lineRule="exact"/>
              <w:jc w:val="right"/>
              <w:rPr>
                <w:rFonts w:eastAsia="Times New Roman"/>
                <w:b/>
                <w:bCs/>
                <w:sz w:val="20"/>
                <w:szCs w:val="20"/>
              </w:rPr>
            </w:pPr>
            <w:r w:rsidRPr="00F212E6">
              <w:rPr>
                <w:rFonts w:eastAsia="Times New Roman"/>
                <w:b/>
                <w:bCs/>
                <w:sz w:val="20"/>
                <w:szCs w:val="20"/>
              </w:rPr>
              <w:t>55 000</w:t>
            </w:r>
          </w:p>
        </w:tc>
      </w:tr>
    </w:tbl>
    <w:p w:rsidR="00F212E6" w:rsidP="00F212E6" w:rsidRDefault="64C076E2" w14:paraId="24E7454A" w14:textId="77777777">
      <w:pPr>
        <w:pStyle w:val="Normalutanindragellerluft"/>
        <w:spacing w:before="150"/>
        <w:rPr>
          <w:rFonts w:eastAsia="Times New Roman"/>
        </w:rPr>
      </w:pPr>
      <w:r w:rsidRPr="006375C9">
        <w:rPr>
          <w:rFonts w:eastAsia="Times New Roman"/>
        </w:rPr>
        <w:t xml:space="preserve">Centerpartiet föreslår ett stärkt stöd till lokal service på landsbygden, så som </w:t>
      </w:r>
      <w:proofErr w:type="spellStart"/>
      <w:r w:rsidRPr="006375C9">
        <w:rPr>
          <w:rFonts w:eastAsia="Times New Roman"/>
        </w:rPr>
        <w:t>lanthandlar</w:t>
      </w:r>
      <w:proofErr w:type="spellEnd"/>
      <w:r w:rsidRPr="006375C9">
        <w:rPr>
          <w:rFonts w:eastAsia="Times New Roman"/>
        </w:rPr>
        <w:t xml:space="preserve"> och drivmedelsstationer, och därför ökar anslag 1:1 med 25 miljoner kronor 2025 och 50 miljoner kronor åren därefter. Vi föreslår också att de av Centerpartiet införda medlen för lokalt arbete med företagsklimat och näringslivsutveckling som regeringen har dragit undan återinförs, varför anslag 1:1 ökar med 30 miljoner 2025, 40 miljoner 2026 och 70 miljoner 2027.  </w:t>
      </w:r>
    </w:p>
    <w:sdt>
      <w:sdtPr>
        <w:alias w:val="CC_Underskrifter"/>
        <w:tag w:val="CC_Underskrifter"/>
        <w:id w:val="583496634"/>
        <w:lock w:val="sdtContentLocked"/>
        <w:placeholder>
          <w:docPart w:val="68281A700DAD4DF5BDF5BC3D5CC9CA6A"/>
        </w:placeholder>
      </w:sdtPr>
      <w:sdtEndPr/>
      <w:sdtContent>
        <w:p w:rsidR="009176C8" w:rsidP="009176C8" w:rsidRDefault="009176C8" w14:paraId="011FC1B6" w14:textId="43E0DF67"/>
        <w:p w:rsidRPr="008E0FE2" w:rsidR="004801AC" w:rsidP="009176C8" w:rsidRDefault="006F4792" w14:paraId="2896A459" w14:textId="3CD09645"/>
      </w:sdtContent>
    </w:sdt>
    <w:tbl>
      <w:tblPr>
        <w:tblW w:w="5000" w:type="pct"/>
        <w:tblLook w:val="04A0" w:firstRow="1" w:lastRow="0" w:firstColumn="1" w:lastColumn="0" w:noHBand="0" w:noVBand="1"/>
        <w:tblCaption w:val="underskrifter"/>
      </w:tblPr>
      <w:tblGrid>
        <w:gridCol w:w="4252"/>
        <w:gridCol w:w="4252"/>
      </w:tblGrid>
      <w:tr w:rsidR="00A50317" w14:paraId="7F44FB6A" w14:textId="77777777">
        <w:trPr>
          <w:cantSplit/>
        </w:trPr>
        <w:tc>
          <w:tcPr>
            <w:tcW w:w="50" w:type="pct"/>
            <w:vAlign w:val="bottom"/>
          </w:tcPr>
          <w:p w:rsidR="00A50317" w:rsidRDefault="006375C9" w14:paraId="4E7EE72C" w14:textId="77777777">
            <w:pPr>
              <w:pStyle w:val="Underskrifter"/>
              <w:spacing w:after="0"/>
            </w:pPr>
            <w:r>
              <w:t>Elisabeth Thand Ringqvist (C)</w:t>
            </w:r>
          </w:p>
        </w:tc>
        <w:tc>
          <w:tcPr>
            <w:tcW w:w="50" w:type="pct"/>
            <w:vAlign w:val="bottom"/>
          </w:tcPr>
          <w:p w:rsidR="00A50317" w:rsidRDefault="00A50317" w14:paraId="75775D58" w14:textId="77777777">
            <w:pPr>
              <w:pStyle w:val="Underskrifter"/>
              <w:spacing w:after="0"/>
            </w:pPr>
          </w:p>
        </w:tc>
      </w:tr>
      <w:tr w:rsidR="00A50317" w14:paraId="75AF294D" w14:textId="77777777">
        <w:trPr>
          <w:cantSplit/>
        </w:trPr>
        <w:tc>
          <w:tcPr>
            <w:tcW w:w="50" w:type="pct"/>
            <w:vAlign w:val="bottom"/>
          </w:tcPr>
          <w:p w:rsidR="00A50317" w:rsidRDefault="006375C9" w14:paraId="146E1ADB" w14:textId="77777777">
            <w:pPr>
              <w:pStyle w:val="Underskrifter"/>
              <w:spacing w:after="0"/>
            </w:pPr>
            <w:r>
              <w:t>Rickard Nordin (C)</w:t>
            </w:r>
          </w:p>
        </w:tc>
        <w:tc>
          <w:tcPr>
            <w:tcW w:w="50" w:type="pct"/>
            <w:vAlign w:val="bottom"/>
          </w:tcPr>
          <w:p w:rsidR="00A50317" w:rsidRDefault="006375C9" w14:paraId="5F08F516" w14:textId="77777777">
            <w:pPr>
              <w:pStyle w:val="Underskrifter"/>
              <w:spacing w:after="0"/>
            </w:pPr>
            <w:r>
              <w:t>Anders Ådahl (C)</w:t>
            </w:r>
          </w:p>
        </w:tc>
      </w:tr>
    </w:tbl>
    <w:p w:rsidR="00A50317" w:rsidRDefault="00A50317" w14:paraId="4F62F9F9" w14:textId="77777777"/>
    <w:sectPr w:rsidR="00A503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B06B" w14:textId="77777777" w:rsidR="001D0483" w:rsidRDefault="001D0483" w:rsidP="000C1CAD">
      <w:pPr>
        <w:spacing w:line="240" w:lineRule="auto"/>
      </w:pPr>
      <w:r>
        <w:separator/>
      </w:r>
    </w:p>
  </w:endnote>
  <w:endnote w:type="continuationSeparator" w:id="0">
    <w:p w14:paraId="364A69F4" w14:textId="77777777" w:rsidR="001D0483" w:rsidRDefault="001D0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A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F5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198E" w14:textId="7B10CFE7" w:rsidR="00262EA3" w:rsidRPr="009176C8" w:rsidRDefault="00262EA3" w:rsidP="009176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0192" w14:textId="77777777" w:rsidR="001D0483" w:rsidRDefault="001D0483" w:rsidP="000C1CAD">
      <w:pPr>
        <w:spacing w:line="240" w:lineRule="auto"/>
      </w:pPr>
      <w:r>
        <w:separator/>
      </w:r>
    </w:p>
  </w:footnote>
  <w:footnote w:type="continuationSeparator" w:id="0">
    <w:p w14:paraId="4C493F91" w14:textId="77777777" w:rsidR="001D0483" w:rsidRDefault="001D04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8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C954B" wp14:editId="54282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84738" w14:textId="062556DE" w:rsidR="00262EA3" w:rsidRDefault="006F4792" w:rsidP="008103B5">
                          <w:pPr>
                            <w:jc w:val="right"/>
                          </w:pPr>
                          <w:sdt>
                            <w:sdtPr>
                              <w:alias w:val="CC_Noformat_Partikod"/>
                              <w:tag w:val="CC_Noformat_Partikod"/>
                              <w:id w:val="-53464382"/>
                              <w:text/>
                            </w:sdtPr>
                            <w:sdtEndPr/>
                            <w:sdtContent>
                              <w:r w:rsidR="003F2E8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C9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84738" w14:textId="062556DE" w:rsidR="00262EA3" w:rsidRDefault="006F4792" w:rsidP="008103B5">
                    <w:pPr>
                      <w:jc w:val="right"/>
                    </w:pPr>
                    <w:sdt>
                      <w:sdtPr>
                        <w:alias w:val="CC_Noformat_Partikod"/>
                        <w:tag w:val="CC_Noformat_Partikod"/>
                        <w:id w:val="-53464382"/>
                        <w:text/>
                      </w:sdtPr>
                      <w:sdtEndPr/>
                      <w:sdtContent>
                        <w:r w:rsidR="003F2E8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D444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B05F" w14:textId="77777777" w:rsidR="00262EA3" w:rsidRDefault="00262EA3" w:rsidP="008563AC">
    <w:pPr>
      <w:jc w:val="right"/>
    </w:pPr>
  </w:p>
  <w:p w14:paraId="55441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9C32" w14:textId="77777777" w:rsidR="00262EA3" w:rsidRDefault="006F47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1323F" wp14:editId="2E716A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DE0342" w14:textId="3788D12A" w:rsidR="00262EA3" w:rsidRDefault="006F4792" w:rsidP="00A314CF">
    <w:pPr>
      <w:pStyle w:val="FSHNormal"/>
      <w:spacing w:before="40"/>
    </w:pPr>
    <w:sdt>
      <w:sdtPr>
        <w:alias w:val="CC_Noformat_Motionstyp"/>
        <w:tag w:val="CC_Noformat_Motionstyp"/>
        <w:id w:val="1162973129"/>
        <w:lock w:val="sdtContentLocked"/>
        <w15:appearance w15:val="hidden"/>
        <w:text/>
      </w:sdtPr>
      <w:sdtEndPr/>
      <w:sdtContent>
        <w:r w:rsidR="009176C8">
          <w:t>Kommittémotion</w:t>
        </w:r>
      </w:sdtContent>
    </w:sdt>
    <w:r w:rsidR="00821B36">
      <w:t xml:space="preserve"> </w:t>
    </w:r>
    <w:sdt>
      <w:sdtPr>
        <w:alias w:val="CC_Noformat_Partikod"/>
        <w:tag w:val="CC_Noformat_Partikod"/>
        <w:id w:val="1471015553"/>
        <w:lock w:val="contentLocked"/>
        <w:text/>
      </w:sdtPr>
      <w:sdtEndPr/>
      <w:sdtContent>
        <w:r w:rsidR="003F2E88">
          <w:t>C</w:t>
        </w:r>
      </w:sdtContent>
    </w:sdt>
    <w:sdt>
      <w:sdtPr>
        <w:alias w:val="CC_Noformat_Partinummer"/>
        <w:tag w:val="CC_Noformat_Partinummer"/>
        <w:id w:val="-2014525982"/>
        <w:lock w:val="contentLocked"/>
        <w:showingPlcHdr/>
        <w:text/>
      </w:sdtPr>
      <w:sdtEndPr/>
      <w:sdtContent>
        <w:r w:rsidR="00821B36">
          <w:t xml:space="preserve"> </w:t>
        </w:r>
      </w:sdtContent>
    </w:sdt>
  </w:p>
  <w:p w14:paraId="182FAD55" w14:textId="77777777" w:rsidR="00262EA3" w:rsidRPr="008227B3" w:rsidRDefault="006F47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94BC0" w14:textId="6970B6AA" w:rsidR="00262EA3" w:rsidRPr="008227B3" w:rsidRDefault="006F47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6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6C8">
          <w:t>:2148</w:t>
        </w:r>
      </w:sdtContent>
    </w:sdt>
  </w:p>
  <w:p w14:paraId="7D7BF597" w14:textId="1B43BF21" w:rsidR="00262EA3" w:rsidRDefault="006F4792" w:rsidP="00E03A3D">
    <w:pPr>
      <w:pStyle w:val="Motionr"/>
    </w:pPr>
    <w:sdt>
      <w:sdtPr>
        <w:alias w:val="CC_Noformat_Avtext"/>
        <w:tag w:val="CC_Noformat_Avtext"/>
        <w:id w:val="-2020768203"/>
        <w:lock w:val="sdtContentLocked"/>
        <w15:appearance w15:val="hidden"/>
        <w:text/>
      </w:sdtPr>
      <w:sdtEndPr/>
      <w:sdtContent>
        <w:r w:rsidR="009176C8">
          <w:t>av Elisabeth Thand Ringqvist m.fl. (C)</w:t>
        </w:r>
      </w:sdtContent>
    </w:sdt>
  </w:p>
  <w:sdt>
    <w:sdtPr>
      <w:alias w:val="CC_Noformat_Rubtext"/>
      <w:tag w:val="CC_Noformat_Rubtext"/>
      <w:id w:val="-218060500"/>
      <w:lock w:val="sdtLocked"/>
      <w:text/>
    </w:sdtPr>
    <w:sdtEndPr/>
    <w:sdtContent>
      <w:p w14:paraId="178990FA" w14:textId="22B8DFC5" w:rsidR="00262EA3" w:rsidRDefault="003F2E88"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138B8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2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5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4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48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07"/>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8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D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16C"/>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5C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9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C8"/>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0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1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B8"/>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A8"/>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E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EF"/>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390351"/>
    <w:rsid w:val="02A1D5D2"/>
    <w:rsid w:val="0428011B"/>
    <w:rsid w:val="0438B9ED"/>
    <w:rsid w:val="07F5007D"/>
    <w:rsid w:val="0829671A"/>
    <w:rsid w:val="08BBC748"/>
    <w:rsid w:val="08F2753D"/>
    <w:rsid w:val="0EF9DCD5"/>
    <w:rsid w:val="104D5E08"/>
    <w:rsid w:val="11DFE44E"/>
    <w:rsid w:val="1300DE34"/>
    <w:rsid w:val="14277A50"/>
    <w:rsid w:val="14FCFD95"/>
    <w:rsid w:val="2139561E"/>
    <w:rsid w:val="213E21F6"/>
    <w:rsid w:val="2296E976"/>
    <w:rsid w:val="2309710E"/>
    <w:rsid w:val="25B7E91A"/>
    <w:rsid w:val="2621AE20"/>
    <w:rsid w:val="2A557629"/>
    <w:rsid w:val="2E6F123E"/>
    <w:rsid w:val="301D7E41"/>
    <w:rsid w:val="32CC84E4"/>
    <w:rsid w:val="330B778B"/>
    <w:rsid w:val="357F28BB"/>
    <w:rsid w:val="388A9D45"/>
    <w:rsid w:val="3940509E"/>
    <w:rsid w:val="39BC50EC"/>
    <w:rsid w:val="39D6A727"/>
    <w:rsid w:val="3AF8A156"/>
    <w:rsid w:val="3E6B6FFC"/>
    <w:rsid w:val="3E911429"/>
    <w:rsid w:val="3FC18BA1"/>
    <w:rsid w:val="40ACECDD"/>
    <w:rsid w:val="43C5DBB3"/>
    <w:rsid w:val="446FE56D"/>
    <w:rsid w:val="46072C6C"/>
    <w:rsid w:val="46B2E0C5"/>
    <w:rsid w:val="4825DCE0"/>
    <w:rsid w:val="49491738"/>
    <w:rsid w:val="4C12491C"/>
    <w:rsid w:val="4F277EBD"/>
    <w:rsid w:val="50D48E0A"/>
    <w:rsid w:val="51C017CA"/>
    <w:rsid w:val="53A8CE23"/>
    <w:rsid w:val="54CF4C5B"/>
    <w:rsid w:val="5532D537"/>
    <w:rsid w:val="5858FD68"/>
    <w:rsid w:val="597642D0"/>
    <w:rsid w:val="5979602D"/>
    <w:rsid w:val="5A0AC1FB"/>
    <w:rsid w:val="5B13BFB9"/>
    <w:rsid w:val="5DF29DE1"/>
    <w:rsid w:val="612D6284"/>
    <w:rsid w:val="62747E32"/>
    <w:rsid w:val="64B4FD3E"/>
    <w:rsid w:val="64C076E2"/>
    <w:rsid w:val="665B073D"/>
    <w:rsid w:val="68B650F6"/>
    <w:rsid w:val="695DE9C0"/>
    <w:rsid w:val="6B7E758D"/>
    <w:rsid w:val="6D2D76AD"/>
    <w:rsid w:val="6D64FD51"/>
    <w:rsid w:val="6D9A6DE7"/>
    <w:rsid w:val="6E5C0ACF"/>
    <w:rsid w:val="6F3740F2"/>
    <w:rsid w:val="6FEE800A"/>
    <w:rsid w:val="725BA0CE"/>
    <w:rsid w:val="7303C0D5"/>
    <w:rsid w:val="74542941"/>
    <w:rsid w:val="7533C860"/>
    <w:rsid w:val="75823350"/>
    <w:rsid w:val="77DAFC09"/>
    <w:rsid w:val="7A7FF344"/>
    <w:rsid w:val="7C159B0E"/>
    <w:rsid w:val="7C52B7A9"/>
    <w:rsid w:val="7E978FC1"/>
    <w:rsid w:val="7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34934"/>
  <w15:chartTrackingRefBased/>
  <w15:docId w15:val="{2392A7D8-DAC7-4BA1-BCBF-B7A97BB9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3F2E8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3F2E88"/>
  </w:style>
  <w:style w:type="character" w:customStyle="1" w:styleId="eop">
    <w:name w:val="eop"/>
    <w:basedOn w:val="Standardstycketeckensnitt"/>
    <w:rsid w:val="003F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842652">
      <w:bodyDiv w:val="1"/>
      <w:marLeft w:val="0"/>
      <w:marRight w:val="0"/>
      <w:marTop w:val="0"/>
      <w:marBottom w:val="0"/>
      <w:divBdr>
        <w:top w:val="none" w:sz="0" w:space="0" w:color="auto"/>
        <w:left w:val="none" w:sz="0" w:space="0" w:color="auto"/>
        <w:bottom w:val="none" w:sz="0" w:space="0" w:color="auto"/>
        <w:right w:val="none" w:sz="0" w:space="0" w:color="auto"/>
      </w:divBdr>
      <w:divsChild>
        <w:div w:id="525215544">
          <w:marLeft w:val="0"/>
          <w:marRight w:val="0"/>
          <w:marTop w:val="0"/>
          <w:marBottom w:val="0"/>
          <w:divBdr>
            <w:top w:val="none" w:sz="0" w:space="0" w:color="auto"/>
            <w:left w:val="none" w:sz="0" w:space="0" w:color="auto"/>
            <w:bottom w:val="none" w:sz="0" w:space="0" w:color="auto"/>
            <w:right w:val="none" w:sz="0" w:space="0" w:color="auto"/>
          </w:divBdr>
        </w:div>
        <w:div w:id="900405032">
          <w:marLeft w:val="0"/>
          <w:marRight w:val="0"/>
          <w:marTop w:val="0"/>
          <w:marBottom w:val="0"/>
          <w:divBdr>
            <w:top w:val="none" w:sz="0" w:space="0" w:color="auto"/>
            <w:left w:val="none" w:sz="0" w:space="0" w:color="auto"/>
            <w:bottom w:val="none" w:sz="0" w:space="0" w:color="auto"/>
            <w:right w:val="none" w:sz="0" w:space="0" w:color="auto"/>
          </w:divBdr>
        </w:div>
        <w:div w:id="1667131867">
          <w:marLeft w:val="0"/>
          <w:marRight w:val="0"/>
          <w:marTop w:val="0"/>
          <w:marBottom w:val="0"/>
          <w:divBdr>
            <w:top w:val="none" w:sz="0" w:space="0" w:color="auto"/>
            <w:left w:val="none" w:sz="0" w:space="0" w:color="auto"/>
            <w:bottom w:val="none" w:sz="0" w:space="0" w:color="auto"/>
            <w:right w:val="none" w:sz="0" w:space="0" w:color="auto"/>
          </w:divBdr>
        </w:div>
        <w:div w:id="45325681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8241120">
      <w:bodyDiv w:val="1"/>
      <w:marLeft w:val="0"/>
      <w:marRight w:val="0"/>
      <w:marTop w:val="0"/>
      <w:marBottom w:val="0"/>
      <w:divBdr>
        <w:top w:val="none" w:sz="0" w:space="0" w:color="auto"/>
        <w:left w:val="none" w:sz="0" w:space="0" w:color="auto"/>
        <w:bottom w:val="none" w:sz="0" w:space="0" w:color="auto"/>
        <w:right w:val="none" w:sz="0" w:space="0" w:color="auto"/>
      </w:divBdr>
      <w:divsChild>
        <w:div w:id="2015373965">
          <w:marLeft w:val="0"/>
          <w:marRight w:val="0"/>
          <w:marTop w:val="0"/>
          <w:marBottom w:val="0"/>
          <w:divBdr>
            <w:top w:val="none" w:sz="0" w:space="0" w:color="auto"/>
            <w:left w:val="none" w:sz="0" w:space="0" w:color="auto"/>
            <w:bottom w:val="none" w:sz="0" w:space="0" w:color="auto"/>
            <w:right w:val="none" w:sz="0" w:space="0" w:color="auto"/>
          </w:divBdr>
        </w:div>
        <w:div w:id="1794327762">
          <w:marLeft w:val="0"/>
          <w:marRight w:val="0"/>
          <w:marTop w:val="0"/>
          <w:marBottom w:val="0"/>
          <w:divBdr>
            <w:top w:val="none" w:sz="0" w:space="0" w:color="auto"/>
            <w:left w:val="none" w:sz="0" w:space="0" w:color="auto"/>
            <w:bottom w:val="none" w:sz="0" w:space="0" w:color="auto"/>
            <w:right w:val="none" w:sz="0" w:space="0" w:color="auto"/>
          </w:divBdr>
        </w:div>
        <w:div w:id="1418939843">
          <w:marLeft w:val="0"/>
          <w:marRight w:val="0"/>
          <w:marTop w:val="0"/>
          <w:marBottom w:val="0"/>
          <w:divBdr>
            <w:top w:val="none" w:sz="0" w:space="0" w:color="auto"/>
            <w:left w:val="none" w:sz="0" w:space="0" w:color="auto"/>
            <w:bottom w:val="none" w:sz="0" w:space="0" w:color="auto"/>
            <w:right w:val="none" w:sz="0" w:space="0" w:color="auto"/>
          </w:divBdr>
        </w:div>
        <w:div w:id="1079055867">
          <w:marLeft w:val="0"/>
          <w:marRight w:val="0"/>
          <w:marTop w:val="0"/>
          <w:marBottom w:val="0"/>
          <w:divBdr>
            <w:top w:val="none" w:sz="0" w:space="0" w:color="auto"/>
            <w:left w:val="none" w:sz="0" w:space="0" w:color="auto"/>
            <w:bottom w:val="none" w:sz="0" w:space="0" w:color="auto"/>
            <w:right w:val="none" w:sz="0" w:space="0" w:color="auto"/>
          </w:divBdr>
        </w:div>
      </w:divsChild>
    </w:div>
    <w:div w:id="1723095741">
      <w:bodyDiv w:val="1"/>
      <w:marLeft w:val="0"/>
      <w:marRight w:val="0"/>
      <w:marTop w:val="0"/>
      <w:marBottom w:val="0"/>
      <w:divBdr>
        <w:top w:val="none" w:sz="0" w:space="0" w:color="auto"/>
        <w:left w:val="none" w:sz="0" w:space="0" w:color="auto"/>
        <w:bottom w:val="none" w:sz="0" w:space="0" w:color="auto"/>
        <w:right w:val="none" w:sz="0" w:space="0" w:color="auto"/>
      </w:divBdr>
      <w:divsChild>
        <w:div w:id="662664677">
          <w:marLeft w:val="0"/>
          <w:marRight w:val="0"/>
          <w:marTop w:val="0"/>
          <w:marBottom w:val="0"/>
          <w:divBdr>
            <w:top w:val="none" w:sz="0" w:space="0" w:color="auto"/>
            <w:left w:val="none" w:sz="0" w:space="0" w:color="auto"/>
            <w:bottom w:val="none" w:sz="0" w:space="0" w:color="auto"/>
            <w:right w:val="none" w:sz="0" w:space="0" w:color="auto"/>
          </w:divBdr>
        </w:div>
        <w:div w:id="103311649">
          <w:marLeft w:val="0"/>
          <w:marRight w:val="0"/>
          <w:marTop w:val="0"/>
          <w:marBottom w:val="0"/>
          <w:divBdr>
            <w:top w:val="none" w:sz="0" w:space="0" w:color="auto"/>
            <w:left w:val="none" w:sz="0" w:space="0" w:color="auto"/>
            <w:bottom w:val="none" w:sz="0" w:space="0" w:color="auto"/>
            <w:right w:val="none" w:sz="0" w:space="0" w:color="auto"/>
          </w:divBdr>
        </w:div>
        <w:div w:id="811019097">
          <w:marLeft w:val="0"/>
          <w:marRight w:val="0"/>
          <w:marTop w:val="0"/>
          <w:marBottom w:val="0"/>
          <w:divBdr>
            <w:top w:val="none" w:sz="0" w:space="0" w:color="auto"/>
            <w:left w:val="none" w:sz="0" w:space="0" w:color="auto"/>
            <w:bottom w:val="none" w:sz="0" w:space="0" w:color="auto"/>
            <w:right w:val="none" w:sz="0" w:space="0" w:color="auto"/>
          </w:divBdr>
        </w:div>
        <w:div w:id="13005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F488784A54E6690521BD8CD5F9A7F"/>
        <w:category>
          <w:name w:val="Allmänt"/>
          <w:gallery w:val="placeholder"/>
        </w:category>
        <w:types>
          <w:type w:val="bbPlcHdr"/>
        </w:types>
        <w:behaviors>
          <w:behavior w:val="content"/>
        </w:behaviors>
        <w:guid w:val="{CA996D23-9A41-45FB-9236-C8341C3F1DDA}"/>
      </w:docPartPr>
      <w:docPartBody>
        <w:p w:rsidR="0089790D" w:rsidRDefault="00F427EF">
          <w:pPr>
            <w:pStyle w:val="FB8F488784A54E6690521BD8CD5F9A7F"/>
          </w:pPr>
          <w:r w:rsidRPr="005A0A93">
            <w:rPr>
              <w:rStyle w:val="Platshllartext"/>
            </w:rPr>
            <w:t>Förslag till riksdagsbeslut</w:t>
          </w:r>
        </w:p>
      </w:docPartBody>
    </w:docPart>
    <w:docPart>
      <w:docPartPr>
        <w:name w:val="F95D2EDBD83749DB86F343645E1CA430"/>
        <w:category>
          <w:name w:val="Allmänt"/>
          <w:gallery w:val="placeholder"/>
        </w:category>
        <w:types>
          <w:type w:val="bbPlcHdr"/>
        </w:types>
        <w:behaviors>
          <w:behavior w:val="content"/>
        </w:behaviors>
        <w:guid w:val="{F82174BD-8A81-4C0A-9035-EB6B530F3B99}"/>
      </w:docPartPr>
      <w:docPartBody>
        <w:p w:rsidR="0089790D" w:rsidRDefault="00F427EF">
          <w:pPr>
            <w:pStyle w:val="F95D2EDBD83749DB86F343645E1CA430"/>
          </w:pPr>
          <w:r w:rsidRPr="005A0A93">
            <w:rPr>
              <w:rStyle w:val="Platshllartext"/>
            </w:rPr>
            <w:t>Motivering</w:t>
          </w:r>
        </w:p>
      </w:docPartBody>
    </w:docPart>
    <w:docPart>
      <w:docPartPr>
        <w:name w:val="68281A700DAD4DF5BDF5BC3D5CC9CA6A"/>
        <w:category>
          <w:name w:val="Allmänt"/>
          <w:gallery w:val="placeholder"/>
        </w:category>
        <w:types>
          <w:type w:val="bbPlcHdr"/>
        </w:types>
        <w:behaviors>
          <w:behavior w:val="content"/>
        </w:behaviors>
        <w:guid w:val="{C8637C65-C2AA-43A4-9113-BF4FE615B7FC}"/>
      </w:docPartPr>
      <w:docPartBody>
        <w:p w:rsidR="004F54CB" w:rsidRDefault="004F5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EF"/>
    <w:rsid w:val="004F54CB"/>
    <w:rsid w:val="00583E97"/>
    <w:rsid w:val="0089790D"/>
    <w:rsid w:val="00DA25A8"/>
    <w:rsid w:val="00F427E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8F488784A54E6690521BD8CD5F9A7F">
    <w:name w:val="FB8F488784A54E6690521BD8CD5F9A7F"/>
  </w:style>
  <w:style w:type="paragraph" w:customStyle="1" w:styleId="F95D2EDBD83749DB86F343645E1CA430">
    <w:name w:val="F95D2EDBD83749DB86F343645E1CA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1FA9B-414C-4C46-A02E-759A55BED3F3}"/>
</file>

<file path=customXml/itemProps2.xml><?xml version="1.0" encoding="utf-8"?>
<ds:datastoreItem xmlns:ds="http://schemas.openxmlformats.org/officeDocument/2006/customXml" ds:itemID="{AC79D700-C68A-4BA0-BF25-BB76E92932B3}"/>
</file>

<file path=customXml/itemProps3.xml><?xml version="1.0" encoding="utf-8"?>
<ds:datastoreItem xmlns:ds="http://schemas.openxmlformats.org/officeDocument/2006/customXml" ds:itemID="{D8868DC4-78FD-4029-9FEF-5227BC5200F4}"/>
</file>

<file path=docProps/app.xml><?xml version="1.0" encoding="utf-8"?>
<Properties xmlns="http://schemas.openxmlformats.org/officeDocument/2006/extended-properties" xmlns:vt="http://schemas.openxmlformats.org/officeDocument/2006/docPropsVTypes">
  <Template>Normal</Template>
  <TotalTime>66</TotalTime>
  <Pages>2</Pages>
  <Words>556</Words>
  <Characters>3424</Characters>
  <Application>Microsoft Office Word</Application>
  <DocSecurity>0</DocSecurity>
  <Lines>85</Lines>
  <Paragraphs>38</Paragraphs>
  <ScaleCrop>false</ScaleCrop>
  <HeadingPairs>
    <vt:vector size="2" baseType="variant">
      <vt:variant>
        <vt:lpstr>Rubrik</vt:lpstr>
      </vt:variant>
      <vt:variant>
        <vt:i4>1</vt:i4>
      </vt:variant>
    </vt:vector>
  </HeadingPairs>
  <TitlesOfParts>
    <vt:vector size="1" baseType="lpstr">
      <vt:lpstr>C Utgiftsområde 19 Regional utveckling</vt:lpstr>
    </vt:vector>
  </TitlesOfParts>
  <Company>Sveriges riksdag</Company>
  <LinksUpToDate>false</LinksUpToDate>
  <CharactersWithSpaces>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