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821" w:rsidRPr="00DF23CF" w:rsidRDefault="000D3821" w:rsidP="000D3821">
      <w:pPr>
        <w:ind w:right="-193"/>
        <w:jc w:val="both"/>
        <w:rPr>
          <w:rFonts w:ascii="OrigGarmnd BT" w:hAnsi="OrigGarmnd BT"/>
          <w:color w:val="000000"/>
          <w:sz w:val="24"/>
          <w:szCs w:val="24"/>
        </w:rPr>
      </w:pPr>
      <w:r w:rsidRPr="00DF23CF">
        <w:rPr>
          <w:rFonts w:ascii="OrigGarmnd BT" w:hAnsi="OrigGarmnd BT"/>
          <w:b/>
          <w:bCs/>
          <w:color w:val="000000"/>
          <w:sz w:val="24"/>
          <w:szCs w:val="24"/>
        </w:rPr>
        <w:t>REGERINGSKANSLIET</w:t>
      </w:r>
      <w:r w:rsidRPr="00DF23CF">
        <w:rPr>
          <w:rFonts w:ascii="OrigGarmnd BT" w:hAnsi="OrigGarmnd BT"/>
          <w:color w:val="000000"/>
          <w:sz w:val="24"/>
          <w:szCs w:val="24"/>
        </w:rPr>
        <w:tab/>
      </w:r>
      <w:r w:rsidRPr="00DF23CF">
        <w:rPr>
          <w:rFonts w:ascii="OrigGarmnd BT" w:hAnsi="OrigGarmnd BT"/>
          <w:color w:val="000000"/>
          <w:sz w:val="24"/>
          <w:szCs w:val="24"/>
        </w:rPr>
        <w:tab/>
      </w:r>
      <w:r w:rsidRPr="00DF23CF">
        <w:rPr>
          <w:rFonts w:ascii="OrigGarmnd BT" w:hAnsi="OrigGarmnd BT"/>
          <w:color w:val="000000"/>
          <w:sz w:val="24"/>
          <w:szCs w:val="24"/>
        </w:rPr>
        <w:tab/>
      </w:r>
    </w:p>
    <w:p w:rsidR="000D3821" w:rsidRPr="00DF23CF" w:rsidRDefault="000D3821" w:rsidP="000D3821">
      <w:pPr>
        <w:ind w:right="-193"/>
        <w:jc w:val="both"/>
        <w:rPr>
          <w:rFonts w:ascii="OrigGarmnd BT" w:hAnsi="OrigGarmnd BT"/>
          <w:color w:val="000000"/>
          <w:sz w:val="24"/>
          <w:szCs w:val="24"/>
        </w:rPr>
      </w:pPr>
      <w:r w:rsidRPr="00DF23CF">
        <w:rPr>
          <w:rFonts w:ascii="OrigGarmnd BT" w:hAnsi="OrigGarmnd BT"/>
          <w:color w:val="000000"/>
          <w:sz w:val="24"/>
          <w:szCs w:val="24"/>
        </w:rPr>
        <w:t>Utrikesdepartementet</w:t>
      </w:r>
      <w:r w:rsidRPr="00DF23CF">
        <w:rPr>
          <w:rFonts w:ascii="OrigGarmnd BT" w:hAnsi="OrigGarmnd BT"/>
          <w:color w:val="000000"/>
          <w:sz w:val="24"/>
          <w:szCs w:val="24"/>
        </w:rPr>
        <w:tab/>
      </w:r>
      <w:r w:rsidRPr="00DF23CF">
        <w:rPr>
          <w:rFonts w:ascii="OrigGarmnd BT" w:hAnsi="OrigGarmnd BT"/>
          <w:color w:val="000000"/>
          <w:sz w:val="24"/>
          <w:szCs w:val="24"/>
        </w:rPr>
        <w:tab/>
      </w:r>
      <w:r w:rsidRPr="00DF23CF">
        <w:rPr>
          <w:rFonts w:ascii="OrigGarmnd BT" w:hAnsi="OrigGarmnd BT"/>
          <w:color w:val="000000"/>
          <w:sz w:val="24"/>
          <w:szCs w:val="24"/>
        </w:rPr>
        <w:tab/>
        <w:t>Kommenterad dagordning</w:t>
      </w:r>
      <w:r w:rsidRPr="00DF23CF">
        <w:rPr>
          <w:rFonts w:ascii="OrigGarmnd BT" w:hAnsi="OrigGarmnd BT"/>
          <w:b/>
          <w:color w:val="000000"/>
          <w:sz w:val="24"/>
          <w:szCs w:val="24"/>
        </w:rPr>
        <w:t xml:space="preserve"> </w:t>
      </w:r>
    </w:p>
    <w:p w:rsidR="000D3821" w:rsidRPr="00DF23CF" w:rsidRDefault="000D3821" w:rsidP="000D3821">
      <w:pPr>
        <w:jc w:val="both"/>
        <w:rPr>
          <w:rFonts w:ascii="OrigGarmnd BT" w:hAnsi="OrigGarmnd BT"/>
          <w:color w:val="000000"/>
          <w:sz w:val="24"/>
          <w:szCs w:val="24"/>
        </w:rPr>
      </w:pPr>
      <w:r w:rsidRPr="00DF23CF">
        <w:rPr>
          <w:rFonts w:ascii="OrigGarmnd BT" w:hAnsi="OrigGarmnd BT"/>
          <w:color w:val="000000"/>
          <w:sz w:val="24"/>
          <w:szCs w:val="24"/>
        </w:rPr>
        <w:tab/>
      </w:r>
      <w:r w:rsidRPr="00DF23CF">
        <w:rPr>
          <w:rFonts w:ascii="OrigGarmnd BT" w:hAnsi="OrigGarmnd BT"/>
          <w:color w:val="000000"/>
          <w:sz w:val="24"/>
          <w:szCs w:val="24"/>
        </w:rPr>
        <w:tab/>
      </w:r>
      <w:r w:rsidRPr="00DF23CF">
        <w:rPr>
          <w:rFonts w:ascii="OrigGarmnd BT" w:hAnsi="OrigGarmnd BT"/>
          <w:color w:val="000000"/>
          <w:sz w:val="24"/>
          <w:szCs w:val="24"/>
        </w:rPr>
        <w:tab/>
      </w:r>
      <w:r w:rsidRPr="00DF23CF">
        <w:rPr>
          <w:rFonts w:ascii="OrigGarmnd BT" w:hAnsi="OrigGarmnd BT"/>
          <w:color w:val="000000"/>
          <w:sz w:val="24"/>
          <w:szCs w:val="24"/>
        </w:rPr>
        <w:tab/>
      </w:r>
      <w:r w:rsidRPr="00DF23CF">
        <w:rPr>
          <w:rFonts w:ascii="OrigGarmnd BT" w:hAnsi="OrigGarmnd BT"/>
          <w:color w:val="000000"/>
          <w:sz w:val="24"/>
          <w:szCs w:val="24"/>
        </w:rPr>
        <w:tab/>
      </w:r>
      <w:r w:rsidRPr="00DF23CF">
        <w:rPr>
          <w:rFonts w:ascii="OrigGarmnd BT" w:hAnsi="OrigGarmnd BT"/>
          <w:color w:val="000000"/>
          <w:sz w:val="24"/>
          <w:szCs w:val="24"/>
        </w:rPr>
        <w:tab/>
        <w:t>Ministerrådet</w:t>
      </w:r>
      <w:r w:rsidRPr="00DF23CF">
        <w:rPr>
          <w:rFonts w:ascii="OrigGarmnd BT" w:hAnsi="OrigGarmnd BT"/>
          <w:color w:val="000000"/>
          <w:sz w:val="24"/>
          <w:szCs w:val="24"/>
        </w:rPr>
        <w:tab/>
      </w:r>
      <w:r w:rsidRPr="00DF23CF">
        <w:rPr>
          <w:rFonts w:ascii="OrigGarmnd BT" w:hAnsi="OrigGarmnd BT"/>
          <w:color w:val="000000"/>
          <w:sz w:val="24"/>
          <w:szCs w:val="24"/>
        </w:rPr>
        <w:tab/>
      </w:r>
      <w:r w:rsidRPr="00DF23CF">
        <w:rPr>
          <w:rFonts w:ascii="OrigGarmnd BT" w:hAnsi="OrigGarmnd BT"/>
          <w:color w:val="000000"/>
          <w:sz w:val="24"/>
          <w:szCs w:val="24"/>
        </w:rPr>
        <w:tab/>
      </w:r>
      <w:r w:rsidRPr="00DF23CF">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0D3821" w:rsidRPr="00DF23CF" w:rsidTr="009F426D">
        <w:tblPrEx>
          <w:tblCellMar>
            <w:top w:w="0" w:type="dxa"/>
            <w:bottom w:w="0" w:type="dxa"/>
          </w:tblCellMar>
        </w:tblPrEx>
        <w:trPr>
          <w:trHeight w:val="284"/>
        </w:trPr>
        <w:tc>
          <w:tcPr>
            <w:tcW w:w="4911" w:type="dxa"/>
          </w:tcPr>
          <w:p w:rsidR="000D3821" w:rsidRPr="00DF23CF" w:rsidRDefault="000D3821" w:rsidP="009F426D">
            <w:pPr>
              <w:tabs>
                <w:tab w:val="left" w:pos="284"/>
              </w:tabs>
              <w:jc w:val="both"/>
              <w:rPr>
                <w:rFonts w:ascii="OrigGarmnd BT" w:hAnsi="OrigGarmnd BT"/>
                <w:bCs/>
                <w:iCs/>
                <w:sz w:val="24"/>
                <w:szCs w:val="24"/>
              </w:rPr>
            </w:pPr>
          </w:p>
        </w:tc>
      </w:tr>
    </w:tbl>
    <w:p w:rsidR="000D3821" w:rsidRPr="00DF23CF" w:rsidRDefault="000D3821" w:rsidP="000D3821">
      <w:pPr>
        <w:tabs>
          <w:tab w:val="left" w:pos="284"/>
        </w:tabs>
        <w:jc w:val="both"/>
        <w:rPr>
          <w:rFonts w:ascii="OrigGarmnd BT" w:hAnsi="OrigGarmnd BT"/>
          <w:color w:val="000000"/>
          <w:sz w:val="24"/>
          <w:szCs w:val="24"/>
        </w:rPr>
      </w:pPr>
      <w:r w:rsidRPr="00DF23CF">
        <w:rPr>
          <w:rFonts w:ascii="OrigGarmnd BT" w:hAnsi="OrigGarmnd BT"/>
          <w:color w:val="000000"/>
          <w:sz w:val="24"/>
          <w:szCs w:val="24"/>
        </w:rPr>
        <w:t>Enheten för Europeiska unionen</w:t>
      </w:r>
      <w:r w:rsidRPr="00DF23CF">
        <w:rPr>
          <w:rFonts w:ascii="OrigGarmnd BT" w:hAnsi="OrigGarmnd BT"/>
          <w:color w:val="000000"/>
          <w:sz w:val="24"/>
          <w:szCs w:val="24"/>
        </w:rPr>
        <w:tab/>
      </w:r>
      <w:r w:rsidRPr="00DF23CF">
        <w:rPr>
          <w:rFonts w:ascii="OrigGarmnd BT" w:hAnsi="OrigGarmnd BT"/>
          <w:color w:val="000000"/>
          <w:sz w:val="24"/>
          <w:szCs w:val="24"/>
        </w:rPr>
        <w:tab/>
      </w:r>
    </w:p>
    <w:p w:rsidR="000D3821" w:rsidRPr="00DF23CF" w:rsidRDefault="000D3821" w:rsidP="000D3821">
      <w:pPr>
        <w:jc w:val="both"/>
        <w:rPr>
          <w:rFonts w:ascii="OrigGarmnd BT" w:hAnsi="OrigGarmnd BT"/>
          <w:b/>
          <w:sz w:val="24"/>
          <w:szCs w:val="24"/>
          <w:u w:val="single"/>
        </w:rPr>
      </w:pPr>
      <w:r w:rsidRPr="00DF23CF">
        <w:rPr>
          <w:rFonts w:ascii="OrigGarmnd BT" w:hAnsi="OrigGarmnd BT"/>
          <w:color w:val="000000"/>
          <w:sz w:val="24"/>
          <w:szCs w:val="24"/>
        </w:rPr>
        <w:tab/>
      </w:r>
      <w:r w:rsidRPr="00DF23CF">
        <w:rPr>
          <w:rFonts w:ascii="OrigGarmnd BT" w:hAnsi="OrigGarmnd BT"/>
          <w:color w:val="000000"/>
          <w:sz w:val="24"/>
          <w:szCs w:val="24"/>
        </w:rPr>
        <w:tab/>
      </w:r>
      <w:r w:rsidRPr="00DF23CF">
        <w:rPr>
          <w:rFonts w:ascii="OrigGarmnd BT" w:hAnsi="OrigGarmnd BT"/>
          <w:color w:val="000000"/>
          <w:sz w:val="24"/>
          <w:szCs w:val="24"/>
        </w:rPr>
        <w:tab/>
      </w:r>
      <w:r w:rsidRPr="00DF23CF">
        <w:rPr>
          <w:rFonts w:ascii="OrigGarmnd BT" w:hAnsi="OrigGarmnd BT"/>
          <w:color w:val="000000"/>
          <w:sz w:val="24"/>
          <w:szCs w:val="24"/>
        </w:rPr>
        <w:tab/>
      </w:r>
    </w:p>
    <w:p w:rsidR="000D3821" w:rsidRPr="00DF23CF" w:rsidRDefault="000D3821" w:rsidP="000D3821">
      <w:pPr>
        <w:pStyle w:val="UDrubrik"/>
        <w:spacing w:line="240" w:lineRule="auto"/>
        <w:ind w:left="1418"/>
        <w:rPr>
          <w:rFonts w:ascii="OrigGarmnd BT" w:hAnsi="OrigGarmnd BT"/>
          <w:sz w:val="24"/>
          <w:szCs w:val="24"/>
          <w:u w:val="single"/>
        </w:rPr>
      </w:pPr>
    </w:p>
    <w:p w:rsidR="000D3821" w:rsidRPr="00DF23CF" w:rsidRDefault="000D3821" w:rsidP="000D3821">
      <w:pPr>
        <w:pStyle w:val="UDrubrik"/>
        <w:spacing w:line="240" w:lineRule="auto"/>
        <w:ind w:left="1418"/>
        <w:rPr>
          <w:rFonts w:ascii="OrigGarmnd BT" w:hAnsi="OrigGarmnd BT"/>
          <w:sz w:val="24"/>
          <w:szCs w:val="24"/>
          <w:u w:val="single"/>
        </w:rPr>
      </w:pPr>
    </w:p>
    <w:p w:rsidR="000D3821" w:rsidRPr="00DF23CF" w:rsidRDefault="000D3821" w:rsidP="000D3821">
      <w:pPr>
        <w:pStyle w:val="UDrubrik"/>
        <w:spacing w:line="240" w:lineRule="auto"/>
        <w:ind w:left="1418"/>
        <w:rPr>
          <w:rFonts w:ascii="OrigGarmnd BT" w:hAnsi="OrigGarmnd BT"/>
          <w:sz w:val="24"/>
          <w:szCs w:val="24"/>
          <w:u w:val="single"/>
        </w:rPr>
      </w:pPr>
    </w:p>
    <w:p w:rsidR="000D3821" w:rsidRPr="00DF23CF" w:rsidRDefault="000D3821" w:rsidP="000D3821">
      <w:pPr>
        <w:rPr>
          <w:rFonts w:ascii="OrigGarmnd BT" w:hAnsi="OrigGarmnd BT"/>
          <w:sz w:val="24"/>
          <w:szCs w:val="24"/>
        </w:rPr>
      </w:pPr>
    </w:p>
    <w:p w:rsidR="000D3821" w:rsidRPr="00DF23CF" w:rsidRDefault="000D3821" w:rsidP="000D3821">
      <w:pPr>
        <w:pStyle w:val="UDrubrik"/>
        <w:spacing w:line="240" w:lineRule="auto"/>
        <w:jc w:val="center"/>
        <w:rPr>
          <w:rFonts w:ascii="OrigGarmnd BT" w:hAnsi="OrigGarmnd BT"/>
          <w:sz w:val="24"/>
          <w:szCs w:val="24"/>
          <w:u w:val="single"/>
        </w:rPr>
      </w:pPr>
      <w:r w:rsidRPr="00DF23CF">
        <w:rPr>
          <w:rFonts w:ascii="OrigGarmnd BT" w:hAnsi="OrigGarmnd BT"/>
          <w:sz w:val="24"/>
          <w:szCs w:val="24"/>
          <w:u w:val="single"/>
        </w:rPr>
        <w:t xml:space="preserve">Kommenterad dagordning för utrikesrådet  </w:t>
      </w:r>
    </w:p>
    <w:p w:rsidR="000D3821" w:rsidRPr="00DF23CF" w:rsidRDefault="000D3821" w:rsidP="000D3821">
      <w:pPr>
        <w:pStyle w:val="UDrubrik"/>
        <w:spacing w:line="240" w:lineRule="auto"/>
        <w:jc w:val="center"/>
      </w:pPr>
      <w:r w:rsidRPr="00DF23CF">
        <w:rPr>
          <w:rFonts w:ascii="OrigGarmnd BT" w:hAnsi="OrigGarmnd BT"/>
          <w:u w:val="single"/>
        </w:rPr>
        <w:t xml:space="preserve">den </w:t>
      </w:r>
      <w:bookmarkStart w:id="0" w:name="_Toc128393595"/>
      <w:r w:rsidRPr="00DF23CF">
        <w:rPr>
          <w:rFonts w:ascii="OrigGarmnd BT" w:hAnsi="OrigGarmnd BT"/>
          <w:sz w:val="24"/>
          <w:szCs w:val="24"/>
          <w:u w:val="single"/>
        </w:rPr>
        <w:t>21 mars 2011</w:t>
      </w:r>
    </w:p>
    <w:p w:rsidR="000D3821" w:rsidRPr="00DF23CF" w:rsidRDefault="000D3821" w:rsidP="000D3821">
      <w:pPr>
        <w:rPr>
          <w:rFonts w:ascii="OrigGarmnd BT" w:hAnsi="OrigGarmnd BT"/>
          <w:sz w:val="24"/>
          <w:szCs w:val="24"/>
        </w:rPr>
      </w:pPr>
      <w:bookmarkStart w:id="1" w:name="_Toc150232148"/>
      <w:bookmarkStart w:id="2" w:name="_Toc150242355"/>
      <w:bookmarkEnd w:id="0"/>
    </w:p>
    <w:p w:rsidR="000D3821" w:rsidRPr="00DF23CF" w:rsidRDefault="000D3821" w:rsidP="000D3821">
      <w:pPr>
        <w:rPr>
          <w:rFonts w:ascii="OrigGarmnd BT" w:hAnsi="OrigGarmnd BT"/>
          <w:b/>
          <w:bCs/>
          <w:sz w:val="24"/>
          <w:szCs w:val="24"/>
          <w:u w:val="single"/>
        </w:rPr>
      </w:pPr>
      <w:r w:rsidRPr="00DF23CF">
        <w:rPr>
          <w:rFonts w:ascii="OrigGarmnd BT" w:hAnsi="OrigGarmnd BT"/>
          <w:b/>
          <w:bCs/>
          <w:sz w:val="24"/>
          <w:szCs w:val="24"/>
          <w:u w:val="single"/>
        </w:rPr>
        <w:t>Utrikesministrarnas möte</w:t>
      </w:r>
    </w:p>
    <w:p w:rsidR="000D3821" w:rsidRPr="00DF23CF" w:rsidRDefault="000D3821" w:rsidP="000D3821">
      <w:pPr>
        <w:rPr>
          <w:rFonts w:ascii="OrigGarmnd BT" w:hAnsi="OrigGarmnd BT"/>
          <w:bCs/>
          <w:sz w:val="24"/>
          <w:szCs w:val="24"/>
        </w:rPr>
      </w:pPr>
    </w:p>
    <w:p w:rsidR="000D3821" w:rsidRPr="00DF23CF" w:rsidRDefault="000D3821" w:rsidP="000D3821">
      <w:pPr>
        <w:rPr>
          <w:rFonts w:ascii="OrigGarmnd BT" w:hAnsi="OrigGarmnd BT"/>
          <w:b/>
          <w:bCs/>
          <w:sz w:val="24"/>
          <w:szCs w:val="24"/>
        </w:rPr>
      </w:pPr>
      <w:r w:rsidRPr="00DF23CF">
        <w:rPr>
          <w:rFonts w:ascii="OrigGarmnd BT" w:hAnsi="OrigGarmnd BT"/>
          <w:b/>
          <w:bCs/>
          <w:sz w:val="24"/>
          <w:szCs w:val="24"/>
        </w:rPr>
        <w:t>1. Godkännande av den preliminära dagordningen</w:t>
      </w:r>
      <w:bookmarkEnd w:id="1"/>
      <w:bookmarkEnd w:id="2"/>
    </w:p>
    <w:p w:rsidR="000D3821" w:rsidRPr="00DF23CF" w:rsidRDefault="000D3821" w:rsidP="000D3821">
      <w:pPr>
        <w:rPr>
          <w:rFonts w:ascii="OrigGarmnd BT" w:hAnsi="OrigGarmnd BT"/>
          <w:bCs/>
          <w:sz w:val="24"/>
          <w:szCs w:val="24"/>
        </w:rPr>
      </w:pPr>
    </w:p>
    <w:p w:rsidR="000D3821" w:rsidRPr="00DF23CF" w:rsidRDefault="000D3821" w:rsidP="000D3821">
      <w:pPr>
        <w:rPr>
          <w:rFonts w:ascii="OrigGarmnd BT" w:hAnsi="OrigGarmnd BT"/>
          <w:b/>
          <w:sz w:val="24"/>
          <w:szCs w:val="24"/>
        </w:rPr>
      </w:pPr>
      <w:r w:rsidRPr="00DF23CF">
        <w:rPr>
          <w:rFonts w:ascii="OrigGarmnd BT" w:hAnsi="OrigGarmnd BT"/>
          <w:b/>
          <w:sz w:val="24"/>
          <w:szCs w:val="24"/>
        </w:rPr>
        <w:t>2.</w:t>
      </w:r>
      <w:r w:rsidRPr="00DF23CF">
        <w:rPr>
          <w:rFonts w:ascii="OrigGarmnd BT" w:hAnsi="OrigGarmnd BT"/>
          <w:sz w:val="24"/>
          <w:szCs w:val="24"/>
        </w:rPr>
        <w:t xml:space="preserve"> </w:t>
      </w:r>
      <w:r w:rsidRPr="00DF23CF">
        <w:rPr>
          <w:rFonts w:ascii="OrigGarmnd BT" w:hAnsi="OrigGarmnd BT"/>
          <w:b/>
          <w:sz w:val="24"/>
          <w:szCs w:val="24"/>
        </w:rPr>
        <w:t>Utvecklingen i det södra grannskapet</w:t>
      </w:r>
    </w:p>
    <w:p w:rsidR="000D3821" w:rsidRPr="00DF23CF" w:rsidRDefault="000D3821" w:rsidP="000D3821">
      <w:pPr>
        <w:rPr>
          <w:rFonts w:ascii="OrigGarmnd BT" w:hAnsi="OrigGarmnd BT"/>
          <w:i/>
          <w:sz w:val="24"/>
          <w:szCs w:val="24"/>
        </w:rPr>
      </w:pPr>
      <w:r w:rsidRPr="00DF23CF">
        <w:rPr>
          <w:rFonts w:ascii="OrigGarmnd BT" w:hAnsi="OrigGarmnd BT"/>
          <w:i/>
          <w:sz w:val="24"/>
          <w:szCs w:val="24"/>
        </w:rPr>
        <w:t>Diskussionspunkt</w:t>
      </w:r>
    </w:p>
    <w:p w:rsidR="000D3821" w:rsidRPr="00DF23CF" w:rsidRDefault="000D3821" w:rsidP="000D3821">
      <w:pPr>
        <w:rPr>
          <w:rFonts w:ascii="OrigGarmnd BT" w:hAnsi="OrigGarmnd BT"/>
          <w:sz w:val="24"/>
          <w:szCs w:val="24"/>
        </w:rPr>
      </w:pPr>
    </w:p>
    <w:p w:rsidR="000D3821" w:rsidRPr="00DF23CF" w:rsidRDefault="000D3821" w:rsidP="000D3821">
      <w:pPr>
        <w:rPr>
          <w:rFonts w:ascii="OrigGarmnd BT" w:hAnsi="OrigGarmnd BT"/>
          <w:sz w:val="24"/>
          <w:szCs w:val="24"/>
        </w:rPr>
      </w:pPr>
      <w:r w:rsidRPr="00DF23CF">
        <w:rPr>
          <w:rFonts w:ascii="OrigGarmnd BT" w:hAnsi="OrigGarmnd BT"/>
          <w:sz w:val="24"/>
          <w:szCs w:val="24"/>
        </w:rPr>
        <w:t xml:space="preserve">Rådet förväntas diskutera den fortsatta utvecklingen i Nordafrika och följa upp diskussionen och deklarationen från det extrainsatta Europeiska rådet den 11 mars. </w:t>
      </w:r>
    </w:p>
    <w:p w:rsidR="000D3821" w:rsidRPr="00DF23CF" w:rsidRDefault="000D3821" w:rsidP="000D3821">
      <w:pPr>
        <w:rPr>
          <w:rFonts w:ascii="OrigGarmnd BT" w:hAnsi="OrigGarmnd BT"/>
          <w:sz w:val="24"/>
          <w:szCs w:val="24"/>
        </w:rPr>
      </w:pPr>
    </w:p>
    <w:p w:rsidR="000D3821" w:rsidRPr="00DF23CF" w:rsidRDefault="000D3821" w:rsidP="000D3821">
      <w:pPr>
        <w:rPr>
          <w:rFonts w:ascii="OrigGarmnd BT" w:hAnsi="OrigGarmnd BT"/>
          <w:sz w:val="24"/>
          <w:szCs w:val="24"/>
        </w:rPr>
      </w:pPr>
      <w:r w:rsidRPr="00DF23CF">
        <w:rPr>
          <w:rFonts w:ascii="OrigGarmnd BT" w:hAnsi="OrigGarmnd BT"/>
          <w:sz w:val="24"/>
          <w:szCs w:val="24"/>
          <w:u w:val="single"/>
        </w:rPr>
        <w:t>Regeringens ståndpunkt:</w:t>
      </w:r>
      <w:r w:rsidRPr="00DF23CF">
        <w:rPr>
          <w:rFonts w:ascii="OrigGarmnd BT" w:hAnsi="OrigGarmnd BT"/>
          <w:sz w:val="24"/>
          <w:szCs w:val="24"/>
        </w:rPr>
        <w:t xml:space="preserve"> EU måste agera aktivt för en fredlig och demokratisk utveckling i Libyen. I det korta perspektivet gäller det att genomföra de konsulära och humanitära  insatserna samt se till att EU-sanktionerna implementeras. </w:t>
      </w:r>
    </w:p>
    <w:p w:rsidR="000D3821" w:rsidRPr="00DF23CF" w:rsidRDefault="000D3821" w:rsidP="000D3821">
      <w:pPr>
        <w:rPr>
          <w:rFonts w:ascii="OrigGarmnd BT" w:hAnsi="OrigGarmnd BT" w:cs="Tms Rmn"/>
          <w:sz w:val="24"/>
          <w:szCs w:val="24"/>
        </w:rPr>
      </w:pPr>
    </w:p>
    <w:p w:rsidR="000D3821" w:rsidRPr="00DF23CF" w:rsidRDefault="000D3821" w:rsidP="000D3821">
      <w:pPr>
        <w:rPr>
          <w:rFonts w:ascii="OrigGarmnd BT" w:hAnsi="OrigGarmnd BT" w:cs="Tms Rmn"/>
          <w:sz w:val="24"/>
          <w:szCs w:val="24"/>
        </w:rPr>
      </w:pPr>
      <w:r w:rsidRPr="00DF23CF">
        <w:rPr>
          <w:rFonts w:ascii="OrigGarmnd BT" w:hAnsi="OrigGarmnd BT"/>
          <w:sz w:val="24"/>
          <w:szCs w:val="24"/>
        </w:rPr>
        <w:t xml:space="preserve">Regeringen anser att fortsatta diskussioner om övergången till demokrati i Egypten och Tunisien måste ges hög prioritet. EU måste agera </w:t>
      </w:r>
      <w:r w:rsidRPr="00DF23CF">
        <w:rPr>
          <w:rFonts w:ascii="OrigGarmnd BT" w:hAnsi="OrigGarmnd BT" w:cs="Tms Rmn"/>
          <w:sz w:val="24"/>
          <w:szCs w:val="24"/>
        </w:rPr>
        <w:t xml:space="preserve">på bred front för att stödja fred, demokratiska krafter, institutionsbyggande samt stärka ländernas ekonomi inklusive genom frihandel och främjande av turism. </w:t>
      </w:r>
    </w:p>
    <w:p w:rsidR="000D3821" w:rsidRPr="00DF23CF" w:rsidRDefault="000D3821" w:rsidP="000D3821">
      <w:pPr>
        <w:spacing w:line="320" w:lineRule="exact"/>
        <w:rPr>
          <w:rFonts w:ascii="OrigGarmnd BT" w:hAnsi="OrigGarmnd BT"/>
          <w:sz w:val="24"/>
          <w:szCs w:val="24"/>
        </w:rPr>
      </w:pPr>
    </w:p>
    <w:p w:rsidR="000D3821" w:rsidRPr="00DF23CF" w:rsidRDefault="000D3821" w:rsidP="000D3821">
      <w:pPr>
        <w:rPr>
          <w:rFonts w:ascii="OrigGarmnd BT" w:hAnsi="OrigGarmnd BT" w:cs="Tms Rmn"/>
          <w:sz w:val="24"/>
          <w:szCs w:val="24"/>
        </w:rPr>
      </w:pPr>
      <w:r w:rsidRPr="00DF23CF">
        <w:rPr>
          <w:rFonts w:ascii="OrigGarmnd BT" w:hAnsi="OrigGarmnd BT"/>
          <w:sz w:val="24"/>
          <w:szCs w:val="24"/>
        </w:rPr>
        <w:t xml:space="preserve">Planerna på ett nytt partnerskap med EU:s grannländer i syd, för demokrati och välstånd, stämmer väl överens med </w:t>
      </w:r>
      <w:r w:rsidRPr="00DF23CF">
        <w:rPr>
          <w:rFonts w:ascii="OrigGarmnd BT" w:hAnsi="OrigGarmnd BT" w:cs="Tms Rmn"/>
          <w:sz w:val="24"/>
          <w:szCs w:val="24"/>
        </w:rPr>
        <w:t xml:space="preserve">regeringens linje: bl.a. ökat stöd till länder som genomgår demokratiseringsprocesser, utvecklandet av en rättsstat och konditionalitet </w:t>
      </w:r>
      <w:r w:rsidRPr="00DF23CF">
        <w:rPr>
          <w:rFonts w:ascii="OrigGarmnd BT" w:hAnsi="OrigGarmnd BT"/>
          <w:sz w:val="24"/>
          <w:szCs w:val="24"/>
        </w:rPr>
        <w:t>baserat på framsteg när det gäller demokratiska reformer</w:t>
      </w:r>
      <w:r w:rsidRPr="00DF23CF">
        <w:rPr>
          <w:rFonts w:ascii="OrigGarmnd BT" w:hAnsi="OrigGarmnd BT" w:cs="Tms Rmn"/>
          <w:sz w:val="24"/>
          <w:szCs w:val="24"/>
        </w:rPr>
        <w:t>. Principen om att länder som genomför reformer ska få ett bättre EU-erbjudande och mer stöd bör gälla även i EU:s östeuropeiska grannskap.</w:t>
      </w:r>
    </w:p>
    <w:p w:rsidR="000D3821" w:rsidRPr="00DF23CF" w:rsidRDefault="000D3821" w:rsidP="000D3821">
      <w:pPr>
        <w:rPr>
          <w:rFonts w:ascii="OrigGarmnd BT" w:hAnsi="OrigGarmnd BT"/>
          <w:sz w:val="24"/>
          <w:szCs w:val="24"/>
        </w:rPr>
      </w:pPr>
    </w:p>
    <w:p w:rsidR="000D3821" w:rsidRPr="00DF23CF" w:rsidRDefault="000D3821" w:rsidP="000D3821">
      <w:pPr>
        <w:rPr>
          <w:rFonts w:ascii="OrigGarmnd BT" w:hAnsi="OrigGarmnd BT"/>
          <w:b/>
          <w:bCs/>
          <w:color w:val="000000"/>
          <w:sz w:val="24"/>
          <w:szCs w:val="24"/>
          <w:lang w:eastAsia="sv-SE"/>
        </w:rPr>
      </w:pPr>
      <w:r w:rsidRPr="00DF23CF">
        <w:rPr>
          <w:rFonts w:ascii="OrigGarmnd BT" w:hAnsi="OrigGarmnd BT"/>
          <w:b/>
          <w:bCs/>
          <w:color w:val="000000"/>
          <w:sz w:val="24"/>
          <w:szCs w:val="24"/>
          <w:lang w:eastAsia="sv-SE"/>
        </w:rPr>
        <w:t xml:space="preserve">3. </w:t>
      </w:r>
      <w:r w:rsidRPr="00DF23CF">
        <w:rPr>
          <w:rFonts w:ascii="OrigGarmnd BT" w:hAnsi="OrigGarmnd BT"/>
          <w:b/>
          <w:color w:val="000000"/>
          <w:sz w:val="24"/>
          <w:szCs w:val="24"/>
          <w:lang w:eastAsia="sv-SE"/>
        </w:rPr>
        <w:t>Sahel</w:t>
      </w:r>
      <w:r w:rsidRPr="00DF23CF">
        <w:rPr>
          <w:rFonts w:ascii="OrigGarmnd BT" w:hAnsi="OrigGarmnd BT"/>
          <w:b/>
          <w:bCs/>
          <w:color w:val="000000"/>
          <w:sz w:val="24"/>
          <w:szCs w:val="24"/>
          <w:lang w:eastAsia="sv-SE"/>
        </w:rPr>
        <w:t xml:space="preserve"> </w:t>
      </w:r>
    </w:p>
    <w:p w:rsidR="000D3821" w:rsidRPr="00DF23CF" w:rsidRDefault="000D3821" w:rsidP="000D3821">
      <w:pPr>
        <w:overflowPunct/>
        <w:textAlignment w:val="auto"/>
        <w:rPr>
          <w:i/>
          <w:iCs/>
          <w:color w:val="000000"/>
          <w:sz w:val="24"/>
          <w:szCs w:val="24"/>
          <w:lang w:eastAsia="sv-SE"/>
        </w:rPr>
      </w:pPr>
      <w:r w:rsidRPr="00DF23CF">
        <w:rPr>
          <w:i/>
          <w:iCs/>
          <w:color w:val="000000"/>
          <w:sz w:val="24"/>
          <w:szCs w:val="24"/>
          <w:lang w:eastAsia="sv-SE"/>
        </w:rPr>
        <w:t>Diskussions- och beslutspunkt</w:t>
      </w:r>
    </w:p>
    <w:p w:rsidR="000D3821" w:rsidRPr="00DF23CF" w:rsidRDefault="000D3821" w:rsidP="000D3821">
      <w:pPr>
        <w:overflowPunct/>
        <w:textAlignment w:val="auto"/>
        <w:rPr>
          <w:color w:val="000000"/>
          <w:sz w:val="24"/>
          <w:szCs w:val="24"/>
          <w:lang w:eastAsia="sv-SE"/>
        </w:rPr>
      </w:pPr>
    </w:p>
    <w:p w:rsidR="000D3821" w:rsidRPr="00DF23CF" w:rsidRDefault="000D3821" w:rsidP="000D3821">
      <w:pPr>
        <w:overflowPunct/>
        <w:textAlignment w:val="auto"/>
        <w:rPr>
          <w:rFonts w:ascii="OrigGarmnd BT" w:hAnsi="OrigGarmnd BT"/>
          <w:sz w:val="24"/>
          <w:szCs w:val="24"/>
        </w:rPr>
      </w:pPr>
      <w:r w:rsidRPr="00DF23CF">
        <w:rPr>
          <w:rFonts w:ascii="OrigGarmnd BT" w:hAnsi="OrigGarmnd BT"/>
          <w:sz w:val="24"/>
          <w:szCs w:val="24"/>
        </w:rPr>
        <w:t xml:space="preserve">Den EU-strategi för Sahel som muntligen presenterades av HR Ashton vid FAC den 21 februari väntas diskuteras och slutsatser antas. Sverige bidrog under EU- ordförandeskapet 2009 till ett ökat EU-engagemang för Sahel och frågan har diskuterats kontinuerligt sedan dess. </w:t>
      </w:r>
    </w:p>
    <w:p w:rsidR="000D3821" w:rsidRPr="00DF23CF" w:rsidRDefault="000D3821" w:rsidP="000D3821">
      <w:pPr>
        <w:overflowPunct/>
        <w:textAlignment w:val="auto"/>
        <w:rPr>
          <w:rFonts w:ascii="OrigGarmnd BT" w:hAnsi="OrigGarmnd BT"/>
          <w:sz w:val="24"/>
          <w:szCs w:val="24"/>
        </w:rPr>
      </w:pPr>
    </w:p>
    <w:p w:rsidR="000D3821" w:rsidRPr="00DF23CF" w:rsidRDefault="000D3821" w:rsidP="000D3821">
      <w:pPr>
        <w:overflowPunct/>
        <w:textAlignment w:val="auto"/>
        <w:rPr>
          <w:rFonts w:ascii="OrigGarmnd BT" w:hAnsi="OrigGarmnd BT"/>
          <w:sz w:val="24"/>
          <w:szCs w:val="24"/>
        </w:rPr>
      </w:pPr>
      <w:r w:rsidRPr="00DF23CF">
        <w:rPr>
          <w:rFonts w:ascii="OrigGarmnd BT" w:hAnsi="OrigGarmnd BT"/>
          <w:sz w:val="24"/>
          <w:szCs w:val="24"/>
          <w:u w:val="single"/>
        </w:rPr>
        <w:lastRenderedPageBreak/>
        <w:t>Regeringens ståndpunkt:</w:t>
      </w:r>
      <w:r w:rsidRPr="00DF23CF">
        <w:rPr>
          <w:rFonts w:ascii="OrigGarmnd BT" w:hAnsi="OrigGarmnd BT"/>
          <w:sz w:val="24"/>
          <w:szCs w:val="24"/>
        </w:rPr>
        <w:t xml:space="preserve"> Regeringen välkomnar antagandet av en Sahel-strategi som ger ett ramverk för konkret EU-engagemang i regionen.</w:t>
      </w:r>
    </w:p>
    <w:p w:rsidR="000D3821" w:rsidRPr="00DF23CF" w:rsidRDefault="000D3821" w:rsidP="000D3821">
      <w:pPr>
        <w:rPr>
          <w:rFonts w:ascii="OrigGarmnd BT" w:hAnsi="OrigGarmnd BT"/>
          <w:b/>
          <w:sz w:val="24"/>
          <w:szCs w:val="24"/>
        </w:rPr>
      </w:pPr>
    </w:p>
    <w:p w:rsidR="000D3821" w:rsidRPr="00DF23CF" w:rsidRDefault="000D3821" w:rsidP="000D3821">
      <w:pPr>
        <w:rPr>
          <w:rFonts w:ascii="OrigGarmnd BT" w:hAnsi="OrigGarmnd BT"/>
          <w:b/>
          <w:sz w:val="24"/>
          <w:szCs w:val="24"/>
        </w:rPr>
      </w:pPr>
      <w:r w:rsidRPr="00DF23CF">
        <w:rPr>
          <w:rFonts w:ascii="OrigGarmnd BT" w:hAnsi="OrigGarmnd BT"/>
          <w:b/>
          <w:sz w:val="24"/>
          <w:szCs w:val="24"/>
        </w:rPr>
        <w:t>4. Afrikas Horn</w:t>
      </w:r>
    </w:p>
    <w:p w:rsidR="000D3821" w:rsidRPr="00DF23CF" w:rsidRDefault="000D3821" w:rsidP="000D3821">
      <w:pPr>
        <w:overflowPunct/>
        <w:textAlignment w:val="auto"/>
        <w:rPr>
          <w:i/>
          <w:iCs/>
          <w:color w:val="000000"/>
          <w:sz w:val="24"/>
          <w:szCs w:val="24"/>
          <w:lang w:eastAsia="sv-SE"/>
        </w:rPr>
      </w:pPr>
      <w:r w:rsidRPr="00DF23CF">
        <w:rPr>
          <w:i/>
          <w:iCs/>
          <w:color w:val="000000"/>
          <w:sz w:val="24"/>
          <w:szCs w:val="24"/>
          <w:lang w:eastAsia="sv-SE"/>
        </w:rPr>
        <w:t>Diskussions- och beslutspunkt</w:t>
      </w:r>
    </w:p>
    <w:p w:rsidR="000D3821" w:rsidRPr="00DF23CF" w:rsidRDefault="000D3821" w:rsidP="000D3821">
      <w:pPr>
        <w:overflowPunct/>
        <w:textAlignment w:val="auto"/>
        <w:rPr>
          <w:i/>
          <w:iCs/>
          <w:color w:val="000000"/>
          <w:sz w:val="24"/>
          <w:szCs w:val="24"/>
          <w:lang w:eastAsia="sv-SE"/>
        </w:rPr>
      </w:pPr>
    </w:p>
    <w:p w:rsidR="000D3821" w:rsidRPr="00DF23CF" w:rsidRDefault="000D3821" w:rsidP="000D3821">
      <w:pPr>
        <w:overflowPunct/>
        <w:textAlignment w:val="auto"/>
        <w:rPr>
          <w:rFonts w:ascii="OrigGarmnd BT" w:hAnsi="OrigGarmnd BT"/>
          <w:sz w:val="24"/>
          <w:szCs w:val="24"/>
        </w:rPr>
      </w:pPr>
      <w:r w:rsidRPr="00DF23CF">
        <w:rPr>
          <w:rFonts w:ascii="OrigGarmnd BT" w:hAnsi="OrigGarmnd BT"/>
          <w:sz w:val="24"/>
          <w:szCs w:val="24"/>
        </w:rPr>
        <w:t>Den EU-strategi för Afrikas horn som muntligen presenterades av HR Ashton vid FAC den 21 februari väntas diskuteras. Slutsatser förväntas också antas om Somalia.</w:t>
      </w:r>
    </w:p>
    <w:p w:rsidR="000D3821" w:rsidRPr="00DF23CF" w:rsidRDefault="000D3821" w:rsidP="000D3821">
      <w:pPr>
        <w:overflowPunct/>
        <w:textAlignment w:val="auto"/>
        <w:rPr>
          <w:rFonts w:ascii="OrigGarmnd BT" w:hAnsi="OrigGarmnd BT"/>
          <w:sz w:val="24"/>
          <w:szCs w:val="24"/>
        </w:rPr>
      </w:pPr>
    </w:p>
    <w:p w:rsidR="000D3821" w:rsidRPr="00DF23CF" w:rsidRDefault="000D3821" w:rsidP="000D3821">
      <w:pPr>
        <w:overflowPunct/>
        <w:textAlignment w:val="auto"/>
        <w:rPr>
          <w:rFonts w:ascii="OrigGarmnd BT" w:hAnsi="OrigGarmnd BT"/>
          <w:sz w:val="24"/>
          <w:szCs w:val="24"/>
        </w:rPr>
      </w:pPr>
      <w:r w:rsidRPr="00DF23CF">
        <w:rPr>
          <w:rFonts w:ascii="OrigGarmnd BT" w:hAnsi="OrigGarmnd BT"/>
          <w:sz w:val="24"/>
          <w:szCs w:val="24"/>
          <w:u w:val="single"/>
        </w:rPr>
        <w:t>Regeringens ståndpunkt:</w:t>
      </w:r>
      <w:r w:rsidRPr="00DF23CF">
        <w:rPr>
          <w:rFonts w:ascii="OrigGarmnd BT" w:hAnsi="OrigGarmnd BT"/>
          <w:sz w:val="24"/>
          <w:szCs w:val="24"/>
        </w:rPr>
        <w:t xml:space="preserve"> Regeringen  välkomnar att en strategi för Afrikas horn utarbetas. EU:s policy för Afrikas horn som antogs under det svenska ordförande</w:t>
      </w:r>
      <w:r w:rsidRPr="00DF23CF">
        <w:rPr>
          <w:rFonts w:ascii="OrigGarmnd BT" w:hAnsi="OrigGarmnd BT"/>
          <w:sz w:val="24"/>
          <w:szCs w:val="24"/>
        </w:rPr>
        <w:softHyphen/>
        <w:t xml:space="preserve">skapet i EU 2009 bör vara en utgångspunkt. Regeringen anser att strategin bör ha ett tydligt regionalt perspektiv och formulera strategiska målsättningar för hur EU genom ett brett engagemang kan bidra till fred och utveckling i regionen. </w:t>
      </w:r>
    </w:p>
    <w:p w:rsidR="000D3821" w:rsidRPr="00DF23CF" w:rsidRDefault="000D3821" w:rsidP="000D3821">
      <w:pPr>
        <w:overflowPunct/>
        <w:textAlignment w:val="auto"/>
        <w:rPr>
          <w:color w:val="000000"/>
          <w:sz w:val="24"/>
          <w:szCs w:val="24"/>
          <w:lang w:eastAsia="sv-SE"/>
        </w:rPr>
      </w:pPr>
    </w:p>
    <w:p w:rsidR="000D3821" w:rsidRPr="00DF23CF" w:rsidRDefault="000D3821" w:rsidP="000D3821">
      <w:pPr>
        <w:overflowPunct/>
        <w:textAlignment w:val="auto"/>
        <w:rPr>
          <w:rFonts w:ascii="OrigGarmnd BT" w:hAnsi="OrigGarmnd BT"/>
          <w:sz w:val="24"/>
          <w:szCs w:val="24"/>
        </w:rPr>
      </w:pPr>
      <w:r w:rsidRPr="00DF23CF">
        <w:rPr>
          <w:rFonts w:ascii="OrigGarmnd BT" w:hAnsi="OrigGarmnd BT"/>
          <w:sz w:val="24"/>
          <w:szCs w:val="24"/>
        </w:rPr>
        <w:t xml:space="preserve">Det är viktigt att EU ger ett tydligt budskap till övergångsinstitutionerna i Somalia om de förväntningar som EU har på reformer samt bekräftar sitt engagemang för utvecklingen av landet. </w:t>
      </w:r>
    </w:p>
    <w:p w:rsidR="000D3821" w:rsidRPr="00DF23CF" w:rsidRDefault="000D3821" w:rsidP="000D3821">
      <w:pPr>
        <w:rPr>
          <w:rFonts w:ascii="OrigGarmnd BT" w:hAnsi="OrigGarmnd BT" w:cs="OrigGarmnd BT"/>
          <w:sz w:val="24"/>
          <w:szCs w:val="24"/>
          <w:lang w:eastAsia="sv-SE"/>
        </w:rPr>
      </w:pPr>
    </w:p>
    <w:p w:rsidR="000D3821" w:rsidRPr="00DF23CF" w:rsidRDefault="000D3821" w:rsidP="000D3821">
      <w:pPr>
        <w:rPr>
          <w:rFonts w:ascii="OrigGarmnd BT" w:hAnsi="OrigGarmnd BT"/>
          <w:b/>
          <w:color w:val="000000"/>
          <w:sz w:val="24"/>
          <w:szCs w:val="24"/>
          <w:lang w:eastAsia="sv-SE"/>
        </w:rPr>
      </w:pPr>
      <w:r w:rsidRPr="00DF23CF">
        <w:rPr>
          <w:rFonts w:ascii="OrigGarmnd BT" w:hAnsi="OrigGarmnd BT"/>
          <w:b/>
          <w:color w:val="000000"/>
          <w:sz w:val="24"/>
          <w:szCs w:val="24"/>
          <w:lang w:eastAsia="sv-SE"/>
        </w:rPr>
        <w:t xml:space="preserve">5. </w:t>
      </w:r>
      <w:r w:rsidRPr="00DF23CF">
        <w:rPr>
          <w:rFonts w:ascii="OrigGarmnd BT" w:hAnsi="OrigGarmnd BT"/>
          <w:b/>
          <w:bCs/>
          <w:color w:val="000000"/>
          <w:sz w:val="24"/>
          <w:szCs w:val="24"/>
          <w:lang w:eastAsia="sv-SE"/>
        </w:rPr>
        <w:t>Bosnien och Hercegovina</w:t>
      </w:r>
    </w:p>
    <w:p w:rsidR="000D3821" w:rsidRPr="00DF23CF" w:rsidRDefault="000D3821" w:rsidP="000D3821">
      <w:pPr>
        <w:rPr>
          <w:rFonts w:ascii="OrigGarmnd BT" w:hAnsi="OrigGarmnd BT"/>
          <w:i/>
          <w:sz w:val="24"/>
          <w:szCs w:val="24"/>
        </w:rPr>
      </w:pPr>
      <w:r w:rsidRPr="00DF23CF">
        <w:rPr>
          <w:rFonts w:ascii="OrigGarmnd BT" w:hAnsi="OrigGarmnd BT"/>
          <w:i/>
          <w:sz w:val="24"/>
          <w:szCs w:val="24"/>
        </w:rPr>
        <w:t>Diskussionspunkt och beslutspunkt</w:t>
      </w:r>
    </w:p>
    <w:p w:rsidR="000D3821" w:rsidRPr="00DF23CF" w:rsidRDefault="000D3821" w:rsidP="000D3821">
      <w:pPr>
        <w:rPr>
          <w:rFonts w:ascii="OrigGarmnd BT" w:hAnsi="OrigGarmnd BT"/>
          <w:sz w:val="24"/>
          <w:szCs w:val="24"/>
        </w:rPr>
      </w:pPr>
    </w:p>
    <w:p w:rsidR="000D3821" w:rsidRPr="00DF23CF" w:rsidRDefault="000D3821" w:rsidP="000D3821">
      <w:pPr>
        <w:rPr>
          <w:rFonts w:ascii="OrigGarmnd BT" w:hAnsi="OrigGarmnd BT"/>
          <w:sz w:val="24"/>
          <w:szCs w:val="24"/>
        </w:rPr>
      </w:pPr>
      <w:r w:rsidRPr="00DF23CF">
        <w:rPr>
          <w:rFonts w:ascii="OrigGarmnd BT" w:hAnsi="OrigGarmnd BT"/>
          <w:sz w:val="24"/>
          <w:szCs w:val="24"/>
        </w:rPr>
        <w:t xml:space="preserve">Som uppföljning på diskussionen vid FAC den 21 februari väntas Rådet diskutera beståndsdelar och åtgärder i en fördjupad EU-politik gentemot Bosnien-Hercegovina. Slutsatser förväntas antas. </w:t>
      </w:r>
    </w:p>
    <w:p w:rsidR="000D3821" w:rsidRPr="00DF23CF" w:rsidRDefault="000D3821" w:rsidP="000D3821">
      <w:pPr>
        <w:rPr>
          <w:rFonts w:ascii="OrigGarmnd BT" w:hAnsi="OrigGarmnd BT"/>
          <w:sz w:val="24"/>
          <w:szCs w:val="24"/>
          <w:u w:val="single"/>
        </w:rPr>
      </w:pPr>
    </w:p>
    <w:p w:rsidR="000D3821" w:rsidRPr="00DF23CF" w:rsidRDefault="000D3821" w:rsidP="000D3821">
      <w:pPr>
        <w:rPr>
          <w:rFonts w:ascii="OrigGarmnd BT" w:hAnsi="OrigGarmnd BT"/>
          <w:sz w:val="24"/>
          <w:szCs w:val="24"/>
        </w:rPr>
      </w:pPr>
      <w:r w:rsidRPr="00DF23CF">
        <w:rPr>
          <w:rFonts w:ascii="OrigGarmnd BT" w:hAnsi="OrigGarmnd BT"/>
          <w:sz w:val="24"/>
          <w:szCs w:val="24"/>
          <w:u w:val="single"/>
        </w:rPr>
        <w:t>Regeringens ståndpunkt</w:t>
      </w:r>
      <w:r w:rsidRPr="00DF23CF">
        <w:rPr>
          <w:rFonts w:ascii="OrigGarmnd BT" w:hAnsi="OrigGarmnd BT"/>
          <w:sz w:val="24"/>
          <w:szCs w:val="24"/>
        </w:rPr>
        <w:t>: Regeringen välkomnar en diskussion om ett fördjupat EU-engagemang samt slutsatser som lyfter fram en förstärkning av EU:s närvaro, i enlighet med det nya fördraget och de behov som finns på marken, med ett tydligt fokus på positiva åtgärder för att uppmuntra förnyade reform</w:t>
      </w:r>
      <w:r w:rsidRPr="00DF23CF">
        <w:rPr>
          <w:rFonts w:ascii="OrigGarmnd BT" w:hAnsi="OrigGarmnd BT"/>
          <w:sz w:val="24"/>
          <w:szCs w:val="24"/>
        </w:rPr>
        <w:softHyphen/>
        <w:t xml:space="preserve">ansträngningar. </w:t>
      </w:r>
    </w:p>
    <w:p w:rsidR="000D3821" w:rsidRPr="00DF23CF" w:rsidRDefault="000D3821" w:rsidP="000D3821">
      <w:pPr>
        <w:rPr>
          <w:rFonts w:ascii="OrigGarmnd BT" w:hAnsi="OrigGarmnd BT"/>
          <w:sz w:val="24"/>
          <w:szCs w:val="24"/>
        </w:rPr>
      </w:pPr>
    </w:p>
    <w:p w:rsidR="000D3821" w:rsidRPr="00DF23CF" w:rsidRDefault="000D3821" w:rsidP="000D3821">
      <w:pPr>
        <w:rPr>
          <w:rFonts w:ascii="OrigGarmnd BT" w:hAnsi="OrigGarmnd BT"/>
          <w:b/>
          <w:bCs/>
          <w:color w:val="000000"/>
          <w:sz w:val="24"/>
          <w:szCs w:val="24"/>
          <w:lang w:eastAsia="sv-SE"/>
        </w:rPr>
      </w:pPr>
      <w:r w:rsidRPr="00DF23CF">
        <w:rPr>
          <w:rFonts w:ascii="OrigGarmnd BT" w:hAnsi="OrigGarmnd BT"/>
          <w:b/>
          <w:bCs/>
          <w:color w:val="000000"/>
          <w:sz w:val="24"/>
          <w:szCs w:val="24"/>
          <w:lang w:eastAsia="sv-SE"/>
        </w:rPr>
        <w:t>6. Vitryssland (ev.)</w:t>
      </w:r>
    </w:p>
    <w:p w:rsidR="000D3821" w:rsidRPr="00DF23CF" w:rsidRDefault="000D3821" w:rsidP="000D3821">
      <w:pPr>
        <w:overflowPunct/>
        <w:textAlignment w:val="auto"/>
        <w:rPr>
          <w:rFonts w:ascii="OrigGarmnd BT" w:hAnsi="OrigGarmnd BT" w:cs="OrigGarmnd BT"/>
          <w:i/>
          <w:iCs/>
          <w:color w:val="000000"/>
          <w:sz w:val="24"/>
          <w:szCs w:val="24"/>
          <w:lang w:eastAsia="sv-SE"/>
        </w:rPr>
      </w:pPr>
      <w:r w:rsidRPr="00DF23CF">
        <w:rPr>
          <w:rFonts w:ascii="OrigGarmnd BT" w:hAnsi="OrigGarmnd BT" w:cs="OrigGarmnd BT"/>
          <w:i/>
          <w:iCs/>
          <w:color w:val="000000"/>
          <w:sz w:val="24"/>
          <w:szCs w:val="24"/>
          <w:lang w:eastAsia="sv-SE"/>
        </w:rPr>
        <w:t>Diskussionspunkt</w:t>
      </w:r>
    </w:p>
    <w:p w:rsidR="000D3821" w:rsidRPr="00DF23CF" w:rsidRDefault="000D3821" w:rsidP="000D3821">
      <w:pPr>
        <w:overflowPunct/>
        <w:textAlignment w:val="auto"/>
        <w:rPr>
          <w:rFonts w:ascii="OrigGarmnd BT" w:hAnsi="OrigGarmnd BT" w:cs="OrigGarmnd BT"/>
          <w:i/>
          <w:iCs/>
          <w:color w:val="000000"/>
          <w:sz w:val="24"/>
          <w:szCs w:val="24"/>
          <w:lang w:eastAsia="sv-SE"/>
        </w:rPr>
      </w:pPr>
    </w:p>
    <w:p w:rsidR="000D3821" w:rsidRPr="00DF23CF" w:rsidRDefault="000D3821" w:rsidP="000D3821">
      <w:pPr>
        <w:overflowPunct/>
        <w:textAlignment w:val="auto"/>
        <w:rPr>
          <w:rFonts w:ascii="OrigGarmnd BT" w:hAnsi="OrigGarmnd BT" w:cs="OrigGarmnd BT"/>
          <w:color w:val="000000"/>
          <w:sz w:val="24"/>
          <w:szCs w:val="24"/>
          <w:lang w:eastAsia="sv-SE"/>
        </w:rPr>
      </w:pPr>
      <w:r w:rsidRPr="00DF23CF">
        <w:rPr>
          <w:rFonts w:ascii="OrigGarmnd BT" w:hAnsi="OrigGarmnd BT" w:cs="OrigGarmnd BT"/>
          <w:color w:val="000000"/>
          <w:sz w:val="24"/>
          <w:szCs w:val="24"/>
          <w:lang w:eastAsia="sv-SE"/>
        </w:rPr>
        <w:t xml:space="preserve">Mot bakgrund av den fortsatt negativa utvecklingen i Vitryssland, förväntas utrikesministrarna diskutera ytterligare åtgärder riktade mot den vitryska regimen, i linje med rådsslutsatserna från utrikesrådet den 31 januari 2011. </w:t>
      </w:r>
    </w:p>
    <w:p w:rsidR="000D3821" w:rsidRPr="00DF23CF" w:rsidRDefault="000D3821" w:rsidP="000D3821">
      <w:pPr>
        <w:overflowPunct/>
        <w:textAlignment w:val="auto"/>
        <w:rPr>
          <w:rFonts w:ascii="OrigGarmnd BT" w:hAnsi="OrigGarmnd BT" w:cs="OrigGarmnd BT"/>
          <w:color w:val="000000"/>
          <w:sz w:val="24"/>
          <w:szCs w:val="24"/>
          <w:lang w:eastAsia="sv-SE"/>
        </w:rPr>
      </w:pPr>
    </w:p>
    <w:p w:rsidR="000D3821" w:rsidRPr="00DF23CF" w:rsidRDefault="000D3821" w:rsidP="000D3821">
      <w:pPr>
        <w:rPr>
          <w:rFonts w:ascii="OrigGarmnd BT" w:hAnsi="OrigGarmnd BT" w:cs="OrigGarmnd BT"/>
          <w:color w:val="000000"/>
          <w:sz w:val="24"/>
          <w:szCs w:val="24"/>
          <w:lang w:eastAsia="sv-SE"/>
        </w:rPr>
      </w:pPr>
      <w:r w:rsidRPr="00DF23CF">
        <w:rPr>
          <w:rFonts w:ascii="OrigGarmnd BT" w:hAnsi="OrigGarmnd BT" w:cs="OrigGarmnd BT"/>
          <w:color w:val="000000"/>
          <w:sz w:val="24"/>
          <w:szCs w:val="24"/>
          <w:u w:val="single"/>
          <w:lang w:eastAsia="sv-SE"/>
        </w:rPr>
        <w:t>Regeringens ståndpunkt:</w:t>
      </w:r>
      <w:r w:rsidRPr="00DF23CF">
        <w:rPr>
          <w:rFonts w:ascii="OrigGarmnd BT" w:hAnsi="OrigGarmnd BT" w:cs="OrigGarmnd BT"/>
          <w:color w:val="000000"/>
          <w:sz w:val="24"/>
          <w:szCs w:val="24"/>
          <w:lang w:eastAsia="sv-SE"/>
        </w:rPr>
        <w:t xml:space="preserve"> Regeringen anser att det försämrade läget vad gäller mänskliga rättigheter i Vitryssland motiverar ytterligare åtgärder mot den vitryska regimen.</w:t>
      </w:r>
    </w:p>
    <w:p w:rsidR="000D3821" w:rsidRPr="00DF23CF" w:rsidRDefault="000D3821" w:rsidP="000D3821">
      <w:pPr>
        <w:rPr>
          <w:rFonts w:ascii="OrigGarmnd BT" w:hAnsi="OrigGarmnd BT"/>
          <w:b/>
          <w:bCs/>
          <w:color w:val="000000"/>
          <w:sz w:val="24"/>
          <w:szCs w:val="24"/>
          <w:lang w:eastAsia="sv-SE"/>
        </w:rPr>
      </w:pPr>
      <w:r w:rsidRPr="00DF23CF">
        <w:rPr>
          <w:rFonts w:ascii="OrigGarmnd BT" w:hAnsi="OrigGarmnd BT" w:cs="OrigGarmnd BT"/>
          <w:color w:val="000000"/>
          <w:sz w:val="24"/>
          <w:szCs w:val="24"/>
          <w:lang w:eastAsia="sv-SE"/>
        </w:rPr>
        <w:t xml:space="preserve"> </w:t>
      </w:r>
    </w:p>
    <w:p w:rsidR="000D3821" w:rsidRPr="00DF23CF" w:rsidRDefault="000D3821" w:rsidP="000D3821">
      <w:pPr>
        <w:rPr>
          <w:rFonts w:ascii="OrigGarmnd BT" w:hAnsi="OrigGarmnd BT"/>
          <w:b/>
          <w:bCs/>
          <w:color w:val="000000"/>
          <w:sz w:val="24"/>
          <w:szCs w:val="24"/>
          <w:lang w:eastAsia="sv-SE"/>
        </w:rPr>
      </w:pPr>
    </w:p>
    <w:p w:rsidR="000D3821" w:rsidRPr="00DF23CF" w:rsidRDefault="000D3821" w:rsidP="000D3821">
      <w:pPr>
        <w:rPr>
          <w:rFonts w:ascii="OrigGarmnd BT" w:hAnsi="OrigGarmnd BT"/>
          <w:b/>
          <w:bCs/>
          <w:color w:val="000000"/>
          <w:sz w:val="24"/>
          <w:szCs w:val="24"/>
          <w:lang w:eastAsia="sv-SE"/>
        </w:rPr>
      </w:pPr>
    </w:p>
    <w:p w:rsidR="000D3821" w:rsidRPr="00DF23CF" w:rsidRDefault="000D3821" w:rsidP="000D3821">
      <w:pPr>
        <w:rPr>
          <w:rFonts w:ascii="OrigGarmnd BT" w:hAnsi="OrigGarmnd BT"/>
          <w:b/>
          <w:bCs/>
          <w:color w:val="000000"/>
          <w:sz w:val="24"/>
          <w:szCs w:val="24"/>
          <w:lang w:eastAsia="sv-SE"/>
        </w:rPr>
      </w:pPr>
    </w:p>
    <w:p w:rsidR="000D3821" w:rsidRPr="00DF23CF" w:rsidRDefault="000D3821" w:rsidP="000D3821">
      <w:pPr>
        <w:rPr>
          <w:rFonts w:ascii="OrigGarmnd BT" w:hAnsi="OrigGarmnd BT"/>
          <w:b/>
          <w:bCs/>
          <w:color w:val="000000"/>
          <w:sz w:val="24"/>
          <w:szCs w:val="24"/>
          <w:lang w:eastAsia="sv-SE"/>
        </w:rPr>
      </w:pPr>
    </w:p>
    <w:p w:rsidR="000D3821" w:rsidRPr="00DF23CF" w:rsidRDefault="000D3821" w:rsidP="000D3821">
      <w:pPr>
        <w:rPr>
          <w:rFonts w:ascii="OrigGarmnd BT" w:hAnsi="OrigGarmnd BT"/>
          <w:b/>
          <w:bCs/>
          <w:color w:val="000000"/>
          <w:sz w:val="24"/>
          <w:szCs w:val="24"/>
          <w:lang w:eastAsia="sv-SE"/>
        </w:rPr>
      </w:pPr>
      <w:r w:rsidRPr="00DF23CF">
        <w:rPr>
          <w:rFonts w:ascii="OrigGarmnd BT" w:hAnsi="OrigGarmnd BT"/>
          <w:b/>
          <w:bCs/>
          <w:color w:val="000000"/>
          <w:sz w:val="24"/>
          <w:szCs w:val="24"/>
          <w:lang w:eastAsia="sv-SE"/>
        </w:rPr>
        <w:t>7. Serbien/Kosovo (ev.)</w:t>
      </w:r>
    </w:p>
    <w:p w:rsidR="000D3821" w:rsidRPr="00DF23CF" w:rsidRDefault="000D3821" w:rsidP="000D3821">
      <w:pPr>
        <w:rPr>
          <w:rFonts w:ascii="OrigGarmnd BT" w:hAnsi="OrigGarmnd BT"/>
          <w:bCs/>
          <w:i/>
          <w:color w:val="000000"/>
          <w:sz w:val="24"/>
          <w:szCs w:val="24"/>
          <w:lang w:eastAsia="sv-SE"/>
        </w:rPr>
      </w:pPr>
      <w:r w:rsidRPr="00DF23CF">
        <w:rPr>
          <w:rFonts w:ascii="OrigGarmnd BT" w:hAnsi="OrigGarmnd BT"/>
          <w:bCs/>
          <w:i/>
          <w:color w:val="000000"/>
          <w:sz w:val="24"/>
          <w:szCs w:val="24"/>
          <w:lang w:eastAsia="sv-SE"/>
        </w:rPr>
        <w:t>Informationspunkt</w:t>
      </w:r>
    </w:p>
    <w:p w:rsidR="000D3821" w:rsidRPr="00DF23CF" w:rsidRDefault="000D3821" w:rsidP="000D3821">
      <w:pPr>
        <w:rPr>
          <w:rFonts w:ascii="OrigGarmnd BT" w:hAnsi="OrigGarmnd BT"/>
          <w:b/>
          <w:bCs/>
          <w:color w:val="000000"/>
          <w:sz w:val="24"/>
          <w:szCs w:val="24"/>
          <w:lang w:eastAsia="sv-SE"/>
        </w:rPr>
      </w:pPr>
    </w:p>
    <w:p w:rsidR="000D3821" w:rsidRPr="00DF23CF" w:rsidRDefault="000D3821" w:rsidP="000D3821">
      <w:pPr>
        <w:overflowPunct/>
        <w:textAlignment w:val="auto"/>
        <w:rPr>
          <w:rFonts w:ascii="OrigGarmnd BT" w:hAnsi="OrigGarmnd BT" w:cs="OrigGarmnd BT"/>
          <w:color w:val="000000"/>
          <w:sz w:val="24"/>
          <w:szCs w:val="24"/>
          <w:lang w:eastAsia="sv-SE"/>
        </w:rPr>
      </w:pPr>
      <w:r w:rsidRPr="00DF23CF">
        <w:rPr>
          <w:rFonts w:ascii="OrigGarmnd BT" w:hAnsi="OrigGarmnd BT" w:cs="OrigGarmnd BT"/>
          <w:color w:val="000000"/>
          <w:sz w:val="24"/>
          <w:szCs w:val="24"/>
          <w:lang w:eastAsia="sv-SE"/>
        </w:rPr>
        <w:t xml:space="preserve">Den internationella domstolen (International Court of Justice, ICJ) presenterade i juli 2010 ett yttrande där man fastslog att Kosovos självständighetsförklaring inte står i strid med folkrätten. Yttrandet ledde till en FN-resolution som fastslår att EU ska understödja en </w:t>
      </w:r>
      <w:r w:rsidRPr="00DF23CF">
        <w:rPr>
          <w:rFonts w:ascii="OrigGarmnd BT" w:hAnsi="OrigGarmnd BT" w:cs="OrigGarmnd BT"/>
          <w:iCs/>
          <w:color w:val="000000"/>
          <w:sz w:val="24"/>
          <w:szCs w:val="24"/>
          <w:lang w:eastAsia="sv-SE"/>
        </w:rPr>
        <w:t>dialog</w:t>
      </w:r>
      <w:r w:rsidRPr="00DF23CF">
        <w:rPr>
          <w:rFonts w:ascii="OrigGarmnd BT" w:hAnsi="OrigGarmnd BT" w:cs="OrigGarmnd BT"/>
          <w:color w:val="000000"/>
          <w:sz w:val="24"/>
          <w:szCs w:val="24"/>
          <w:lang w:eastAsia="sv-SE"/>
        </w:rPr>
        <w:t xml:space="preserve"> mellan Serbien och Kosovo, i syfte att normalisera relationen och främja bägge parters EU-närmandeprocess. Det första </w:t>
      </w:r>
      <w:r w:rsidRPr="00DF23CF">
        <w:rPr>
          <w:rFonts w:ascii="OrigGarmnd BT" w:hAnsi="OrigGarmnd BT" w:cs="OrigGarmnd BT"/>
          <w:iCs/>
          <w:color w:val="000000"/>
          <w:sz w:val="24"/>
          <w:szCs w:val="24"/>
          <w:lang w:eastAsia="sv-SE"/>
        </w:rPr>
        <w:t>dialog</w:t>
      </w:r>
      <w:r w:rsidRPr="00DF23CF">
        <w:rPr>
          <w:rFonts w:ascii="OrigGarmnd BT" w:hAnsi="OrigGarmnd BT" w:cs="OrigGarmnd BT"/>
          <w:color w:val="000000"/>
          <w:sz w:val="24"/>
          <w:szCs w:val="24"/>
          <w:lang w:eastAsia="sv-SE"/>
        </w:rPr>
        <w:t xml:space="preserve">mötet mellan Pristina och Belgrad ägde rum den 8-9 mars under ledning av EU:s utrikestjänst (EEAS) och Rådet förväntas under lunchen få information om detta möte. </w:t>
      </w:r>
    </w:p>
    <w:p w:rsidR="000D3821" w:rsidRPr="00DF23CF" w:rsidRDefault="000D3821" w:rsidP="000D3821">
      <w:pPr>
        <w:overflowPunct/>
        <w:textAlignment w:val="auto"/>
        <w:rPr>
          <w:rFonts w:ascii="OrigGarmnd BT" w:hAnsi="OrigGarmnd BT" w:cs="OrigGarmnd BT"/>
          <w:color w:val="000000"/>
          <w:sz w:val="24"/>
          <w:szCs w:val="24"/>
          <w:lang w:eastAsia="sv-SE"/>
        </w:rPr>
      </w:pPr>
    </w:p>
    <w:p w:rsidR="000D3821" w:rsidRPr="00DF23CF" w:rsidRDefault="000D3821" w:rsidP="000D3821">
      <w:pPr>
        <w:overflowPunct/>
        <w:textAlignment w:val="auto"/>
        <w:rPr>
          <w:rFonts w:ascii="Helv" w:hAnsi="Helv" w:cs="Helv"/>
          <w:color w:val="000000"/>
          <w:lang w:eastAsia="sv-SE"/>
        </w:rPr>
      </w:pPr>
      <w:r w:rsidRPr="00DF23CF">
        <w:rPr>
          <w:rFonts w:ascii="OrigGarmnd BT" w:hAnsi="OrigGarmnd BT" w:cs="OrigGarmnd BT"/>
          <w:color w:val="000000"/>
          <w:sz w:val="24"/>
          <w:szCs w:val="24"/>
          <w:u w:val="single"/>
          <w:lang w:eastAsia="sv-SE"/>
        </w:rPr>
        <w:t xml:space="preserve">Regeringens ståndpunkt: </w:t>
      </w:r>
      <w:r w:rsidRPr="00DF23CF">
        <w:rPr>
          <w:rFonts w:ascii="OrigGarmnd BT" w:hAnsi="OrigGarmnd BT" w:cs="OrigGarmnd BT"/>
          <w:color w:val="000000"/>
          <w:sz w:val="24"/>
          <w:szCs w:val="24"/>
          <w:lang w:eastAsia="sv-SE"/>
        </w:rPr>
        <w:t xml:space="preserve">Regeringen välkomnar att dialogen mellan Belgrad och Pristina har inletts och förväntar sig ett konstruktivt agerande från bägge parter. </w:t>
      </w:r>
    </w:p>
    <w:p w:rsidR="000D3821" w:rsidRPr="00DF23CF" w:rsidRDefault="000D3821" w:rsidP="000D3821">
      <w:pPr>
        <w:rPr>
          <w:rFonts w:ascii="OrigGarmnd BT" w:hAnsi="OrigGarmnd BT"/>
          <w:b/>
          <w:bCs/>
          <w:color w:val="000000"/>
          <w:sz w:val="24"/>
          <w:szCs w:val="24"/>
          <w:lang w:eastAsia="sv-SE"/>
        </w:rPr>
      </w:pPr>
    </w:p>
    <w:p w:rsidR="000D3821" w:rsidRPr="00DF23CF" w:rsidRDefault="000D3821" w:rsidP="000D3821">
      <w:pPr>
        <w:rPr>
          <w:rFonts w:ascii="OrigGarmnd BT" w:hAnsi="OrigGarmnd BT"/>
          <w:b/>
          <w:bCs/>
          <w:color w:val="000000"/>
          <w:sz w:val="24"/>
          <w:szCs w:val="24"/>
          <w:lang w:eastAsia="sv-SE"/>
        </w:rPr>
      </w:pPr>
      <w:r w:rsidRPr="00DF23CF">
        <w:rPr>
          <w:rFonts w:ascii="OrigGarmnd BT" w:hAnsi="OrigGarmnd BT"/>
          <w:b/>
          <w:bCs/>
          <w:color w:val="000000"/>
          <w:sz w:val="24"/>
          <w:szCs w:val="24"/>
          <w:lang w:eastAsia="sv-SE"/>
        </w:rPr>
        <w:t>8. Iran (ev.)</w:t>
      </w:r>
    </w:p>
    <w:p w:rsidR="000D3821" w:rsidRPr="00DF23CF" w:rsidRDefault="000D3821" w:rsidP="000D3821">
      <w:pPr>
        <w:rPr>
          <w:rFonts w:ascii="OrigGarmnd BT" w:hAnsi="OrigGarmnd BT"/>
          <w:i/>
          <w:sz w:val="24"/>
          <w:szCs w:val="24"/>
        </w:rPr>
      </w:pPr>
      <w:r w:rsidRPr="00DF23CF">
        <w:rPr>
          <w:rFonts w:ascii="OrigGarmnd BT" w:hAnsi="OrigGarmnd BT"/>
          <w:i/>
          <w:sz w:val="24"/>
          <w:szCs w:val="24"/>
        </w:rPr>
        <w:t>Diskussionspunkt och beslutspunkt</w:t>
      </w:r>
    </w:p>
    <w:p w:rsidR="000D3821" w:rsidRPr="00DF23CF" w:rsidRDefault="000D3821" w:rsidP="000D3821">
      <w:pPr>
        <w:rPr>
          <w:rFonts w:ascii="OrigGarmnd BT" w:hAnsi="OrigGarmnd BT"/>
          <w:b/>
          <w:bCs/>
          <w:color w:val="000000"/>
          <w:sz w:val="24"/>
          <w:szCs w:val="24"/>
          <w:lang w:eastAsia="sv-SE"/>
        </w:rPr>
      </w:pPr>
    </w:p>
    <w:p w:rsidR="000D3821" w:rsidRPr="00DF23CF" w:rsidRDefault="000D3821" w:rsidP="000D3821">
      <w:pPr>
        <w:rPr>
          <w:rFonts w:ascii="OrigGarmnd BT" w:hAnsi="OrigGarmnd BT"/>
          <w:sz w:val="24"/>
          <w:szCs w:val="24"/>
        </w:rPr>
      </w:pPr>
      <w:r w:rsidRPr="00DF23CF">
        <w:rPr>
          <w:rFonts w:ascii="OrigGarmnd BT" w:hAnsi="OrigGarmnd BT"/>
          <w:sz w:val="24"/>
          <w:szCs w:val="24"/>
        </w:rPr>
        <w:t xml:space="preserve">Rådet förväntas diskutera det försämrade läget för de mänskliga rättigheterna i Iran. Diskussionen förväntas röra frågan om att belägga personer som varit delaktiga i det interna förtrycket med sanktioner i form av frysning av ekonomiska tillgångar samt reseförbud till EU. Frågan om hur en dialog kring mänskliga rättigheter bäst ska kunna föras med olika företrädare för det iranska samhället kommer också att diskuteras. Rådsslutsatser förväntas antas vid mötet. </w:t>
      </w:r>
    </w:p>
    <w:p w:rsidR="000D3821" w:rsidRPr="00DF23CF" w:rsidRDefault="000D3821" w:rsidP="000D3821">
      <w:pPr>
        <w:rPr>
          <w:rFonts w:ascii="OrigGarmnd BT" w:hAnsi="OrigGarmnd BT"/>
          <w:sz w:val="24"/>
          <w:szCs w:val="24"/>
        </w:rPr>
      </w:pPr>
    </w:p>
    <w:p w:rsidR="000D3821" w:rsidRPr="00DF23CF" w:rsidRDefault="000D3821" w:rsidP="000D3821">
      <w:pPr>
        <w:rPr>
          <w:rFonts w:ascii="OrigGarmnd BT" w:hAnsi="OrigGarmnd BT"/>
          <w:sz w:val="24"/>
          <w:szCs w:val="24"/>
        </w:rPr>
      </w:pPr>
      <w:r w:rsidRPr="00DF23CF">
        <w:rPr>
          <w:rFonts w:ascii="OrigGarmnd BT" w:hAnsi="OrigGarmnd BT"/>
          <w:sz w:val="24"/>
          <w:szCs w:val="24"/>
          <w:u w:val="single"/>
        </w:rPr>
        <w:t>Regeringens ståndpunkt</w:t>
      </w:r>
      <w:r w:rsidRPr="00DF23CF">
        <w:rPr>
          <w:rFonts w:ascii="OrigGarmnd BT" w:hAnsi="OrigGarmnd BT"/>
          <w:sz w:val="24"/>
          <w:szCs w:val="24"/>
        </w:rPr>
        <w:t>: Regeringen är pådrivande för att få till stånd åtgärder för att bidra till en förbättring av de mänskliga rättigheterna i Iran. Regeringen anser det motiverat med restriktiva åtgärder i kombination med att verka för en fungerande dialog om mänskliga rättigheter, för att kunna påverka Iran i positiv riktning.</w:t>
      </w:r>
    </w:p>
    <w:p w:rsidR="000D3821" w:rsidRPr="00DF23CF" w:rsidRDefault="000D3821" w:rsidP="000D3821">
      <w:pPr>
        <w:rPr>
          <w:rFonts w:ascii="OrigGarmnd BT" w:hAnsi="OrigGarmnd BT"/>
          <w:sz w:val="24"/>
          <w:szCs w:val="24"/>
        </w:rPr>
      </w:pPr>
    </w:p>
    <w:p w:rsidR="000D3821" w:rsidRPr="00DF23CF" w:rsidRDefault="000D3821" w:rsidP="000D3821">
      <w:pPr>
        <w:rPr>
          <w:rFonts w:ascii="OrigGarmnd BT" w:hAnsi="OrigGarmnd BT"/>
          <w:b/>
          <w:bCs/>
          <w:color w:val="000000"/>
          <w:sz w:val="24"/>
          <w:szCs w:val="24"/>
          <w:lang w:eastAsia="sv-SE"/>
        </w:rPr>
      </w:pPr>
      <w:r w:rsidRPr="00DF23CF">
        <w:rPr>
          <w:rFonts w:ascii="OrigGarmnd BT" w:hAnsi="OrigGarmnd BT"/>
          <w:b/>
          <w:bCs/>
          <w:color w:val="000000"/>
          <w:sz w:val="24"/>
          <w:szCs w:val="24"/>
          <w:lang w:eastAsia="sv-SE"/>
        </w:rPr>
        <w:t>9. Fredsprocessen i Mellanöstern (ev.)</w:t>
      </w:r>
    </w:p>
    <w:p w:rsidR="000D3821" w:rsidRPr="00DF23CF" w:rsidRDefault="000D3821" w:rsidP="000D3821">
      <w:pPr>
        <w:spacing w:line="320" w:lineRule="exact"/>
        <w:rPr>
          <w:rFonts w:ascii="OrigGarmnd BT" w:hAnsi="OrigGarmnd BT"/>
          <w:i/>
          <w:sz w:val="24"/>
          <w:szCs w:val="24"/>
        </w:rPr>
      </w:pPr>
      <w:r w:rsidRPr="00DF23CF">
        <w:rPr>
          <w:rFonts w:ascii="OrigGarmnd BT" w:hAnsi="OrigGarmnd BT"/>
          <w:i/>
          <w:sz w:val="24"/>
          <w:szCs w:val="24"/>
        </w:rPr>
        <w:t>Diskussionspunkt</w:t>
      </w:r>
    </w:p>
    <w:p w:rsidR="000D3821" w:rsidRPr="00DF23CF" w:rsidRDefault="000D3821" w:rsidP="000D3821">
      <w:pPr>
        <w:spacing w:line="320" w:lineRule="exact"/>
        <w:rPr>
          <w:rFonts w:ascii="OrigGarmnd BT" w:hAnsi="OrigGarmnd BT"/>
          <w:sz w:val="24"/>
          <w:szCs w:val="24"/>
        </w:rPr>
      </w:pPr>
    </w:p>
    <w:p w:rsidR="000D3821" w:rsidRPr="00DF23CF" w:rsidRDefault="000D3821" w:rsidP="000D3821">
      <w:pPr>
        <w:spacing w:line="320" w:lineRule="exact"/>
        <w:rPr>
          <w:rFonts w:ascii="OrigGarmnd BT" w:hAnsi="OrigGarmnd BT"/>
          <w:sz w:val="24"/>
          <w:szCs w:val="24"/>
        </w:rPr>
      </w:pPr>
      <w:r w:rsidRPr="00DF23CF">
        <w:rPr>
          <w:rFonts w:ascii="OrigGarmnd BT" w:hAnsi="OrigGarmnd BT"/>
          <w:sz w:val="24"/>
          <w:szCs w:val="24"/>
        </w:rPr>
        <w:t xml:space="preserve">Rådet förväntas diskutera läget i fredsprocessen i Mellanöstern och de fortsatta ansträngningarna att återuppta fredssamtalen. </w:t>
      </w:r>
    </w:p>
    <w:p w:rsidR="000D3821" w:rsidRPr="00DF23CF" w:rsidRDefault="000D3821" w:rsidP="000D3821">
      <w:pPr>
        <w:spacing w:line="320" w:lineRule="exact"/>
        <w:rPr>
          <w:rFonts w:ascii="OrigGarmnd BT" w:hAnsi="OrigGarmnd BT"/>
          <w:sz w:val="24"/>
          <w:szCs w:val="24"/>
        </w:rPr>
      </w:pPr>
      <w:r w:rsidRPr="00DF23CF">
        <w:rPr>
          <w:rFonts w:ascii="OrigGarmnd BT" w:hAnsi="OrigGarmnd BT"/>
          <w:sz w:val="24"/>
          <w:szCs w:val="24"/>
          <w:u w:val="single"/>
        </w:rPr>
        <w:t>Regeringens ståndpunkt</w:t>
      </w:r>
      <w:r w:rsidRPr="00DF23CF">
        <w:rPr>
          <w:rFonts w:ascii="OrigGarmnd BT" w:hAnsi="OrigGarmnd BT"/>
          <w:sz w:val="24"/>
          <w:szCs w:val="24"/>
        </w:rPr>
        <w:t>: Den senaste tidens oroligheter i regionen understryker vikten av framsteg i fredsprocessen. Regeringen verkar för en fortsatt aktiv EU-roll i Kvartetten, med utgångspunkt i rådsslutsatserna från december 2009 och december 2010. Det är angeläget att EU upprätthåller politiskt tryck för tillträde till Gaza för såväl humanitärt stöd, personer som handelsvaror (inkl. export).</w:t>
      </w:r>
    </w:p>
    <w:p w:rsidR="000D3821" w:rsidRPr="00DF23CF" w:rsidRDefault="000D3821" w:rsidP="000D3821">
      <w:pPr>
        <w:spacing w:line="320" w:lineRule="exact"/>
        <w:rPr>
          <w:rFonts w:ascii="OrigGarmnd BT" w:hAnsi="OrigGarmnd BT"/>
          <w:sz w:val="24"/>
          <w:szCs w:val="24"/>
        </w:rPr>
      </w:pPr>
    </w:p>
    <w:p w:rsidR="000D3821" w:rsidRPr="00DF23CF" w:rsidRDefault="000D3821" w:rsidP="000D3821">
      <w:pPr>
        <w:spacing w:line="320" w:lineRule="exact"/>
        <w:rPr>
          <w:rFonts w:ascii="OrigGarmnd BT" w:hAnsi="OrigGarmnd BT"/>
          <w:sz w:val="24"/>
          <w:szCs w:val="24"/>
        </w:rPr>
      </w:pPr>
    </w:p>
    <w:p w:rsidR="000D3821" w:rsidRPr="00DF23CF" w:rsidRDefault="000D3821" w:rsidP="000D3821">
      <w:pPr>
        <w:spacing w:line="320" w:lineRule="exact"/>
        <w:rPr>
          <w:rFonts w:ascii="OrigGarmnd BT" w:hAnsi="OrigGarmnd BT"/>
          <w:b/>
          <w:sz w:val="24"/>
          <w:szCs w:val="24"/>
        </w:rPr>
      </w:pPr>
      <w:r w:rsidRPr="00DF23CF">
        <w:rPr>
          <w:rFonts w:ascii="OrigGarmnd BT" w:hAnsi="OrigGarmnd BT"/>
          <w:b/>
          <w:sz w:val="24"/>
          <w:szCs w:val="24"/>
        </w:rPr>
        <w:t>10. Övriga frågor</w:t>
      </w:r>
    </w:p>
    <w:p w:rsidR="000D3821" w:rsidRPr="00DF23CF" w:rsidRDefault="000D3821" w:rsidP="000D3821">
      <w:pPr>
        <w:rPr>
          <w:rFonts w:ascii="OrigGarmnd BT" w:hAnsi="OrigGarmnd BT"/>
          <w:sz w:val="24"/>
          <w:szCs w:val="24"/>
        </w:rPr>
      </w:pPr>
    </w:p>
    <w:p w:rsidR="000D3821" w:rsidRPr="00DF23CF" w:rsidRDefault="000D3821"/>
    <w:sectPr w:rsidR="000D3821" w:rsidRPr="00DF23CF">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09D" w:rsidRPr="00DF23CF" w:rsidRDefault="004E309D">
      <w:r w:rsidRPr="00DF23CF">
        <w:separator/>
      </w:r>
    </w:p>
  </w:endnote>
  <w:endnote w:type="continuationSeparator" w:id="0">
    <w:p w:rsidR="004E309D" w:rsidRPr="00DF23CF" w:rsidRDefault="004E309D">
      <w:r w:rsidRPr="00DF23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26D" w:rsidRPr="00DF23CF" w:rsidRDefault="009F426D" w:rsidP="009F426D">
    <w:pPr>
      <w:pStyle w:val="Sidfot"/>
      <w:framePr w:wrap="around" w:vAnchor="text" w:hAnchor="margin" w:xAlign="right" w:y="1"/>
      <w:rPr>
        <w:rStyle w:val="Sidnummer"/>
      </w:rPr>
    </w:pPr>
    <w:r w:rsidRPr="00DF23CF">
      <w:rPr>
        <w:rStyle w:val="Sidnummer"/>
      </w:rPr>
      <w:fldChar w:fldCharType="begin" w:fldLock="1"/>
    </w:r>
    <w:r w:rsidRPr="00DF23CF">
      <w:rPr>
        <w:rStyle w:val="Sidnummer"/>
      </w:rPr>
      <w:instrText xml:space="preserve">PAGE  </w:instrText>
    </w:r>
    <w:r w:rsidRPr="00DF23CF">
      <w:rPr>
        <w:rStyle w:val="Sidnummer"/>
      </w:rPr>
      <w:fldChar w:fldCharType="end"/>
    </w:r>
  </w:p>
  <w:p w:rsidR="009F426D" w:rsidRPr="00DF23CF" w:rsidRDefault="009F426D" w:rsidP="009F426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26D" w:rsidRPr="00DF23CF" w:rsidRDefault="009F426D" w:rsidP="009F426D">
    <w:pPr>
      <w:pStyle w:val="Sidfot"/>
      <w:ind w:right="360"/>
    </w:pPr>
    <w:r w:rsidRPr="00DF23CF">
      <w:rPr>
        <w:rStyle w:val="Sidnummer"/>
      </w:rPr>
      <w:tab/>
    </w:r>
    <w:r w:rsidRPr="00DF23CF">
      <w:rPr>
        <w:rStyle w:val="Sidnummer"/>
      </w:rPr>
      <w:tab/>
    </w:r>
    <w:r w:rsidRPr="00DF23CF">
      <w:rPr>
        <w:rStyle w:val="Sidnummer"/>
      </w:rPr>
      <w:fldChar w:fldCharType="begin" w:fldLock="1"/>
    </w:r>
    <w:r w:rsidRPr="00DF23CF">
      <w:rPr>
        <w:rStyle w:val="Sidnummer"/>
      </w:rPr>
      <w:instrText xml:space="preserve"> PAGE </w:instrText>
    </w:r>
    <w:r w:rsidRPr="00DF23CF">
      <w:rPr>
        <w:rStyle w:val="Sidnummer"/>
      </w:rPr>
      <w:fldChar w:fldCharType="separate"/>
    </w:r>
    <w:r w:rsidR="004E309D" w:rsidRPr="00DF23CF">
      <w:rPr>
        <w:rStyle w:val="Sidnummer"/>
      </w:rPr>
      <w:t>4</w:t>
    </w:r>
    <w:r w:rsidRPr="00DF23CF">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09D" w:rsidRPr="00DF23CF" w:rsidRDefault="004E309D">
      <w:r w:rsidRPr="00DF23CF">
        <w:separator/>
      </w:r>
    </w:p>
  </w:footnote>
  <w:footnote w:type="continuationSeparator" w:id="0">
    <w:p w:rsidR="004E309D" w:rsidRPr="00DF23CF" w:rsidRDefault="004E309D">
      <w:r w:rsidRPr="00DF23CF">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21"/>
    <w:rsid w:val="000D3821"/>
    <w:rsid w:val="004E309D"/>
    <w:rsid w:val="009F426D"/>
    <w:rsid w:val="00DF23C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EBFC5B-CE32-4F91-8D76-7608EC08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821"/>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0D3821"/>
  </w:style>
  <w:style w:type="paragraph" w:styleId="Sidfot">
    <w:name w:val="footer"/>
    <w:basedOn w:val="Normal"/>
    <w:rsid w:val="000D3821"/>
    <w:pPr>
      <w:tabs>
        <w:tab w:val="center" w:pos="4153"/>
        <w:tab w:val="right" w:pos="8306"/>
      </w:tabs>
    </w:pPr>
    <w:rPr>
      <w:sz w:val="24"/>
    </w:rPr>
  </w:style>
  <w:style w:type="paragraph" w:customStyle="1" w:styleId="UDrubrik">
    <w:name w:val="UDrubrik"/>
    <w:basedOn w:val="Normal"/>
    <w:next w:val="Normal"/>
    <w:rsid w:val="000D3821"/>
    <w:pPr>
      <w:spacing w:line="320" w:lineRule="exact"/>
    </w:pPr>
    <w:rPr>
      <w:rFonts w:ascii="Arial" w:hAnsi="Arial"/>
      <w:b/>
      <w:sz w:val="22"/>
    </w:rPr>
  </w:style>
  <w:style w:type="paragraph" w:styleId="Ballongtext">
    <w:name w:val="Balloon Text"/>
    <w:basedOn w:val="Normal"/>
    <w:semiHidden/>
    <w:rsid w:val="004E30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5151</Characters>
  <Application>Microsoft Office Word</Application>
  <DocSecurity>4</DocSecurity>
  <Lines>147</Lines>
  <Paragraphs>51</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2011-03-14T11:44:00Z</cp:lastPrinted>
  <dcterms:created xsi:type="dcterms:W3CDTF">2025-12-18T03:56:00Z</dcterms:created>
  <dcterms:modified xsi:type="dcterms:W3CDTF">2025-12-18T03:56:00Z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