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434F" w:rsidRPr="00432B40" w:rsidRDefault="0001434F">
      <w:pPr>
        <w:pStyle w:val="Frslagsrubrik"/>
        <w:shd w:val="clear" w:color="000000" w:fill="auto"/>
      </w:pPr>
      <w:r w:rsidRPr="00432B40">
        <w:t>Förslag till riksdagsbeslut</w:t>
      </w:r>
    </w:p>
    <w:p w:rsidR="0001434F" w:rsidRPr="00432B40" w:rsidRDefault="0001434F">
      <w:pPr>
        <w:pStyle w:val="Hemstlatt"/>
        <w:shd w:val="clear" w:color="000000" w:fill="auto"/>
        <w:ind w:left="0"/>
      </w:pPr>
      <w:r w:rsidRPr="00432B40">
        <w:t>Riksdagen anvisar med följande ändringar i förhålla</w:t>
      </w:r>
      <w:r w:rsidRPr="00432B40">
        <w:t>n</w:t>
      </w:r>
      <w:r w:rsidRPr="00432B40">
        <w:t>de till regeringens förslag anslagen under utgiftsområde 11: Ekonomisk trygghet vid ålderdom enligt uppställning.</w:t>
      </w:r>
    </w:p>
    <w:tbl>
      <w:tblPr>
        <w:tblStyle w:val="Tabellrutnt"/>
        <w:tblW w:w="6180"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28"/>
        <w:gridCol w:w="2160"/>
        <w:gridCol w:w="1647"/>
        <w:gridCol w:w="1545"/>
      </w:tblGrid>
      <w:tr w:rsidR="00000000" w:rsidRPr="00432B40">
        <w:tc>
          <w:tcPr>
            <w:tcW w:w="828" w:type="dxa"/>
            <w:tcBorders>
              <w:top w:val="single" w:sz="4" w:space="0" w:color="auto"/>
              <w:bottom w:val="single" w:sz="4" w:space="0" w:color="auto"/>
            </w:tcBorders>
          </w:tcPr>
          <w:p w:rsidR="0001434F" w:rsidRPr="00432B40" w:rsidRDefault="0001434F">
            <w:pPr>
              <w:pStyle w:val="Normaltindrag"/>
              <w:shd w:val="clear" w:color="000000" w:fill="auto"/>
              <w:spacing w:before="60" w:line="200" w:lineRule="exact"/>
              <w:ind w:firstLine="0"/>
              <w:rPr>
                <w:b/>
                <w:sz w:val="16"/>
                <w:szCs w:val="16"/>
              </w:rPr>
            </w:pPr>
            <w:r w:rsidRPr="00432B40">
              <w:rPr>
                <w:b/>
                <w:sz w:val="16"/>
                <w:szCs w:val="16"/>
              </w:rPr>
              <w:t>Anslag</w:t>
            </w:r>
          </w:p>
        </w:tc>
        <w:tc>
          <w:tcPr>
            <w:tcW w:w="2160" w:type="dxa"/>
            <w:tcBorders>
              <w:top w:val="single" w:sz="4" w:space="0" w:color="auto"/>
              <w:bottom w:val="single" w:sz="4" w:space="0" w:color="auto"/>
            </w:tcBorders>
          </w:tcPr>
          <w:p w:rsidR="0001434F" w:rsidRPr="00432B40" w:rsidRDefault="0001434F">
            <w:pPr>
              <w:pStyle w:val="Normaltindrag"/>
              <w:shd w:val="clear" w:color="000000" w:fill="auto"/>
              <w:spacing w:before="60" w:line="200" w:lineRule="exact"/>
              <w:ind w:firstLine="0"/>
              <w:rPr>
                <w:b/>
                <w:sz w:val="16"/>
                <w:szCs w:val="16"/>
              </w:rPr>
            </w:pPr>
          </w:p>
        </w:tc>
        <w:tc>
          <w:tcPr>
            <w:tcW w:w="1647" w:type="dxa"/>
            <w:tcBorders>
              <w:top w:val="single" w:sz="4" w:space="0" w:color="auto"/>
              <w:bottom w:val="single" w:sz="4" w:space="0" w:color="auto"/>
            </w:tcBorders>
          </w:tcPr>
          <w:p w:rsidR="0001434F" w:rsidRPr="00432B40" w:rsidRDefault="0001434F">
            <w:pPr>
              <w:pStyle w:val="Normaltindrag"/>
              <w:shd w:val="clear" w:color="000000" w:fill="auto"/>
              <w:spacing w:before="60" w:line="200" w:lineRule="exact"/>
              <w:ind w:firstLine="0"/>
              <w:jc w:val="right"/>
              <w:rPr>
                <w:b/>
                <w:sz w:val="16"/>
                <w:szCs w:val="16"/>
              </w:rPr>
            </w:pPr>
            <w:r w:rsidRPr="00432B40">
              <w:rPr>
                <w:b/>
                <w:sz w:val="16"/>
                <w:szCs w:val="16"/>
              </w:rPr>
              <w:t>Regeringens förslag</w:t>
            </w:r>
          </w:p>
        </w:tc>
        <w:tc>
          <w:tcPr>
            <w:tcW w:w="1545" w:type="dxa"/>
            <w:tcBorders>
              <w:top w:val="single" w:sz="4" w:space="0" w:color="auto"/>
              <w:bottom w:val="single" w:sz="4" w:space="0" w:color="auto"/>
            </w:tcBorders>
          </w:tcPr>
          <w:p w:rsidR="0001434F" w:rsidRPr="00432B40" w:rsidRDefault="0001434F">
            <w:pPr>
              <w:pStyle w:val="Normaltindrag"/>
              <w:shd w:val="clear" w:color="000000" w:fill="auto"/>
              <w:spacing w:before="60" w:line="200" w:lineRule="exact"/>
              <w:ind w:firstLine="0"/>
              <w:jc w:val="right"/>
              <w:rPr>
                <w:b/>
                <w:sz w:val="16"/>
                <w:szCs w:val="16"/>
              </w:rPr>
            </w:pPr>
            <w:r w:rsidRPr="00432B40">
              <w:rPr>
                <w:b/>
                <w:sz w:val="16"/>
                <w:szCs w:val="16"/>
              </w:rPr>
              <w:t>Anslagsförändring</w:t>
            </w:r>
          </w:p>
        </w:tc>
      </w:tr>
      <w:tr w:rsidR="00000000" w:rsidRPr="00432B40">
        <w:tc>
          <w:tcPr>
            <w:tcW w:w="828" w:type="dxa"/>
            <w:tcBorders>
              <w:top w:val="single" w:sz="4" w:space="0" w:color="auto"/>
            </w:tcBorders>
          </w:tcPr>
          <w:p w:rsidR="0001434F" w:rsidRPr="00432B40" w:rsidRDefault="0001434F">
            <w:pPr>
              <w:pStyle w:val="Normaltindrag"/>
              <w:shd w:val="clear" w:color="000000" w:fill="auto"/>
              <w:spacing w:before="60" w:line="200" w:lineRule="exact"/>
              <w:ind w:firstLine="0"/>
              <w:rPr>
                <w:sz w:val="16"/>
                <w:szCs w:val="16"/>
              </w:rPr>
            </w:pPr>
            <w:r w:rsidRPr="00432B40">
              <w:rPr>
                <w:sz w:val="16"/>
                <w:szCs w:val="16"/>
              </w:rPr>
              <w:t xml:space="preserve">1:1 </w:t>
            </w:r>
          </w:p>
        </w:tc>
        <w:tc>
          <w:tcPr>
            <w:tcW w:w="2160" w:type="dxa"/>
            <w:tcBorders>
              <w:top w:val="single" w:sz="4" w:space="0" w:color="auto"/>
            </w:tcBorders>
          </w:tcPr>
          <w:p w:rsidR="0001434F" w:rsidRPr="00432B40" w:rsidRDefault="0001434F">
            <w:pPr>
              <w:pStyle w:val="Normaltindrag"/>
              <w:shd w:val="clear" w:color="000000" w:fill="auto"/>
              <w:spacing w:before="60" w:line="200" w:lineRule="exact"/>
              <w:ind w:firstLine="0"/>
              <w:jc w:val="left"/>
              <w:rPr>
                <w:sz w:val="16"/>
                <w:szCs w:val="16"/>
              </w:rPr>
            </w:pPr>
            <w:r w:rsidRPr="00432B40">
              <w:rPr>
                <w:sz w:val="16"/>
                <w:szCs w:val="16"/>
              </w:rPr>
              <w:t>Garantipension</w:t>
            </w:r>
          </w:p>
        </w:tc>
        <w:tc>
          <w:tcPr>
            <w:tcW w:w="1647" w:type="dxa"/>
            <w:tcBorders>
              <w:top w:val="single" w:sz="4" w:space="0" w:color="auto"/>
            </w:tcBorders>
          </w:tcPr>
          <w:p w:rsidR="0001434F" w:rsidRPr="00432B40" w:rsidRDefault="0001434F">
            <w:pPr>
              <w:pStyle w:val="Normaltindrag"/>
              <w:shd w:val="clear" w:color="000000" w:fill="auto"/>
              <w:spacing w:before="60" w:line="200" w:lineRule="exact"/>
              <w:ind w:firstLine="0"/>
              <w:jc w:val="right"/>
              <w:rPr>
                <w:sz w:val="16"/>
                <w:szCs w:val="16"/>
              </w:rPr>
            </w:pPr>
            <w:r w:rsidRPr="00432B40">
              <w:rPr>
                <w:sz w:val="16"/>
                <w:szCs w:val="16"/>
              </w:rPr>
              <w:t>18 063 000</w:t>
            </w:r>
          </w:p>
        </w:tc>
        <w:tc>
          <w:tcPr>
            <w:tcW w:w="1545" w:type="dxa"/>
            <w:tcBorders>
              <w:top w:val="single" w:sz="4" w:space="0" w:color="auto"/>
            </w:tcBorders>
          </w:tcPr>
          <w:p w:rsidR="0001434F" w:rsidRPr="00432B40" w:rsidRDefault="0001434F">
            <w:pPr>
              <w:pStyle w:val="Normaltindrag"/>
              <w:shd w:val="clear" w:color="000000" w:fill="auto"/>
              <w:spacing w:before="60" w:line="200" w:lineRule="exact"/>
              <w:ind w:firstLine="0"/>
              <w:jc w:val="right"/>
              <w:rPr>
                <w:sz w:val="16"/>
                <w:szCs w:val="16"/>
              </w:rPr>
            </w:pPr>
            <w:r w:rsidRPr="00432B40">
              <w:rPr>
                <w:sz w:val="16"/>
                <w:szCs w:val="16"/>
              </w:rPr>
              <w:t>+1 200 000</w:t>
            </w:r>
          </w:p>
        </w:tc>
      </w:tr>
      <w:tr w:rsidR="00000000" w:rsidRPr="00432B40">
        <w:tc>
          <w:tcPr>
            <w:tcW w:w="828" w:type="dxa"/>
          </w:tcPr>
          <w:p w:rsidR="0001434F" w:rsidRPr="00432B40" w:rsidRDefault="0001434F">
            <w:pPr>
              <w:pStyle w:val="Normaltindrag"/>
              <w:shd w:val="clear" w:color="000000" w:fill="auto"/>
              <w:spacing w:before="60" w:line="200" w:lineRule="exact"/>
              <w:ind w:firstLine="0"/>
              <w:rPr>
                <w:sz w:val="16"/>
                <w:szCs w:val="16"/>
              </w:rPr>
            </w:pPr>
            <w:r w:rsidRPr="00432B40">
              <w:rPr>
                <w:sz w:val="16"/>
                <w:szCs w:val="16"/>
              </w:rPr>
              <w:t>1:3</w:t>
            </w:r>
          </w:p>
        </w:tc>
        <w:tc>
          <w:tcPr>
            <w:tcW w:w="2160" w:type="dxa"/>
          </w:tcPr>
          <w:p w:rsidR="0001434F" w:rsidRPr="00432B40" w:rsidRDefault="0001434F">
            <w:pPr>
              <w:pStyle w:val="Normaltindrag"/>
              <w:shd w:val="clear" w:color="000000" w:fill="auto"/>
              <w:spacing w:before="60" w:line="200" w:lineRule="exact"/>
              <w:ind w:firstLine="0"/>
              <w:jc w:val="left"/>
              <w:rPr>
                <w:sz w:val="16"/>
                <w:szCs w:val="16"/>
              </w:rPr>
            </w:pPr>
            <w:r w:rsidRPr="00432B40">
              <w:rPr>
                <w:sz w:val="16"/>
                <w:szCs w:val="16"/>
              </w:rPr>
              <w:t>Bostadstillägg till pensionärer</w:t>
            </w:r>
          </w:p>
        </w:tc>
        <w:tc>
          <w:tcPr>
            <w:tcW w:w="1647" w:type="dxa"/>
          </w:tcPr>
          <w:p w:rsidR="0001434F" w:rsidRPr="00432B40" w:rsidRDefault="0001434F">
            <w:pPr>
              <w:pStyle w:val="Normaltindrag"/>
              <w:shd w:val="clear" w:color="000000" w:fill="auto"/>
              <w:spacing w:before="60" w:line="200" w:lineRule="exact"/>
              <w:ind w:firstLine="0"/>
              <w:jc w:val="right"/>
              <w:rPr>
                <w:sz w:val="16"/>
                <w:szCs w:val="16"/>
              </w:rPr>
            </w:pPr>
            <w:r w:rsidRPr="00432B40">
              <w:rPr>
                <w:sz w:val="16"/>
                <w:szCs w:val="16"/>
              </w:rPr>
              <w:t>7 643 000</w:t>
            </w:r>
          </w:p>
        </w:tc>
        <w:tc>
          <w:tcPr>
            <w:tcW w:w="1545" w:type="dxa"/>
          </w:tcPr>
          <w:p w:rsidR="0001434F" w:rsidRPr="00432B40" w:rsidRDefault="0001434F">
            <w:pPr>
              <w:pStyle w:val="Normaltindrag"/>
              <w:shd w:val="clear" w:color="000000" w:fill="auto"/>
              <w:spacing w:before="60" w:line="200" w:lineRule="exact"/>
              <w:ind w:firstLine="0"/>
              <w:jc w:val="right"/>
              <w:rPr>
                <w:sz w:val="16"/>
                <w:szCs w:val="16"/>
              </w:rPr>
            </w:pPr>
            <w:r w:rsidRPr="00432B40">
              <w:rPr>
                <w:sz w:val="16"/>
                <w:szCs w:val="16"/>
              </w:rPr>
              <w:t xml:space="preserve">–300 000 </w:t>
            </w:r>
          </w:p>
        </w:tc>
      </w:tr>
      <w:tr w:rsidR="00000000" w:rsidRPr="00432B40">
        <w:tc>
          <w:tcPr>
            <w:tcW w:w="828" w:type="dxa"/>
          </w:tcPr>
          <w:p w:rsidR="0001434F" w:rsidRPr="00432B40" w:rsidRDefault="0001434F">
            <w:pPr>
              <w:pStyle w:val="Normaltindrag"/>
              <w:shd w:val="clear" w:color="000000" w:fill="auto"/>
              <w:spacing w:before="60" w:line="200" w:lineRule="exact"/>
              <w:ind w:firstLine="0"/>
              <w:rPr>
                <w:sz w:val="16"/>
                <w:szCs w:val="16"/>
              </w:rPr>
            </w:pPr>
            <w:r w:rsidRPr="00432B40">
              <w:rPr>
                <w:sz w:val="16"/>
                <w:szCs w:val="16"/>
              </w:rPr>
              <w:t>Nytt</w:t>
            </w:r>
          </w:p>
        </w:tc>
        <w:tc>
          <w:tcPr>
            <w:tcW w:w="2160" w:type="dxa"/>
          </w:tcPr>
          <w:p w:rsidR="0001434F" w:rsidRPr="00432B40" w:rsidRDefault="0001434F">
            <w:pPr>
              <w:pStyle w:val="Normaltindrag"/>
              <w:shd w:val="clear" w:color="000000" w:fill="auto"/>
              <w:spacing w:before="60" w:line="200" w:lineRule="exact"/>
              <w:ind w:firstLine="0"/>
              <w:jc w:val="left"/>
              <w:rPr>
                <w:sz w:val="16"/>
                <w:szCs w:val="16"/>
              </w:rPr>
            </w:pPr>
            <w:r w:rsidRPr="00432B40">
              <w:rPr>
                <w:sz w:val="16"/>
                <w:szCs w:val="16"/>
              </w:rPr>
              <w:t>ATP-uppräkning</w:t>
            </w:r>
          </w:p>
        </w:tc>
        <w:tc>
          <w:tcPr>
            <w:tcW w:w="1647" w:type="dxa"/>
          </w:tcPr>
          <w:p w:rsidR="0001434F" w:rsidRPr="00432B40" w:rsidRDefault="0001434F">
            <w:pPr>
              <w:pStyle w:val="Normaltindrag"/>
              <w:shd w:val="clear" w:color="000000" w:fill="auto"/>
              <w:spacing w:before="60" w:line="200" w:lineRule="exact"/>
              <w:ind w:firstLine="0"/>
              <w:jc w:val="right"/>
              <w:rPr>
                <w:sz w:val="16"/>
                <w:szCs w:val="16"/>
              </w:rPr>
            </w:pPr>
          </w:p>
        </w:tc>
        <w:tc>
          <w:tcPr>
            <w:tcW w:w="1545" w:type="dxa"/>
          </w:tcPr>
          <w:p w:rsidR="0001434F" w:rsidRPr="00432B40" w:rsidRDefault="0001434F">
            <w:pPr>
              <w:pStyle w:val="Normaltindrag"/>
              <w:shd w:val="clear" w:color="000000" w:fill="auto"/>
              <w:spacing w:before="60" w:line="200" w:lineRule="exact"/>
              <w:ind w:firstLine="0"/>
              <w:jc w:val="right"/>
              <w:rPr>
                <w:sz w:val="16"/>
                <w:szCs w:val="16"/>
              </w:rPr>
            </w:pPr>
            <w:r w:rsidRPr="00432B40">
              <w:rPr>
                <w:sz w:val="16"/>
                <w:szCs w:val="16"/>
              </w:rPr>
              <w:t>+1 400 000</w:t>
            </w:r>
          </w:p>
        </w:tc>
      </w:tr>
      <w:tr w:rsidR="00000000" w:rsidRPr="00432B40">
        <w:tc>
          <w:tcPr>
            <w:tcW w:w="828" w:type="dxa"/>
          </w:tcPr>
          <w:p w:rsidR="0001434F" w:rsidRPr="00432B40" w:rsidRDefault="0001434F">
            <w:pPr>
              <w:pStyle w:val="Normaltindrag"/>
              <w:shd w:val="clear" w:color="000000" w:fill="auto"/>
              <w:spacing w:before="60" w:line="200" w:lineRule="exact"/>
              <w:ind w:firstLine="0"/>
              <w:rPr>
                <w:b/>
                <w:sz w:val="16"/>
                <w:szCs w:val="16"/>
              </w:rPr>
            </w:pPr>
            <w:r w:rsidRPr="00432B40">
              <w:rPr>
                <w:b/>
                <w:sz w:val="16"/>
                <w:szCs w:val="16"/>
              </w:rPr>
              <w:t>Summa</w:t>
            </w:r>
          </w:p>
        </w:tc>
        <w:tc>
          <w:tcPr>
            <w:tcW w:w="2160" w:type="dxa"/>
          </w:tcPr>
          <w:p w:rsidR="0001434F" w:rsidRPr="00432B40" w:rsidRDefault="0001434F">
            <w:pPr>
              <w:pStyle w:val="Normaltindrag"/>
              <w:shd w:val="clear" w:color="000000" w:fill="auto"/>
              <w:spacing w:before="60" w:line="200" w:lineRule="exact"/>
              <w:ind w:firstLine="0"/>
              <w:jc w:val="left"/>
              <w:rPr>
                <w:b/>
                <w:sz w:val="16"/>
                <w:szCs w:val="16"/>
              </w:rPr>
            </w:pPr>
          </w:p>
        </w:tc>
        <w:tc>
          <w:tcPr>
            <w:tcW w:w="1647" w:type="dxa"/>
          </w:tcPr>
          <w:p w:rsidR="0001434F" w:rsidRPr="00432B40" w:rsidRDefault="0001434F">
            <w:pPr>
              <w:pStyle w:val="Normaltindrag"/>
              <w:shd w:val="clear" w:color="000000" w:fill="auto"/>
              <w:spacing w:before="60" w:line="200" w:lineRule="exact"/>
              <w:ind w:firstLine="0"/>
              <w:jc w:val="right"/>
              <w:rPr>
                <w:b/>
                <w:sz w:val="16"/>
                <w:szCs w:val="16"/>
              </w:rPr>
            </w:pPr>
          </w:p>
        </w:tc>
        <w:tc>
          <w:tcPr>
            <w:tcW w:w="1545" w:type="dxa"/>
          </w:tcPr>
          <w:p w:rsidR="0001434F" w:rsidRPr="00432B40" w:rsidRDefault="0001434F">
            <w:pPr>
              <w:pStyle w:val="Normaltindrag"/>
              <w:shd w:val="clear" w:color="000000" w:fill="auto"/>
              <w:spacing w:before="60" w:line="200" w:lineRule="exact"/>
              <w:ind w:firstLine="0"/>
              <w:jc w:val="right"/>
              <w:rPr>
                <w:b/>
                <w:sz w:val="16"/>
                <w:szCs w:val="16"/>
              </w:rPr>
            </w:pPr>
            <w:r w:rsidRPr="00432B40">
              <w:rPr>
                <w:b/>
                <w:sz w:val="16"/>
                <w:szCs w:val="16"/>
              </w:rPr>
              <w:t>+2 300 000</w:t>
            </w:r>
          </w:p>
        </w:tc>
      </w:tr>
    </w:tbl>
    <w:p w:rsidR="0001434F" w:rsidRPr="00432B40" w:rsidRDefault="0001434F">
      <w:pPr>
        <w:shd w:val="clear" w:color="000000" w:fill="auto"/>
      </w:pPr>
    </w:p>
    <w:p w:rsidR="0001434F" w:rsidRPr="00432B40" w:rsidRDefault="0001434F">
      <w:pPr>
        <w:pStyle w:val="Rubrik1"/>
        <w:numPr>
          <w:ilvl w:val="0"/>
          <w:numId w:val="0"/>
        </w:numPr>
        <w:shd w:val="clear" w:color="000000" w:fill="auto"/>
      </w:pPr>
      <w:r w:rsidRPr="00432B40">
        <w:t>1.1 Garantipension</w:t>
      </w:r>
    </w:p>
    <w:p w:rsidR="0001434F" w:rsidRPr="00432B40" w:rsidRDefault="0001434F">
      <w:pPr>
        <w:shd w:val="clear" w:color="000000" w:fill="auto"/>
      </w:pPr>
      <w:r w:rsidRPr="00432B40">
        <w:t>Vänsterpartiet föreslår en ökning av garantipensionen med 150 kronor från 2012. Tillsammans med Vänsterpartiets skatteförslag ger det en positiv skil</w:t>
      </w:r>
      <w:r w:rsidRPr="00432B40">
        <w:t>l</w:t>
      </w:r>
      <w:r w:rsidRPr="00432B40">
        <w:t>nad för de pensionärer som har lägst inkomst. Netto för staten innebär det en kostnad på 1 miljard år 2012. Sammantaget föreslår vi en ökning av anslaget med 1,2 miljarder kronor 2012.</w:t>
      </w:r>
    </w:p>
    <w:p w:rsidR="0001434F" w:rsidRPr="00432B40" w:rsidRDefault="0001434F">
      <w:pPr>
        <w:pStyle w:val="Rubrik1"/>
        <w:numPr>
          <w:ilvl w:val="0"/>
          <w:numId w:val="0"/>
        </w:numPr>
        <w:shd w:val="clear" w:color="000000" w:fill="auto"/>
      </w:pPr>
      <w:r w:rsidRPr="00432B40">
        <w:t>Återställande av tilläggspension för ATP-pensionärer</w:t>
      </w:r>
    </w:p>
    <w:p w:rsidR="0001434F" w:rsidRPr="00432B40" w:rsidRDefault="0001434F">
      <w:pPr>
        <w:shd w:val="clear" w:color="000000" w:fill="auto"/>
      </w:pPr>
      <w:r w:rsidRPr="00432B40">
        <w:t xml:space="preserve">Vi vill återställa beräkningsgrunden för de pensionärer som faktiskt fick en konkret sänkning av sin pension i och med saneringspolitiken under </w:t>
      </w:r>
      <w:r w:rsidRPr="00432B40">
        <w:lastRenderedPageBreak/>
        <w:t>1990</w:t>
      </w:r>
      <w:r w:rsidRPr="00432B40">
        <w:noBreakHyphen/>
        <w:t>talet. Det skulle innebära en uppräkning av tilläggspensionen för dessa pensionärer med ca 6 %. Detta skulle innebära en satsning på att höja tilläggspensionen för de tidigare ATP-pensionärer som gick i pension 1990 eller tidigare, och omfattar personer som är födda 1925 eller tidigare. Att höja pensionerna med 6 % för denna grupp innebär en utgiftsökning med 1 400 miljoner kronor 2012.</w:t>
      </w:r>
    </w:p>
    <w:p w:rsidR="0001434F" w:rsidRPr="00432B40" w:rsidRDefault="0001434F">
      <w:pPr>
        <w:pStyle w:val="Rubrik1"/>
        <w:shd w:val="clear" w:color="000000" w:fill="auto"/>
      </w:pPr>
      <w:r w:rsidRPr="00432B40">
        <w:t>Bostadstillägg för pensionärer</w:t>
      </w:r>
    </w:p>
    <w:p w:rsidR="0001434F" w:rsidRPr="00432B40" w:rsidRDefault="0001434F">
      <w:pPr>
        <w:shd w:val="clear" w:color="000000" w:fill="auto"/>
      </w:pPr>
      <w:r w:rsidRPr="00432B40">
        <w:t>Vänsterpartiet har sedan många är drivit kravet om förbättrade bostadstillägg. Tillägget behöver både förbättras och utvärderas. Regeringen har i årets bu</w:t>
      </w:r>
      <w:r w:rsidRPr="00432B40">
        <w:t>d</w:t>
      </w:r>
      <w:r w:rsidRPr="00432B40">
        <w:t>getproposition föreslagit en höjning med en ny modell. Man kan ifrågasätta huruvida det är lämpligt att blanda in en ny modell i denna lagstiftning. Vi förutsätter att regeringen hanterar frågan så att det inte blir högre administr</w:t>
      </w:r>
      <w:r w:rsidRPr="00432B40">
        <w:t>a</w:t>
      </w:r>
      <w:r w:rsidRPr="00432B40">
        <w:t>tiva kostnader eller ökade risker för felaktiga utbetalningar som kan drabba enskilda pensionärer. Med detta accepterar Vänsterpartiet regeringens förslag om höjt bostadstillägg 2012. Däremot innebär Vänsterpartiets förslag om höjd garantipension och återställande av tilläggspen</w:t>
      </w:r>
      <w:r w:rsidRPr="00432B40">
        <w:t xml:space="preserve">sion för ATP-pensionärer en följdändring av anslaget för bostadstillägg för pensionärer. Det innebär att vi föreslår en minskning av anslaget med 300 miljoner kronor för 2012.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2B40">
        <w:trPr>
          <w:cantSplit/>
        </w:trPr>
        <w:tc>
          <w:tcPr>
            <w:tcW w:w="3046" w:type="dxa"/>
          </w:tcPr>
          <w:p w:rsidR="0001434F" w:rsidRPr="00432B40" w:rsidRDefault="0001434F">
            <w:pPr>
              <w:pStyle w:val="UnderskriftDatum"/>
              <w:shd w:val="clear" w:color="000000" w:fill="auto"/>
              <w:spacing w:before="240"/>
            </w:pPr>
            <w:r w:rsidRPr="00432B40">
              <w:t>Stockholm den 4 oktober 2011</w:t>
            </w:r>
          </w:p>
        </w:tc>
        <w:tc>
          <w:tcPr>
            <w:tcW w:w="3047" w:type="dxa"/>
          </w:tcPr>
          <w:p w:rsidR="0001434F" w:rsidRPr="00432B40" w:rsidRDefault="0001434F">
            <w:pPr>
              <w:pStyle w:val="Underskrifter"/>
              <w:shd w:val="clear" w:color="000000" w:fill="auto"/>
              <w:spacing w:before="240"/>
            </w:pPr>
          </w:p>
        </w:tc>
      </w:tr>
      <w:tr w:rsidR="00000000" w:rsidRPr="00432B40">
        <w:trPr>
          <w:cantSplit/>
        </w:trPr>
        <w:tc>
          <w:tcPr>
            <w:tcW w:w="3046" w:type="dxa"/>
          </w:tcPr>
          <w:p w:rsidR="0001434F" w:rsidRPr="00432B40" w:rsidRDefault="0001434F">
            <w:pPr>
              <w:pStyle w:val="Underskrifter"/>
              <w:shd w:val="clear" w:color="000000" w:fill="auto"/>
            </w:pPr>
            <w:r w:rsidRPr="00432B40">
              <w:t>Lars Ohly (V)</w:t>
            </w:r>
          </w:p>
        </w:tc>
        <w:tc>
          <w:tcPr>
            <w:tcW w:w="3046" w:type="dxa"/>
          </w:tcPr>
          <w:p w:rsidR="0001434F" w:rsidRPr="00432B40" w:rsidRDefault="0001434F">
            <w:pPr>
              <w:pStyle w:val="Underskrifter"/>
              <w:shd w:val="clear" w:color="000000" w:fill="auto"/>
            </w:pPr>
          </w:p>
        </w:tc>
      </w:tr>
      <w:tr w:rsidR="00000000" w:rsidRPr="00432B40">
        <w:trPr>
          <w:cantSplit/>
        </w:trPr>
        <w:tc>
          <w:tcPr>
            <w:tcW w:w="3046" w:type="dxa"/>
          </w:tcPr>
          <w:p w:rsidR="0001434F" w:rsidRPr="00432B40" w:rsidRDefault="0001434F">
            <w:pPr>
              <w:pStyle w:val="Underskrifter"/>
              <w:shd w:val="clear" w:color="000000" w:fill="auto"/>
            </w:pPr>
            <w:r w:rsidRPr="00432B40">
              <w:t>Ulla Andersson (V)</w:t>
            </w:r>
          </w:p>
        </w:tc>
        <w:tc>
          <w:tcPr>
            <w:tcW w:w="3046" w:type="dxa"/>
          </w:tcPr>
          <w:p w:rsidR="0001434F" w:rsidRPr="00432B40" w:rsidRDefault="0001434F">
            <w:pPr>
              <w:pStyle w:val="Underskrifter"/>
              <w:shd w:val="clear" w:color="000000" w:fill="auto"/>
            </w:pPr>
            <w:r w:rsidRPr="00432B40">
              <w:t>Hans Linde (V)</w:t>
            </w:r>
          </w:p>
        </w:tc>
      </w:tr>
      <w:tr w:rsidR="00000000" w:rsidRPr="00432B40">
        <w:trPr>
          <w:cantSplit/>
        </w:trPr>
        <w:tc>
          <w:tcPr>
            <w:tcW w:w="3046" w:type="dxa"/>
          </w:tcPr>
          <w:p w:rsidR="0001434F" w:rsidRPr="00432B40" w:rsidRDefault="0001434F">
            <w:pPr>
              <w:pStyle w:val="Underskrifter"/>
              <w:shd w:val="clear" w:color="000000" w:fill="auto"/>
            </w:pPr>
            <w:r w:rsidRPr="00432B40">
              <w:t>Eva Olofsson (V)</w:t>
            </w:r>
          </w:p>
        </w:tc>
        <w:tc>
          <w:tcPr>
            <w:tcW w:w="3046" w:type="dxa"/>
          </w:tcPr>
          <w:p w:rsidR="0001434F" w:rsidRPr="00432B40" w:rsidRDefault="0001434F">
            <w:pPr>
              <w:pStyle w:val="Underskrifter"/>
              <w:shd w:val="clear" w:color="000000" w:fill="auto"/>
            </w:pPr>
            <w:r w:rsidRPr="00432B40">
              <w:t>Jonas Sjöstedt (V)</w:t>
            </w:r>
          </w:p>
        </w:tc>
      </w:tr>
      <w:tr w:rsidR="00000000" w:rsidRPr="00432B40">
        <w:trPr>
          <w:cantSplit/>
        </w:trPr>
        <w:tc>
          <w:tcPr>
            <w:tcW w:w="3046" w:type="dxa"/>
          </w:tcPr>
          <w:p w:rsidR="0001434F" w:rsidRPr="00432B40" w:rsidRDefault="0001434F">
            <w:pPr>
              <w:pStyle w:val="Underskrifter"/>
              <w:shd w:val="clear" w:color="000000" w:fill="auto"/>
            </w:pPr>
            <w:r w:rsidRPr="00432B40">
              <w:t>Mia Sydow Mölleby (V)</w:t>
            </w:r>
          </w:p>
        </w:tc>
        <w:tc>
          <w:tcPr>
            <w:tcW w:w="3046" w:type="dxa"/>
          </w:tcPr>
          <w:p w:rsidR="0001434F" w:rsidRPr="00432B40" w:rsidRDefault="0001434F">
            <w:pPr>
              <w:pStyle w:val="Underskrifter"/>
              <w:shd w:val="clear" w:color="000000" w:fill="auto"/>
            </w:pPr>
            <w:r w:rsidRPr="00432B40">
              <w:t>Wiwi-Anne Johansson (V)</w:t>
            </w:r>
          </w:p>
        </w:tc>
      </w:tr>
    </w:tbl>
    <w:p w:rsidR="0001434F" w:rsidRPr="00432B40" w:rsidRDefault="0001434F">
      <w:pPr>
        <w:pStyle w:val="Normaltindrag"/>
        <w:shd w:val="clear" w:color="000000" w:fill="auto"/>
      </w:pPr>
    </w:p>
    <w:sectPr w:rsidR="0001434F" w:rsidRPr="00432B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434F" w:rsidRPr="00432B40" w:rsidRDefault="0001434F">
      <w:r w:rsidRPr="00432B40">
        <w:separator/>
      </w:r>
    </w:p>
  </w:endnote>
  <w:endnote w:type="continuationSeparator" w:id="0">
    <w:p w:rsidR="0001434F" w:rsidRPr="00432B40" w:rsidRDefault="0001434F">
      <w:r w:rsidRPr="00432B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34F" w:rsidRPr="00432B40" w:rsidRDefault="00432B40">
    <w:pPr>
      <w:pStyle w:val="Sidfot"/>
    </w:pPr>
    <w:r w:rsidRPr="00432B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55756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34F" w:rsidRDefault="000143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434F" w:rsidRDefault="000143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34F" w:rsidRPr="00432B40" w:rsidRDefault="00432B40">
    <w:pPr>
      <w:pStyle w:val="Sidfot"/>
    </w:pPr>
    <w:r w:rsidRPr="00432B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36555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34F" w:rsidRDefault="0001434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434F" w:rsidRDefault="0001434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34F" w:rsidRPr="00432B40" w:rsidRDefault="00432B40">
    <w:pPr>
      <w:pStyle w:val="Sidfot"/>
    </w:pPr>
    <w:r w:rsidRPr="00432B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3853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34F" w:rsidRDefault="000143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434F" w:rsidRDefault="000143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434F" w:rsidRPr="00432B40" w:rsidRDefault="0001434F">
      <w:r w:rsidRPr="00432B40">
        <w:separator/>
      </w:r>
    </w:p>
  </w:footnote>
  <w:footnote w:type="continuationSeparator" w:id="0">
    <w:p w:rsidR="0001434F" w:rsidRPr="00432B40" w:rsidRDefault="0001434F">
      <w:r w:rsidRPr="00432B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34F" w:rsidRPr="00432B40" w:rsidRDefault="00432B40">
    <w:pPr>
      <w:pStyle w:val="Sidhuvud"/>
    </w:pPr>
    <w:r w:rsidRPr="00432B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01011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34F" w:rsidRDefault="0001434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434F" w:rsidRDefault="0001434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34F" w:rsidRPr="00432B40" w:rsidRDefault="00432B40">
    <w:pPr>
      <w:pStyle w:val="Sidhuvud"/>
    </w:pPr>
    <w:r w:rsidRPr="00432B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76459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34F" w:rsidRDefault="0001434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434F" w:rsidRDefault="0001434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434F" w:rsidRPr="00432B40" w:rsidRDefault="0001434F">
    <w:pPr>
      <w:pStyle w:val="FSHNormal"/>
      <w:tabs>
        <w:tab w:val="right" w:pos="5840"/>
      </w:tabs>
    </w:pPr>
    <w:r w:rsidRPr="00432B40">
      <w:br/>
    </w:r>
    <w:r w:rsidRPr="00432B40">
      <w:fldChar w:fldCharType="begin" w:fldLock="1"/>
    </w:r>
    <w:r w:rsidRPr="00432B40">
      <w:instrText xml:space="preserve"> DOCPROPERTY</w:instrText>
    </w:r>
    <w:r w:rsidRPr="00432B40">
      <w:rPr>
        <w:sz w:val="18"/>
      </w:rPr>
      <w:instrText xml:space="preserve"> "YearUser" *\charformat </w:instrText>
    </w:r>
    <w:r w:rsidRPr="00432B40">
      <w:fldChar w:fldCharType="separate"/>
    </w:r>
    <w:r w:rsidRPr="00432B40">
      <w:t>2011/12</w:t>
    </w:r>
    <w:r w:rsidRPr="00432B40">
      <w:fldChar w:fldCharType="end"/>
    </w:r>
    <w:r w:rsidRPr="00432B40">
      <w:t xml:space="preserve"> </w:t>
    </w:r>
    <w:r w:rsidRPr="00432B40">
      <w:tab/>
      <w:t xml:space="preserve">mnr: </w:t>
    </w:r>
    <w:r w:rsidRPr="00432B40">
      <w:fldChar w:fldCharType="begin" w:fldLock="1"/>
    </w:r>
    <w:r w:rsidRPr="00432B40">
      <w:instrText xml:space="preserve"> DOCPROPERTY</w:instrText>
    </w:r>
    <w:r w:rsidRPr="00432B40">
      <w:rPr>
        <w:sz w:val="18"/>
      </w:rPr>
      <w:instrText xml:space="preserve"> "Motionsnummer" *\charformat </w:instrText>
    </w:r>
    <w:r w:rsidRPr="00432B40">
      <w:fldChar w:fldCharType="separate"/>
    </w:r>
    <w:r w:rsidRPr="00432B40">
      <w:t>Sf341</w:t>
    </w:r>
    <w:r w:rsidRPr="00432B40">
      <w:fldChar w:fldCharType="end"/>
    </w:r>
    <w:r w:rsidRPr="00432B40">
      <w:br/>
    </w:r>
    <w:r w:rsidRPr="00432B40">
      <w:fldChar w:fldCharType="begin" w:fldLock="1"/>
    </w:r>
    <w:r w:rsidRPr="00432B40">
      <w:instrText xml:space="preserve"> DOCPROPERTY</w:instrText>
    </w:r>
    <w:r w:rsidRPr="00432B40">
      <w:rPr>
        <w:sz w:val="18"/>
      </w:rPr>
      <w:instrText xml:space="preserve"> "Samling" *\charformat </w:instrText>
    </w:r>
    <w:r w:rsidRPr="00432B40">
      <w:fldChar w:fldCharType="end"/>
    </w:r>
    <w:r w:rsidRPr="00432B40">
      <w:tab/>
      <w:t xml:space="preserve">pnr: </w:t>
    </w:r>
    <w:r w:rsidRPr="00432B40">
      <w:fldChar w:fldCharType="begin" w:fldLock="1"/>
    </w:r>
    <w:r w:rsidRPr="00432B40">
      <w:instrText xml:space="preserve"> DOCPROPERTY</w:instrText>
    </w:r>
    <w:r w:rsidRPr="00432B40">
      <w:rPr>
        <w:sz w:val="18"/>
      </w:rPr>
      <w:instrText xml:space="preserve"> "Partinummer" *\charformat </w:instrText>
    </w:r>
    <w:r w:rsidRPr="00432B40">
      <w:fldChar w:fldCharType="separate"/>
    </w:r>
    <w:r w:rsidRPr="00432B40">
      <w:t>V405</w:t>
    </w:r>
    <w:r w:rsidRPr="00432B40">
      <w:fldChar w:fldCharType="end"/>
    </w:r>
  </w:p>
  <w:p w:rsidR="0001434F" w:rsidRPr="00432B40" w:rsidRDefault="0001434F">
    <w:pPr>
      <w:pStyle w:val="FSHRub1"/>
    </w:pPr>
    <w:r w:rsidRPr="00432B40">
      <w:t>Motion till riksdagen</w:t>
    </w:r>
    <w:r w:rsidRPr="00432B40">
      <w:br/>
    </w:r>
    <w:r w:rsidRPr="00432B40">
      <w:fldChar w:fldCharType="begin" w:fldLock="1"/>
    </w:r>
    <w:r w:rsidRPr="00432B40">
      <w:instrText xml:space="preserve"> DOCPROPERTY "YearUser" *\charformat </w:instrText>
    </w:r>
    <w:r w:rsidRPr="00432B40">
      <w:fldChar w:fldCharType="separate"/>
    </w:r>
    <w:r w:rsidRPr="00432B40">
      <w:t>2011/12</w:t>
    </w:r>
    <w:r w:rsidRPr="00432B40">
      <w:fldChar w:fldCharType="end"/>
    </w:r>
    <w:r w:rsidRPr="00432B40">
      <w:t>:</w:t>
    </w:r>
    <w:r w:rsidRPr="00432B40">
      <w:fldChar w:fldCharType="begin" w:fldLock="1"/>
    </w:r>
    <w:r w:rsidRPr="00432B40">
      <w:instrText xml:space="preserve"> DOCPROPERTY "Motionsnummer" *\charformat </w:instrText>
    </w:r>
    <w:r w:rsidRPr="00432B40">
      <w:fldChar w:fldCharType="separate"/>
    </w:r>
    <w:r w:rsidRPr="00432B40">
      <w:t>Sf341</w:t>
    </w:r>
    <w:r w:rsidRPr="00432B40">
      <w:fldChar w:fldCharType="end"/>
    </w:r>
  </w:p>
  <w:p w:rsidR="0001434F" w:rsidRPr="00432B40" w:rsidRDefault="0001434F">
    <w:pPr>
      <w:pStyle w:val="FSHNormalS5"/>
    </w:pPr>
    <w:r w:rsidRPr="00432B40">
      <w:fldChar w:fldCharType="begin" w:fldLock="1"/>
    </w:r>
    <w:r w:rsidRPr="00432B40">
      <w:instrText xml:space="preserve"> DOCPROPERTY "MotionarText" *\charformat </w:instrText>
    </w:r>
    <w:r w:rsidRPr="00432B40">
      <w:fldChar w:fldCharType="separate"/>
    </w:r>
    <w:r w:rsidRPr="00432B40">
      <w:t>av Lars Ohly m.fl. (V)</w:t>
    </w:r>
    <w:r w:rsidRPr="00432B40">
      <w:fldChar w:fldCharType="end"/>
    </w:r>
    <w:r w:rsidRPr="00432B40">
      <w:br/>
    </w:r>
    <w:r w:rsidRPr="00432B40">
      <w:fldChar w:fldCharType="begin" w:fldLock="1"/>
    </w:r>
    <w:r w:rsidRPr="00432B40">
      <w:instrText xml:space="preserve"> DOCPROPERTY "SvarFrasKort" *\charformat </w:instrText>
    </w:r>
    <w:r w:rsidRPr="00432B40">
      <w:fldChar w:fldCharType="end"/>
    </w:r>
  </w:p>
  <w:p w:rsidR="0001434F" w:rsidRPr="00432B40" w:rsidRDefault="0001434F">
    <w:pPr>
      <w:pStyle w:val="FSHTitel"/>
    </w:pPr>
    <w:r w:rsidRPr="00432B40">
      <w:fldChar w:fldCharType="begin" w:fldLock="1"/>
    </w:r>
    <w:r w:rsidRPr="00432B40">
      <w:instrText xml:space="preserve"> DOCPROPERTY</w:instrText>
    </w:r>
    <w:r w:rsidRPr="00432B40">
      <w:rPr>
        <w:sz w:val="18"/>
      </w:rPr>
      <w:instrText xml:space="preserve"> "RubrikSvar" *\charformat </w:instrText>
    </w:r>
    <w:r w:rsidRPr="00432B40">
      <w:fldChar w:fldCharType="separate"/>
    </w:r>
    <w:r w:rsidRPr="00432B40">
      <w:t>Utgiftområde 11 Ekonomisk trygghet vid ålderdom</w:t>
    </w:r>
    <w:r w:rsidRPr="00432B40">
      <w:fldChar w:fldCharType="end"/>
    </w:r>
  </w:p>
  <w:p w:rsidR="0001434F" w:rsidRPr="00432B40" w:rsidRDefault="0001434F">
    <w:pPr>
      <w:pStyle w:val="Normal00"/>
    </w:pPr>
  </w:p>
  <w:p w:rsidR="0001434F" w:rsidRPr="00432B40" w:rsidRDefault="000143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295E51E6">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40FA2262">
      <w:start w:val="1"/>
      <w:numFmt w:val="decimal"/>
      <w:lvlText w:val="%1."/>
      <w:lvlJc w:val="left"/>
      <w:pPr>
        <w:tabs>
          <w:tab w:val="num" w:pos="340"/>
        </w:tabs>
        <w:ind w:left="340" w:hanging="340"/>
      </w:pPr>
      <w:rPr>
        <w:rFonts w:cs="Times New Roman"/>
      </w:rPr>
    </w:lvl>
    <w:lvl w:ilvl="1" w:tplc="66A08172" w:tentative="1">
      <w:start w:val="1"/>
      <w:numFmt w:val="lowerLetter"/>
      <w:lvlText w:val="%2."/>
      <w:lvlJc w:val="left"/>
      <w:pPr>
        <w:tabs>
          <w:tab w:val="num" w:pos="1440"/>
        </w:tabs>
        <w:ind w:left="1440" w:hanging="360"/>
      </w:pPr>
      <w:rPr>
        <w:rFonts w:cs="Times New Roman"/>
      </w:rPr>
    </w:lvl>
    <w:lvl w:ilvl="2" w:tplc="97229F42" w:tentative="1">
      <w:start w:val="1"/>
      <w:numFmt w:val="lowerRoman"/>
      <w:lvlText w:val="%3."/>
      <w:lvlJc w:val="right"/>
      <w:pPr>
        <w:tabs>
          <w:tab w:val="num" w:pos="2160"/>
        </w:tabs>
        <w:ind w:left="2160" w:hanging="180"/>
      </w:pPr>
      <w:rPr>
        <w:rFonts w:cs="Times New Roman"/>
      </w:rPr>
    </w:lvl>
    <w:lvl w:ilvl="3" w:tplc="5770F5FC" w:tentative="1">
      <w:start w:val="1"/>
      <w:numFmt w:val="decimal"/>
      <w:lvlText w:val="%4."/>
      <w:lvlJc w:val="left"/>
      <w:pPr>
        <w:tabs>
          <w:tab w:val="num" w:pos="2880"/>
        </w:tabs>
        <w:ind w:left="2880" w:hanging="360"/>
      </w:pPr>
      <w:rPr>
        <w:rFonts w:cs="Times New Roman"/>
      </w:rPr>
    </w:lvl>
    <w:lvl w:ilvl="4" w:tplc="80E8ED36" w:tentative="1">
      <w:start w:val="1"/>
      <w:numFmt w:val="lowerLetter"/>
      <w:lvlText w:val="%5."/>
      <w:lvlJc w:val="left"/>
      <w:pPr>
        <w:tabs>
          <w:tab w:val="num" w:pos="3600"/>
        </w:tabs>
        <w:ind w:left="3600" w:hanging="360"/>
      </w:pPr>
      <w:rPr>
        <w:rFonts w:cs="Times New Roman"/>
      </w:rPr>
    </w:lvl>
    <w:lvl w:ilvl="5" w:tplc="CA7A6208" w:tentative="1">
      <w:start w:val="1"/>
      <w:numFmt w:val="lowerRoman"/>
      <w:lvlText w:val="%6."/>
      <w:lvlJc w:val="right"/>
      <w:pPr>
        <w:tabs>
          <w:tab w:val="num" w:pos="4320"/>
        </w:tabs>
        <w:ind w:left="4320" w:hanging="180"/>
      </w:pPr>
      <w:rPr>
        <w:rFonts w:cs="Times New Roman"/>
      </w:rPr>
    </w:lvl>
    <w:lvl w:ilvl="6" w:tplc="5684869E" w:tentative="1">
      <w:start w:val="1"/>
      <w:numFmt w:val="decimal"/>
      <w:lvlText w:val="%7."/>
      <w:lvlJc w:val="left"/>
      <w:pPr>
        <w:tabs>
          <w:tab w:val="num" w:pos="5040"/>
        </w:tabs>
        <w:ind w:left="5040" w:hanging="360"/>
      </w:pPr>
      <w:rPr>
        <w:rFonts w:cs="Times New Roman"/>
      </w:rPr>
    </w:lvl>
    <w:lvl w:ilvl="7" w:tplc="D646DE30" w:tentative="1">
      <w:start w:val="1"/>
      <w:numFmt w:val="lowerLetter"/>
      <w:lvlText w:val="%8."/>
      <w:lvlJc w:val="left"/>
      <w:pPr>
        <w:tabs>
          <w:tab w:val="num" w:pos="5760"/>
        </w:tabs>
        <w:ind w:left="5760" w:hanging="360"/>
      </w:pPr>
      <w:rPr>
        <w:rFonts w:cs="Times New Roman"/>
      </w:rPr>
    </w:lvl>
    <w:lvl w:ilvl="8" w:tplc="6272107E"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D4A66BD"/>
    <w:multiLevelType w:val="multilevel"/>
    <w:tmpl w:val="8294FBE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438647952">
    <w:abstractNumId w:val="3"/>
  </w:num>
  <w:num w:numId="2" w16cid:durableId="417286737">
    <w:abstractNumId w:val="2"/>
  </w:num>
  <w:num w:numId="3" w16cid:durableId="1119452721">
    <w:abstractNumId w:val="1"/>
  </w:num>
  <w:num w:numId="4" w16cid:durableId="1858150066">
    <w:abstractNumId w:val="0"/>
  </w:num>
  <w:num w:numId="5" w16cid:durableId="1149975598">
    <w:abstractNumId w:val="7"/>
  </w:num>
  <w:num w:numId="6" w16cid:durableId="2099863095">
    <w:abstractNumId w:val="6"/>
  </w:num>
  <w:num w:numId="7" w16cid:durableId="967904765">
    <w:abstractNumId w:val="5"/>
  </w:num>
  <w:num w:numId="8" w16cid:durableId="1578786239">
    <w:abstractNumId w:val="4"/>
  </w:num>
  <w:num w:numId="9" w16cid:durableId="950628667">
    <w:abstractNumId w:val="8"/>
  </w:num>
  <w:num w:numId="10" w16cid:durableId="957687885">
    <w:abstractNumId w:val="9"/>
  </w:num>
  <w:num w:numId="11" w16cid:durableId="1260330843">
    <w:abstractNumId w:val="10"/>
  </w:num>
  <w:num w:numId="12" w16cid:durableId="502741504">
    <w:abstractNumId w:val="13"/>
  </w:num>
  <w:num w:numId="13" w16cid:durableId="1393385315">
    <w:abstractNumId w:val="15"/>
  </w:num>
  <w:num w:numId="14" w16cid:durableId="499200217">
    <w:abstractNumId w:val="16"/>
  </w:num>
  <w:num w:numId="15" w16cid:durableId="592980893">
    <w:abstractNumId w:val="11"/>
  </w:num>
  <w:num w:numId="16" w16cid:durableId="1869179068">
    <w:abstractNumId w:val="18"/>
  </w:num>
  <w:num w:numId="17" w16cid:durableId="1123427950">
    <w:abstractNumId w:val="17"/>
  </w:num>
  <w:num w:numId="18" w16cid:durableId="1982077721">
    <w:abstractNumId w:val="14"/>
  </w:num>
  <w:num w:numId="19" w16cid:durableId="1256593031">
    <w:abstractNumId w:val="12"/>
  </w:num>
  <w:num w:numId="20" w16cid:durableId="17860788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653F0F50-6F1F-4A36-9FEB-9B3CE8CAF153},{9757EBE9-5352-471C-B04A-E35C112BD16A},{00468181-7122-42C5-877E-69489063FE94},{A3B7BC79-15BA-4C82-9CD3-12632F50DBA0},{DA248C4D-AFF6-4AC5-94CA-AED252C8C8C8},{A7313DCE-0B34-4C27-86F8-BEBB9AB9F316},{8AB62037-4390-43A4-8774-82C1A5291ED3}"/>
  </w:docVars>
  <w:rsids>
    <w:rsidRoot w:val="004E71B3"/>
    <w:rsid w:val="0001434F"/>
    <w:rsid w:val="00432B40"/>
    <w:rsid w:val="004E71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62C64E-BB83-4C5D-8B2A-957B6A06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table" w:styleId="Enkeltabell1">
    <w:name w:val="Table Simple 1"/>
    <w:basedOn w:val="Normaltabell"/>
    <w:pPr>
      <w:spacing w:line="280" w:lineRule="atLeast"/>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049265">
      <w:bodyDiv w:val="1"/>
      <w:marLeft w:val="0"/>
      <w:marRight w:val="0"/>
      <w:marTop w:val="0"/>
      <w:marBottom w:val="0"/>
      <w:divBdr>
        <w:top w:val="none" w:sz="0" w:space="0" w:color="auto"/>
        <w:left w:val="none" w:sz="0" w:space="0" w:color="auto"/>
        <w:bottom w:val="none" w:sz="0" w:space="0" w:color="auto"/>
        <w:right w:val="none" w:sz="0" w:space="0" w:color="auto"/>
      </w:divBdr>
    </w:div>
    <w:div w:id="144068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2039</Characters>
  <Application>Microsoft Office Word</Application>
  <DocSecurity>4</DocSecurity>
  <Lines>63</Lines>
  <Paragraphs>37</Paragraphs>
  <ScaleCrop>false</ScaleCrop>
  <HeadingPairs>
    <vt:vector size="2" baseType="variant">
      <vt:variant>
        <vt:lpstr>Rubrik</vt:lpstr>
      </vt:variant>
      <vt:variant>
        <vt:i4>1</vt:i4>
      </vt:variant>
    </vt:vector>
  </HeadingPairs>
  <TitlesOfParts>
    <vt:vector size="1" baseType="lpstr">
      <vt:lpstr>V405</vt:lpstr>
    </vt:vector>
  </TitlesOfParts>
  <Company>Riksdagen</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V405</dc:title>
  <dc:subject>V405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2011-11-05T08:17:00Z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Utgiftområde 11 Ekonomisk trygghet vid ålderdom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Utgiftområde 11 Ekonomisk trygghet vid ålderdom</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(V)\Andersson, Ulla (V)\Linde, Hans (V)\Olofsson, Eva (V)\Sjöstedt, Jonas (V)\Sydow Mölleby, Mia (V)\Johansson, Wiwi-Anne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Eva Olofsson (V), Jonas Sjöstedt (V), Mia Sydow Mölleby (V), Wiwi-Anne Johansson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20112012000000000086000004050080</vt:lpwstr>
  </property>
  <property fmtid="{D5CDD505-2E9C-101B-9397-08002B2CF9AE}" pid="47" name="datum">
    <vt:lpwstr>111004</vt:lpwstr>
  </property>
  <property fmtid="{D5CDD505-2E9C-101B-9397-08002B2CF9AE}" pid="48" name="avsändar-e-post">
    <vt:lpwstr>dina.fraggidou@riksdagen.se</vt:lpwstr>
  </property>
  <property fmtid="{D5CDD505-2E9C-101B-9397-08002B2CF9AE}" pid="49" name="id">
    <vt:lpwstr>20112012000000000086000004050080</vt:lpwstr>
  </property>
  <property fmtid="{D5CDD505-2E9C-101B-9397-08002B2CF9AE}" pid="50" name="nummer">
    <vt:lpwstr>341</vt:lpwstr>
  </property>
  <property fmtid="{D5CDD505-2E9C-101B-9397-08002B2CF9AE}" pid="51" name="utskottsbeteckning">
    <vt:lpwstr>Sf</vt:lpwstr>
  </property>
  <property fmtid="{D5CDD505-2E9C-101B-9397-08002B2CF9AE}" pid="52" name="GlobalUID">
    <vt:lpwstr>{765B581A-977C-4110-ADCD-EC4D28DC87E8}</vt:lpwstr>
  </property>
  <property fmtid="{D5CDD505-2E9C-101B-9397-08002B2CF9AE}" pid="53" name="Överföringar">
    <vt:i4>1</vt:i4>
  </property>
  <property fmtid="{D5CDD505-2E9C-101B-9397-08002B2CF9AE}" pid="54" name="Checksum">
    <vt:lpwstr>*1004240485183*</vt:lpwstr>
  </property>
  <property fmtid="{D5CDD505-2E9C-101B-9397-08002B2CF9AE}" pid="55" name="skuggnummer">
    <vt:lpwstr>2958</vt:lpwstr>
  </property>
  <property fmtid="{D5CDD505-2E9C-101B-9397-08002B2CF9AE}" pid="56" name="urixVersion">
    <vt:lpwstr>4.5.0.25</vt:lpwstr>
  </property>
  <property fmtid="{D5CDD505-2E9C-101B-9397-08002B2CF9AE}" pid="57" name="urixOrigin">
    <vt:lpwstr>111105 09:17:15.060</vt:lpwstr>
  </property>
  <property fmtid="{D5CDD505-2E9C-101B-9397-08002B2CF9AE}" pid="58" name="urixGuid">
    <vt:lpwstr>{260CD66A-52A6-4FEF-A6AB-677CFA485E30}</vt:lpwstr>
  </property>
</Properties>
</file>