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70DC1" w:rsidRPr="00A612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A612E2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70DC1" w:rsidRPr="00A612E2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i/>
                <w:sz w:val="18"/>
              </w:rPr>
            </w:pP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816EB4" w:rsidRPr="00A612E2" w:rsidRDefault="00816EB4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sz w:val="22"/>
              </w:rPr>
            </w:pPr>
            <w:r w:rsidRPr="00A612E2">
              <w:rPr>
                <w:rFonts w:ascii="TradeGothic" w:hAnsi="TradeGothic"/>
                <w:sz w:val="22"/>
              </w:rPr>
              <w:t xml:space="preserve">Utkast till </w:t>
            </w:r>
          </w:p>
          <w:p w:rsidR="00670DC1" w:rsidRPr="00A612E2" w:rsidRDefault="00670DC1" w:rsidP="008D743B">
            <w:pPr>
              <w:framePr w:w="4400" w:h="1644" w:wrap="notBeside" w:vAnchor="page" w:hAnchor="page" w:x="6573" w:y="721"/>
              <w:spacing w:line="240" w:lineRule="auto"/>
              <w:rPr>
                <w:rFonts w:ascii="TradeGothic" w:hAnsi="TradeGothic"/>
                <w:b/>
                <w:sz w:val="22"/>
              </w:rPr>
            </w:pPr>
            <w:r w:rsidRPr="00A612E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70DC1" w:rsidRPr="00A612E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1213" w:type="dxa"/>
          </w:tcPr>
          <w:p w:rsidR="00670DC1" w:rsidRPr="00A612E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A612E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  <w:r w:rsidRPr="00A612E2">
              <w:t>200</w:t>
            </w:r>
            <w:r w:rsidR="00FA66EE" w:rsidRPr="00A612E2">
              <w:t>8-0</w:t>
            </w:r>
            <w:r w:rsidR="00816EB4" w:rsidRPr="00A612E2">
              <w:t>9-16</w:t>
            </w:r>
          </w:p>
        </w:tc>
        <w:tc>
          <w:tcPr>
            <w:tcW w:w="2347" w:type="dxa"/>
            <w:gridSpan w:val="2"/>
          </w:tcPr>
          <w:p w:rsidR="00670DC1" w:rsidRPr="00A612E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70DC1" w:rsidRPr="00A612E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  <w:tc>
          <w:tcPr>
            <w:tcW w:w="2347" w:type="dxa"/>
            <w:gridSpan w:val="2"/>
          </w:tcPr>
          <w:p w:rsidR="00670DC1" w:rsidRPr="00A612E2" w:rsidRDefault="00670DC1" w:rsidP="008D743B">
            <w:pPr>
              <w:framePr w:w="4400" w:h="1644" w:wrap="notBeside" w:vAnchor="page" w:hAnchor="page" w:x="6573" w:y="721"/>
              <w:spacing w:line="240" w:lineRule="auto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70DC1" w:rsidRPr="00A612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A612E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/>
                <w:i w:val="0"/>
                <w:sz w:val="22"/>
              </w:rPr>
            </w:pPr>
            <w:r w:rsidRPr="00A612E2">
              <w:rPr>
                <w:b/>
                <w:i w:val="0"/>
                <w:sz w:val="22"/>
              </w:rPr>
              <w:t>Socialdepartementet</w:t>
            </w: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A612E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A612E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A612E2">
              <w:rPr>
                <w:bCs/>
                <w:iCs/>
              </w:rPr>
              <w:t>Socialförsäkringsenheten</w:t>
            </w:r>
          </w:p>
          <w:p w:rsidR="00816EB4" w:rsidRPr="00A612E2" w:rsidRDefault="00816EB4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  <w:r w:rsidRPr="00A612E2">
              <w:rPr>
                <w:bCs/>
                <w:iCs/>
              </w:rPr>
              <w:t>Lena Malmberg</w:t>
            </w: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A612E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A612E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A612E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A612E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A612E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  <w:tr w:rsidR="00670DC1" w:rsidRPr="00A612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70DC1" w:rsidRPr="00A612E2" w:rsidRDefault="00670DC1" w:rsidP="008D743B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</w:tbl>
    <w:p w:rsidR="00670DC1" w:rsidRPr="00A612E2" w:rsidRDefault="00670DC1" w:rsidP="008D743B">
      <w:pPr>
        <w:framePr w:w="4400" w:h="2523" w:wrap="notBeside" w:vAnchor="page" w:hAnchor="page" w:x="6453" w:y="2445"/>
        <w:spacing w:line="240" w:lineRule="auto"/>
        <w:ind w:left="142"/>
        <w:rPr>
          <w:b/>
        </w:rPr>
      </w:pPr>
    </w:p>
    <w:p w:rsidR="00670DC1" w:rsidRPr="00A612E2" w:rsidRDefault="00670DC1" w:rsidP="008D743B">
      <w:pPr>
        <w:pStyle w:val="RKrubrik"/>
        <w:pBdr>
          <w:bottom w:val="single" w:sz="6" w:space="1" w:color="auto"/>
        </w:pBdr>
        <w:spacing w:line="240" w:lineRule="auto"/>
      </w:pPr>
      <w:bookmarkStart w:id="0" w:name="bRubrik"/>
      <w:bookmarkEnd w:id="0"/>
      <w:r w:rsidRPr="00A612E2">
        <w:t>EPSCO rådets möte den</w:t>
      </w:r>
      <w:r w:rsidR="00FA66EE" w:rsidRPr="00A612E2">
        <w:t xml:space="preserve"> </w:t>
      </w:r>
      <w:r w:rsidR="001B1E8A" w:rsidRPr="00A612E2">
        <w:t>2 oktober</w:t>
      </w:r>
      <w:r w:rsidRPr="00A612E2">
        <w:t xml:space="preserve"> 200</w:t>
      </w:r>
      <w:r w:rsidR="00FA66EE" w:rsidRPr="00A612E2">
        <w:t>8</w:t>
      </w:r>
    </w:p>
    <w:p w:rsidR="00670DC1" w:rsidRPr="00A612E2" w:rsidRDefault="00670DC1" w:rsidP="008D743B">
      <w:pPr>
        <w:pStyle w:val="RKnormal"/>
        <w:spacing w:line="240" w:lineRule="auto"/>
      </w:pPr>
    </w:p>
    <w:p w:rsidR="00E408ED" w:rsidRPr="00A612E2" w:rsidRDefault="00E408ED" w:rsidP="008D743B">
      <w:pPr>
        <w:pStyle w:val="RKnormal"/>
        <w:spacing w:line="240" w:lineRule="auto"/>
        <w:rPr>
          <w:b/>
        </w:rPr>
      </w:pPr>
      <w:r w:rsidRPr="00A612E2">
        <w:rPr>
          <w:b/>
        </w:rPr>
        <w:t>Dagordningspunkt 6</w:t>
      </w:r>
    </w:p>
    <w:p w:rsidR="00E408ED" w:rsidRPr="00A612E2" w:rsidRDefault="00E408ED" w:rsidP="008D743B">
      <w:pPr>
        <w:pStyle w:val="RKnormal"/>
        <w:spacing w:line="240" w:lineRule="auto"/>
      </w:pPr>
    </w:p>
    <w:p w:rsidR="00E408ED" w:rsidRPr="00A612E2" w:rsidRDefault="00E408ED" w:rsidP="00E408ED">
      <w:pPr>
        <w:spacing w:line="240" w:lineRule="auto"/>
      </w:pPr>
      <w:r w:rsidRPr="00A612E2">
        <w:t>Förslag till Europaparlamentets och rådets förordning om tillämpningsbestämmelser till förordning (EG) nr 883/2004 om samordning av de sociala trygghetssystemen</w:t>
      </w:r>
    </w:p>
    <w:p w:rsidR="00E408ED" w:rsidRPr="00A612E2" w:rsidRDefault="00E408ED" w:rsidP="00E408ED">
      <w:pPr>
        <w:spacing w:line="240" w:lineRule="auto"/>
        <w:ind w:firstLine="1134"/>
      </w:pPr>
    </w:p>
    <w:p w:rsidR="00E408ED" w:rsidRPr="00A612E2" w:rsidRDefault="00E408ED" w:rsidP="00E408ED">
      <w:pPr>
        <w:spacing w:line="240" w:lineRule="auto"/>
        <w:ind w:left="567" w:hanging="567"/>
      </w:pPr>
      <w:r w:rsidRPr="00A612E2">
        <w:t>a)</w:t>
      </w:r>
      <w:r w:rsidRPr="00A612E2">
        <w:tab/>
        <w:t>Avdelning III</w:t>
      </w:r>
      <w:r w:rsidR="0051110A" w:rsidRPr="00A612E2">
        <w:t>, k</w:t>
      </w:r>
      <w:r w:rsidRPr="00A612E2">
        <w:t>apitlen II (</w:t>
      </w:r>
      <w:r w:rsidRPr="00A612E2">
        <w:rPr>
          <w:color w:val="000000"/>
        </w:rPr>
        <w:t>Förmåner vid olycksfall i arbetet och arbetssjukdomar</w:t>
      </w:r>
      <w:r w:rsidRPr="00A612E2">
        <w:t xml:space="preserve">) och III </w:t>
      </w:r>
      <w:r w:rsidRPr="00A612E2">
        <w:rPr>
          <w:color w:val="000000"/>
        </w:rPr>
        <w:t>(Ersättning vid dödsfall)</w:t>
      </w:r>
    </w:p>
    <w:p w:rsidR="00E408ED" w:rsidRPr="00A612E2" w:rsidRDefault="00E408ED" w:rsidP="00E408ED">
      <w:pPr>
        <w:spacing w:line="240" w:lineRule="auto"/>
        <w:ind w:left="567" w:hanging="567"/>
      </w:pPr>
    </w:p>
    <w:p w:rsidR="00423B99" w:rsidRPr="00A612E2" w:rsidRDefault="00423B99" w:rsidP="00E408ED">
      <w:pPr>
        <w:spacing w:line="240" w:lineRule="auto"/>
        <w:ind w:left="567" w:hanging="567"/>
      </w:pPr>
      <w:r w:rsidRPr="00A612E2">
        <w:t>Dokument: 13115/08 SOC 504 CODEC 1134</w:t>
      </w:r>
    </w:p>
    <w:p w:rsidR="00423B99" w:rsidRPr="00A612E2" w:rsidRDefault="00423B99" w:rsidP="00E408ED">
      <w:pPr>
        <w:spacing w:line="240" w:lineRule="auto"/>
        <w:ind w:left="567" w:hanging="567"/>
      </w:pPr>
    </w:p>
    <w:p w:rsidR="00E408ED" w:rsidRPr="00A612E2" w:rsidRDefault="00E408ED" w:rsidP="00E408ED">
      <w:pPr>
        <w:spacing w:line="240" w:lineRule="auto"/>
        <w:ind w:left="567" w:hanging="567"/>
      </w:pPr>
      <w:r w:rsidRPr="00A612E2">
        <w:t>b)</w:t>
      </w:r>
      <w:r w:rsidRPr="00A612E2">
        <w:tab/>
      </w:r>
      <w:r w:rsidR="0051110A" w:rsidRPr="00A612E2">
        <w:rPr>
          <w:i/>
        </w:rPr>
        <w:t>eventuell</w:t>
      </w:r>
      <w:r w:rsidR="0051110A" w:rsidRPr="00A612E2">
        <w:t xml:space="preserve"> </w:t>
      </w:r>
      <w:r w:rsidRPr="00A612E2">
        <w:t>Avdelning V (Diverse bestämmelser, övergångsbestämmelser och slutbestämmelser)</w:t>
      </w:r>
      <w:r w:rsidR="0051110A" w:rsidRPr="00A612E2">
        <w:t xml:space="preserve"> </w:t>
      </w:r>
    </w:p>
    <w:p w:rsidR="00E408ED" w:rsidRPr="00A612E2" w:rsidRDefault="00E408ED" w:rsidP="008D743B">
      <w:pPr>
        <w:pStyle w:val="RKnormal"/>
        <w:spacing w:line="240" w:lineRule="auto"/>
      </w:pPr>
    </w:p>
    <w:p w:rsidR="00E6480E" w:rsidRPr="00A612E2" w:rsidRDefault="00E6480E" w:rsidP="008D743B">
      <w:pPr>
        <w:pStyle w:val="RKnormal"/>
        <w:spacing w:line="240" w:lineRule="auto"/>
      </w:pPr>
      <w:r w:rsidRPr="00A612E2">
        <w:t>Dokument</w:t>
      </w:r>
      <w:r w:rsidR="00707C81" w:rsidRPr="00A612E2">
        <w:t xml:space="preserve">: </w:t>
      </w:r>
      <w:r w:rsidR="00423B99" w:rsidRPr="00A612E2">
        <w:t>ej klara</w:t>
      </w:r>
    </w:p>
    <w:p w:rsidR="00E6480E" w:rsidRPr="00A612E2" w:rsidRDefault="00E6480E" w:rsidP="008D743B">
      <w:pPr>
        <w:pStyle w:val="RKnormal"/>
        <w:spacing w:line="240" w:lineRule="auto"/>
      </w:pPr>
    </w:p>
    <w:p w:rsidR="00816EB4" w:rsidRPr="00A612E2" w:rsidRDefault="00E6480E" w:rsidP="00816EB4">
      <w:pPr>
        <w:pStyle w:val="RKnormal"/>
        <w:spacing w:line="240" w:lineRule="auto"/>
      </w:pPr>
      <w:r w:rsidRPr="00A612E2">
        <w:t>Tidigare dokument:</w:t>
      </w:r>
      <w:r w:rsidRPr="00A612E2">
        <w:rPr>
          <w:color w:val="000000"/>
        </w:rPr>
        <w:t xml:space="preserve"> </w:t>
      </w:r>
      <w:r w:rsidR="00816EB4" w:rsidRPr="00A612E2">
        <w:rPr>
          <w:color w:val="000000"/>
        </w:rPr>
        <w:t>KOM (2006) 16 final,</w:t>
      </w:r>
      <w:r w:rsidR="00816EB4" w:rsidRPr="00A612E2">
        <w:rPr>
          <w:rFonts w:ascii="Times New Roman" w:hAnsi="Times New Roman"/>
          <w:color w:val="000000"/>
        </w:rPr>
        <w:t xml:space="preserve"> KOM (2006) 7 slutlig, f</w:t>
      </w:r>
      <w:r w:rsidR="00816EB4" w:rsidRPr="00A612E2">
        <w:t>akta-PM socialdepartementet 2005/2006 FPM76</w:t>
      </w:r>
    </w:p>
    <w:p w:rsidR="00644707" w:rsidRPr="00A612E2" w:rsidRDefault="00644707" w:rsidP="008D743B">
      <w:pPr>
        <w:pStyle w:val="RKnormal"/>
        <w:spacing w:line="240" w:lineRule="auto"/>
      </w:pPr>
    </w:p>
    <w:p w:rsidR="00E408ED" w:rsidRPr="00A612E2" w:rsidRDefault="00E408ED" w:rsidP="008D743B">
      <w:pPr>
        <w:pStyle w:val="RKnormal"/>
        <w:spacing w:line="240" w:lineRule="auto"/>
      </w:pPr>
      <w:r w:rsidRPr="00A612E2">
        <w:t>Dessa delar av tillämpningsbestämmelserna till förordning 883/04 har inte tidigare behandlats av EU-nämnden.</w:t>
      </w:r>
    </w:p>
    <w:p w:rsidR="00B312D4" w:rsidRPr="00A612E2" w:rsidRDefault="00670DC1" w:rsidP="008D743B">
      <w:pPr>
        <w:pStyle w:val="RKrubrik"/>
        <w:spacing w:line="240" w:lineRule="auto"/>
        <w:rPr>
          <w:i/>
        </w:rPr>
      </w:pPr>
      <w:r w:rsidRPr="00A612E2">
        <w:rPr>
          <w:i/>
        </w:rPr>
        <w:t>Bakgrund</w:t>
      </w:r>
    </w:p>
    <w:p w:rsidR="00C30B50" w:rsidRPr="00A612E2" w:rsidRDefault="00816EB4" w:rsidP="00816EB4">
      <w:pPr>
        <w:pStyle w:val="RKnormal"/>
        <w:spacing w:line="240" w:lineRule="auto"/>
      </w:pPr>
      <w:r w:rsidRPr="00A612E2">
        <w:t>Europaparlamentet och rådet antog den 29 april 2004 en ny förordning 883/2004 om samordning av de sociala trygghetssystemen</w:t>
      </w:r>
      <w:r w:rsidR="00C30B50" w:rsidRPr="00A612E2">
        <w:t xml:space="preserve"> som ska ersätta förordning nr 1408/71</w:t>
      </w:r>
      <w:r w:rsidRPr="00A612E2">
        <w:t xml:space="preserve">. I artikel 89 i </w:t>
      </w:r>
      <w:r w:rsidR="00C30B50" w:rsidRPr="00A612E2">
        <w:t>förordning nr 883/04</w:t>
      </w:r>
      <w:r w:rsidRPr="00A612E2">
        <w:t xml:space="preserve"> anges att tillämpningsföreskrifter måste utfärdas innan förordningen kan börja tillämpas. </w:t>
      </w:r>
    </w:p>
    <w:p w:rsidR="00C30B50" w:rsidRPr="00A612E2" w:rsidRDefault="00C30B50" w:rsidP="00816EB4">
      <w:pPr>
        <w:pStyle w:val="RKnormal"/>
        <w:spacing w:line="240" w:lineRule="auto"/>
      </w:pPr>
    </w:p>
    <w:p w:rsidR="00816EB4" w:rsidRPr="00A612E2" w:rsidRDefault="00816EB4" w:rsidP="00816EB4">
      <w:pPr>
        <w:pStyle w:val="RKnormal"/>
        <w:spacing w:line="240" w:lineRule="auto"/>
      </w:pPr>
      <w:r w:rsidRPr="00A612E2">
        <w:t>En arbetsgrupp i rådet</w:t>
      </w:r>
      <w:r w:rsidR="0051110A" w:rsidRPr="00A612E2">
        <w:t xml:space="preserve"> </w:t>
      </w:r>
      <w:r w:rsidRPr="00A612E2">
        <w:t xml:space="preserve">har under det franska ordförandeskapet </w:t>
      </w:r>
      <w:r w:rsidR="001D06C1" w:rsidRPr="00A612E2">
        <w:t xml:space="preserve">slutbehandlat </w:t>
      </w:r>
      <w:r w:rsidR="0051110A" w:rsidRPr="00A612E2">
        <w:t>de delar av förslaget som dagordningspunkten avser.</w:t>
      </w:r>
      <w:r w:rsidRPr="00A612E2">
        <w:t xml:space="preserve"> </w:t>
      </w:r>
      <w:r w:rsidR="00B70529" w:rsidRPr="00A612E2">
        <w:t xml:space="preserve"> Vid </w:t>
      </w:r>
      <w:r w:rsidR="00B70529" w:rsidRPr="00A612E2">
        <w:lastRenderedPageBreak/>
        <w:t>EPSCO-rådet den 2 oktober 2008 ska ministrarna ta ställning till en första överenskommelse om denna del av förslaget.</w:t>
      </w:r>
    </w:p>
    <w:p w:rsidR="00B70529" w:rsidRPr="00A612E2" w:rsidRDefault="00B70529" w:rsidP="008D743B">
      <w:pPr>
        <w:pStyle w:val="RKrubrik"/>
        <w:spacing w:line="240" w:lineRule="auto"/>
        <w:rPr>
          <w:i/>
        </w:rPr>
      </w:pPr>
    </w:p>
    <w:p w:rsidR="00670DC1" w:rsidRPr="00A612E2" w:rsidRDefault="00670DC1" w:rsidP="008D743B">
      <w:pPr>
        <w:pStyle w:val="RKrubrik"/>
        <w:spacing w:line="240" w:lineRule="auto"/>
        <w:rPr>
          <w:i/>
        </w:rPr>
      </w:pPr>
      <w:r w:rsidRPr="00A612E2">
        <w:rPr>
          <w:i/>
        </w:rPr>
        <w:t>Rättslig grund och beslutsförfarande</w:t>
      </w:r>
    </w:p>
    <w:p w:rsidR="00670DC1" w:rsidRPr="00A612E2" w:rsidRDefault="00670DC1" w:rsidP="00313201">
      <w:pPr>
        <w:pStyle w:val="RKnormal"/>
        <w:spacing w:line="240" w:lineRule="auto"/>
      </w:pPr>
      <w:r w:rsidRPr="00A612E2">
        <w:t>Artikel 42 och 308 i EF. Enhällighet och medbeslutande EP</w:t>
      </w:r>
    </w:p>
    <w:p w:rsidR="00670DC1" w:rsidRPr="00A612E2" w:rsidRDefault="00670DC1" w:rsidP="008D743B">
      <w:pPr>
        <w:pStyle w:val="RKnormal"/>
        <w:spacing w:line="240" w:lineRule="auto"/>
      </w:pPr>
    </w:p>
    <w:p w:rsidR="00670DC1" w:rsidRPr="00A612E2" w:rsidRDefault="00670DC1" w:rsidP="008D743B">
      <w:pPr>
        <w:pStyle w:val="RKrubrik"/>
        <w:spacing w:line="240" w:lineRule="auto"/>
        <w:rPr>
          <w:i/>
          <w:iCs/>
        </w:rPr>
      </w:pPr>
      <w:r w:rsidRPr="00A612E2">
        <w:rPr>
          <w:i/>
          <w:iCs/>
        </w:rPr>
        <w:t>Svensk ståndpunkt</w:t>
      </w:r>
    </w:p>
    <w:p w:rsidR="00670DC1" w:rsidRPr="00A612E2" w:rsidRDefault="005369F0" w:rsidP="008D743B">
      <w:pPr>
        <w:pStyle w:val="RKnormal"/>
        <w:spacing w:line="240" w:lineRule="auto"/>
      </w:pPr>
      <w:r w:rsidRPr="00A612E2">
        <w:t xml:space="preserve">Regeringen föreslår att SE </w:t>
      </w:r>
      <w:r w:rsidR="00670DC1" w:rsidRPr="00A612E2">
        <w:t>stöder förslaget.</w:t>
      </w:r>
    </w:p>
    <w:p w:rsidR="00AE0635" w:rsidRPr="00A612E2" w:rsidRDefault="00AE0635" w:rsidP="008D743B">
      <w:pPr>
        <w:pStyle w:val="RKnormal"/>
        <w:spacing w:line="240" w:lineRule="auto"/>
      </w:pPr>
    </w:p>
    <w:p w:rsidR="00670DC1" w:rsidRPr="00A612E2" w:rsidRDefault="00670DC1" w:rsidP="008D743B">
      <w:pPr>
        <w:pStyle w:val="RKrubrik"/>
        <w:spacing w:line="240" w:lineRule="auto"/>
        <w:rPr>
          <w:i/>
        </w:rPr>
      </w:pPr>
      <w:r w:rsidRPr="00A612E2">
        <w:rPr>
          <w:i/>
        </w:rPr>
        <w:t>Europaparlamentets inställning</w:t>
      </w:r>
    </w:p>
    <w:p w:rsidR="0063631F" w:rsidRPr="00A612E2" w:rsidRDefault="0063631F" w:rsidP="0063631F">
      <w:pPr>
        <w:pStyle w:val="RKnormal"/>
      </w:pPr>
      <w:r w:rsidRPr="00A612E2">
        <w:t xml:space="preserve">Europaparlamentet har lämnat synpunkter på tillämpningsförordningen i en första läsning. Synpunkterna har ännu inte slutbehandlats i </w:t>
      </w:r>
      <w:r w:rsidR="005369F0" w:rsidRPr="00A612E2">
        <w:t>råds</w:t>
      </w:r>
      <w:r w:rsidRPr="00A612E2">
        <w:t>arbetsgruppen.</w:t>
      </w:r>
    </w:p>
    <w:p w:rsidR="00AE0635" w:rsidRPr="00A612E2" w:rsidRDefault="00AE0635" w:rsidP="0063631F">
      <w:pPr>
        <w:pStyle w:val="RKnormal"/>
      </w:pPr>
    </w:p>
    <w:p w:rsidR="00670DC1" w:rsidRPr="00A612E2" w:rsidRDefault="00670DC1" w:rsidP="008D743B">
      <w:pPr>
        <w:pStyle w:val="RKrubrik"/>
        <w:spacing w:line="240" w:lineRule="auto"/>
        <w:rPr>
          <w:i/>
          <w:iCs/>
        </w:rPr>
      </w:pPr>
      <w:r w:rsidRPr="00A612E2">
        <w:rPr>
          <w:i/>
          <w:iCs/>
        </w:rPr>
        <w:t>Förslaget</w:t>
      </w:r>
    </w:p>
    <w:p w:rsidR="0053371D" w:rsidRPr="00A612E2" w:rsidRDefault="005369F0" w:rsidP="0053371D">
      <w:pPr>
        <w:pStyle w:val="RKnormal"/>
        <w:spacing w:line="240" w:lineRule="auto"/>
        <w:rPr>
          <w:i/>
        </w:rPr>
      </w:pPr>
      <w:r w:rsidRPr="00A612E2">
        <w:rPr>
          <w:i/>
        </w:rPr>
        <w:t>Punkten 6.a</w:t>
      </w:r>
      <w:r w:rsidR="007F5D79" w:rsidRPr="00A612E2">
        <w:rPr>
          <w:i/>
        </w:rPr>
        <w:t>: Avde</w:t>
      </w:r>
      <w:r w:rsidR="0094705F" w:rsidRPr="00A612E2">
        <w:rPr>
          <w:i/>
        </w:rPr>
        <w:t>l</w:t>
      </w:r>
      <w:r w:rsidR="007F5D79" w:rsidRPr="00A612E2">
        <w:rPr>
          <w:i/>
        </w:rPr>
        <w:t>ning III, kap II och II</w:t>
      </w:r>
      <w:r w:rsidR="0094705F" w:rsidRPr="00A612E2">
        <w:rPr>
          <w:i/>
        </w:rPr>
        <w:t>I</w:t>
      </w:r>
      <w:r w:rsidR="007F5D79" w:rsidRPr="00A612E2">
        <w:rPr>
          <w:i/>
        </w:rPr>
        <w:t xml:space="preserve"> om </w:t>
      </w:r>
      <w:r w:rsidRPr="00A612E2">
        <w:rPr>
          <w:i/>
        </w:rPr>
        <w:t xml:space="preserve"> f</w:t>
      </w:r>
      <w:r w:rsidR="0053371D" w:rsidRPr="00A612E2">
        <w:rPr>
          <w:i/>
        </w:rPr>
        <w:t>örmåner vid arbetsskada och arbetssjukdom</w:t>
      </w:r>
      <w:r w:rsidR="007F5D79" w:rsidRPr="00A612E2">
        <w:rPr>
          <w:i/>
        </w:rPr>
        <w:t xml:space="preserve"> och om ersättning vid dödsfall</w:t>
      </w:r>
    </w:p>
    <w:p w:rsidR="0053371D" w:rsidRPr="00A612E2" w:rsidRDefault="0053371D" w:rsidP="0053371D">
      <w:pPr>
        <w:pStyle w:val="RKnormal"/>
        <w:spacing w:line="240" w:lineRule="auto"/>
      </w:pPr>
    </w:p>
    <w:p w:rsidR="004D0BCC" w:rsidRPr="00A612E2" w:rsidRDefault="002C278E" w:rsidP="0053371D">
      <w:pPr>
        <w:pStyle w:val="RKnormal"/>
        <w:spacing w:line="240" w:lineRule="auto"/>
      </w:pPr>
      <w:r w:rsidRPr="00A612E2">
        <w:t>Bestämmelserna i denna avdelning</w:t>
      </w:r>
      <w:r w:rsidR="004D0BCC" w:rsidRPr="00A612E2">
        <w:t xml:space="preserve"> </w:t>
      </w:r>
      <w:r w:rsidRPr="00A612E2">
        <w:t>reglerar hur de regler om rätt</w:t>
      </w:r>
      <w:r w:rsidR="004D0BCC" w:rsidRPr="00A612E2">
        <w:t xml:space="preserve"> till vårdförmåner och kontantförmåner för den som är bosatt eller vistas i en annan medlemsstat än den där han eller hon är försäkrad </w:t>
      </w:r>
      <w:r w:rsidRPr="00A612E2">
        <w:t xml:space="preserve">och </w:t>
      </w:r>
      <w:r w:rsidR="004D0BCC" w:rsidRPr="00A612E2">
        <w:t>som drabbas av arbetsskada eller arbetssjukdom</w:t>
      </w:r>
      <w:r w:rsidRPr="00A612E2">
        <w:t xml:space="preserve"> som följer av förordning nr 883/04 ska tillämpas</w:t>
      </w:r>
      <w:r w:rsidR="004D0BCC" w:rsidRPr="00A612E2">
        <w:t>.</w:t>
      </w:r>
    </w:p>
    <w:p w:rsidR="004D0BCC" w:rsidRPr="00A612E2" w:rsidRDefault="004D0BCC" w:rsidP="0053371D">
      <w:pPr>
        <w:pStyle w:val="RKnormal"/>
        <w:spacing w:line="240" w:lineRule="auto"/>
      </w:pPr>
    </w:p>
    <w:p w:rsidR="004D0BCC" w:rsidRPr="00A612E2" w:rsidRDefault="00A23E54" w:rsidP="0053371D">
      <w:pPr>
        <w:pStyle w:val="RKnormal"/>
        <w:spacing w:line="240" w:lineRule="auto"/>
      </w:pPr>
      <w:r w:rsidRPr="00A612E2">
        <w:t>När det gäller vårdförmåner innebär r</w:t>
      </w:r>
      <w:r w:rsidR="0053371D" w:rsidRPr="00A612E2">
        <w:t xml:space="preserve">eglerna </w:t>
      </w:r>
      <w:r w:rsidR="004D0BCC" w:rsidRPr="00A612E2">
        <w:t xml:space="preserve">i </w:t>
      </w:r>
      <w:r w:rsidR="002C278E" w:rsidRPr="00A612E2">
        <w:t xml:space="preserve">förordning nr 883/04 i </w:t>
      </w:r>
      <w:r w:rsidR="004D0BCC" w:rsidRPr="00A612E2">
        <w:t xml:space="preserve">korthet </w:t>
      </w:r>
      <w:r w:rsidR="0053371D" w:rsidRPr="00A612E2">
        <w:t xml:space="preserve">att en person som </w:t>
      </w:r>
      <w:r w:rsidR="004D0BCC" w:rsidRPr="00A612E2">
        <w:t xml:space="preserve">befinner sig i </w:t>
      </w:r>
      <w:r w:rsidR="002C278E" w:rsidRPr="00A612E2">
        <w:t xml:space="preserve">ovan nämnda situation </w:t>
      </w:r>
      <w:r w:rsidR="004D0BCC" w:rsidRPr="00A612E2">
        <w:t xml:space="preserve">ska </w:t>
      </w:r>
      <w:r w:rsidR="0053371D" w:rsidRPr="00A612E2">
        <w:t xml:space="preserve">få samma behandling vid sjukdom som en arbetstagare  i vistelsestaten får. </w:t>
      </w:r>
    </w:p>
    <w:p w:rsidR="004D0BCC" w:rsidRPr="00A612E2" w:rsidRDefault="004D0BCC" w:rsidP="0053371D">
      <w:pPr>
        <w:pStyle w:val="RKnormal"/>
        <w:spacing w:line="240" w:lineRule="auto"/>
      </w:pPr>
    </w:p>
    <w:p w:rsidR="0053371D" w:rsidRPr="00A612E2" w:rsidRDefault="0053371D" w:rsidP="0053371D">
      <w:pPr>
        <w:pStyle w:val="RKnormal"/>
        <w:spacing w:line="240" w:lineRule="auto"/>
      </w:pPr>
      <w:r w:rsidRPr="00A612E2">
        <w:t xml:space="preserve">Kostnaderna för sjukvården ska ersättas av den ansvariga myndigheten </w:t>
      </w:r>
      <w:r w:rsidR="004D0BCC" w:rsidRPr="00A612E2">
        <w:t xml:space="preserve">i den medlemsstat </w:t>
      </w:r>
      <w:r w:rsidRPr="00A612E2">
        <w:t>där personen är försäkrad</w:t>
      </w:r>
      <w:r w:rsidR="004D0BCC" w:rsidRPr="00A612E2">
        <w:t xml:space="preserve"> enligt samma regler som gäller </w:t>
      </w:r>
      <w:r w:rsidRPr="00A612E2">
        <w:t>vid sjukdom under vistelse i en annan medlemsstat än den där person</w:t>
      </w:r>
      <w:r w:rsidR="004D0BCC" w:rsidRPr="00A612E2">
        <w:t>en</w:t>
      </w:r>
      <w:r w:rsidRPr="00A612E2">
        <w:t xml:space="preserve"> är försäkrad och som </w:t>
      </w:r>
      <w:r w:rsidR="004D0BCC" w:rsidRPr="00A612E2">
        <w:t xml:space="preserve">har </w:t>
      </w:r>
      <w:r w:rsidRPr="00A612E2">
        <w:t>behandlats i tidigare avsnitt</w:t>
      </w:r>
      <w:r w:rsidR="001850AF" w:rsidRPr="00A612E2">
        <w:t xml:space="preserve"> i tillämpningsbestämmelserna</w:t>
      </w:r>
      <w:r w:rsidRPr="00A612E2">
        <w:t xml:space="preserve">. Reglerna för ersättning vid arbetsskada </w:t>
      </w:r>
      <w:r w:rsidR="004D0BCC" w:rsidRPr="00A612E2">
        <w:t xml:space="preserve">eller arbetssjukdom </w:t>
      </w:r>
      <w:r w:rsidRPr="00A612E2">
        <w:t>gäller även för den som söker sjukvård i en annan medlemsstat.</w:t>
      </w:r>
    </w:p>
    <w:p w:rsidR="00A23E54" w:rsidRPr="00A612E2" w:rsidRDefault="00A23E54" w:rsidP="0053371D">
      <w:pPr>
        <w:pStyle w:val="RKnormal"/>
        <w:spacing w:line="240" w:lineRule="auto"/>
      </w:pPr>
    </w:p>
    <w:p w:rsidR="00A23E54" w:rsidRPr="00A612E2" w:rsidRDefault="00A23E54" w:rsidP="0053371D">
      <w:pPr>
        <w:pStyle w:val="RKnormal"/>
        <w:spacing w:line="240" w:lineRule="auto"/>
      </w:pPr>
      <w:r w:rsidRPr="00A612E2">
        <w:t xml:space="preserve">När det gäller kontantförmåner innebär reglerna </w:t>
      </w:r>
      <w:r w:rsidR="002C278E" w:rsidRPr="00A612E2">
        <w:t xml:space="preserve">i förordning nr 883/04 </w:t>
      </w:r>
      <w:r w:rsidRPr="00A612E2">
        <w:t xml:space="preserve">att en person som befinner sig i denna situation ska erhålla kontantförmåner från den medlemsstat där han eller hon är försäkrad. </w:t>
      </w:r>
    </w:p>
    <w:p w:rsidR="0053371D" w:rsidRPr="00A612E2" w:rsidRDefault="0053371D" w:rsidP="0053371D">
      <w:pPr>
        <w:pStyle w:val="RKnormal"/>
        <w:spacing w:line="240" w:lineRule="auto"/>
      </w:pPr>
    </w:p>
    <w:p w:rsidR="00D85F19" w:rsidRPr="00A612E2" w:rsidRDefault="002C278E" w:rsidP="0053371D">
      <w:pPr>
        <w:pStyle w:val="RKnormal"/>
        <w:spacing w:line="240" w:lineRule="auto"/>
      </w:pPr>
      <w:r w:rsidRPr="00A612E2">
        <w:t>De tillämpningsbestämmelser som förslaget avser reglerar det administrativa samarbetet mellan institutionerna när reglerna i förordning nr 883/04 tillämpas</w:t>
      </w:r>
      <w:r w:rsidR="001850AF" w:rsidRPr="00A612E2">
        <w:t xml:space="preserve">, och </w:t>
      </w:r>
      <w:r w:rsidR="00D85F19" w:rsidRPr="00A612E2">
        <w:t>proceduren då en arbetsskada eller en arbetssjukdom uppstår i en annan medlemsstat än den där personen i fråga är försäkrad</w:t>
      </w:r>
      <w:r w:rsidRPr="00A612E2">
        <w:t xml:space="preserve">. Härmed avses t.ex. </w:t>
      </w:r>
      <w:r w:rsidR="00D85F19" w:rsidRPr="00A612E2">
        <w:t xml:space="preserve">ordningen för att diagnostisera och utreda var, när och hur en sådan skada eller sjukdom har uppkommit för en person som har haft arbeten i flera medlemsstater som kan gett upphov till detta. </w:t>
      </w:r>
    </w:p>
    <w:p w:rsidR="00D85F19" w:rsidRPr="00A612E2" w:rsidRDefault="00D85F19" w:rsidP="0053371D">
      <w:pPr>
        <w:pStyle w:val="RKnormal"/>
        <w:spacing w:line="240" w:lineRule="auto"/>
      </w:pPr>
      <w:r w:rsidRPr="00A612E2">
        <w:t xml:space="preserve">  </w:t>
      </w:r>
    </w:p>
    <w:p w:rsidR="0053371D" w:rsidRPr="00A612E2" w:rsidRDefault="007F5D79" w:rsidP="0053371D">
      <w:pPr>
        <w:pStyle w:val="RKnormal"/>
        <w:spacing w:line="240" w:lineRule="auto"/>
      </w:pPr>
      <w:r w:rsidRPr="00A612E2">
        <w:t xml:space="preserve">Bestämmelserna i denna avdelning reglerar också tillämpningen av bestämmelserna i förordning nr 883/04 om rätt till dödsfallsersättning då döden inträffar i en annan medlemsstat än den vars lagstiftning den avlidne omfattades av, eller i en annan medlemsstat än den där den person som är berättigad till ersättningen </w:t>
      </w:r>
      <w:r w:rsidR="00FF013D" w:rsidRPr="00A612E2">
        <w:t>är bosatt</w:t>
      </w:r>
      <w:r w:rsidRPr="00A612E2">
        <w:t>. De tillämpningsbestämmelser som förslaget avser reglerar hur en ansökan om sådan ersättning ska lämnas och vad den ska innehålla.</w:t>
      </w:r>
    </w:p>
    <w:p w:rsidR="00FF013D" w:rsidRPr="00A612E2" w:rsidRDefault="00FF013D" w:rsidP="0053371D">
      <w:pPr>
        <w:pStyle w:val="RKnormal"/>
        <w:spacing w:line="240" w:lineRule="auto"/>
      </w:pPr>
    </w:p>
    <w:p w:rsidR="00AE0635" w:rsidRPr="00A612E2" w:rsidRDefault="00AE0635" w:rsidP="0053371D">
      <w:pPr>
        <w:pStyle w:val="RKnormal"/>
        <w:spacing w:line="240" w:lineRule="auto"/>
      </w:pPr>
    </w:p>
    <w:p w:rsidR="0053371D" w:rsidRPr="00A612E2" w:rsidRDefault="002C278E" w:rsidP="0053371D">
      <w:pPr>
        <w:pStyle w:val="RKnormal"/>
        <w:spacing w:line="240" w:lineRule="auto"/>
        <w:rPr>
          <w:i/>
        </w:rPr>
      </w:pPr>
      <w:r w:rsidRPr="00A612E2">
        <w:t>Punkten 6. b</w:t>
      </w:r>
      <w:r w:rsidR="007F5D79" w:rsidRPr="00A612E2">
        <w:t>:</w:t>
      </w:r>
      <w:r w:rsidRPr="00A612E2">
        <w:t xml:space="preserve"> </w:t>
      </w:r>
      <w:r w:rsidR="007F5D79" w:rsidRPr="00A612E2">
        <w:rPr>
          <w:i/>
        </w:rPr>
        <w:t xml:space="preserve">Avdelning </w:t>
      </w:r>
      <w:r w:rsidR="0053371D" w:rsidRPr="00A612E2">
        <w:rPr>
          <w:i/>
        </w:rPr>
        <w:t>V om diverse regler, övergångsregler och slutliga bestämmelser.</w:t>
      </w:r>
    </w:p>
    <w:p w:rsidR="0053371D" w:rsidRPr="00A612E2" w:rsidRDefault="0053371D" w:rsidP="0053371D">
      <w:pPr>
        <w:pStyle w:val="RKnormal"/>
        <w:spacing w:line="240" w:lineRule="auto"/>
        <w:rPr>
          <w:i/>
        </w:rPr>
      </w:pPr>
    </w:p>
    <w:p w:rsidR="0053371D" w:rsidRPr="00A612E2" w:rsidRDefault="00FF013D" w:rsidP="0053371D">
      <w:pPr>
        <w:pStyle w:val="RKnormal"/>
        <w:spacing w:line="240" w:lineRule="auto"/>
      </w:pPr>
      <w:r w:rsidRPr="00A612E2">
        <w:t xml:space="preserve">Avdelningen innehåller regler </w:t>
      </w:r>
      <w:r w:rsidR="0053371D" w:rsidRPr="00A612E2">
        <w:t>för myndigheternas samverkan vad avser läkaru</w:t>
      </w:r>
      <w:r w:rsidRPr="00A612E2">
        <w:t xml:space="preserve">ndersökningar </w:t>
      </w:r>
      <w:r w:rsidR="0053371D" w:rsidRPr="00A612E2">
        <w:t xml:space="preserve">och administrativa kontroller </w:t>
      </w:r>
      <w:r w:rsidRPr="00A612E2">
        <w:t xml:space="preserve">i </w:t>
      </w:r>
      <w:r w:rsidR="0063631F" w:rsidRPr="00A612E2">
        <w:t xml:space="preserve">situationer där en person vistas i en annan medlemsstat än där </w:t>
      </w:r>
      <w:r w:rsidRPr="00A612E2">
        <w:t xml:space="preserve">denne </w:t>
      </w:r>
      <w:r w:rsidR="0063631F" w:rsidRPr="00A612E2">
        <w:t>är försäkrad</w:t>
      </w:r>
      <w:r w:rsidRPr="00A612E2">
        <w:t xml:space="preserve">. Avdelningen innehåller även </w:t>
      </w:r>
      <w:r w:rsidR="0053371D" w:rsidRPr="00A612E2">
        <w:t>övergångsregler för införandet av det elektroniska utbytet av information</w:t>
      </w:r>
      <w:r w:rsidRPr="00A612E2">
        <w:t xml:space="preserve"> mellan medlemsstaternas institutioner</w:t>
      </w:r>
      <w:r w:rsidR="0053371D" w:rsidRPr="00A612E2">
        <w:t xml:space="preserve">, övergångsregler för pensionsberäkningar och </w:t>
      </w:r>
      <w:r w:rsidRPr="00A612E2">
        <w:t>om tillämpnings</w:t>
      </w:r>
      <w:r w:rsidR="0053371D" w:rsidRPr="00A612E2">
        <w:t>förordningen</w:t>
      </w:r>
      <w:r w:rsidRPr="00A612E2">
        <w:t>s ikraftträdande</w:t>
      </w:r>
      <w:r w:rsidR="0053371D" w:rsidRPr="00A612E2">
        <w:t xml:space="preserve">. </w:t>
      </w:r>
    </w:p>
    <w:p w:rsidR="0053371D" w:rsidRPr="00A612E2" w:rsidRDefault="0053371D" w:rsidP="0053371D">
      <w:pPr>
        <w:pStyle w:val="RKnormal"/>
        <w:spacing w:line="240" w:lineRule="auto"/>
      </w:pPr>
    </w:p>
    <w:p w:rsidR="0053371D" w:rsidRPr="00A612E2" w:rsidRDefault="0053371D" w:rsidP="0053371D">
      <w:pPr>
        <w:pStyle w:val="RKnormal"/>
        <w:spacing w:line="240" w:lineRule="auto"/>
      </w:pPr>
      <w:r w:rsidRPr="00A612E2">
        <w:t xml:space="preserve">I samband med genomgången av reglerna har vissa tillägg i gjorts för att förtydliga texten och undvika dubbelreglering. </w:t>
      </w:r>
    </w:p>
    <w:p w:rsidR="00062870" w:rsidRPr="00A612E2" w:rsidRDefault="00062870" w:rsidP="008D743B">
      <w:pPr>
        <w:pStyle w:val="Punktlista"/>
        <w:numPr>
          <w:ilvl w:val="0"/>
          <w:numId w:val="0"/>
        </w:numPr>
        <w:spacing w:line="240" w:lineRule="auto"/>
        <w:rPr>
          <w:szCs w:val="24"/>
        </w:rPr>
      </w:pPr>
    </w:p>
    <w:p w:rsidR="00670DC1" w:rsidRPr="00A612E2" w:rsidRDefault="00670DC1" w:rsidP="008D743B">
      <w:pPr>
        <w:pStyle w:val="RKrubrik"/>
        <w:spacing w:line="240" w:lineRule="auto"/>
        <w:rPr>
          <w:i/>
          <w:iCs/>
        </w:rPr>
      </w:pPr>
      <w:r w:rsidRPr="00A612E2">
        <w:rPr>
          <w:i/>
          <w:iCs/>
        </w:rPr>
        <w:t>Gällande svenska regler och förslagets effekter på dessa</w:t>
      </w:r>
      <w:r w:rsidR="009E5758" w:rsidRPr="00A612E2">
        <w:rPr>
          <w:i/>
          <w:iCs/>
        </w:rPr>
        <w:t>.</w:t>
      </w:r>
    </w:p>
    <w:p w:rsidR="009E5758" w:rsidRPr="00A612E2" w:rsidRDefault="009E5758" w:rsidP="009E5758">
      <w:pPr>
        <w:pStyle w:val="RKnormal"/>
      </w:pPr>
    </w:p>
    <w:p w:rsidR="009E5758" w:rsidRPr="00A612E2" w:rsidRDefault="00FF013D" w:rsidP="009E5758">
      <w:pPr>
        <w:pStyle w:val="RKnormal"/>
      </w:pPr>
      <w:r w:rsidRPr="00A612E2">
        <w:t>Förslaget innebär i</w:t>
      </w:r>
      <w:r w:rsidR="009E5758" w:rsidRPr="00A612E2">
        <w:t xml:space="preserve">ngen förändring </w:t>
      </w:r>
      <w:r w:rsidRPr="00A612E2">
        <w:t>gentemot nuvarande förhållanden avseende reglerna i förordning nr</w:t>
      </w:r>
      <w:r w:rsidR="009E5758" w:rsidRPr="00A612E2">
        <w:t xml:space="preserve"> 1408/71.</w:t>
      </w:r>
    </w:p>
    <w:p w:rsidR="00670DC1" w:rsidRPr="00A612E2" w:rsidRDefault="00670DC1" w:rsidP="008D743B">
      <w:pPr>
        <w:pStyle w:val="RKrubrik"/>
        <w:spacing w:line="240" w:lineRule="auto"/>
        <w:rPr>
          <w:i/>
        </w:rPr>
      </w:pPr>
      <w:r w:rsidRPr="00A612E2">
        <w:rPr>
          <w:i/>
        </w:rPr>
        <w:t>Ekonomiska konsekvenser</w:t>
      </w:r>
    </w:p>
    <w:p w:rsidR="00670DC1" w:rsidRPr="00A612E2" w:rsidRDefault="00670DC1" w:rsidP="008D743B">
      <w:pPr>
        <w:pStyle w:val="RKnormal"/>
        <w:spacing w:line="240" w:lineRule="auto"/>
      </w:pPr>
      <w:r w:rsidRPr="00A612E2">
        <w:t>Inga kända</w:t>
      </w:r>
    </w:p>
    <w:p w:rsidR="00670DC1" w:rsidRPr="00A612E2" w:rsidRDefault="00670DC1" w:rsidP="008D743B">
      <w:pPr>
        <w:pStyle w:val="RKrubrik"/>
        <w:spacing w:line="240" w:lineRule="auto"/>
        <w:rPr>
          <w:i/>
        </w:rPr>
      </w:pPr>
      <w:r w:rsidRPr="00A612E2">
        <w:rPr>
          <w:i/>
        </w:rPr>
        <w:t>Övrigt</w:t>
      </w:r>
    </w:p>
    <w:p w:rsidR="00670DC1" w:rsidRPr="00A612E2" w:rsidRDefault="00670DC1" w:rsidP="008D743B">
      <w:pPr>
        <w:pStyle w:val="RKnormal"/>
        <w:spacing w:line="240" w:lineRule="auto"/>
      </w:pPr>
    </w:p>
    <w:p w:rsidR="00670DC1" w:rsidRPr="00A612E2" w:rsidRDefault="00670DC1" w:rsidP="008D743B">
      <w:pPr>
        <w:pStyle w:val="RKnormal"/>
        <w:spacing w:line="240" w:lineRule="auto"/>
        <w:rPr>
          <w:i/>
          <w:iCs/>
        </w:rPr>
      </w:pPr>
    </w:p>
    <w:p w:rsidR="00670DC1" w:rsidRPr="00A612E2" w:rsidRDefault="00670DC1" w:rsidP="008D743B">
      <w:pPr>
        <w:pStyle w:val="RKnormal"/>
        <w:spacing w:line="240" w:lineRule="auto"/>
        <w:ind w:left="-1134"/>
      </w:pPr>
    </w:p>
    <w:p w:rsidR="00670DC1" w:rsidRPr="00A612E2" w:rsidRDefault="00670DC1" w:rsidP="008D743B">
      <w:pPr>
        <w:pStyle w:val="RKrubrik"/>
        <w:spacing w:before="0" w:after="0" w:line="240" w:lineRule="auto"/>
      </w:pPr>
    </w:p>
    <w:p w:rsidR="00670DC1" w:rsidRPr="00A612E2" w:rsidRDefault="00670DC1" w:rsidP="008D743B">
      <w:pPr>
        <w:pStyle w:val="RKnormal"/>
        <w:spacing w:line="240" w:lineRule="auto"/>
      </w:pPr>
    </w:p>
    <w:p w:rsidR="00670DC1" w:rsidRPr="00A612E2" w:rsidRDefault="00670DC1" w:rsidP="008D743B">
      <w:pPr>
        <w:pStyle w:val="RKnormal"/>
        <w:spacing w:line="240" w:lineRule="auto"/>
      </w:pPr>
    </w:p>
    <w:sectPr w:rsidR="00670DC1" w:rsidRPr="00A612E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D98" w:rsidRPr="00A612E2" w:rsidRDefault="009B1D98">
      <w:r w:rsidRPr="00A612E2">
        <w:separator/>
      </w:r>
    </w:p>
  </w:endnote>
  <w:endnote w:type="continuationSeparator" w:id="0">
    <w:p w:rsidR="009B1D98" w:rsidRPr="00A612E2" w:rsidRDefault="009B1D98">
      <w:r w:rsidRPr="00A61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D98" w:rsidRPr="00A612E2" w:rsidRDefault="009B1D98">
      <w:r w:rsidRPr="00A612E2">
        <w:separator/>
      </w:r>
    </w:p>
  </w:footnote>
  <w:footnote w:type="continuationSeparator" w:id="0">
    <w:p w:rsidR="009B1D98" w:rsidRPr="00A612E2" w:rsidRDefault="009B1D98">
      <w:r w:rsidRPr="00A612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035" w:rsidRPr="00A612E2" w:rsidRDefault="00BB4035">
    <w:pPr>
      <w:pStyle w:val="Sidhuvud"/>
      <w:framePr w:wrap="around" w:vAnchor="text" w:hAnchor="margin" w:xAlign="right" w:y="1"/>
      <w:rPr>
        <w:rStyle w:val="Sidnummer"/>
      </w:rPr>
    </w:pPr>
    <w:r w:rsidRPr="00A612E2">
      <w:rPr>
        <w:rStyle w:val="Sidnummer"/>
      </w:rPr>
      <w:fldChar w:fldCharType="begin" w:fldLock="1"/>
    </w:r>
    <w:r w:rsidRPr="00A612E2">
      <w:rPr>
        <w:rStyle w:val="Sidnummer"/>
      </w:rPr>
      <w:instrText xml:space="preserve">PAGE  </w:instrText>
    </w:r>
    <w:r w:rsidRPr="00A612E2">
      <w:rPr>
        <w:rStyle w:val="Sidnummer"/>
      </w:rPr>
      <w:fldChar w:fldCharType="separate"/>
    </w:r>
    <w:r w:rsidR="00423B99" w:rsidRPr="00A612E2">
      <w:rPr>
        <w:rStyle w:val="Sidnummer"/>
      </w:rPr>
      <w:t>4</w:t>
    </w:r>
    <w:r w:rsidRPr="00A612E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B4035" w:rsidRPr="00A612E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B4035" w:rsidRPr="00A612E2" w:rsidRDefault="00BB403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B4035" w:rsidRPr="00A612E2" w:rsidRDefault="00BB4035">
          <w:pPr>
            <w:pStyle w:val="Sidhuvud"/>
            <w:ind w:right="360"/>
          </w:pPr>
        </w:p>
      </w:tc>
      <w:tc>
        <w:tcPr>
          <w:tcW w:w="1525" w:type="dxa"/>
        </w:tcPr>
        <w:p w:rsidR="00BB4035" w:rsidRPr="00A612E2" w:rsidRDefault="00BB4035">
          <w:pPr>
            <w:pStyle w:val="Sidhuvud"/>
            <w:ind w:right="360"/>
          </w:pPr>
        </w:p>
      </w:tc>
    </w:tr>
  </w:tbl>
  <w:p w:rsidR="00BB4035" w:rsidRPr="00A612E2" w:rsidRDefault="00BB403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035" w:rsidRPr="00A612E2" w:rsidRDefault="00BB4035">
    <w:pPr>
      <w:pStyle w:val="Sidhuvud"/>
      <w:framePr w:wrap="around" w:vAnchor="text" w:hAnchor="margin" w:xAlign="right" w:y="1"/>
      <w:rPr>
        <w:rStyle w:val="Sidnummer"/>
      </w:rPr>
    </w:pPr>
    <w:r w:rsidRPr="00A612E2">
      <w:rPr>
        <w:rStyle w:val="Sidnummer"/>
      </w:rPr>
      <w:fldChar w:fldCharType="begin" w:fldLock="1"/>
    </w:r>
    <w:r w:rsidRPr="00A612E2">
      <w:rPr>
        <w:rStyle w:val="Sidnummer"/>
      </w:rPr>
      <w:instrText xml:space="preserve">PAGE  </w:instrText>
    </w:r>
    <w:r w:rsidRPr="00A612E2">
      <w:rPr>
        <w:rStyle w:val="Sidnummer"/>
      </w:rPr>
      <w:fldChar w:fldCharType="separate"/>
    </w:r>
    <w:r w:rsidR="00423B99" w:rsidRPr="00A612E2">
      <w:rPr>
        <w:rStyle w:val="Sidnummer"/>
      </w:rPr>
      <w:t>3</w:t>
    </w:r>
    <w:r w:rsidRPr="00A612E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B4035" w:rsidRPr="00A612E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B4035" w:rsidRPr="00A612E2" w:rsidRDefault="00BB403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B4035" w:rsidRPr="00A612E2" w:rsidRDefault="00BB4035">
          <w:pPr>
            <w:pStyle w:val="Sidhuvud"/>
            <w:ind w:right="360"/>
          </w:pPr>
        </w:p>
      </w:tc>
      <w:tc>
        <w:tcPr>
          <w:tcW w:w="1525" w:type="dxa"/>
        </w:tcPr>
        <w:p w:rsidR="00BB4035" w:rsidRPr="00A612E2" w:rsidRDefault="00BB4035">
          <w:pPr>
            <w:pStyle w:val="Sidhuvud"/>
            <w:ind w:right="360"/>
          </w:pPr>
        </w:p>
      </w:tc>
    </w:tr>
  </w:tbl>
  <w:p w:rsidR="00BB4035" w:rsidRPr="00A612E2" w:rsidRDefault="00BB403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035" w:rsidRPr="00A612E2" w:rsidRDefault="00A612E2">
    <w:pPr>
      <w:framePr w:w="2948" w:h="1321" w:hRule="exact" w:wrap="notBeside" w:vAnchor="page" w:hAnchor="page" w:x="1362" w:y="653"/>
    </w:pPr>
    <w:r w:rsidRPr="00A612E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4035" w:rsidRPr="00A612E2" w:rsidRDefault="00BB403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B4035" w:rsidRPr="00A612E2" w:rsidRDefault="00BB4035">
    <w:pPr>
      <w:rPr>
        <w:rFonts w:ascii="TradeGothic" w:hAnsi="TradeGothic"/>
        <w:b/>
        <w:bCs/>
        <w:spacing w:val="12"/>
        <w:sz w:val="22"/>
      </w:rPr>
    </w:pPr>
  </w:p>
  <w:p w:rsidR="00BB4035" w:rsidRPr="00A612E2" w:rsidRDefault="00BB403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B4035" w:rsidRPr="00A612E2" w:rsidRDefault="00BB4035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481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F741E8"/>
    <w:multiLevelType w:val="hybridMultilevel"/>
    <w:tmpl w:val="EFBED730"/>
    <w:lvl w:ilvl="0" w:tplc="6464B142">
      <w:start w:val="1"/>
      <w:numFmt w:val="bullet"/>
      <w:lvlRestart w:val="0"/>
      <w:pStyle w:val="Punktlista"/>
      <w:lvlText w:val=""/>
      <w:lvlJc w:val="left"/>
      <w:pPr>
        <w:tabs>
          <w:tab w:val="num" w:pos="499"/>
        </w:tabs>
        <w:ind w:left="499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4123879">
    <w:abstractNumId w:val="1"/>
  </w:num>
  <w:num w:numId="2" w16cid:durableId="139022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ocialdepartementet"/>
    <w:docVar w:name="Regering" w:val="N"/>
  </w:docVars>
  <w:rsids>
    <w:rsidRoot w:val="007243CE"/>
    <w:rsid w:val="00001D4F"/>
    <w:rsid w:val="00062870"/>
    <w:rsid w:val="001571E2"/>
    <w:rsid w:val="001850AF"/>
    <w:rsid w:val="001B1E8A"/>
    <w:rsid w:val="001D06C1"/>
    <w:rsid w:val="001F2EA4"/>
    <w:rsid w:val="00206B53"/>
    <w:rsid w:val="00227E61"/>
    <w:rsid w:val="002A64F5"/>
    <w:rsid w:val="002C278E"/>
    <w:rsid w:val="00313201"/>
    <w:rsid w:val="00374B2F"/>
    <w:rsid w:val="00397DEE"/>
    <w:rsid w:val="003B790F"/>
    <w:rsid w:val="003C4142"/>
    <w:rsid w:val="004001F5"/>
    <w:rsid w:val="00423B99"/>
    <w:rsid w:val="00457E21"/>
    <w:rsid w:val="0046635C"/>
    <w:rsid w:val="004D0BCC"/>
    <w:rsid w:val="0051110A"/>
    <w:rsid w:val="0053371D"/>
    <w:rsid w:val="005369F0"/>
    <w:rsid w:val="0053776F"/>
    <w:rsid w:val="00547C4D"/>
    <w:rsid w:val="005F6ABD"/>
    <w:rsid w:val="006006D9"/>
    <w:rsid w:val="0063631F"/>
    <w:rsid w:val="00644707"/>
    <w:rsid w:val="00670DC1"/>
    <w:rsid w:val="0069573C"/>
    <w:rsid w:val="006D4221"/>
    <w:rsid w:val="00707C81"/>
    <w:rsid w:val="007243CE"/>
    <w:rsid w:val="007E4CDE"/>
    <w:rsid w:val="007F5D79"/>
    <w:rsid w:val="00811E4E"/>
    <w:rsid w:val="00812DB3"/>
    <w:rsid w:val="00816EB4"/>
    <w:rsid w:val="00823F0D"/>
    <w:rsid w:val="00896511"/>
    <w:rsid w:val="008B6F9C"/>
    <w:rsid w:val="008D743B"/>
    <w:rsid w:val="008E577C"/>
    <w:rsid w:val="0094705F"/>
    <w:rsid w:val="0095765D"/>
    <w:rsid w:val="009A0076"/>
    <w:rsid w:val="009B1D98"/>
    <w:rsid w:val="009E5758"/>
    <w:rsid w:val="00A12027"/>
    <w:rsid w:val="00A23E54"/>
    <w:rsid w:val="00A3182A"/>
    <w:rsid w:val="00A32C21"/>
    <w:rsid w:val="00A53CF3"/>
    <w:rsid w:val="00A612E2"/>
    <w:rsid w:val="00AB374C"/>
    <w:rsid w:val="00AE0635"/>
    <w:rsid w:val="00B25106"/>
    <w:rsid w:val="00B30423"/>
    <w:rsid w:val="00B312D4"/>
    <w:rsid w:val="00B60217"/>
    <w:rsid w:val="00B70529"/>
    <w:rsid w:val="00BB4035"/>
    <w:rsid w:val="00BD1A29"/>
    <w:rsid w:val="00C30B50"/>
    <w:rsid w:val="00C84B2B"/>
    <w:rsid w:val="00D5685E"/>
    <w:rsid w:val="00D85F19"/>
    <w:rsid w:val="00DE4376"/>
    <w:rsid w:val="00DF6D59"/>
    <w:rsid w:val="00E408ED"/>
    <w:rsid w:val="00E60B5D"/>
    <w:rsid w:val="00E6480E"/>
    <w:rsid w:val="00EE2B20"/>
    <w:rsid w:val="00F27A63"/>
    <w:rsid w:val="00FA3D87"/>
    <w:rsid w:val="00FA66EE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6834B84-478F-4CDF-8440-EA91879B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  <w:style w:type="paragraph" w:styleId="Punktlista">
    <w:name w:val="List Bullet"/>
    <w:basedOn w:val="Normal"/>
    <w:rsid w:val="008965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670</Words>
  <Characters>4161</Characters>
  <Application>Microsoft Office Word</Application>
  <DocSecurity>4</DocSecurity>
  <Lines>143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2008-09-21T16:16:00Z</cp:lastPrinted>
  <dcterms:created xsi:type="dcterms:W3CDTF">2025-12-17T19:34:00Z</dcterms:created>
  <dcterms:modified xsi:type="dcterms:W3CDTF">2025-12-17T19:34:00Z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