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A67F0">
        <w:tblPrEx>
          <w:tblCellMar>
            <w:top w:w="0" w:type="dxa"/>
            <w:bottom w:w="0" w:type="dxa"/>
          </w:tblCellMar>
        </w:tblPrEx>
        <w:trPr>
          <w:cantSplit/>
          <w:trHeight w:hRule="exact" w:val="1260"/>
        </w:trPr>
        <w:tc>
          <w:tcPr>
            <w:tcW w:w="6024" w:type="dxa"/>
            <w:gridSpan w:val="2"/>
            <w:vMerge w:val="restart"/>
          </w:tcPr>
          <w:p w:rsidR="00464625" w:rsidRPr="00EA67F0" w:rsidRDefault="00464625">
            <w:pPr>
              <w:pStyle w:val="HuvudRubrik"/>
            </w:pPr>
            <w:bookmarkStart w:id="0" w:name="BetänkandeRubrik"/>
            <w:bookmarkEnd w:id="0"/>
            <w:r w:rsidRPr="00EA67F0">
              <w:t>Finansutskottets betänkande</w:t>
            </w:r>
            <w:r w:rsidR="00EA67F0" w:rsidRPr="00EA67F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81502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64625" w:rsidRDefault="0046462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95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64625" w:rsidRDefault="00464625">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957" r:id="rId9"/>
                              </w:object>
                            </w:r>
                          </w:p>
                        </w:txbxContent>
                      </v:textbox>
                      <w10:wrap anchorx="page" anchory="page"/>
                    </v:shape>
                  </w:pict>
                </mc:Fallback>
              </mc:AlternateContent>
            </w:r>
          </w:p>
          <w:p w:rsidR="00464625" w:rsidRPr="00EA67F0" w:rsidRDefault="00464625">
            <w:pPr>
              <w:pStyle w:val="HuvudRubrikRad2"/>
            </w:pPr>
            <w:bookmarkStart w:id="17" w:name="BetänkandeNr"/>
            <w:bookmarkEnd w:id="17"/>
            <w:r w:rsidRPr="00EA67F0">
              <w:t>1999/2000:FiU25</w:t>
            </w:r>
          </w:p>
          <w:p w:rsidR="00464625" w:rsidRPr="00EA67F0" w:rsidRDefault="00464625">
            <w:pPr>
              <w:pStyle w:val="BetnkandeRubrik"/>
              <w:spacing w:before="123"/>
            </w:pPr>
            <w:bookmarkStart w:id="18" w:name="Huvudrubrik"/>
            <w:bookmarkEnd w:id="18"/>
            <w:r w:rsidRPr="00EA67F0">
              <w:t>Gruppbaserade försäkringsrörelseregler           (prop. 1999/2000:99)</w:t>
            </w:r>
          </w:p>
        </w:tc>
        <w:tc>
          <w:tcPr>
            <w:tcW w:w="1559" w:type="dxa"/>
            <w:tcBorders>
              <w:bottom w:val="nil"/>
            </w:tcBorders>
          </w:tcPr>
          <w:p w:rsidR="00464625" w:rsidRPr="00EA67F0" w:rsidRDefault="00464625">
            <w:pPr>
              <w:spacing w:before="0" w:line="230" w:lineRule="auto"/>
              <w:rPr>
                <w:sz w:val="24"/>
              </w:rPr>
            </w:pPr>
          </w:p>
        </w:tc>
      </w:tr>
      <w:tr w:rsidR="00000000" w:rsidRPr="00EA67F0">
        <w:tblPrEx>
          <w:tblCellMar>
            <w:top w:w="0" w:type="dxa"/>
            <w:bottom w:w="0" w:type="dxa"/>
          </w:tblCellMar>
        </w:tblPrEx>
        <w:trPr>
          <w:cantSplit/>
          <w:trHeight w:hRule="exact" w:val="240"/>
        </w:trPr>
        <w:tc>
          <w:tcPr>
            <w:tcW w:w="6024" w:type="dxa"/>
            <w:gridSpan w:val="2"/>
            <w:vMerge/>
            <w:tcBorders>
              <w:top w:val="nil"/>
              <w:bottom w:val="nil"/>
            </w:tcBorders>
          </w:tcPr>
          <w:p w:rsidR="00464625" w:rsidRPr="00EA67F0" w:rsidRDefault="00464625">
            <w:pPr>
              <w:spacing w:before="40" w:after="900" w:line="280" w:lineRule="exact"/>
              <w:jc w:val="left"/>
              <w:rPr>
                <w:sz w:val="28"/>
              </w:rPr>
            </w:pPr>
          </w:p>
        </w:tc>
        <w:tc>
          <w:tcPr>
            <w:tcW w:w="1559" w:type="dxa"/>
          </w:tcPr>
          <w:p w:rsidR="00464625" w:rsidRPr="00EA67F0" w:rsidRDefault="00464625">
            <w:pPr>
              <w:pStyle w:val="rtal"/>
            </w:pPr>
            <w:r w:rsidRPr="00EA67F0">
              <w:t>1999/2000</w:t>
            </w:r>
          </w:p>
        </w:tc>
      </w:tr>
      <w:tr w:rsidR="00000000" w:rsidRPr="00EA67F0">
        <w:tblPrEx>
          <w:tblCellMar>
            <w:top w:w="0" w:type="dxa"/>
            <w:bottom w:w="0" w:type="dxa"/>
          </w:tblCellMar>
        </w:tblPrEx>
        <w:trPr>
          <w:cantSplit/>
          <w:trHeight w:val="560"/>
        </w:trPr>
        <w:tc>
          <w:tcPr>
            <w:tcW w:w="6024" w:type="dxa"/>
            <w:gridSpan w:val="2"/>
            <w:vMerge/>
            <w:tcBorders>
              <w:top w:val="nil"/>
              <w:bottom w:val="single" w:sz="6" w:space="0" w:color="auto"/>
            </w:tcBorders>
          </w:tcPr>
          <w:p w:rsidR="00464625" w:rsidRPr="00EA67F0" w:rsidRDefault="00464625">
            <w:pPr>
              <w:spacing w:before="40" w:after="900" w:line="280" w:lineRule="exact"/>
              <w:jc w:val="left"/>
              <w:rPr>
                <w:sz w:val="28"/>
              </w:rPr>
            </w:pPr>
          </w:p>
        </w:tc>
        <w:tc>
          <w:tcPr>
            <w:tcW w:w="1559" w:type="dxa"/>
            <w:tcBorders>
              <w:bottom w:val="single" w:sz="6" w:space="0" w:color="auto"/>
            </w:tcBorders>
          </w:tcPr>
          <w:p w:rsidR="00464625" w:rsidRPr="00EA67F0" w:rsidRDefault="00464625">
            <w:pPr>
              <w:pStyle w:val="rtal"/>
            </w:pPr>
            <w:r w:rsidRPr="00EA67F0">
              <w:t>FiU25</w:t>
            </w:r>
          </w:p>
        </w:tc>
      </w:tr>
      <w:tr w:rsidR="00000000" w:rsidRPr="00EA67F0">
        <w:tblPrEx>
          <w:tblCellMar>
            <w:top w:w="0" w:type="dxa"/>
            <w:bottom w:w="0" w:type="dxa"/>
          </w:tblCellMar>
        </w:tblPrEx>
        <w:trPr>
          <w:cantSplit/>
          <w:trHeight w:hRule="exact" w:val="660"/>
        </w:trPr>
        <w:tc>
          <w:tcPr>
            <w:tcW w:w="3012" w:type="dxa"/>
          </w:tcPr>
          <w:p w:rsidR="00464625" w:rsidRPr="00EA67F0" w:rsidRDefault="00464625">
            <w:pPr>
              <w:pStyle w:val="StatusSida1"/>
            </w:pPr>
          </w:p>
        </w:tc>
        <w:tc>
          <w:tcPr>
            <w:tcW w:w="3012" w:type="dxa"/>
          </w:tcPr>
          <w:p w:rsidR="00464625" w:rsidRPr="00EA67F0" w:rsidRDefault="00464625">
            <w:pPr>
              <w:pStyle w:val="UtskriftsdatumSida1"/>
              <w:rPr>
                <w:b/>
                <w:sz w:val="28"/>
              </w:rPr>
            </w:pPr>
          </w:p>
        </w:tc>
        <w:tc>
          <w:tcPr>
            <w:tcW w:w="1559" w:type="dxa"/>
          </w:tcPr>
          <w:p w:rsidR="00464625" w:rsidRPr="00EA67F0" w:rsidRDefault="00464625"/>
        </w:tc>
      </w:tr>
    </w:tbl>
    <w:p w:rsidR="00464625" w:rsidRPr="00EA67F0" w:rsidRDefault="00464625">
      <w:pPr>
        <w:pStyle w:val="Rubrik1"/>
        <w:spacing w:before="0"/>
      </w:pPr>
      <w:bookmarkStart w:id="19" w:name="_Toc482416395"/>
      <w:r w:rsidRPr="00EA67F0">
        <w:t>Sammanfattning</w:t>
      </w:r>
      <w:bookmarkEnd w:id="19"/>
    </w:p>
    <w:p w:rsidR="00464625" w:rsidRPr="00EA67F0" w:rsidRDefault="00464625">
      <w:bookmarkStart w:id="20" w:name="Textstart"/>
      <w:bookmarkEnd w:id="20"/>
      <w:r w:rsidRPr="00EA67F0">
        <w:t>Utskottet behandlar i detta betänkande de i proposition 1999/2000:99 fra</w:t>
      </w:r>
      <w:r w:rsidRPr="00EA67F0">
        <w:t>m</w:t>
      </w:r>
      <w:r w:rsidRPr="00EA67F0">
        <w:t>lagda förslagen till ändringar i försäkringsrörelselagen (1982:713) och lagen (1972:262) om understödsföreningar.</w:t>
      </w:r>
    </w:p>
    <w:p w:rsidR="00464625" w:rsidRPr="00EA67F0" w:rsidRDefault="00464625">
      <w:pPr>
        <w:pStyle w:val="Normaltindrag"/>
      </w:pPr>
      <w:r w:rsidRPr="00EA67F0">
        <w:t>I propositionen föreslås nya gruppbaserade rörelseregler för försäkring</w:t>
      </w:r>
      <w:r w:rsidRPr="00EA67F0">
        <w:t>s</w:t>
      </w:r>
      <w:r w:rsidRPr="00EA67F0">
        <w:t>bolag och understödsföreningar. Genom förslagen genomförs EG-direktivet om extra tillsyn över försäkringsföretag som ingår i en försäkringsgrupp (98/78/EG, försäkringsgruppsdirektivet). Lagändringarna föreslås träda i kraft den 1 januari 2001.</w:t>
      </w:r>
    </w:p>
    <w:p w:rsidR="00464625" w:rsidRPr="00EA67F0" w:rsidRDefault="00464625">
      <w:pPr>
        <w:pStyle w:val="Normaltindrag"/>
      </w:pPr>
      <w:r w:rsidRPr="00EA67F0">
        <w:t>Utskottet tillstyrker regeringens förslag.</w:t>
      </w:r>
    </w:p>
    <w:p w:rsidR="00464625" w:rsidRPr="00EA67F0" w:rsidRDefault="00464625">
      <w:pPr>
        <w:pStyle w:val="Rubrik1"/>
      </w:pPr>
      <w:bookmarkStart w:id="21" w:name="_Toc482416396"/>
      <w:r w:rsidRPr="00EA67F0">
        <w:t>Propositionen</w:t>
      </w:r>
      <w:bookmarkEnd w:id="21"/>
    </w:p>
    <w:p w:rsidR="00464625" w:rsidRPr="00EA67F0" w:rsidRDefault="00464625">
      <w:r w:rsidRPr="00EA67F0">
        <w:t>I proposition 1999/2000:99 föreslås att riksdagen antar regeringens förslag till</w:t>
      </w:r>
    </w:p>
    <w:p w:rsidR="00464625" w:rsidRPr="00EA67F0" w:rsidRDefault="00464625">
      <w:pPr>
        <w:pStyle w:val="Normaltindrag"/>
      </w:pPr>
      <w:r w:rsidRPr="00EA67F0">
        <w:t>1. lag om ändring i försäkringsrörelselagen (1982:713),</w:t>
      </w:r>
    </w:p>
    <w:p w:rsidR="00464625" w:rsidRPr="00EA67F0" w:rsidRDefault="00464625">
      <w:pPr>
        <w:pStyle w:val="Normaltindrag"/>
      </w:pPr>
      <w:r w:rsidRPr="00EA67F0">
        <w:t>2. lag om ändring i lagen (1972:262) om understödsföreningar.</w:t>
      </w:r>
    </w:p>
    <w:p w:rsidR="00464625" w:rsidRPr="00EA67F0" w:rsidRDefault="00464625">
      <w:r w:rsidRPr="00EA67F0">
        <w:t xml:space="preserve">Propositionens lagförslag återfinns i </w:t>
      </w:r>
      <w:r w:rsidRPr="00EA67F0">
        <w:rPr>
          <w:i/>
        </w:rPr>
        <w:t>bilaga</w:t>
      </w:r>
      <w:r w:rsidRPr="00EA67F0">
        <w:t xml:space="preserve"> till betänkandet.</w:t>
      </w:r>
    </w:p>
    <w:p w:rsidR="00464625" w:rsidRPr="00EA67F0" w:rsidRDefault="00464625">
      <w:r w:rsidRPr="00EA67F0">
        <w:t>Ingen motion har väckts i ärendet.</w:t>
      </w:r>
    </w:p>
    <w:p w:rsidR="00464625" w:rsidRPr="00EA67F0" w:rsidRDefault="00464625">
      <w:pPr>
        <w:pStyle w:val="Rubrik1"/>
      </w:pPr>
      <w:bookmarkStart w:id="22" w:name="_Toc482416397"/>
      <w:r w:rsidRPr="00EA67F0">
        <w:t>Utskottet</w:t>
      </w:r>
      <w:bookmarkEnd w:id="22"/>
    </w:p>
    <w:p w:rsidR="00464625" w:rsidRPr="00EA67F0" w:rsidRDefault="00464625">
      <w:pPr>
        <w:pStyle w:val="Rubrik2"/>
        <w:spacing w:before="123"/>
      </w:pPr>
      <w:bookmarkStart w:id="23" w:name="_Toc482416398"/>
      <w:r w:rsidRPr="00EA67F0">
        <w:t>Propositionen</w:t>
      </w:r>
      <w:bookmarkEnd w:id="23"/>
    </w:p>
    <w:p w:rsidR="00464625" w:rsidRPr="00EA67F0" w:rsidRDefault="00464625">
      <w:r w:rsidRPr="00EA67F0">
        <w:t>Europaparlamentet och rådet antog den 27 oktober 1998 ett direktiv om extra tillsyn över försäkringsföretag som ingår i en försäkringsgrupp (98/78/EG, försäkringsgruppsdirektivet).</w:t>
      </w:r>
    </w:p>
    <w:p w:rsidR="00464625" w:rsidRPr="00EA67F0" w:rsidRDefault="00464625">
      <w:pPr>
        <w:pStyle w:val="Normaltindrag"/>
      </w:pPr>
      <w:r w:rsidRPr="00EA67F0">
        <w:t>EG:s hittillsvarande regler för solvenstillsyn är begränsade till den finans</w:t>
      </w:r>
      <w:r w:rsidRPr="00EA67F0">
        <w:t>i</w:t>
      </w:r>
      <w:r w:rsidRPr="00EA67F0">
        <w:t>ella situationen i de enskilda försäkringsföretagen. Det saknas regler om hur ett försäkringsföretags ekonomiska ställning påverkas av soliditeten i andra företag med ägarrelationer till försäkringsföretaget. Direktivet syftar till att ge tillsynsmyndigheterna bättre möjligheter att bedöma ett försäkringsför</w:t>
      </w:r>
      <w:r w:rsidRPr="00EA67F0">
        <w:t>e</w:t>
      </w:r>
      <w:r w:rsidRPr="00EA67F0">
        <w:t xml:space="preserve">tags ekonomiska ställning </w:t>
      </w:r>
      <w:r w:rsidRPr="00EA67F0">
        <w:sym w:font="Symbol" w:char="F02D"/>
      </w:r>
      <w:r w:rsidRPr="00EA67F0">
        <w:t xml:space="preserve"> i första hand storleken och kvaliteten på dess kapitalbas </w:t>
      </w:r>
      <w:r w:rsidRPr="00EA67F0">
        <w:sym w:font="Symbol" w:char="F02D"/>
      </w:r>
      <w:r w:rsidRPr="00EA67F0">
        <w:t xml:space="preserve"> med beaktande av dotterföretag och andra närstående företag. Konsumentskyddet stärks genom att skyddet för försäk</w:t>
      </w:r>
      <w:r w:rsidRPr="00EA67F0">
        <w:t>ringstagarnas til</w:t>
      </w:r>
      <w:r w:rsidRPr="00EA67F0">
        <w:t>l</w:t>
      </w:r>
      <w:r w:rsidRPr="00EA67F0">
        <w:lastRenderedPageBreak/>
        <w:t>gångar och försäkringsföretagens möjligheter att infria åtagandena enligt försäkringsavtalen ökas.</w:t>
      </w:r>
    </w:p>
    <w:p w:rsidR="00464625" w:rsidRPr="00EA67F0" w:rsidRDefault="00464625">
      <w:pPr>
        <w:pStyle w:val="Normaltindrag"/>
      </w:pPr>
      <w:r w:rsidRPr="00EA67F0">
        <w:t>Förslagen innebär att försäkringsföretagens ansvar för den finansiella st</w:t>
      </w:r>
      <w:r w:rsidRPr="00EA67F0">
        <w:t>a</w:t>
      </w:r>
      <w:r w:rsidRPr="00EA67F0">
        <w:t xml:space="preserve">biliteten </w:t>
      </w:r>
      <w:r w:rsidRPr="00EA67F0">
        <w:sym w:font="Symbol" w:char="F02D"/>
      </w:r>
      <w:r w:rsidRPr="00EA67F0">
        <w:t xml:space="preserve"> med hänsyn till relationerna med närstående företag och större ägare </w:t>
      </w:r>
      <w:r w:rsidRPr="00EA67F0">
        <w:sym w:font="Symbol" w:char="F02D"/>
      </w:r>
      <w:r w:rsidRPr="00EA67F0">
        <w:t xml:space="preserve"> tydliggörs, samtidigt som Finansinspektionens möjligheter att bedr</w:t>
      </w:r>
      <w:r w:rsidRPr="00EA67F0">
        <w:t>i</w:t>
      </w:r>
      <w:r w:rsidRPr="00EA67F0">
        <w:t>va gruppbaserad tillsyn stärks. Detta leder till ett ökat skydd för försäkring</w:t>
      </w:r>
      <w:r w:rsidRPr="00EA67F0">
        <w:t>s</w:t>
      </w:r>
      <w:r w:rsidRPr="00EA67F0">
        <w:t xml:space="preserve">tagarnas tillgångar och därigenom till att försäkringsföretagens åtaganden enligt försäkringsavtal kan infrias i än högre utsträckning. </w:t>
      </w:r>
    </w:p>
    <w:p w:rsidR="00464625" w:rsidRPr="00EA67F0" w:rsidRDefault="00464625">
      <w:pPr>
        <w:pStyle w:val="Normaltindrag"/>
      </w:pPr>
      <w:r w:rsidRPr="00EA67F0">
        <w:t>En försäkringsgrupp utgörs av försäkringsföretaget, dotterföretag och i</w:t>
      </w:r>
      <w:r w:rsidRPr="00EA67F0">
        <w:t>n</w:t>
      </w:r>
      <w:r w:rsidRPr="00EA67F0">
        <w:t>tresseföretag. Dessutom beaktas bl.a. moderföretag som är försäkringshold</w:t>
      </w:r>
      <w:r w:rsidRPr="00EA67F0">
        <w:noBreakHyphen/>
        <w:t xml:space="preserve"> ingföretag, utländska försäkringsföretag samt större ägare till företag i gru</w:t>
      </w:r>
      <w:r w:rsidRPr="00EA67F0">
        <w:t>p</w:t>
      </w:r>
      <w:r w:rsidRPr="00EA67F0">
        <w:t>pen.</w:t>
      </w:r>
    </w:p>
    <w:p w:rsidR="00464625" w:rsidRPr="00EA67F0" w:rsidRDefault="00464625">
      <w:pPr>
        <w:pStyle w:val="Normaltindrag"/>
      </w:pPr>
      <w:r w:rsidRPr="00EA67F0">
        <w:t>I propositionen föreslås bl.a. en ny rörelseregel som innebär att försäk</w:t>
      </w:r>
      <w:r w:rsidRPr="00EA67F0">
        <w:noBreakHyphen/>
        <w:t xml:space="preserve"> ringsbolag och understödsföreningar skall ha god kontroll över affärshände</w:t>
      </w:r>
      <w:r w:rsidRPr="00EA67F0">
        <w:t>l</w:t>
      </w:r>
      <w:r w:rsidRPr="00EA67F0">
        <w:t>ser och avtal med andra företag som ingår i en försäkringsgrupp, så att kr</w:t>
      </w:r>
      <w:r w:rsidRPr="00EA67F0">
        <w:t>a</w:t>
      </w:r>
      <w:r w:rsidRPr="00EA67F0">
        <w:t>ven enligt stabilitetsprincipen för försäkringsrörelse kan tillgodoses.</w:t>
      </w:r>
    </w:p>
    <w:p w:rsidR="00464625" w:rsidRPr="00EA67F0" w:rsidRDefault="00464625">
      <w:pPr>
        <w:pStyle w:val="Normaltindrag"/>
      </w:pPr>
      <w:r w:rsidRPr="00EA67F0">
        <w:t>Försäkringsbolag och understödsföreningar skall också beräkna en grup</w:t>
      </w:r>
      <w:r w:rsidRPr="00EA67F0">
        <w:t>p</w:t>
      </w:r>
      <w:r w:rsidRPr="00EA67F0">
        <w:t>baserad ekonomisk ställning med hänsyn till de andra företagen i försä</w:t>
      </w:r>
      <w:r w:rsidRPr="00EA67F0">
        <w:t>k</w:t>
      </w:r>
      <w:r w:rsidRPr="00EA67F0">
        <w:t>ringsgruppen (gruppbaserad kapitalbas och solvensmarginal) enligt vissa altern</w:t>
      </w:r>
      <w:r w:rsidRPr="00EA67F0">
        <w:t>a</w:t>
      </w:r>
      <w:r w:rsidRPr="00EA67F0">
        <w:t>tiva beräkningsmetoder.</w:t>
      </w:r>
    </w:p>
    <w:p w:rsidR="00464625" w:rsidRPr="00EA67F0" w:rsidRDefault="00464625">
      <w:pPr>
        <w:pStyle w:val="Normaltindrag"/>
      </w:pPr>
      <w:r w:rsidRPr="00EA67F0">
        <w:t>För försäkringsbolag som har ett eller flera dotter- eller intresseföretag som är försäkringsföretag införs ett nytt gruppbaserat kapitalkrav. Detta skall bestämmas och sanktioneras enligt regler liknande dem som gäller för kap</w:t>
      </w:r>
      <w:r w:rsidRPr="00EA67F0">
        <w:t>i</w:t>
      </w:r>
      <w:r w:rsidRPr="00EA67F0">
        <w:t>ta</w:t>
      </w:r>
      <w:r w:rsidRPr="00EA67F0">
        <w:t>l</w:t>
      </w:r>
      <w:r w:rsidRPr="00EA67F0">
        <w:t xml:space="preserve">krav på individuell nivå. </w:t>
      </w:r>
    </w:p>
    <w:p w:rsidR="00464625" w:rsidRPr="00EA67F0" w:rsidRDefault="00464625">
      <w:pPr>
        <w:pStyle w:val="Normaltindrag"/>
      </w:pPr>
      <w:r w:rsidRPr="00EA67F0">
        <w:t>Väsentliga affärshändelser och avtal med andra företag i gruppen samt b</w:t>
      </w:r>
      <w:r w:rsidRPr="00EA67F0">
        <w:t>e</w:t>
      </w:r>
      <w:r w:rsidRPr="00EA67F0">
        <w:t>räkningen av den gruppbaserade ställningen skall sammanställas i en grup</w:t>
      </w:r>
      <w:r w:rsidRPr="00EA67F0">
        <w:t>p</w:t>
      </w:r>
      <w:r w:rsidRPr="00EA67F0">
        <w:t>baserad redovisning som skall ges in till Finansinspektionen. I vissa fall kan inspektionen medge undantag från skyldigheten att upprätta en sådan red</w:t>
      </w:r>
      <w:r w:rsidRPr="00EA67F0">
        <w:t>o</w:t>
      </w:r>
      <w:r w:rsidRPr="00EA67F0">
        <w:t>visning.</w:t>
      </w:r>
    </w:p>
    <w:p w:rsidR="00464625" w:rsidRPr="00EA67F0" w:rsidRDefault="00464625">
      <w:pPr>
        <w:pStyle w:val="Normaltindrag"/>
      </w:pPr>
      <w:r w:rsidRPr="00EA67F0">
        <w:t>För att säkerställa innehållet i den gruppbaserade redovisningen lämnas också förslag om skyldighet för andra företag inom gruppen att lämna den information som behövs för denna redovisning. Det föreslås vidare att i</w:t>
      </w:r>
      <w:r w:rsidRPr="00EA67F0">
        <w:t>n</w:t>
      </w:r>
      <w:r w:rsidRPr="00EA67F0">
        <w:t>spektionen ges en möjlighet att i vissa fall inhämta eller kontrollera inform</w:t>
      </w:r>
      <w:r w:rsidRPr="00EA67F0">
        <w:t>a</w:t>
      </w:r>
      <w:r w:rsidRPr="00EA67F0">
        <w:t>tionen.</w:t>
      </w:r>
    </w:p>
    <w:p w:rsidR="00464625" w:rsidRPr="00EA67F0" w:rsidRDefault="00464625">
      <w:pPr>
        <w:pStyle w:val="Normaltindrag"/>
      </w:pPr>
      <w:r w:rsidRPr="00EA67F0">
        <w:t>En ny regel om tystnadsplikt föreslås för information som mottagits av de försäkringsbolag eller understödsföreningar som skall upprätta den gruppb</w:t>
      </w:r>
      <w:r w:rsidRPr="00EA67F0">
        <w:t>a</w:t>
      </w:r>
      <w:r w:rsidRPr="00EA67F0">
        <w:t>serade redovisningen.</w:t>
      </w:r>
    </w:p>
    <w:p w:rsidR="00464625" w:rsidRPr="00EA67F0" w:rsidRDefault="00464625">
      <w:pPr>
        <w:pStyle w:val="Normaltindrag"/>
      </w:pPr>
      <w:r w:rsidRPr="00EA67F0">
        <w:t xml:space="preserve">Lagändringarna föreslås träda i kraft den 1 januari 2001. </w:t>
      </w:r>
    </w:p>
    <w:p w:rsidR="00464625" w:rsidRPr="00EA67F0" w:rsidRDefault="00464625">
      <w:pPr>
        <w:pStyle w:val="Normaltindrag"/>
      </w:pPr>
      <w:r w:rsidRPr="00EA67F0">
        <w:t>Genomförandet av försäkringsgruppsdirektivet påverkar Finansinspekti</w:t>
      </w:r>
      <w:r w:rsidRPr="00EA67F0">
        <w:t>o</w:t>
      </w:r>
      <w:r w:rsidRPr="00EA67F0">
        <w:t>nens arbete på ett sådant sätt att regeringen anser att Finansinspektionen bör tillföras mer resurser. I den resursförstärkning fr.o.m. budgetåret 2000 som Finansinspektionen fått har hänsyn tagits till förslagen i denna propos</w:t>
      </w:r>
      <w:r w:rsidRPr="00EA67F0">
        <w:t>i</w:t>
      </w:r>
      <w:r w:rsidRPr="00EA67F0">
        <w:t xml:space="preserve">tion. </w:t>
      </w:r>
    </w:p>
    <w:p w:rsidR="00464625" w:rsidRPr="00EA67F0" w:rsidRDefault="00464625">
      <w:pPr>
        <w:pStyle w:val="Rubrik2"/>
      </w:pPr>
      <w:bookmarkStart w:id="24" w:name="_Toc482416399"/>
      <w:r w:rsidRPr="00EA67F0">
        <w:t>Finansutskottets ställningstagande</w:t>
      </w:r>
      <w:bookmarkEnd w:id="24"/>
    </w:p>
    <w:p w:rsidR="00464625" w:rsidRPr="00EA67F0" w:rsidRDefault="00464625">
      <w:r w:rsidRPr="00EA67F0">
        <w:t>Utskottet tillstyrker regeringens förslag.</w:t>
      </w:r>
    </w:p>
    <w:p w:rsidR="00464625" w:rsidRPr="00EA67F0" w:rsidRDefault="00464625"/>
    <w:p w:rsidR="00464625" w:rsidRPr="00EA67F0" w:rsidRDefault="00464625">
      <w:pPr>
        <w:pStyle w:val="Rubrik2"/>
        <w:spacing w:before="0"/>
      </w:pPr>
      <w:bookmarkStart w:id="25" w:name="_Toc482416400"/>
      <w:r w:rsidRPr="00EA67F0">
        <w:t>Hemställan</w:t>
      </w:r>
      <w:bookmarkEnd w:id="25"/>
    </w:p>
    <w:p w:rsidR="00464625" w:rsidRPr="00EA67F0" w:rsidRDefault="00464625">
      <w:r w:rsidRPr="00EA67F0">
        <w:t>Utskottet hemställer</w:t>
      </w:r>
    </w:p>
    <w:p w:rsidR="00464625" w:rsidRPr="00EA67F0" w:rsidRDefault="00464625">
      <w:pPr>
        <w:pStyle w:val="hembetr"/>
      </w:pPr>
      <w:bookmarkStart w:id="26" w:name="Nästa_Hpunkt"/>
      <w:bookmarkEnd w:id="26"/>
      <w:r w:rsidRPr="00EA67F0">
        <w:t xml:space="preserve">beträffande </w:t>
      </w:r>
      <w:r w:rsidRPr="00EA67F0">
        <w:rPr>
          <w:i/>
        </w:rPr>
        <w:t>gruppbaserade försäkringsrörelseregler</w:t>
      </w:r>
    </w:p>
    <w:p w:rsidR="00464625" w:rsidRPr="00EA67F0" w:rsidRDefault="00464625">
      <w:pPr>
        <w:pStyle w:val="hemtext"/>
      </w:pPr>
      <w:r w:rsidRPr="00EA67F0">
        <w:t>att riksdagen med bifall till proposition 1999/2000:99 antar de av r</w:t>
      </w:r>
      <w:r w:rsidRPr="00EA67F0">
        <w:t>e</w:t>
      </w:r>
      <w:r w:rsidRPr="00EA67F0">
        <w:t>geringen framlagda förslagen till</w:t>
      </w:r>
    </w:p>
    <w:p w:rsidR="00464625" w:rsidRPr="00EA67F0" w:rsidRDefault="00464625">
      <w:pPr>
        <w:pStyle w:val="hemtext"/>
      </w:pPr>
      <w:r w:rsidRPr="00EA67F0">
        <w:rPr>
          <w:i/>
        </w:rPr>
        <w:t>dels</w:t>
      </w:r>
      <w:r w:rsidRPr="00EA67F0">
        <w:t xml:space="preserve"> </w:t>
      </w:r>
      <w:bookmarkStart w:id="27" w:name="RESPARTI001"/>
      <w:bookmarkEnd w:id="27"/>
      <w:r w:rsidRPr="00EA67F0">
        <w:t>lag om ändring i försäkringsrörelselagen (1982:713),</w:t>
      </w:r>
    </w:p>
    <w:p w:rsidR="00464625" w:rsidRPr="00EA67F0" w:rsidRDefault="00464625">
      <w:pPr>
        <w:pStyle w:val="hemtext"/>
      </w:pPr>
      <w:r w:rsidRPr="00EA67F0">
        <w:rPr>
          <w:i/>
        </w:rPr>
        <w:t>dels</w:t>
      </w:r>
      <w:r w:rsidRPr="00EA67F0">
        <w:t xml:space="preserve"> lag om ändring i lagen (1972:262) om understödsföreningar.</w:t>
      </w:r>
    </w:p>
    <w:p w:rsidR="00464625" w:rsidRPr="00EA67F0" w:rsidRDefault="00464625">
      <w:pPr>
        <w:pStyle w:val="hemtext"/>
      </w:pPr>
    </w:p>
    <w:p w:rsidR="00464625" w:rsidRPr="00EA67F0" w:rsidRDefault="00464625">
      <w:pPr>
        <w:pStyle w:val="Stockholm"/>
      </w:pPr>
      <w:r w:rsidRPr="00EA67F0">
        <w:t xml:space="preserve">Stockholm den 4 maj 2000 </w:t>
      </w:r>
    </w:p>
    <w:p w:rsidR="00464625" w:rsidRPr="00EA67F0" w:rsidRDefault="00464625">
      <w:pPr>
        <w:pStyle w:val="Vgnar"/>
      </w:pPr>
      <w:r w:rsidRPr="00EA67F0">
        <w:t>På finansutskottets vägnar</w:t>
      </w:r>
    </w:p>
    <w:p w:rsidR="00464625" w:rsidRPr="00EA67F0" w:rsidRDefault="00464625">
      <w:pPr>
        <w:pStyle w:val="Ordfnamn"/>
      </w:pPr>
      <w:bookmarkStart w:id="28" w:name="Ordförande"/>
      <w:bookmarkEnd w:id="28"/>
      <w:r w:rsidRPr="00EA67F0">
        <w:t xml:space="preserve">Jan Bergqvist </w:t>
      </w:r>
    </w:p>
    <w:p w:rsidR="00464625" w:rsidRPr="00EA67F0" w:rsidRDefault="00464625">
      <w:pPr>
        <w:pStyle w:val="Deltagare"/>
      </w:pPr>
      <w:bookmarkStart w:id="29" w:name="Deltagare"/>
      <w:bookmarkEnd w:id="29"/>
      <w:r w:rsidRPr="00EA67F0">
        <w:t>I beslutet har deltagit: Jan Bergqvist (s), Mats Odell (kd), Gunnar Hökmark (m), Bengt Silfverstrand (s), Lisbet Calner (s), Johan Lönnroth (v), Lennart Hedquist (m), Sonia Karlsson (s), Fredrik Reinfeldt (m), Carin Lundberg (s), Sven-Erik Österberg (s), Siv Holma (v), Per Landgren (kd), Matz Hamma</w:t>
      </w:r>
      <w:r w:rsidRPr="00EA67F0">
        <w:t>r</w:t>
      </w:r>
      <w:r w:rsidRPr="00EA67F0">
        <w:t>ström (mp), Lena Ek (c), Karin Pilsäter (fp) och Gunnar Axén (m).</w:t>
      </w:r>
    </w:p>
    <w:p w:rsidR="00464625" w:rsidRPr="00EA67F0" w:rsidRDefault="00464625">
      <w:pPr>
        <w:pStyle w:val="Normaltindrag"/>
        <w:rPr>
          <w:b/>
          <w:sz w:val="32"/>
        </w:rPr>
      </w:pPr>
    </w:p>
    <w:p w:rsidR="00464625" w:rsidRPr="00EA67F0" w:rsidRDefault="00464625">
      <w:pPr>
        <w:pStyle w:val="Normaltindrag"/>
        <w:rPr>
          <w:b/>
          <w:sz w:val="32"/>
        </w:rPr>
      </w:pPr>
    </w:p>
    <w:p w:rsidR="00464625" w:rsidRPr="00EA67F0" w:rsidRDefault="00464625">
      <w:pPr>
        <w:pStyle w:val="Normaltindrag"/>
        <w:rPr>
          <w:b/>
          <w:sz w:val="32"/>
        </w:rPr>
      </w:pPr>
    </w:p>
    <w:p w:rsidR="00464625" w:rsidRPr="00EA67F0" w:rsidRDefault="00464625">
      <w:pPr>
        <w:pStyle w:val="Normaltindrag"/>
        <w:rPr>
          <w:b/>
          <w:sz w:val="32"/>
        </w:rPr>
      </w:pPr>
    </w:p>
    <w:p w:rsidR="00464625" w:rsidRPr="00EA67F0" w:rsidRDefault="00464625">
      <w:pPr>
        <w:pStyle w:val="Normaltindrag"/>
        <w:rPr>
          <w:b/>
          <w:sz w:val="32"/>
        </w:rPr>
      </w:pPr>
    </w:p>
    <w:p w:rsidR="00464625" w:rsidRPr="00EA67F0" w:rsidRDefault="00464625">
      <w:pPr>
        <w:pStyle w:val="Normaltindrag"/>
        <w:rPr>
          <w:b/>
          <w:sz w:val="32"/>
        </w:rPr>
        <w:sectPr w:rsidR="00000000" w:rsidRPr="00EA67F0">
          <w:headerReference w:type="default" r:id="rId10"/>
          <w:footerReference w:type="default" r:id="rId11"/>
          <w:pgSz w:w="11906" w:h="16838" w:code="9"/>
          <w:pgMar w:top="567" w:right="4876" w:bottom="4508" w:left="1134" w:header="227" w:footer="227" w:gutter="0"/>
          <w:cols w:space="720"/>
        </w:sectPr>
      </w:pPr>
    </w:p>
    <w:p w:rsidR="00464625" w:rsidRPr="00EA67F0" w:rsidRDefault="00464625">
      <w:pPr>
        <w:pStyle w:val="Rubrik1"/>
        <w:spacing w:before="0"/>
      </w:pPr>
      <w:bookmarkStart w:id="30" w:name="_Toc482416401"/>
      <w:r w:rsidRPr="00EA67F0">
        <w:t>Propositionens lagförslag</w:t>
      </w:r>
      <w:bookmarkEnd w:id="30"/>
    </w:p>
    <w:p w:rsidR="00464625" w:rsidRPr="00EA67F0" w:rsidRDefault="00464625">
      <w:pPr>
        <w:pStyle w:val="Rubrik2"/>
        <w:spacing w:before="123"/>
      </w:pPr>
      <w:bookmarkStart w:id="31" w:name="_Toc482416402"/>
      <w:r w:rsidRPr="00EA67F0">
        <w:t xml:space="preserve">1  Förslag till lag om ändring i försäkringsrörelselagen </w:t>
      </w:r>
      <w:r w:rsidRPr="00EA67F0">
        <w:br/>
        <w:t xml:space="preserve">    (1982:713)</w:t>
      </w:r>
      <w:bookmarkEnd w:id="31"/>
    </w:p>
    <w:p w:rsidR="00464625" w:rsidRPr="00EA67F0" w:rsidRDefault="00464625"/>
    <w:p w:rsidR="00464625" w:rsidRPr="00EA67F0" w:rsidRDefault="00464625">
      <w:pPr>
        <w:pStyle w:val="Normaltindrag"/>
      </w:pPr>
    </w:p>
    <w:p w:rsidR="00464625" w:rsidRPr="00EA67F0" w:rsidRDefault="00464625">
      <w:pPr>
        <w:pStyle w:val="Rubrik2"/>
      </w:pPr>
      <w:r w:rsidRPr="00EA67F0">
        <w:br w:type="page"/>
      </w:r>
      <w:r w:rsidRPr="00EA67F0">
        <w:br w:type="page"/>
      </w:r>
      <w:r w:rsidRPr="00EA67F0">
        <w:br w:type="page"/>
      </w:r>
      <w:r w:rsidRPr="00EA67F0">
        <w:br w:type="page"/>
      </w:r>
      <w:r w:rsidRPr="00EA67F0">
        <w:br w:type="page"/>
      </w:r>
      <w:r w:rsidRPr="00EA67F0">
        <w:br w:type="page"/>
      </w:r>
      <w:r w:rsidRPr="00EA67F0">
        <w:br w:type="page"/>
      </w:r>
      <w:bookmarkStart w:id="32" w:name="_Toc482416403"/>
      <w:r w:rsidRPr="00EA67F0">
        <w:t xml:space="preserve">2  Förslag till lag om ändring i lagen (1972:262) om </w:t>
      </w:r>
      <w:r w:rsidRPr="00EA67F0">
        <w:br/>
        <w:t xml:space="preserve">     understödsföreningar</w:t>
      </w:r>
      <w:bookmarkEnd w:id="32"/>
    </w:p>
    <w:p w:rsidR="00464625" w:rsidRPr="00EA67F0" w:rsidRDefault="00464625"/>
    <w:p w:rsidR="00464625" w:rsidRPr="00EA67F0" w:rsidRDefault="00464625">
      <w:pPr>
        <w:pStyle w:val="Normaltindrag"/>
      </w:pPr>
    </w:p>
    <w:p w:rsidR="00464625" w:rsidRPr="00EA67F0" w:rsidRDefault="00464625">
      <w:pPr>
        <w:pStyle w:val="Normaltindrag"/>
      </w:pPr>
      <w:r w:rsidRPr="00EA67F0">
        <w:br w:type="page"/>
      </w:r>
      <w:r w:rsidRPr="00EA67F0">
        <w:br w:type="page"/>
      </w:r>
    </w:p>
    <w:p w:rsidR="00464625" w:rsidRPr="00EA67F0" w:rsidRDefault="00464625">
      <w:bookmarkStart w:id="33" w:name="Nästa_Reservation"/>
      <w:bookmarkEnd w:id="33"/>
    </w:p>
    <w:p w:rsidR="00464625" w:rsidRPr="00EA67F0" w:rsidRDefault="00464625">
      <w:pPr>
        <w:pStyle w:val="Normaltindrag"/>
        <w:sectPr w:rsidR="00000000" w:rsidRPr="00EA67F0">
          <w:headerReference w:type="default" r:id="rId12"/>
          <w:footerReference w:type="default" r:id="rId13"/>
          <w:pgSz w:w="11906" w:h="16838" w:code="9"/>
          <w:pgMar w:top="567" w:right="4876" w:bottom="4508" w:left="1134" w:header="227" w:footer="227" w:gutter="0"/>
          <w:cols w:space="720"/>
        </w:sectPr>
      </w:pPr>
    </w:p>
    <w:p w:rsidR="00464625" w:rsidRPr="00EA67F0" w:rsidRDefault="00464625">
      <w:pPr>
        <w:pStyle w:val="Innehll"/>
        <w:outlineLvl w:val="1"/>
      </w:pPr>
      <w:r w:rsidRPr="00EA67F0">
        <w:t>Innehållsförteckning</w:t>
      </w:r>
    </w:p>
    <w:p w:rsidR="00464625" w:rsidRPr="00EA67F0" w:rsidRDefault="00464625">
      <w:pPr>
        <w:pStyle w:val="Innehll1"/>
        <w:rPr>
          <w:noProof/>
        </w:rPr>
      </w:pPr>
      <w:r w:rsidRPr="00EA67F0">
        <w:rPr>
          <w:noProof/>
        </w:rPr>
        <w:t>Sammanfattning</w:t>
      </w:r>
      <w:r w:rsidRPr="00EA67F0">
        <w:rPr>
          <w:noProof/>
        </w:rPr>
        <w:tab/>
        <w:t>1</w:t>
      </w:r>
    </w:p>
    <w:p w:rsidR="00464625" w:rsidRPr="00EA67F0" w:rsidRDefault="00464625">
      <w:pPr>
        <w:pStyle w:val="Innehll1"/>
        <w:rPr>
          <w:noProof/>
        </w:rPr>
      </w:pPr>
      <w:r w:rsidRPr="00EA67F0">
        <w:rPr>
          <w:noProof/>
        </w:rPr>
        <w:t>Propositionen</w:t>
      </w:r>
      <w:r w:rsidRPr="00EA67F0">
        <w:rPr>
          <w:noProof/>
        </w:rPr>
        <w:tab/>
        <w:t>1</w:t>
      </w:r>
    </w:p>
    <w:p w:rsidR="00464625" w:rsidRPr="00EA67F0" w:rsidRDefault="00464625">
      <w:pPr>
        <w:pStyle w:val="Innehll1"/>
        <w:rPr>
          <w:noProof/>
        </w:rPr>
      </w:pPr>
      <w:r w:rsidRPr="00EA67F0">
        <w:rPr>
          <w:noProof/>
        </w:rPr>
        <w:t>Utskottet</w:t>
      </w:r>
      <w:r w:rsidRPr="00EA67F0">
        <w:rPr>
          <w:noProof/>
        </w:rPr>
        <w:tab/>
        <w:t>1</w:t>
      </w:r>
    </w:p>
    <w:p w:rsidR="00464625" w:rsidRPr="00EA67F0" w:rsidRDefault="00464625">
      <w:pPr>
        <w:pStyle w:val="Innehll2"/>
        <w:rPr>
          <w:noProof/>
        </w:rPr>
      </w:pPr>
      <w:r w:rsidRPr="00EA67F0">
        <w:rPr>
          <w:noProof/>
        </w:rPr>
        <w:t>Propositionen</w:t>
      </w:r>
      <w:r w:rsidRPr="00EA67F0">
        <w:rPr>
          <w:noProof/>
        </w:rPr>
        <w:tab/>
        <w:t>1</w:t>
      </w:r>
    </w:p>
    <w:p w:rsidR="00464625" w:rsidRPr="00EA67F0" w:rsidRDefault="00464625">
      <w:pPr>
        <w:pStyle w:val="Innehll2"/>
        <w:rPr>
          <w:noProof/>
        </w:rPr>
      </w:pPr>
      <w:r w:rsidRPr="00EA67F0">
        <w:rPr>
          <w:noProof/>
        </w:rPr>
        <w:t>Finansutskottets ställningstagande</w:t>
      </w:r>
      <w:r w:rsidRPr="00EA67F0">
        <w:rPr>
          <w:noProof/>
        </w:rPr>
        <w:tab/>
        <w:t>2</w:t>
      </w:r>
    </w:p>
    <w:p w:rsidR="00464625" w:rsidRPr="00EA67F0" w:rsidRDefault="00464625">
      <w:pPr>
        <w:pStyle w:val="Innehll2"/>
        <w:rPr>
          <w:noProof/>
        </w:rPr>
      </w:pPr>
      <w:r w:rsidRPr="00EA67F0">
        <w:rPr>
          <w:noProof/>
        </w:rPr>
        <w:t>Hemställan</w:t>
      </w:r>
      <w:r w:rsidRPr="00EA67F0">
        <w:rPr>
          <w:noProof/>
        </w:rPr>
        <w:tab/>
        <w:t>3</w:t>
      </w:r>
    </w:p>
    <w:p w:rsidR="00464625" w:rsidRPr="00EA67F0" w:rsidRDefault="00464625">
      <w:pPr>
        <w:pStyle w:val="Innehll1"/>
        <w:spacing w:before="120"/>
        <w:rPr>
          <w:i/>
          <w:noProof/>
        </w:rPr>
      </w:pPr>
      <w:r w:rsidRPr="00EA67F0">
        <w:rPr>
          <w:i/>
          <w:noProof/>
        </w:rPr>
        <w:t>Bilaga</w:t>
      </w:r>
    </w:p>
    <w:p w:rsidR="00464625" w:rsidRPr="00EA67F0" w:rsidRDefault="00464625">
      <w:pPr>
        <w:pStyle w:val="Innehll1"/>
        <w:rPr>
          <w:noProof/>
        </w:rPr>
      </w:pPr>
      <w:r w:rsidRPr="00EA67F0">
        <w:rPr>
          <w:noProof/>
        </w:rPr>
        <w:t>Propositionens lagförslag</w:t>
      </w:r>
      <w:r w:rsidRPr="00EA67F0">
        <w:rPr>
          <w:noProof/>
        </w:rPr>
        <w:tab/>
        <w:t>4</w:t>
      </w:r>
    </w:p>
    <w:p w:rsidR="00464625" w:rsidRPr="00EA67F0" w:rsidRDefault="00464625">
      <w:pPr>
        <w:pStyle w:val="Innehll2"/>
        <w:rPr>
          <w:noProof/>
        </w:rPr>
      </w:pPr>
      <w:r w:rsidRPr="00EA67F0">
        <w:rPr>
          <w:noProof/>
        </w:rPr>
        <w:t>1  Förslag till lag om ändring i försäkringsrörelselagen      (1982:713)</w:t>
      </w:r>
      <w:r w:rsidRPr="00EA67F0">
        <w:rPr>
          <w:noProof/>
        </w:rPr>
        <w:tab/>
        <w:t>4</w:t>
      </w:r>
    </w:p>
    <w:p w:rsidR="00464625" w:rsidRPr="00EA67F0" w:rsidRDefault="00464625">
      <w:pPr>
        <w:pStyle w:val="Innehll2"/>
        <w:rPr>
          <w:noProof/>
        </w:rPr>
      </w:pPr>
      <w:r w:rsidRPr="00EA67F0">
        <w:rPr>
          <w:noProof/>
        </w:rPr>
        <w:t>2  Förslag till lag om ändring i lagen (1972:262) om       understödsföreningar</w:t>
      </w:r>
      <w:r w:rsidRPr="00EA67F0">
        <w:rPr>
          <w:noProof/>
        </w:rPr>
        <w:tab/>
        <w:t>11</w:t>
      </w:r>
    </w:p>
    <w:p w:rsidR="00464625" w:rsidRPr="00EA67F0" w:rsidRDefault="00464625"/>
    <w:p w:rsidR="00464625" w:rsidRPr="00EA67F0" w:rsidRDefault="00464625">
      <w:pPr>
        <w:pStyle w:val="Tryckort"/>
        <w:framePr w:wrap="around"/>
      </w:pPr>
      <w:r w:rsidRPr="00EA67F0">
        <w:t>Elanders Gotab, Stockholm  2000</w:t>
      </w:r>
    </w:p>
    <w:p w:rsidR="00464625" w:rsidRPr="00EA67F0" w:rsidRDefault="00464625">
      <w:pPr>
        <w:pStyle w:val="Normaltindrag"/>
      </w:pPr>
    </w:p>
    <w:sectPr w:rsidR="00464625" w:rsidRPr="00EA67F0">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625" w:rsidRDefault="00464625">
      <w:pPr>
        <w:spacing w:before="0" w:line="240" w:lineRule="auto"/>
      </w:pPr>
      <w:r>
        <w:separator/>
      </w:r>
    </w:p>
  </w:endnote>
  <w:endnote w:type="continuationSeparator" w:id="0">
    <w:p w:rsidR="00464625" w:rsidRDefault="004646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625" w:rsidRDefault="0046462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64625" w:rsidRDefault="004646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625" w:rsidRDefault="00464625">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464625" w:rsidRDefault="004646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625" w:rsidRDefault="00464625">
    <w:pPr>
      <w:pStyle w:val="SidfotH"/>
      <w:framePr w:wrap="around"/>
    </w:pPr>
    <w:r>
      <w:fldChar w:fldCharType="begin" w:fldLock="1"/>
    </w:r>
    <w:r>
      <w:instrText xml:space="preserve"> PAGE </w:instrText>
    </w:r>
    <w:r>
      <w:fldChar w:fldCharType="separate"/>
    </w:r>
    <w:r>
      <w:rPr>
        <w:noProof/>
      </w:rPr>
      <w:t>14</w:t>
    </w:r>
    <w:r>
      <w:fldChar w:fldCharType="end"/>
    </w:r>
  </w:p>
  <w:p w:rsidR="00464625" w:rsidRDefault="004646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625" w:rsidRDefault="00464625">
      <w:pPr>
        <w:pStyle w:val="Sidfot"/>
      </w:pPr>
    </w:p>
  </w:footnote>
  <w:footnote w:type="continuationSeparator" w:id="0">
    <w:p w:rsidR="00464625" w:rsidRDefault="0046462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625" w:rsidRDefault="00464625">
    <w:pPr>
      <w:pStyle w:val="SidhuvudKant"/>
      <w:framePr w:w="1758" w:h="2744" w:hRule="exact" w:wrap="around" w:vAnchor="page" w:hAnchor="page" w:x="7372" w:y="568" w:anchorLock="0"/>
      <w:rPr>
        <w:noProof/>
      </w:rPr>
    </w:pPr>
    <w:r>
      <w:rPr>
        <w:noProof/>
      </w:rPr>
      <w:t>1999/2000:FiU25</w:t>
    </w:r>
  </w:p>
  <w:p w:rsidR="00464625" w:rsidRDefault="00464625">
    <w:pPr>
      <w:pStyle w:val="SidhuvudKantBilaga"/>
      <w:framePr w:w="1758" w:h="2744" w:hRule="exact" w:wrap="around" w:vAnchor="page" w:hAnchor="page" w:x="7372" w:y="568" w:anchorLock="0"/>
      <w:rPr>
        <w:noProof/>
      </w:rPr>
    </w:pPr>
  </w:p>
  <w:p w:rsidR="00464625" w:rsidRDefault="00464625">
    <w:pPr>
      <w:pStyle w:val="SidhuvudKant"/>
      <w:framePr w:w="1758" w:h="2744" w:hRule="exact" w:wrap="around" w:vAnchor="page" w:hAnchor="page" w:x="7372" w:y="568" w:anchorLock="0"/>
    </w:pPr>
  </w:p>
  <w:p w:rsidR="00464625" w:rsidRDefault="004646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625" w:rsidRDefault="00464625">
    <w:pPr>
      <w:pStyle w:val="SidhuvudKant"/>
      <w:framePr w:w="1758" w:h="2744" w:hRule="exact" w:wrap="around" w:vAnchor="page" w:hAnchor="page" w:x="7372" w:y="568" w:anchorLock="0"/>
      <w:rPr>
        <w:noProof/>
      </w:rPr>
    </w:pPr>
    <w:r>
      <w:rPr>
        <w:noProof/>
      </w:rPr>
      <w:t>1999/2000:FiU25</w:t>
    </w:r>
  </w:p>
  <w:p w:rsidR="00464625" w:rsidRDefault="00464625">
    <w:pPr>
      <w:pStyle w:val="SidhuvudKantBilaga"/>
      <w:framePr w:w="1758" w:h="2744" w:hRule="exact" w:wrap="around" w:vAnchor="page" w:hAnchor="page" w:x="7372" w:y="568" w:anchorLock="0"/>
      <w:rPr>
        <w:noProof/>
      </w:rPr>
    </w:pPr>
    <w:r>
      <w:rPr>
        <w:noProof/>
      </w:rPr>
      <w:t>Bilaga</w:t>
    </w:r>
  </w:p>
  <w:p w:rsidR="00464625" w:rsidRDefault="00464625">
    <w:pPr>
      <w:pStyle w:val="SidhuvudKant"/>
      <w:framePr w:w="1758" w:h="2744" w:hRule="exact" w:wrap="around" w:vAnchor="page" w:hAnchor="page" w:x="7372" w:y="568" w:anchorLock="0"/>
    </w:pPr>
  </w:p>
  <w:p w:rsidR="00464625" w:rsidRDefault="004646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625" w:rsidRDefault="00464625">
    <w:pPr>
      <w:pStyle w:val="SidhuvudKant"/>
      <w:framePr w:w="1758" w:h="2744" w:hRule="exact" w:wrap="around" w:vAnchor="page" w:hAnchor="page" w:x="7372" w:y="568" w:anchorLock="0"/>
      <w:rPr>
        <w:noProof/>
      </w:rPr>
    </w:pPr>
    <w:r>
      <w:rPr>
        <w:noProof/>
      </w:rPr>
      <w:t>1999/2000:FiU25</w:t>
    </w:r>
  </w:p>
  <w:p w:rsidR="00464625" w:rsidRDefault="00464625">
    <w:pPr>
      <w:pStyle w:val="SidhuvudKantBilaga"/>
      <w:framePr w:w="1758" w:h="2744" w:hRule="exact" w:wrap="around" w:vAnchor="page" w:hAnchor="page" w:x="7372" w:y="568" w:anchorLock="0"/>
      <w:rPr>
        <w:noProof/>
      </w:rPr>
    </w:pPr>
  </w:p>
  <w:p w:rsidR="00464625" w:rsidRDefault="00464625">
    <w:pPr>
      <w:pStyle w:val="SidhuvudKant"/>
      <w:framePr w:w="1758" w:h="2744" w:hRule="exact" w:wrap="around" w:vAnchor="page" w:hAnchor="page" w:x="7372" w:y="568" w:anchorLock="0"/>
    </w:pPr>
  </w:p>
  <w:p w:rsidR="00464625" w:rsidRDefault="004646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F39C0"/>
    <w:multiLevelType w:val="singleLevel"/>
    <w:tmpl w:val="C9E03EFE"/>
    <w:lvl w:ilvl="0">
      <w:start w:val="1"/>
      <w:numFmt w:val="decimal"/>
      <w:lvlText w:val="%1"/>
      <w:lvlJc w:val="left"/>
      <w:pPr>
        <w:tabs>
          <w:tab w:val="num" w:pos="360"/>
        </w:tabs>
        <w:ind w:left="360" w:hanging="360"/>
      </w:pPr>
      <w:rPr>
        <w:rFonts w:hint="default"/>
      </w:rPr>
    </w:lvl>
  </w:abstractNum>
  <w:abstractNum w:abstractNumId="1" w15:restartNumberingAfterBreak="0">
    <w:nsid w:val="337A1E4F"/>
    <w:multiLevelType w:val="singleLevel"/>
    <w:tmpl w:val="C9E03EFE"/>
    <w:lvl w:ilvl="0">
      <w:start w:val="1"/>
      <w:numFmt w:val="decimal"/>
      <w:lvlText w:val="%1"/>
      <w:lvlJc w:val="left"/>
      <w:pPr>
        <w:tabs>
          <w:tab w:val="num" w:pos="360"/>
        </w:tabs>
        <w:ind w:left="360" w:hanging="360"/>
      </w:pPr>
      <w:rPr>
        <w:rFonts w:hint="default"/>
      </w:rPr>
    </w:lvl>
  </w:abstractNum>
  <w:abstractNum w:abstractNumId="2" w15:restartNumberingAfterBreak="0">
    <w:nsid w:val="641A0BD9"/>
    <w:multiLevelType w:val="singleLevel"/>
    <w:tmpl w:val="C9E03EFE"/>
    <w:lvl w:ilvl="0">
      <w:start w:val="1"/>
      <w:numFmt w:val="decimal"/>
      <w:lvlText w:val="%1"/>
      <w:lvlJc w:val="left"/>
      <w:pPr>
        <w:tabs>
          <w:tab w:val="num" w:pos="360"/>
        </w:tabs>
        <w:ind w:left="360" w:hanging="360"/>
      </w:pPr>
      <w:rPr>
        <w:rFonts w:hint="default"/>
      </w:rPr>
    </w:lvl>
  </w:abstractNum>
  <w:num w:numId="1" w16cid:durableId="16926330">
    <w:abstractNumId w:val="2"/>
  </w:num>
  <w:num w:numId="2" w16cid:durableId="2032802354">
    <w:abstractNumId w:val="0"/>
  </w:num>
  <w:num w:numId="3" w16cid:durableId="74418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535CA5"/>
    <w:rsid w:val="00464625"/>
    <w:rsid w:val="00535CA5"/>
    <w:rsid w:val="00EA67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20ECD3-A456-4131-A43B-24F59431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5184</Characters>
  <Application>Microsoft Office Word</Application>
  <DocSecurity>4</DocSecurity>
  <Lines>148</Lines>
  <Paragraphs>64</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Finansutskottets betänkande</vt:lpstr>
      <vt:lpstr>Sammanfattning</vt:lpstr>
      <vt:lpstr>Propositionen</vt:lpstr>
      <vt:lpstr>Utskottet</vt:lpstr>
      <vt:lpstr>    Propositionen</vt:lpstr>
      <vt:lpstr>    Finansutskottets ställningstagande</vt:lpstr>
      <vt:lpstr>    Hemställan</vt:lpstr>
      <vt:lpstr>Propositionens lagförslag</vt:lpstr>
      <vt:lpstr>    1  Förslag till lag om ändring i försäkringsrörelselagen      (1982:713)</vt:lpstr>
      <vt:lpstr>    2  Förslag till lag om ändring i lagen (1972:262) om       understödsföre</vt:lpstr>
      <vt:lpstr>    Innehållsförteckning</vt:lpstr>
    </vt:vector>
  </TitlesOfParts>
  <Company>Riksdagen</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2000-05-09T11:55:00Z</cp:lastPrinted>
  <dcterms:created xsi:type="dcterms:W3CDTF">2025-12-15T21:06:00Z</dcterms:created>
  <dcterms:modified xsi:type="dcterms:W3CDTF">2025-12-15T21:06:00Z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