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065F76">
              <w:rPr>
                <w:b/>
              </w:rPr>
              <w:t>1</w:t>
            </w:r>
            <w:r w:rsidR="00CA4971">
              <w:rPr>
                <w:b/>
              </w:rPr>
              <w:t>7</w:t>
            </w:r>
            <w:r w:rsidRPr="007A327C">
              <w:rPr>
                <w:b/>
              </w:rPr>
              <w:t>/</w:t>
            </w:r>
            <w:r w:rsidR="00065F76">
              <w:rPr>
                <w:b/>
              </w:rPr>
              <w:t>1</w:t>
            </w:r>
            <w:r w:rsidR="00CA4971">
              <w:rPr>
                <w:b/>
              </w:rPr>
              <w:t>8</w:t>
            </w:r>
            <w:r w:rsidR="004F680C" w:rsidRPr="007A327C">
              <w:rPr>
                <w:b/>
              </w:rPr>
              <w:t>:</w:t>
            </w:r>
            <w:r w:rsidR="002B0A50">
              <w:rPr>
                <w:b/>
              </w:rPr>
              <w:t>32</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2544E0" w:rsidP="00AC3854">
            <w:r w:rsidRPr="007A327C">
              <w:t>20</w:t>
            </w:r>
            <w:r w:rsidR="00596129">
              <w:t>1</w:t>
            </w:r>
            <w:r w:rsidR="00AC3854">
              <w:t>8</w:t>
            </w:r>
            <w:r w:rsidR="00F5133A">
              <w:t>-</w:t>
            </w:r>
            <w:r w:rsidR="002B0A50">
              <w:t>05-03</w:t>
            </w:r>
          </w:p>
        </w:tc>
      </w:tr>
      <w:tr w:rsidR="004F680C" w:rsidRPr="007A327C">
        <w:tc>
          <w:tcPr>
            <w:tcW w:w="1985" w:type="dxa"/>
          </w:tcPr>
          <w:p w:rsidR="004F680C" w:rsidRPr="007A327C" w:rsidRDefault="004F680C">
            <w:r w:rsidRPr="007A327C">
              <w:t>TID</w:t>
            </w:r>
          </w:p>
        </w:tc>
        <w:tc>
          <w:tcPr>
            <w:tcW w:w="6463" w:type="dxa"/>
          </w:tcPr>
          <w:p w:rsidR="004F680C" w:rsidRPr="007A327C" w:rsidRDefault="002B0A50" w:rsidP="00F5133A">
            <w:r>
              <w:t>10</w:t>
            </w:r>
            <w:r w:rsidR="00721DB8">
              <w:t>.00</w:t>
            </w:r>
            <w:r w:rsidR="006F41EB">
              <w:t>–</w:t>
            </w:r>
            <w:r w:rsidR="00EA1929">
              <w:t>11.4</w:t>
            </w:r>
            <w:r>
              <w:t>0</w:t>
            </w:r>
          </w:p>
        </w:tc>
      </w:tr>
      <w:tr w:rsidR="004F680C" w:rsidRPr="007A327C">
        <w:tc>
          <w:tcPr>
            <w:tcW w:w="1985" w:type="dxa"/>
          </w:tcPr>
          <w:p w:rsidR="004F680C" w:rsidRPr="007A327C" w:rsidRDefault="004F680C">
            <w:r w:rsidRPr="007A327C">
              <w:t>NÄRVARANDE</w:t>
            </w:r>
          </w:p>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F5133A" w:rsidRPr="007A327C" w:rsidRDefault="00F5133A" w:rsidP="00F5133A">
            <w:pPr>
              <w:tabs>
                <w:tab w:val="left" w:pos="1701"/>
              </w:tabs>
              <w:rPr>
                <w:b/>
                <w:snapToGrid w:val="0"/>
              </w:rPr>
            </w:pPr>
            <w:r>
              <w:rPr>
                <w:b/>
                <w:snapToGrid w:val="0"/>
              </w:rPr>
              <w:t>Justering av protokoll</w:t>
            </w:r>
          </w:p>
          <w:p w:rsidR="00F5133A" w:rsidRPr="007A327C" w:rsidRDefault="00F5133A" w:rsidP="00F5133A">
            <w:pPr>
              <w:tabs>
                <w:tab w:val="left" w:pos="1701"/>
              </w:tabs>
              <w:rPr>
                <w:snapToGrid w:val="0"/>
              </w:rPr>
            </w:pPr>
          </w:p>
          <w:p w:rsidR="004F680C" w:rsidRDefault="00F5133A" w:rsidP="00CA4971">
            <w:pPr>
              <w:tabs>
                <w:tab w:val="left" w:pos="1701"/>
              </w:tabs>
              <w:rPr>
                <w:snapToGrid w:val="0"/>
              </w:rPr>
            </w:pPr>
            <w:r>
              <w:rPr>
                <w:snapToGrid w:val="0"/>
              </w:rPr>
              <w:t xml:space="preserve">Utskottet justerade protokoll </w:t>
            </w:r>
            <w:r w:rsidRPr="007A327C">
              <w:rPr>
                <w:snapToGrid w:val="0"/>
              </w:rPr>
              <w:t>20</w:t>
            </w:r>
            <w:r>
              <w:rPr>
                <w:snapToGrid w:val="0"/>
              </w:rPr>
              <w:t>1</w:t>
            </w:r>
            <w:r w:rsidR="00CA4971">
              <w:rPr>
                <w:snapToGrid w:val="0"/>
              </w:rPr>
              <w:t>7</w:t>
            </w:r>
            <w:r w:rsidRPr="007A327C">
              <w:rPr>
                <w:snapToGrid w:val="0"/>
              </w:rPr>
              <w:t>/</w:t>
            </w:r>
            <w:r>
              <w:rPr>
                <w:snapToGrid w:val="0"/>
              </w:rPr>
              <w:t>1</w:t>
            </w:r>
            <w:r w:rsidR="00CA4971">
              <w:rPr>
                <w:snapToGrid w:val="0"/>
              </w:rPr>
              <w:t>8</w:t>
            </w:r>
            <w:r w:rsidRPr="007A327C">
              <w:rPr>
                <w:snapToGrid w:val="0"/>
              </w:rPr>
              <w:t>:</w:t>
            </w:r>
            <w:r w:rsidR="002B0A50">
              <w:rPr>
                <w:snapToGrid w:val="0"/>
              </w:rPr>
              <w:t>31.</w:t>
            </w:r>
          </w:p>
          <w:p w:rsidR="002B0A50" w:rsidRPr="007A327C" w:rsidRDefault="002B0A50" w:rsidP="00CA4971">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4F680C" w:rsidRDefault="002B0A50" w:rsidP="00F5133A">
            <w:pPr>
              <w:tabs>
                <w:tab w:val="left" w:pos="1701"/>
              </w:tabs>
              <w:rPr>
                <w:b/>
                <w:snapToGrid w:val="0"/>
              </w:rPr>
            </w:pPr>
            <w:r>
              <w:rPr>
                <w:b/>
                <w:snapToGrid w:val="0"/>
              </w:rPr>
              <w:t>Karensavdrag – en mer rättvis självrisk (SfU24)</w:t>
            </w:r>
          </w:p>
          <w:p w:rsidR="002B0A50" w:rsidRDefault="002B0A50" w:rsidP="00F5133A">
            <w:pPr>
              <w:tabs>
                <w:tab w:val="left" w:pos="1701"/>
              </w:tabs>
              <w:rPr>
                <w:snapToGrid w:val="0"/>
              </w:rPr>
            </w:pPr>
          </w:p>
          <w:p w:rsidR="002B0A50" w:rsidRDefault="002B0A50" w:rsidP="00F5133A">
            <w:pPr>
              <w:tabs>
                <w:tab w:val="left" w:pos="1701"/>
              </w:tabs>
              <w:rPr>
                <w:snapToGrid w:val="0"/>
              </w:rPr>
            </w:pPr>
            <w:r>
              <w:rPr>
                <w:snapToGrid w:val="0"/>
              </w:rPr>
              <w:t>Utskottet fortsatte behandlingen av proposition 2017/18:96 och motion.</w:t>
            </w:r>
          </w:p>
          <w:p w:rsidR="002B0A50" w:rsidRDefault="002B0A50" w:rsidP="00F5133A">
            <w:pPr>
              <w:tabs>
                <w:tab w:val="left" w:pos="1701"/>
              </w:tabs>
              <w:rPr>
                <w:snapToGrid w:val="0"/>
              </w:rPr>
            </w:pPr>
          </w:p>
          <w:p w:rsidR="002B0A50" w:rsidRDefault="002B0A50" w:rsidP="00F5133A">
            <w:pPr>
              <w:tabs>
                <w:tab w:val="left" w:pos="1701"/>
              </w:tabs>
              <w:rPr>
                <w:snapToGrid w:val="0"/>
              </w:rPr>
            </w:pPr>
            <w:r>
              <w:rPr>
                <w:snapToGrid w:val="0"/>
              </w:rPr>
              <w:t>Utskottet justerade betänkande 2017/18:SfU24.</w:t>
            </w:r>
          </w:p>
          <w:p w:rsidR="002B0A50" w:rsidRDefault="002B0A50" w:rsidP="00F5133A">
            <w:pPr>
              <w:tabs>
                <w:tab w:val="left" w:pos="1701"/>
              </w:tabs>
              <w:rPr>
                <w:snapToGrid w:val="0"/>
              </w:rPr>
            </w:pPr>
          </w:p>
          <w:p w:rsidR="002B0A50" w:rsidRDefault="002B0A50" w:rsidP="00F5133A">
            <w:pPr>
              <w:tabs>
                <w:tab w:val="left" w:pos="1701"/>
              </w:tabs>
              <w:rPr>
                <w:snapToGrid w:val="0"/>
              </w:rPr>
            </w:pPr>
            <w:r>
              <w:rPr>
                <w:snapToGrid w:val="0"/>
              </w:rPr>
              <w:t xml:space="preserve">SD-ledamöterna anmälde </w:t>
            </w:r>
            <w:r w:rsidR="0064590C">
              <w:rPr>
                <w:snapToGrid w:val="0"/>
              </w:rPr>
              <w:t>en reservation</w:t>
            </w:r>
            <w:r>
              <w:rPr>
                <w:snapToGrid w:val="0"/>
              </w:rPr>
              <w:t>.</w:t>
            </w:r>
          </w:p>
          <w:p w:rsidR="002B0A50" w:rsidRPr="002B0A50" w:rsidRDefault="002B0A50" w:rsidP="00F5133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2B0A50" w:rsidP="00F5133A">
            <w:pPr>
              <w:tabs>
                <w:tab w:val="left" w:pos="1701"/>
              </w:tabs>
              <w:rPr>
                <w:b/>
                <w:snapToGrid w:val="0"/>
              </w:rPr>
            </w:pPr>
            <w:r>
              <w:rPr>
                <w:b/>
                <w:snapToGrid w:val="0"/>
              </w:rPr>
              <w:t>Information av Riksrevisionen</w:t>
            </w:r>
          </w:p>
          <w:p w:rsidR="002B0A50" w:rsidRDefault="002B0A50" w:rsidP="00F5133A">
            <w:pPr>
              <w:tabs>
                <w:tab w:val="left" w:pos="1701"/>
              </w:tabs>
              <w:rPr>
                <w:b/>
                <w:snapToGrid w:val="0"/>
              </w:rPr>
            </w:pPr>
          </w:p>
          <w:p w:rsidR="002B0A50" w:rsidRDefault="002B0A50" w:rsidP="002B0A50">
            <w:pPr>
              <w:tabs>
                <w:tab w:val="left" w:pos="1701"/>
              </w:tabs>
              <w:rPr>
                <w:snapToGrid w:val="0"/>
              </w:rPr>
            </w:pPr>
            <w:r>
              <w:rPr>
                <w:snapToGrid w:val="0"/>
              </w:rPr>
              <w:t xml:space="preserve">Riksrevisor Stefan Lundgren m.fl., presenterade granskningsrapporterna RiR 2018:4 Återkrav av bostadsbidrag – lätt att göra fel och RiR 2018:9 Nekad sjuk- och aktivitetsersättning – effekter på inkomst och hälsa. </w:t>
            </w:r>
          </w:p>
          <w:p w:rsidR="002B0A50" w:rsidRPr="002B0A50" w:rsidRDefault="002B0A50" w:rsidP="002B0A50">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2B0A50" w:rsidP="00F5133A">
            <w:pPr>
              <w:tabs>
                <w:tab w:val="left" w:pos="1701"/>
              </w:tabs>
              <w:rPr>
                <w:b/>
                <w:snapToGrid w:val="0"/>
              </w:rPr>
            </w:pPr>
            <w:r>
              <w:rPr>
                <w:b/>
                <w:snapToGrid w:val="0"/>
              </w:rPr>
              <w:t>Lag om försäkringsmedicinska utredningar (SfU22)</w:t>
            </w:r>
          </w:p>
          <w:p w:rsidR="002B0A50" w:rsidRDefault="002B0A50" w:rsidP="00F5133A">
            <w:pPr>
              <w:tabs>
                <w:tab w:val="left" w:pos="1701"/>
              </w:tabs>
              <w:rPr>
                <w:b/>
                <w:snapToGrid w:val="0"/>
              </w:rPr>
            </w:pPr>
          </w:p>
          <w:p w:rsidR="002B0A50" w:rsidRDefault="002B0A50" w:rsidP="00F5133A">
            <w:pPr>
              <w:tabs>
                <w:tab w:val="left" w:pos="1701"/>
              </w:tabs>
              <w:rPr>
                <w:snapToGrid w:val="0"/>
              </w:rPr>
            </w:pPr>
            <w:r>
              <w:rPr>
                <w:snapToGrid w:val="0"/>
              </w:rPr>
              <w:t>Utskottet behandlade proposition 2017/18:224 och motion.</w:t>
            </w:r>
          </w:p>
          <w:p w:rsidR="002B0A50" w:rsidRDefault="002B0A50" w:rsidP="00F5133A">
            <w:pPr>
              <w:tabs>
                <w:tab w:val="left" w:pos="1701"/>
              </w:tabs>
              <w:rPr>
                <w:snapToGrid w:val="0"/>
              </w:rPr>
            </w:pPr>
          </w:p>
          <w:p w:rsidR="002B0A50" w:rsidRDefault="002B0A50" w:rsidP="00F5133A">
            <w:pPr>
              <w:tabs>
                <w:tab w:val="left" w:pos="1701"/>
              </w:tabs>
              <w:rPr>
                <w:snapToGrid w:val="0"/>
              </w:rPr>
            </w:pPr>
            <w:r>
              <w:rPr>
                <w:snapToGrid w:val="0"/>
              </w:rPr>
              <w:t>Ärendet bordlades.</w:t>
            </w:r>
          </w:p>
          <w:p w:rsidR="002B0A50" w:rsidRPr="002B0A50" w:rsidRDefault="002B0A50" w:rsidP="00F5133A">
            <w:pPr>
              <w:tabs>
                <w:tab w:val="left" w:pos="1701"/>
              </w:tabs>
              <w:rPr>
                <w:snapToGrid w:val="0"/>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2B0A50">
              <w:rPr>
                <w:b/>
                <w:snapToGrid w:val="0"/>
              </w:rPr>
              <w:t xml:space="preserve"> 5</w:t>
            </w:r>
          </w:p>
        </w:tc>
        <w:tc>
          <w:tcPr>
            <w:tcW w:w="6946" w:type="dxa"/>
            <w:gridSpan w:val="2"/>
          </w:tcPr>
          <w:p w:rsidR="00403AC6" w:rsidRDefault="00403AC6" w:rsidP="00403AC6">
            <w:pPr>
              <w:tabs>
                <w:tab w:val="left" w:pos="1701"/>
              </w:tabs>
              <w:rPr>
                <w:b/>
                <w:snapToGrid w:val="0"/>
              </w:rPr>
            </w:pPr>
            <w:r>
              <w:rPr>
                <w:b/>
                <w:snapToGrid w:val="0"/>
              </w:rPr>
              <w:t>Kanslimeddelanden</w:t>
            </w:r>
          </w:p>
          <w:p w:rsidR="00403AC6" w:rsidRDefault="00403AC6" w:rsidP="00403AC6">
            <w:pPr>
              <w:tabs>
                <w:tab w:val="left" w:pos="1701"/>
              </w:tabs>
              <w:rPr>
                <w:b/>
                <w:snapToGrid w:val="0"/>
              </w:rPr>
            </w:pPr>
          </w:p>
          <w:p w:rsidR="00403AC6" w:rsidRPr="00403AC6" w:rsidRDefault="00CD2EF3" w:rsidP="00403AC6">
            <w:pPr>
              <w:tabs>
                <w:tab w:val="left" w:pos="1701"/>
              </w:tabs>
              <w:rPr>
                <w:snapToGrid w:val="0"/>
              </w:rPr>
            </w:pPr>
            <w:r>
              <w:rPr>
                <w:snapToGrid w:val="0"/>
              </w:rPr>
              <w:t>Inkommen skrivelse</w:t>
            </w:r>
            <w:r w:rsidR="00403AC6" w:rsidRPr="00403AC6">
              <w:rPr>
                <w:snapToGrid w:val="0"/>
              </w:rPr>
              <w:t xml:space="preserve"> enligt bilaga 2 anmäldes.</w:t>
            </w:r>
          </w:p>
          <w:p w:rsidR="00403AC6" w:rsidRDefault="00403AC6" w:rsidP="00403AC6">
            <w:pPr>
              <w:tabs>
                <w:tab w:val="left" w:pos="1701"/>
              </w:tabs>
              <w:rPr>
                <w:b/>
                <w:snapToGrid w:val="0"/>
              </w:rPr>
            </w:pPr>
          </w:p>
        </w:tc>
      </w:tr>
      <w:tr w:rsidR="002B0A50" w:rsidRPr="007A327C" w:rsidTr="00F5133A">
        <w:tc>
          <w:tcPr>
            <w:tcW w:w="567" w:type="dxa"/>
          </w:tcPr>
          <w:p w:rsidR="002B0A50" w:rsidRDefault="002B0A50">
            <w:pPr>
              <w:tabs>
                <w:tab w:val="left" w:pos="1701"/>
              </w:tabs>
              <w:rPr>
                <w:b/>
                <w:snapToGrid w:val="0"/>
              </w:rPr>
            </w:pPr>
            <w:r>
              <w:rPr>
                <w:b/>
                <w:snapToGrid w:val="0"/>
              </w:rPr>
              <w:t>§ 6</w:t>
            </w:r>
          </w:p>
        </w:tc>
        <w:tc>
          <w:tcPr>
            <w:tcW w:w="6946" w:type="dxa"/>
            <w:gridSpan w:val="2"/>
          </w:tcPr>
          <w:p w:rsidR="002B0A50" w:rsidRDefault="002B0A50" w:rsidP="00403AC6">
            <w:pPr>
              <w:tabs>
                <w:tab w:val="left" w:pos="1701"/>
              </w:tabs>
              <w:rPr>
                <w:b/>
                <w:snapToGrid w:val="0"/>
              </w:rPr>
            </w:pPr>
            <w:r>
              <w:rPr>
                <w:b/>
                <w:snapToGrid w:val="0"/>
              </w:rPr>
              <w:t>EU-</w:t>
            </w:r>
            <w:r w:rsidR="00CD2EF3">
              <w:rPr>
                <w:b/>
                <w:snapToGrid w:val="0"/>
              </w:rPr>
              <w:t>frågor</w:t>
            </w:r>
            <w:r>
              <w:rPr>
                <w:b/>
                <w:snapToGrid w:val="0"/>
              </w:rPr>
              <w:t xml:space="preserve"> på det socialpolitiska området</w:t>
            </w:r>
          </w:p>
          <w:p w:rsidR="002B0A50" w:rsidRDefault="002B0A50" w:rsidP="00403AC6">
            <w:pPr>
              <w:tabs>
                <w:tab w:val="left" w:pos="1701"/>
              </w:tabs>
              <w:rPr>
                <w:b/>
                <w:snapToGrid w:val="0"/>
              </w:rPr>
            </w:pPr>
          </w:p>
          <w:p w:rsidR="002B0A50" w:rsidRDefault="002B0A50" w:rsidP="002B0A50">
            <w:pPr>
              <w:tabs>
                <w:tab w:val="left" w:pos="1701"/>
              </w:tabs>
              <w:rPr>
                <w:snapToGrid w:val="0"/>
              </w:rPr>
            </w:pPr>
            <w:r>
              <w:rPr>
                <w:snapToGrid w:val="0"/>
              </w:rPr>
              <w:t>Statssekreterare Agneta Karlsson, m.fl., Socialdepartementet, återrapporterade från</w:t>
            </w:r>
            <w:r w:rsidR="00CD2EF3">
              <w:rPr>
                <w:snapToGrid w:val="0"/>
              </w:rPr>
              <w:t xml:space="preserve"> det</w:t>
            </w:r>
            <w:r>
              <w:rPr>
                <w:snapToGrid w:val="0"/>
              </w:rPr>
              <w:t xml:space="preserve"> informella ministerrådsmötet den 17–18 april 2018 och</w:t>
            </w:r>
            <w:r w:rsidR="00CD2EF3">
              <w:rPr>
                <w:snapToGrid w:val="0"/>
              </w:rPr>
              <w:t xml:space="preserve"> från</w:t>
            </w:r>
            <w:r>
              <w:rPr>
                <w:snapToGrid w:val="0"/>
              </w:rPr>
              <w:t xml:space="preserve"> Epsco-rådets möte den 15 mars 2018.</w:t>
            </w:r>
          </w:p>
          <w:p w:rsidR="002B0A50" w:rsidRPr="002B0A50" w:rsidRDefault="002B0A50" w:rsidP="002B0A50">
            <w:pPr>
              <w:tabs>
                <w:tab w:val="left" w:pos="1701"/>
              </w:tabs>
              <w:rPr>
                <w:snapToGrid w:val="0"/>
              </w:rPr>
            </w:pPr>
          </w:p>
        </w:tc>
      </w:tr>
      <w:tr w:rsidR="002B0A50" w:rsidRPr="007A327C" w:rsidTr="00F5133A">
        <w:tc>
          <w:tcPr>
            <w:tcW w:w="567" w:type="dxa"/>
          </w:tcPr>
          <w:p w:rsidR="002B0A50" w:rsidRDefault="002B0A50">
            <w:pPr>
              <w:tabs>
                <w:tab w:val="left" w:pos="1701"/>
              </w:tabs>
              <w:rPr>
                <w:b/>
                <w:snapToGrid w:val="0"/>
              </w:rPr>
            </w:pPr>
            <w:r>
              <w:rPr>
                <w:b/>
                <w:snapToGrid w:val="0"/>
              </w:rPr>
              <w:t>§ 7</w:t>
            </w:r>
          </w:p>
        </w:tc>
        <w:tc>
          <w:tcPr>
            <w:tcW w:w="6946" w:type="dxa"/>
            <w:gridSpan w:val="2"/>
          </w:tcPr>
          <w:p w:rsidR="002B0A50" w:rsidRDefault="002B0A50" w:rsidP="002B0A50">
            <w:pPr>
              <w:tabs>
                <w:tab w:val="left" w:pos="1701"/>
              </w:tabs>
              <w:rPr>
                <w:b/>
                <w:snapToGrid w:val="0"/>
              </w:rPr>
            </w:pPr>
            <w:r>
              <w:rPr>
                <w:b/>
                <w:snapToGrid w:val="0"/>
              </w:rPr>
              <w:t>EU-</w:t>
            </w:r>
            <w:r w:rsidR="00CD2EF3">
              <w:rPr>
                <w:b/>
                <w:snapToGrid w:val="0"/>
              </w:rPr>
              <w:t>frågor</w:t>
            </w:r>
            <w:r>
              <w:rPr>
                <w:b/>
                <w:snapToGrid w:val="0"/>
              </w:rPr>
              <w:t xml:space="preserve"> på det socialpolitiska området</w:t>
            </w:r>
          </w:p>
          <w:p w:rsidR="002B0A50" w:rsidRDefault="002B0A50" w:rsidP="00403AC6">
            <w:pPr>
              <w:tabs>
                <w:tab w:val="left" w:pos="1701"/>
              </w:tabs>
              <w:rPr>
                <w:b/>
                <w:snapToGrid w:val="0"/>
              </w:rPr>
            </w:pPr>
          </w:p>
          <w:p w:rsidR="002B0A50" w:rsidRDefault="002B0A50" w:rsidP="002B0A50">
            <w:pPr>
              <w:tabs>
                <w:tab w:val="left" w:pos="1701"/>
              </w:tabs>
              <w:rPr>
                <w:snapToGrid w:val="0"/>
              </w:rPr>
            </w:pPr>
            <w:r>
              <w:rPr>
                <w:snapToGrid w:val="0"/>
              </w:rPr>
              <w:t xml:space="preserve">Statssekreterare Agneta Karlsson, m.fl., Socialdepartementet, informerade utskottet om kommissionens direktivförslag om balans </w:t>
            </w:r>
            <w:r>
              <w:rPr>
                <w:snapToGrid w:val="0"/>
              </w:rPr>
              <w:lastRenderedPageBreak/>
              <w:t>mellan arbete och privatliv för föräldrar och anhörigvårdare COM(2017) 253, kommissionens meddelande om genomförandet av den europeiska pelaren för sociala rättigheter COM(2018) 130, kommissionens förslag om förordning om inrättande av Europeiska arbetsmyndigheten COM(2018) 131, EU-domstolens dom i mål C-551/16 om export av arbetslöshetsförmåner samt läget i förhandlingarna rörande kommissionens förslag till revidering av förordning 883/2004 om samordning av de sociala trygghetssystemen COM(2016) 815.</w:t>
            </w:r>
          </w:p>
          <w:p w:rsidR="002B0A50" w:rsidRPr="002B0A50" w:rsidRDefault="002B0A50" w:rsidP="002B0A50">
            <w:pPr>
              <w:tabs>
                <w:tab w:val="left" w:pos="1701"/>
              </w:tabs>
              <w:rPr>
                <w:snapToGrid w:val="0"/>
              </w:rPr>
            </w:pPr>
          </w:p>
        </w:tc>
      </w:tr>
      <w:tr w:rsidR="002B0A50" w:rsidRPr="007A327C" w:rsidTr="00F5133A">
        <w:tc>
          <w:tcPr>
            <w:tcW w:w="567" w:type="dxa"/>
          </w:tcPr>
          <w:p w:rsidR="002B0A50" w:rsidRDefault="002B0A50" w:rsidP="002B0A50">
            <w:pPr>
              <w:tabs>
                <w:tab w:val="left" w:pos="1701"/>
              </w:tabs>
              <w:rPr>
                <w:b/>
                <w:snapToGrid w:val="0"/>
              </w:rPr>
            </w:pPr>
            <w:r>
              <w:rPr>
                <w:b/>
                <w:snapToGrid w:val="0"/>
              </w:rPr>
              <w:lastRenderedPageBreak/>
              <w:t>§ 8</w:t>
            </w:r>
          </w:p>
        </w:tc>
        <w:tc>
          <w:tcPr>
            <w:tcW w:w="6946" w:type="dxa"/>
            <w:gridSpan w:val="2"/>
          </w:tcPr>
          <w:p w:rsidR="002B0A50" w:rsidRPr="00E15A2F" w:rsidRDefault="002B0A50" w:rsidP="002B0A50">
            <w:pPr>
              <w:tabs>
                <w:tab w:val="left" w:pos="1701"/>
              </w:tabs>
              <w:rPr>
                <w:b/>
                <w:bCs/>
                <w:color w:val="000000"/>
                <w:szCs w:val="24"/>
              </w:rPr>
            </w:pPr>
            <w:r w:rsidRPr="00E15A2F">
              <w:rPr>
                <w:b/>
                <w:bCs/>
                <w:color w:val="000000"/>
                <w:szCs w:val="24"/>
              </w:rPr>
              <w:t xml:space="preserve">Rådsrekommendation om tillgång till socialt skydd för arbetstagare och egenföretagare </w:t>
            </w:r>
          </w:p>
          <w:p w:rsidR="002B0A50" w:rsidRDefault="002B0A50" w:rsidP="002B0A50">
            <w:pPr>
              <w:tabs>
                <w:tab w:val="left" w:pos="1701"/>
              </w:tabs>
              <w:rPr>
                <w:b/>
                <w:bCs/>
                <w:color w:val="000000"/>
                <w:szCs w:val="24"/>
              </w:rPr>
            </w:pPr>
          </w:p>
          <w:p w:rsidR="002B0A50" w:rsidRDefault="002B0A50" w:rsidP="002B0A50">
            <w:pPr>
              <w:tabs>
                <w:tab w:val="left" w:pos="1701"/>
              </w:tabs>
              <w:rPr>
                <w:rFonts w:eastAsiaTheme="minorHAnsi"/>
                <w:bCs/>
                <w:color w:val="000000"/>
                <w:szCs w:val="24"/>
                <w:lang w:eastAsia="en-US"/>
              </w:rPr>
            </w:pPr>
            <w:r>
              <w:rPr>
                <w:rFonts w:eastAsiaTheme="minorHAnsi"/>
                <w:bCs/>
                <w:color w:val="000000"/>
                <w:szCs w:val="24"/>
                <w:lang w:eastAsia="en-US"/>
              </w:rPr>
              <w:t>Utskottet överlade med statssekreterare Agneta Karlsson, Socialdepartementet.</w:t>
            </w:r>
          </w:p>
          <w:p w:rsidR="002B0A50" w:rsidRDefault="002B0A50" w:rsidP="002B0A50">
            <w:pPr>
              <w:tabs>
                <w:tab w:val="left" w:pos="1701"/>
              </w:tabs>
              <w:rPr>
                <w:snapToGrid w:val="0"/>
              </w:rPr>
            </w:pPr>
          </w:p>
          <w:p w:rsidR="002B0A50" w:rsidRDefault="002B0A50" w:rsidP="002B0A50">
            <w:pPr>
              <w:tabs>
                <w:tab w:val="left" w:pos="1701"/>
              </w:tabs>
              <w:rPr>
                <w:snapToGrid w:val="0"/>
              </w:rPr>
            </w:pPr>
            <w:r w:rsidRPr="00E15A2F">
              <w:rPr>
                <w:snapToGrid w:val="0"/>
              </w:rPr>
              <w:t xml:space="preserve">Underlaget utgjordes av kommissionens förslag till rådsrekommendation om tillgång till socialt skydd för arbetstagare och egenföretagare COM(2018) 132, faktapromemoria 2017/18:FPM64 </w:t>
            </w:r>
            <w:r>
              <w:rPr>
                <w:snapToGrid w:val="0"/>
              </w:rPr>
              <w:t>och</w:t>
            </w:r>
            <w:r w:rsidRPr="00E15A2F">
              <w:rPr>
                <w:snapToGrid w:val="0"/>
              </w:rPr>
              <w:t xml:space="preserve"> en </w:t>
            </w:r>
            <w:r>
              <w:rPr>
                <w:snapToGrid w:val="0"/>
              </w:rPr>
              <w:t>överläggnings</w:t>
            </w:r>
            <w:r w:rsidRPr="00E15A2F">
              <w:rPr>
                <w:snapToGrid w:val="0"/>
              </w:rPr>
              <w:t>promemoria upprättad av Socialdepartementet den 24 april 2018</w:t>
            </w:r>
            <w:r>
              <w:rPr>
                <w:snapToGrid w:val="0"/>
              </w:rPr>
              <w:t xml:space="preserve"> där regeringens ståndpunkt inför det fortsatta arbetet framgår (dnr. 1866-2017/18).</w:t>
            </w:r>
          </w:p>
          <w:p w:rsidR="002B0A50" w:rsidRDefault="002B0A50" w:rsidP="002B0A50">
            <w:pPr>
              <w:tabs>
                <w:tab w:val="left" w:pos="1701"/>
              </w:tabs>
              <w:rPr>
                <w:snapToGrid w:val="0"/>
              </w:rPr>
            </w:pPr>
          </w:p>
          <w:p w:rsidR="002B0A50" w:rsidRDefault="002B0A50" w:rsidP="002B0A50">
            <w:pPr>
              <w:tabs>
                <w:tab w:val="left" w:pos="1701"/>
              </w:tabs>
              <w:rPr>
                <w:snapToGrid w:val="0"/>
              </w:rPr>
            </w:pPr>
            <w:r>
              <w:rPr>
                <w:snapToGrid w:val="0"/>
              </w:rPr>
              <w:t>Regeringens ståndpunkt var följande:</w:t>
            </w:r>
          </w:p>
          <w:p w:rsidR="00CD2EF3" w:rsidRPr="00CD2EF3" w:rsidRDefault="00CD2EF3" w:rsidP="00CD2EF3">
            <w:pPr>
              <w:tabs>
                <w:tab w:val="left" w:pos="1701"/>
              </w:tabs>
              <w:rPr>
                <w:snapToGrid w:val="0"/>
              </w:rPr>
            </w:pPr>
            <w:r>
              <w:rPr>
                <w:snapToGrid w:val="0"/>
              </w:rPr>
              <w:t>R</w:t>
            </w:r>
            <w:r w:rsidRPr="00CD2EF3">
              <w:rPr>
                <w:snapToGrid w:val="0"/>
              </w:rPr>
              <w:t>egeringen anser att socialt skydd är en investering som skapar möjligheter för människor att anpassa sig till ändrade ekonomiska förutsättningar och förändringar på arbetsmarknaden. En hög nivå av socialt skydd för företagare kan också leda till att fler kvinnor och män vågar starta och driva företag. Starka och välfungerande system för socialt skydd leder till ökad jämlikhet, jämställdhet och ekonomisk tillväxt och verkar stabiliserande i kristider, vilket är av godo för medborgare, medlemsstater och EU som helhet.</w:t>
            </w:r>
          </w:p>
          <w:p w:rsidR="00CD2EF3" w:rsidRPr="00CD2EF3" w:rsidRDefault="00CD2EF3" w:rsidP="00CD2EF3">
            <w:pPr>
              <w:tabs>
                <w:tab w:val="left" w:pos="1701"/>
              </w:tabs>
              <w:rPr>
                <w:snapToGrid w:val="0"/>
              </w:rPr>
            </w:pPr>
            <w:r w:rsidRPr="00CD2EF3">
              <w:rPr>
                <w:snapToGrid w:val="0"/>
              </w:rPr>
              <w:t>Vidare anser regeringen att befintliga system för socialt skydd i EU bör utvecklas och moderniseras i takt med samhällsutvecklingen för att säkerställa att alla som arbetar omfattas av dem. En sådan anpassning värnar medborgarnas sociala trygghet, gynnar den fria rörligheten och bidrar till ekonomisk tillväxt. Det är av vikt att EU:s medlemsstater tillsammans åtar sig att verka för detta.</w:t>
            </w:r>
          </w:p>
          <w:p w:rsidR="00CD2EF3" w:rsidRPr="00CD2EF3" w:rsidRDefault="00CD2EF3" w:rsidP="00CD2EF3">
            <w:pPr>
              <w:tabs>
                <w:tab w:val="left" w:pos="1701"/>
              </w:tabs>
              <w:rPr>
                <w:snapToGrid w:val="0"/>
              </w:rPr>
            </w:pPr>
            <w:r w:rsidRPr="00CD2EF3">
              <w:rPr>
                <w:snapToGrid w:val="0"/>
              </w:rPr>
              <w:t>Regeringen välkomnar initiativet till rådsrekommendation och att en gemensam och kontinuerlig uppföljning av rekommendationen sker inom existerande ramverk så som den europeiska planeringsterminen. Regeringen menar dock att ytterligare klargöranden behövs beträffande formerna för uppföljningen av rekommendationen, vilka bör vara proportionerliga i förhållande till syftet och inte innebära en oproportionerlig administrativ börda för medlemsstaterna eller inverka på nationell rätt.</w:t>
            </w:r>
          </w:p>
          <w:p w:rsidR="00CD2EF3" w:rsidRPr="00CD2EF3" w:rsidRDefault="00CD2EF3" w:rsidP="00CD2EF3">
            <w:pPr>
              <w:tabs>
                <w:tab w:val="left" w:pos="1701"/>
              </w:tabs>
              <w:rPr>
                <w:snapToGrid w:val="0"/>
              </w:rPr>
            </w:pPr>
            <w:r w:rsidRPr="00CD2EF3">
              <w:rPr>
                <w:snapToGrid w:val="0"/>
              </w:rPr>
              <w:t>Ett Europa för jobb och inkluderande tillväxt bygger enligt regeringen på samverkan mellan ekonomisk tillväxt, internationell konkurrenskraft och sociala framsteg. Samtidigt är det viktigt att fördelningen av befogenheter mellan EU och medlemsstaterna rörande den ekonomiska politiken (inklusive på skatteområdet), sysselsättningspolitiken och sociala frågor även fortsättningsvis respekteras.</w:t>
            </w:r>
          </w:p>
          <w:p w:rsidR="00CD2EF3" w:rsidRPr="00CD2EF3" w:rsidRDefault="00CD2EF3" w:rsidP="00CD2EF3">
            <w:pPr>
              <w:tabs>
                <w:tab w:val="left" w:pos="1701"/>
              </w:tabs>
              <w:rPr>
                <w:snapToGrid w:val="0"/>
              </w:rPr>
            </w:pPr>
            <w:r w:rsidRPr="00CD2EF3">
              <w:rPr>
                <w:snapToGrid w:val="0"/>
              </w:rPr>
              <w:t xml:space="preserve">Det är avgörande att medlemsstaternas arbetsmarknadsmodeller och </w:t>
            </w:r>
            <w:r w:rsidRPr="00CD2EF3">
              <w:rPr>
                <w:snapToGrid w:val="0"/>
              </w:rPr>
              <w:lastRenderedPageBreak/>
              <w:t>arbetsmarknadens parters autonomi även fortsättningsvis respekteras.</w:t>
            </w:r>
          </w:p>
          <w:p w:rsidR="002B0A50" w:rsidRDefault="002B0A50" w:rsidP="002B0A50">
            <w:pPr>
              <w:tabs>
                <w:tab w:val="left" w:pos="1701"/>
              </w:tabs>
              <w:rPr>
                <w:snapToGrid w:val="0"/>
              </w:rPr>
            </w:pPr>
          </w:p>
          <w:p w:rsidR="002B0A50" w:rsidRPr="00E15A2F" w:rsidRDefault="002B0A50" w:rsidP="002B0A50">
            <w:pPr>
              <w:tabs>
                <w:tab w:val="left" w:pos="1701"/>
              </w:tabs>
              <w:rPr>
                <w:snapToGrid w:val="0"/>
              </w:rPr>
            </w:pPr>
            <w:r>
              <w:rPr>
                <w:snapToGrid w:val="0"/>
              </w:rPr>
              <w:t>Utskottet och statssekreteraren enades om att stryka det andra stycket i den svenska ståndpunkten som börjar med ”Vidare anser regeringen” och slutar med ”verkar för detta”.</w:t>
            </w:r>
          </w:p>
          <w:p w:rsidR="002B0A50" w:rsidRPr="00E15A2F" w:rsidRDefault="002B0A50" w:rsidP="002B0A50">
            <w:pPr>
              <w:tabs>
                <w:tab w:val="left" w:pos="1701"/>
              </w:tabs>
              <w:rPr>
                <w:snapToGrid w:val="0"/>
              </w:rPr>
            </w:pPr>
          </w:p>
          <w:p w:rsidR="002B0A50" w:rsidRDefault="002B0A50" w:rsidP="002B0A50">
            <w:pPr>
              <w:tabs>
                <w:tab w:val="left" w:pos="1701"/>
              </w:tabs>
              <w:rPr>
                <w:snapToGrid w:val="0"/>
              </w:rPr>
            </w:pPr>
            <w:r w:rsidRPr="00F03CC9">
              <w:rPr>
                <w:snapToGrid w:val="0"/>
              </w:rPr>
              <w:t xml:space="preserve">Ordföranden konstaterade att det fanns </w:t>
            </w:r>
            <w:r>
              <w:rPr>
                <w:snapToGrid w:val="0"/>
              </w:rPr>
              <w:t xml:space="preserve">stöd </w:t>
            </w:r>
            <w:r w:rsidRPr="00F03CC9">
              <w:rPr>
                <w:snapToGrid w:val="0"/>
              </w:rPr>
              <w:t>för re</w:t>
            </w:r>
            <w:r>
              <w:rPr>
                <w:snapToGrid w:val="0"/>
              </w:rPr>
              <w:t>geringens redovisade ståndpunkt med den ändringen att andra stycket i rege</w:t>
            </w:r>
            <w:r w:rsidR="00CD2EF3">
              <w:rPr>
                <w:snapToGrid w:val="0"/>
              </w:rPr>
              <w:t>ringens ståndpunkt således utgick</w:t>
            </w:r>
            <w:r>
              <w:rPr>
                <w:snapToGrid w:val="0"/>
              </w:rPr>
              <w:t>.</w:t>
            </w:r>
          </w:p>
          <w:p w:rsidR="002B0A50" w:rsidRDefault="002B0A50" w:rsidP="002B0A50">
            <w:pPr>
              <w:tabs>
                <w:tab w:val="left" w:pos="1701"/>
              </w:tabs>
              <w:rPr>
                <w:snapToGrid w:val="0"/>
              </w:rPr>
            </w:pPr>
          </w:p>
          <w:p w:rsidR="002B0A50" w:rsidRDefault="002B0A50" w:rsidP="002B0A50">
            <w:pPr>
              <w:tabs>
                <w:tab w:val="left" w:pos="1701"/>
              </w:tabs>
              <w:rPr>
                <w:bCs/>
                <w:color w:val="000000"/>
                <w:szCs w:val="24"/>
              </w:rPr>
            </w:pPr>
            <w:r w:rsidRPr="00B837CE">
              <w:rPr>
                <w:bCs/>
                <w:color w:val="000000"/>
                <w:szCs w:val="24"/>
              </w:rPr>
              <w:t>Denna paragraf förklarades omedelbart justerad.</w:t>
            </w:r>
          </w:p>
          <w:p w:rsidR="002B0A50" w:rsidRPr="007E2020" w:rsidRDefault="002B0A50" w:rsidP="002B0A50">
            <w:pPr>
              <w:tabs>
                <w:tab w:val="left" w:pos="1701"/>
              </w:tabs>
              <w:rPr>
                <w:bCs/>
                <w:color w:val="000000"/>
                <w:szCs w:val="24"/>
              </w:rPr>
            </w:pPr>
          </w:p>
        </w:tc>
      </w:tr>
      <w:tr w:rsidR="002E599A" w:rsidRPr="007A327C" w:rsidTr="00F5133A">
        <w:tc>
          <w:tcPr>
            <w:tcW w:w="567" w:type="dxa"/>
          </w:tcPr>
          <w:p w:rsidR="002E599A" w:rsidRDefault="002E599A" w:rsidP="002B0A50">
            <w:pPr>
              <w:tabs>
                <w:tab w:val="left" w:pos="1701"/>
              </w:tabs>
              <w:rPr>
                <w:b/>
                <w:snapToGrid w:val="0"/>
              </w:rPr>
            </w:pPr>
            <w:r>
              <w:rPr>
                <w:b/>
                <w:snapToGrid w:val="0"/>
              </w:rPr>
              <w:lastRenderedPageBreak/>
              <w:t>§ 9</w:t>
            </w:r>
          </w:p>
        </w:tc>
        <w:tc>
          <w:tcPr>
            <w:tcW w:w="6946" w:type="dxa"/>
            <w:gridSpan w:val="2"/>
          </w:tcPr>
          <w:p w:rsidR="002E599A" w:rsidRDefault="002E599A" w:rsidP="002B0A50">
            <w:pPr>
              <w:tabs>
                <w:tab w:val="left" w:pos="1701"/>
              </w:tabs>
              <w:rPr>
                <w:b/>
                <w:bCs/>
                <w:color w:val="000000"/>
                <w:szCs w:val="24"/>
              </w:rPr>
            </w:pPr>
            <w:r>
              <w:rPr>
                <w:b/>
                <w:bCs/>
                <w:color w:val="000000"/>
                <w:szCs w:val="24"/>
              </w:rPr>
              <w:t>Övriga frågor</w:t>
            </w:r>
          </w:p>
          <w:p w:rsidR="002E599A" w:rsidRDefault="002E599A" w:rsidP="002B0A50">
            <w:pPr>
              <w:tabs>
                <w:tab w:val="left" w:pos="1701"/>
              </w:tabs>
              <w:rPr>
                <w:b/>
                <w:bCs/>
                <w:color w:val="000000"/>
                <w:szCs w:val="24"/>
              </w:rPr>
            </w:pPr>
          </w:p>
          <w:p w:rsidR="002E599A" w:rsidRDefault="00CD2EF3" w:rsidP="00CD2EF3">
            <w:pPr>
              <w:tabs>
                <w:tab w:val="left" w:pos="1701"/>
              </w:tabs>
              <w:rPr>
                <w:bCs/>
                <w:color w:val="000000"/>
                <w:szCs w:val="24"/>
              </w:rPr>
            </w:pPr>
            <w:r>
              <w:rPr>
                <w:bCs/>
                <w:color w:val="000000"/>
                <w:szCs w:val="24"/>
              </w:rPr>
              <w:t>Utskottet beslutade att bjuda in statsrådet Annika Strandhäll för att informera om beslutet att avsluta Försäkringskassans generaldirektörs förordnande i förtid.</w:t>
            </w:r>
          </w:p>
          <w:p w:rsidR="00CD2EF3" w:rsidRPr="00CD2EF3" w:rsidRDefault="00CD2EF3" w:rsidP="00CD2EF3">
            <w:pPr>
              <w:tabs>
                <w:tab w:val="left" w:pos="1701"/>
              </w:tabs>
              <w:rPr>
                <w:bCs/>
                <w:color w:val="000000"/>
                <w:szCs w:val="24"/>
              </w:rPr>
            </w:pPr>
          </w:p>
        </w:tc>
      </w:tr>
      <w:tr w:rsidR="002B0A50" w:rsidRPr="007A327C" w:rsidTr="00F5133A">
        <w:tc>
          <w:tcPr>
            <w:tcW w:w="567" w:type="dxa"/>
          </w:tcPr>
          <w:p w:rsidR="002B0A50" w:rsidRPr="007A327C" w:rsidRDefault="002B0A50" w:rsidP="002B0A50">
            <w:pPr>
              <w:tabs>
                <w:tab w:val="left" w:pos="1701"/>
              </w:tabs>
              <w:rPr>
                <w:b/>
                <w:snapToGrid w:val="0"/>
              </w:rPr>
            </w:pPr>
            <w:r w:rsidRPr="007A327C">
              <w:rPr>
                <w:b/>
                <w:snapToGrid w:val="0"/>
              </w:rPr>
              <w:t xml:space="preserve">§ </w:t>
            </w:r>
            <w:r w:rsidR="002E599A">
              <w:rPr>
                <w:b/>
                <w:snapToGrid w:val="0"/>
              </w:rPr>
              <w:t>10</w:t>
            </w:r>
          </w:p>
        </w:tc>
        <w:tc>
          <w:tcPr>
            <w:tcW w:w="6946" w:type="dxa"/>
            <w:gridSpan w:val="2"/>
          </w:tcPr>
          <w:p w:rsidR="002B0A50" w:rsidRPr="007A327C" w:rsidRDefault="002B0A50" w:rsidP="002B0A50">
            <w:pPr>
              <w:tabs>
                <w:tab w:val="left" w:pos="1701"/>
              </w:tabs>
              <w:rPr>
                <w:b/>
                <w:snapToGrid w:val="0"/>
              </w:rPr>
            </w:pPr>
            <w:r>
              <w:rPr>
                <w:b/>
                <w:snapToGrid w:val="0"/>
              </w:rPr>
              <w:t>Nästa</w:t>
            </w:r>
            <w:r w:rsidRPr="007A327C">
              <w:rPr>
                <w:b/>
                <w:snapToGrid w:val="0"/>
              </w:rPr>
              <w:t xml:space="preserve"> sammanträde</w:t>
            </w:r>
          </w:p>
          <w:p w:rsidR="002B0A50" w:rsidRPr="007A327C" w:rsidRDefault="002B0A50" w:rsidP="002B0A50">
            <w:pPr>
              <w:tabs>
                <w:tab w:val="left" w:pos="1701"/>
              </w:tabs>
              <w:rPr>
                <w:b/>
                <w:snapToGrid w:val="0"/>
              </w:rPr>
            </w:pPr>
          </w:p>
          <w:p w:rsidR="002B0A50" w:rsidRDefault="002B0A50" w:rsidP="002B0A50">
            <w:pPr>
              <w:tabs>
                <w:tab w:val="left" w:pos="1701"/>
              </w:tabs>
              <w:rPr>
                <w:color w:val="000000"/>
                <w:szCs w:val="24"/>
              </w:rPr>
            </w:pPr>
            <w:r w:rsidRPr="00DC304A">
              <w:rPr>
                <w:snapToGrid w:val="0"/>
              </w:rPr>
              <w:t xml:space="preserve">Utskottet beslutade att nästa sammanträde ska äga rum </w:t>
            </w:r>
            <w:r>
              <w:rPr>
                <w:color w:val="000000"/>
                <w:szCs w:val="24"/>
              </w:rPr>
              <w:t>tis</w:t>
            </w:r>
            <w:r w:rsidRPr="00DC304A">
              <w:rPr>
                <w:color w:val="000000"/>
                <w:szCs w:val="24"/>
              </w:rPr>
              <w:t xml:space="preserve">dagen den </w:t>
            </w:r>
            <w:r>
              <w:rPr>
                <w:color w:val="000000"/>
                <w:szCs w:val="24"/>
              </w:rPr>
              <w:t>15 maj 2018 kl. 11.00</w:t>
            </w:r>
          </w:p>
          <w:p w:rsidR="002B0A50" w:rsidRPr="007A327C" w:rsidRDefault="002B0A50" w:rsidP="002B0A50">
            <w:pPr>
              <w:tabs>
                <w:tab w:val="left" w:pos="1701"/>
              </w:tabs>
              <w:rPr>
                <w:snapToGrid w:val="0"/>
              </w:rPr>
            </w:pPr>
          </w:p>
        </w:tc>
      </w:tr>
      <w:tr w:rsidR="002B0A50" w:rsidRPr="007A327C" w:rsidTr="00F5133A">
        <w:tc>
          <w:tcPr>
            <w:tcW w:w="567" w:type="dxa"/>
          </w:tcPr>
          <w:p w:rsidR="002B0A50" w:rsidRPr="007A327C" w:rsidRDefault="002B0A50" w:rsidP="002B0A50">
            <w:pPr>
              <w:tabs>
                <w:tab w:val="left" w:pos="1701"/>
              </w:tabs>
              <w:rPr>
                <w:b/>
                <w:snapToGrid w:val="0"/>
              </w:rPr>
            </w:pPr>
          </w:p>
        </w:tc>
        <w:tc>
          <w:tcPr>
            <w:tcW w:w="6946" w:type="dxa"/>
            <w:gridSpan w:val="2"/>
          </w:tcPr>
          <w:p w:rsidR="002B0A50" w:rsidRPr="007A327C" w:rsidRDefault="002B0A50" w:rsidP="002B0A50">
            <w:pPr>
              <w:tabs>
                <w:tab w:val="left" w:pos="1701"/>
              </w:tabs>
              <w:rPr>
                <w:snapToGrid w:val="0"/>
              </w:rPr>
            </w:pPr>
          </w:p>
        </w:tc>
      </w:tr>
      <w:tr w:rsidR="002B0A50" w:rsidRPr="007A327C" w:rsidTr="00F5133A">
        <w:tc>
          <w:tcPr>
            <w:tcW w:w="567" w:type="dxa"/>
          </w:tcPr>
          <w:p w:rsidR="002B0A50" w:rsidRPr="007A327C" w:rsidRDefault="002B0A50" w:rsidP="002B0A50">
            <w:pPr>
              <w:tabs>
                <w:tab w:val="left" w:pos="1701"/>
              </w:tabs>
              <w:rPr>
                <w:b/>
                <w:snapToGrid w:val="0"/>
              </w:rPr>
            </w:pPr>
          </w:p>
        </w:tc>
        <w:tc>
          <w:tcPr>
            <w:tcW w:w="6946" w:type="dxa"/>
            <w:gridSpan w:val="2"/>
          </w:tcPr>
          <w:p w:rsidR="002B0A50" w:rsidRPr="007A327C" w:rsidRDefault="002B0A50" w:rsidP="002B0A50">
            <w:pPr>
              <w:tabs>
                <w:tab w:val="left" w:pos="1701"/>
              </w:tabs>
              <w:rPr>
                <w:snapToGrid w:val="0"/>
              </w:rPr>
            </w:pPr>
          </w:p>
        </w:tc>
      </w:tr>
      <w:tr w:rsidR="002B0A50" w:rsidRPr="007A327C" w:rsidTr="00F5133A">
        <w:trPr>
          <w:gridAfter w:val="1"/>
          <w:wAfter w:w="357" w:type="dxa"/>
        </w:trPr>
        <w:tc>
          <w:tcPr>
            <w:tcW w:w="7156" w:type="dxa"/>
            <w:gridSpan w:val="2"/>
          </w:tcPr>
          <w:p w:rsidR="002B0A50" w:rsidRPr="007A327C" w:rsidRDefault="002B0A50" w:rsidP="002B0A50">
            <w:pPr>
              <w:tabs>
                <w:tab w:val="left" w:pos="1701"/>
              </w:tabs>
            </w:pPr>
            <w:r w:rsidRPr="007A327C">
              <w:t>Vid protokollet</w:t>
            </w:r>
          </w:p>
          <w:p w:rsidR="002B0A50" w:rsidRPr="007A327C" w:rsidRDefault="002B0A50" w:rsidP="002B0A50">
            <w:pPr>
              <w:tabs>
                <w:tab w:val="left" w:pos="1701"/>
              </w:tabs>
            </w:pPr>
          </w:p>
          <w:p w:rsidR="002B0A50" w:rsidRPr="007A327C" w:rsidRDefault="002B0A50" w:rsidP="002B0A50">
            <w:pPr>
              <w:tabs>
                <w:tab w:val="left" w:pos="1701"/>
              </w:tabs>
            </w:pPr>
          </w:p>
          <w:p w:rsidR="002B0A50" w:rsidRPr="007A327C" w:rsidRDefault="002B0A50" w:rsidP="002B0A50">
            <w:pPr>
              <w:tabs>
                <w:tab w:val="left" w:pos="1701"/>
              </w:tabs>
            </w:pPr>
          </w:p>
          <w:p w:rsidR="002B0A50" w:rsidRDefault="002B0A50" w:rsidP="002B0A50">
            <w:pPr>
              <w:tabs>
                <w:tab w:val="left" w:pos="1701"/>
              </w:tabs>
            </w:pPr>
            <w:r w:rsidRPr="007A327C">
              <w:t>Justeras</w:t>
            </w:r>
            <w:r>
              <w:t xml:space="preserve"> den 15 maj 2018</w:t>
            </w:r>
          </w:p>
          <w:p w:rsidR="002B0A50" w:rsidRPr="007A327C" w:rsidRDefault="002B0A50" w:rsidP="002B0A50">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364"/>
        <w:gridCol w:w="364"/>
        <w:gridCol w:w="364"/>
        <w:gridCol w:w="364"/>
        <w:gridCol w:w="364"/>
        <w:gridCol w:w="364"/>
        <w:gridCol w:w="365"/>
        <w:gridCol w:w="364"/>
        <w:gridCol w:w="364"/>
        <w:gridCol w:w="409"/>
        <w:gridCol w:w="353"/>
        <w:gridCol w:w="353"/>
        <w:gridCol w:w="353"/>
        <w:gridCol w:w="353"/>
      </w:tblGrid>
      <w:tr w:rsidR="00656DD9" w:rsidTr="00C94625">
        <w:tc>
          <w:tcPr>
            <w:tcW w:w="3332" w:type="dxa"/>
            <w:tcBorders>
              <w:top w:val="nil"/>
              <w:left w:val="nil"/>
              <w:bottom w:val="nil"/>
              <w:right w:val="nil"/>
            </w:tcBorders>
            <w:hideMark/>
          </w:tcPr>
          <w:p w:rsidR="00656DD9" w:rsidRPr="00F2328F" w:rsidRDefault="00656DD9">
            <w:pPr>
              <w:tabs>
                <w:tab w:val="left" w:pos="1701"/>
              </w:tabs>
              <w:rPr>
                <w:sz w:val="22"/>
                <w:szCs w:val="22"/>
              </w:rPr>
            </w:pPr>
            <w:r w:rsidRPr="00F2328F">
              <w:rPr>
                <w:sz w:val="22"/>
                <w:szCs w:val="22"/>
              </w:rPr>
              <w:br w:type="page"/>
              <w:t>SOCIALFÖRSÄKRINGS-UTSKOTTET</w:t>
            </w:r>
          </w:p>
        </w:tc>
        <w:tc>
          <w:tcPr>
            <w:tcW w:w="3686" w:type="dxa"/>
            <w:gridSpan w:val="10"/>
            <w:tcBorders>
              <w:top w:val="nil"/>
              <w:left w:val="nil"/>
              <w:bottom w:val="nil"/>
              <w:right w:val="nil"/>
            </w:tcBorders>
            <w:hideMark/>
          </w:tcPr>
          <w:p w:rsidR="00656DD9" w:rsidRPr="00F2328F" w:rsidRDefault="00656DD9">
            <w:pPr>
              <w:tabs>
                <w:tab w:val="left" w:pos="1701"/>
              </w:tabs>
              <w:rPr>
                <w:sz w:val="22"/>
                <w:szCs w:val="22"/>
              </w:rPr>
            </w:pPr>
            <w:r w:rsidRPr="00F2328F">
              <w:rPr>
                <w:sz w:val="22"/>
                <w:szCs w:val="22"/>
              </w:rPr>
              <w:t>NÄRVAROFÖRTECKNING</w:t>
            </w:r>
          </w:p>
        </w:tc>
        <w:tc>
          <w:tcPr>
            <w:tcW w:w="1412" w:type="dxa"/>
            <w:gridSpan w:val="4"/>
            <w:tcBorders>
              <w:top w:val="nil"/>
              <w:left w:val="nil"/>
              <w:bottom w:val="nil"/>
              <w:right w:val="nil"/>
            </w:tcBorders>
            <w:hideMark/>
          </w:tcPr>
          <w:p w:rsidR="00656DD9" w:rsidRPr="00F2328F" w:rsidRDefault="00656DD9">
            <w:pPr>
              <w:tabs>
                <w:tab w:val="left" w:pos="1701"/>
              </w:tabs>
              <w:rPr>
                <w:b/>
                <w:sz w:val="22"/>
                <w:szCs w:val="22"/>
              </w:rPr>
            </w:pPr>
            <w:r w:rsidRPr="00F2328F">
              <w:rPr>
                <w:b/>
                <w:sz w:val="22"/>
                <w:szCs w:val="22"/>
              </w:rPr>
              <w:t>Bilaga 1</w:t>
            </w:r>
          </w:p>
          <w:p w:rsidR="00656DD9" w:rsidRPr="00F2328F" w:rsidRDefault="00656DD9">
            <w:pPr>
              <w:tabs>
                <w:tab w:val="left" w:pos="1701"/>
              </w:tabs>
              <w:rPr>
                <w:sz w:val="22"/>
                <w:szCs w:val="22"/>
              </w:rPr>
            </w:pPr>
            <w:r w:rsidRPr="00F2328F">
              <w:rPr>
                <w:sz w:val="22"/>
                <w:szCs w:val="22"/>
              </w:rPr>
              <w:t>till protokoll</w:t>
            </w:r>
          </w:p>
          <w:p w:rsidR="00656DD9" w:rsidRPr="00F2328F" w:rsidRDefault="00656DD9" w:rsidP="00CA4971">
            <w:pPr>
              <w:tabs>
                <w:tab w:val="left" w:pos="1701"/>
              </w:tabs>
              <w:rPr>
                <w:sz w:val="22"/>
                <w:szCs w:val="22"/>
              </w:rPr>
            </w:pPr>
            <w:r w:rsidRPr="00F2328F">
              <w:rPr>
                <w:sz w:val="22"/>
                <w:szCs w:val="22"/>
              </w:rPr>
              <w:t>201</w:t>
            </w:r>
            <w:r w:rsidR="00CA4971">
              <w:rPr>
                <w:sz w:val="22"/>
                <w:szCs w:val="22"/>
              </w:rPr>
              <w:t>7</w:t>
            </w:r>
            <w:r w:rsidRPr="00F2328F">
              <w:rPr>
                <w:sz w:val="22"/>
                <w:szCs w:val="22"/>
              </w:rPr>
              <w:t>/1</w:t>
            </w:r>
            <w:r w:rsidR="00CA4971">
              <w:rPr>
                <w:sz w:val="22"/>
                <w:szCs w:val="22"/>
              </w:rPr>
              <w:t>8</w:t>
            </w:r>
            <w:r w:rsidRPr="00F2328F">
              <w:rPr>
                <w:sz w:val="22"/>
                <w:szCs w:val="22"/>
              </w:rPr>
              <w:t>:</w:t>
            </w:r>
            <w:r w:rsidR="002B0A50">
              <w:rPr>
                <w:sz w:val="22"/>
                <w:szCs w:val="22"/>
              </w:rPr>
              <w:t>32</w:t>
            </w:r>
          </w:p>
        </w:tc>
      </w:tr>
      <w:tr w:rsidR="00656DD9"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2B0A50">
              <w:rPr>
                <w:sz w:val="22"/>
                <w:szCs w:val="22"/>
              </w:rPr>
              <w:t>2</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Default="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3–9</w:t>
            </w:r>
            <w:r w:rsidR="00656DD9">
              <w:rPr>
                <w:sz w:val="22"/>
                <w:szCs w:val="22"/>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29" w:type="dxa"/>
            <w:gridSpan w:val="2"/>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73" w:type="dxa"/>
            <w:gridSpan w:val="2"/>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Tr="002B5FBD">
        <w:tc>
          <w:tcPr>
            <w:tcW w:w="3332"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56DD9" w:rsidTr="002B5FBD">
        <w:tc>
          <w:tcPr>
            <w:tcW w:w="3332" w:type="dxa"/>
            <w:tcBorders>
              <w:top w:val="single" w:sz="6" w:space="0" w:color="auto"/>
              <w:left w:val="single" w:sz="6" w:space="0" w:color="auto"/>
              <w:bottom w:val="single" w:sz="6" w:space="0" w:color="auto"/>
              <w:right w:val="single" w:sz="6" w:space="0" w:color="auto"/>
            </w:tcBorders>
            <w:hideMark/>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LEDAMÖTER</w:t>
            </w: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656DD9"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rPr>
            </w:pPr>
            <w:r>
              <w:rPr>
                <w:sz w:val="22"/>
                <w:szCs w:val="22"/>
              </w:rPr>
              <w:t>Fredrik Lundh Sammeli (S), ordf.</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RPr="00E7686B"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Johan Forssell (M), vice ordf.</w:t>
            </w:r>
          </w:p>
        </w:tc>
        <w:tc>
          <w:tcPr>
            <w:tcW w:w="364" w:type="dxa"/>
            <w:tcBorders>
              <w:top w:val="single" w:sz="6" w:space="0" w:color="auto"/>
              <w:left w:val="single" w:sz="6" w:space="0" w:color="auto"/>
              <w:bottom w:val="single" w:sz="6" w:space="0" w:color="auto"/>
              <w:right w:val="single" w:sz="6" w:space="0" w:color="auto"/>
            </w:tcBorders>
          </w:tcPr>
          <w:p w:rsidR="002B0A50" w:rsidRPr="00F2328F"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F2328F"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Carina Ohlsson (S)</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Mikael Cederbratt (M)</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Phia Andersson (S)</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rPr>
              <w:t>Jennie Åfeldt (SD)</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Lars-Arne Staxäng (M)</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Yilmaz Kerimo (S)</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Solveig Zander (C)</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rPr>
              <w:t>Rickard Persson (MP)</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rFonts w:cs="Arial"/>
                <w:color w:val="000000"/>
              </w:rPr>
              <w:t>Tina Ghasemi (M)</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Kerstin Nilsson (S)</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Linus Bylund (SD)</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Emma Carlsson Löfdahl (L)</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sidRPr="001C39BB">
              <w:rPr>
                <w:sz w:val="22"/>
                <w:szCs w:val="22"/>
                <w:lang w:val="en-US"/>
              </w:rPr>
              <w:t xml:space="preserve">Rossana Dinamarca (V) </w:t>
            </w:r>
            <w:r>
              <w:rPr>
                <w:sz w:val="22"/>
                <w:szCs w:val="22"/>
                <w:lang w:val="en-US"/>
              </w:rPr>
              <w:t xml:space="preserve"> </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Aron Modig (KD)</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2B0A50" w:rsidRDefault="002B0A50" w:rsidP="002B0A50">
            <w:pPr>
              <w:rPr>
                <w:sz w:val="22"/>
                <w:szCs w:val="22"/>
                <w:lang w:val="en-US"/>
              </w:rPr>
            </w:pPr>
            <w:r>
              <w:rPr>
                <w:sz w:val="22"/>
                <w:szCs w:val="22"/>
                <w:lang w:val="en-US"/>
              </w:rPr>
              <w:t>Teresa Carvalho (S)</w:t>
            </w: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vAlign w:val="bottom"/>
          </w:tcPr>
          <w:p w:rsidR="002B0A50" w:rsidRDefault="002B0A50" w:rsidP="002B0A50">
            <w:pPr>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Pr="006F6C7A"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Mathias Tegnér (S)</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tcPr>
          <w:p w:rsidR="002B0A50" w:rsidRDefault="002B0A50" w:rsidP="002B0A50">
            <w:pPr>
              <w:rPr>
                <w:sz w:val="22"/>
                <w:szCs w:val="22"/>
              </w:rPr>
            </w:pPr>
            <w:r w:rsidRPr="00CB5A24">
              <w:rPr>
                <w:sz w:val="22"/>
                <w:szCs w:val="22"/>
              </w:rPr>
              <w:t>Maria Abrahamsson (M)</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Marie Olsson (S)</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Carl-Oskar Bohlin (M)</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Johanna Haraldsson (S)</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tcPr>
          <w:p w:rsidR="002B0A50" w:rsidRDefault="002B0A50" w:rsidP="002B0A50">
            <w:pPr>
              <w:rPr>
                <w:sz w:val="22"/>
                <w:szCs w:val="22"/>
              </w:rPr>
            </w:pPr>
            <w:r>
              <w:rPr>
                <w:sz w:val="22"/>
                <w:szCs w:val="22"/>
              </w:rPr>
              <w:t>Julia Kronlid (SD)</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Jörgen Warborn (M)</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Fredrik Christensson (C)</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tcPr>
          <w:p w:rsidR="002B0A50" w:rsidRDefault="002B0A50" w:rsidP="002B0A50">
            <w:pPr>
              <w:rPr>
                <w:sz w:val="22"/>
                <w:szCs w:val="22"/>
              </w:rPr>
            </w:pPr>
            <w:r>
              <w:rPr>
                <w:sz w:val="22"/>
                <w:szCs w:val="22"/>
              </w:rPr>
              <w:t>Maria Ferm (MP)</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Amir Adan (M)</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Paula Holmqvist (S)</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Heidi Karlsson (SD)</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Barbro Westerholm (L)</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Christina Höj Larsen (V)</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Désirée Pethrus (KD)</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Serkan Köse (S)</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Paula Bieler (SD)</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Hanna Wigh (-)</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Marco Venegas (MP)</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Daniel Riazat (V)</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Emma Henriksson (KD)</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Yasmine Larsson (S)</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Pr>
                <w:sz w:val="22"/>
                <w:szCs w:val="22"/>
              </w:rPr>
              <w:t>Fredrik Malm (L)</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tcPr>
          <w:p w:rsidR="002B0A50" w:rsidRDefault="002B0A50" w:rsidP="002B0A50">
            <w:pPr>
              <w:rPr>
                <w:sz w:val="22"/>
                <w:szCs w:val="22"/>
              </w:rPr>
            </w:pPr>
            <w:r>
              <w:rPr>
                <w:sz w:val="22"/>
                <w:szCs w:val="22"/>
              </w:rPr>
              <w:t>Mats Persson (L)</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hideMark/>
          </w:tcPr>
          <w:p w:rsidR="002B0A50" w:rsidRDefault="002B0A50" w:rsidP="002B0A50">
            <w:pPr>
              <w:rPr>
                <w:sz w:val="22"/>
                <w:szCs w:val="22"/>
              </w:rPr>
            </w:pPr>
            <w:r w:rsidRPr="0063430B">
              <w:rPr>
                <w:sz w:val="22"/>
                <w:szCs w:val="22"/>
              </w:rPr>
              <w:t>Johanna Jönsson (C)</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tcPr>
          <w:p w:rsidR="002B0A50" w:rsidRPr="0063430B" w:rsidRDefault="002B0A50" w:rsidP="002B0A50">
            <w:pPr>
              <w:rPr>
                <w:sz w:val="22"/>
                <w:szCs w:val="22"/>
              </w:rPr>
            </w:pPr>
            <w:r>
              <w:rPr>
                <w:sz w:val="22"/>
                <w:szCs w:val="22"/>
              </w:rPr>
              <w:t>Larry Söder (KD)</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Tr="002B5FBD">
        <w:tc>
          <w:tcPr>
            <w:tcW w:w="3332" w:type="dxa"/>
            <w:tcBorders>
              <w:top w:val="single" w:sz="6" w:space="0" w:color="auto"/>
              <w:left w:val="single" w:sz="6" w:space="0" w:color="auto"/>
              <w:bottom w:val="single" w:sz="6" w:space="0" w:color="auto"/>
              <w:right w:val="single" w:sz="6" w:space="0" w:color="auto"/>
            </w:tcBorders>
          </w:tcPr>
          <w:p w:rsidR="002B0A50" w:rsidRDefault="002B0A50" w:rsidP="002B0A50">
            <w:pPr>
              <w:rPr>
                <w:sz w:val="22"/>
                <w:szCs w:val="22"/>
              </w:rPr>
            </w:pPr>
            <w:r>
              <w:rPr>
                <w:sz w:val="22"/>
                <w:szCs w:val="22"/>
              </w:rPr>
              <w:t>Finn Bengtsson (M)</w:t>
            </w: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2B0A50"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0A50" w:rsidRPr="00E7686B" w:rsidTr="005A37D9">
        <w:trPr>
          <w:trHeight w:hRule="exact" w:val="57"/>
        </w:trPr>
        <w:tc>
          <w:tcPr>
            <w:tcW w:w="3332" w:type="dxa"/>
            <w:tcBorders>
              <w:top w:val="nil"/>
              <w:left w:val="nil"/>
              <w:bottom w:val="nil"/>
              <w:right w:val="nil"/>
            </w:tcBorders>
          </w:tcPr>
          <w:p w:rsidR="002B0A50" w:rsidRPr="00E7686B"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5098" w:type="dxa"/>
            <w:gridSpan w:val="14"/>
            <w:tcBorders>
              <w:top w:val="nil"/>
              <w:left w:val="nil"/>
              <w:bottom w:val="nil"/>
              <w:right w:val="nil"/>
            </w:tcBorders>
          </w:tcPr>
          <w:p w:rsidR="002B0A50" w:rsidRPr="00E7686B"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2B0A50" w:rsidTr="005A37D9">
        <w:trPr>
          <w:trHeight w:val="263"/>
        </w:trPr>
        <w:tc>
          <w:tcPr>
            <w:tcW w:w="3332" w:type="dxa"/>
            <w:tcBorders>
              <w:top w:val="nil"/>
              <w:left w:val="nil"/>
              <w:bottom w:val="nil"/>
              <w:right w:val="nil"/>
            </w:tcBorders>
            <w:hideMark/>
          </w:tcPr>
          <w:p w:rsidR="002B0A50" w:rsidRPr="00CB5A24"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CB5A24">
              <w:rPr>
                <w:sz w:val="16"/>
                <w:szCs w:val="16"/>
              </w:rPr>
              <w:t>N = Närvarande</w:t>
            </w:r>
          </w:p>
        </w:tc>
        <w:tc>
          <w:tcPr>
            <w:tcW w:w="5098" w:type="dxa"/>
            <w:gridSpan w:val="14"/>
            <w:tcBorders>
              <w:top w:val="nil"/>
              <w:left w:val="nil"/>
              <w:bottom w:val="nil"/>
              <w:right w:val="nil"/>
            </w:tcBorders>
            <w:hideMark/>
          </w:tcPr>
          <w:p w:rsidR="002B0A50" w:rsidRPr="00CB5A24"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CB5A24">
              <w:rPr>
                <w:sz w:val="16"/>
                <w:szCs w:val="16"/>
              </w:rPr>
              <w:t>x = ledamöter som deltagit i handläggningen</w:t>
            </w:r>
          </w:p>
        </w:tc>
      </w:tr>
      <w:tr w:rsidR="002B0A50" w:rsidTr="004B2502">
        <w:trPr>
          <w:trHeight w:val="170"/>
        </w:trPr>
        <w:tc>
          <w:tcPr>
            <w:tcW w:w="3332" w:type="dxa"/>
            <w:tcBorders>
              <w:top w:val="nil"/>
              <w:left w:val="nil"/>
              <w:bottom w:val="nil"/>
              <w:right w:val="nil"/>
            </w:tcBorders>
            <w:hideMark/>
          </w:tcPr>
          <w:p w:rsidR="002B0A50" w:rsidRPr="00CB5A24"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CB5A24">
              <w:rPr>
                <w:sz w:val="16"/>
                <w:szCs w:val="16"/>
              </w:rPr>
              <w:t>V = Votering</w:t>
            </w:r>
          </w:p>
        </w:tc>
        <w:tc>
          <w:tcPr>
            <w:tcW w:w="5098" w:type="dxa"/>
            <w:gridSpan w:val="14"/>
            <w:tcBorders>
              <w:top w:val="nil"/>
              <w:left w:val="nil"/>
              <w:bottom w:val="nil"/>
              <w:right w:val="nil"/>
            </w:tcBorders>
            <w:hideMark/>
          </w:tcPr>
          <w:p w:rsidR="002B0A50" w:rsidRPr="00CB5A24" w:rsidRDefault="002B0A50" w:rsidP="002B0A5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CB5A24">
              <w:rPr>
                <w:sz w:val="16"/>
                <w:szCs w:val="16"/>
              </w:rPr>
              <w:t>o = ledamöter som härutöver har varit närvarande</w:t>
            </w:r>
          </w:p>
        </w:tc>
      </w:tr>
    </w:tbl>
    <w:p w:rsidR="005F59C8" w:rsidRPr="00CD3B87" w:rsidRDefault="005F59C8" w:rsidP="004B2502">
      <w:pPr>
        <w:tabs>
          <w:tab w:val="left" w:pos="1701"/>
        </w:tabs>
        <w:rPr>
          <w:sz w:val="4"/>
          <w:szCs w:val="4"/>
        </w:rPr>
      </w:pPr>
    </w:p>
    <w:sectPr w:rsidR="005F59C8" w:rsidRPr="00CD3B87" w:rsidSect="00CB5A24">
      <w:pgSz w:w="11906" w:h="16838" w:code="9"/>
      <w:pgMar w:top="737" w:right="1134" w:bottom="23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85"/>
    <w:rsid w:val="00040691"/>
    <w:rsid w:val="00064E0C"/>
    <w:rsid w:val="00065F76"/>
    <w:rsid w:val="00073D71"/>
    <w:rsid w:val="00081A95"/>
    <w:rsid w:val="00093BD4"/>
    <w:rsid w:val="00095048"/>
    <w:rsid w:val="000F2A32"/>
    <w:rsid w:val="001141DB"/>
    <w:rsid w:val="0011654F"/>
    <w:rsid w:val="00120A12"/>
    <w:rsid w:val="001211A3"/>
    <w:rsid w:val="00142A52"/>
    <w:rsid w:val="001441C2"/>
    <w:rsid w:val="001531D2"/>
    <w:rsid w:val="0016078E"/>
    <w:rsid w:val="00161AA6"/>
    <w:rsid w:val="00165630"/>
    <w:rsid w:val="0018036E"/>
    <w:rsid w:val="00195A71"/>
    <w:rsid w:val="001A7020"/>
    <w:rsid w:val="001B29C0"/>
    <w:rsid w:val="001B59E4"/>
    <w:rsid w:val="001C39BB"/>
    <w:rsid w:val="001F54F3"/>
    <w:rsid w:val="00211AAB"/>
    <w:rsid w:val="00250C53"/>
    <w:rsid w:val="00251677"/>
    <w:rsid w:val="002544E0"/>
    <w:rsid w:val="00274599"/>
    <w:rsid w:val="002B0A50"/>
    <w:rsid w:val="002B4C7D"/>
    <w:rsid w:val="002B5FBD"/>
    <w:rsid w:val="002E599A"/>
    <w:rsid w:val="0032031B"/>
    <w:rsid w:val="00333A92"/>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30167"/>
    <w:rsid w:val="00447EA2"/>
    <w:rsid w:val="00453974"/>
    <w:rsid w:val="004659A3"/>
    <w:rsid w:val="00484380"/>
    <w:rsid w:val="004B2502"/>
    <w:rsid w:val="004F1B55"/>
    <w:rsid w:val="004F42DA"/>
    <w:rsid w:val="004F680C"/>
    <w:rsid w:val="005347A1"/>
    <w:rsid w:val="005646A3"/>
    <w:rsid w:val="005714D8"/>
    <w:rsid w:val="0057395B"/>
    <w:rsid w:val="005778AA"/>
    <w:rsid w:val="00592D6B"/>
    <w:rsid w:val="00596129"/>
    <w:rsid w:val="005A0889"/>
    <w:rsid w:val="005A37D9"/>
    <w:rsid w:val="005B6D13"/>
    <w:rsid w:val="005D721E"/>
    <w:rsid w:val="005F59C8"/>
    <w:rsid w:val="00606D38"/>
    <w:rsid w:val="00616572"/>
    <w:rsid w:val="00631795"/>
    <w:rsid w:val="0063430B"/>
    <w:rsid w:val="00640310"/>
    <w:rsid w:val="00640C19"/>
    <w:rsid w:val="0064344C"/>
    <w:rsid w:val="0064590C"/>
    <w:rsid w:val="00656DD9"/>
    <w:rsid w:val="00660A8A"/>
    <w:rsid w:val="00670187"/>
    <w:rsid w:val="0068513C"/>
    <w:rsid w:val="0069442A"/>
    <w:rsid w:val="006A56E8"/>
    <w:rsid w:val="006C21FA"/>
    <w:rsid w:val="006D1030"/>
    <w:rsid w:val="006E06A4"/>
    <w:rsid w:val="006E774B"/>
    <w:rsid w:val="006F41EB"/>
    <w:rsid w:val="006F6C7A"/>
    <w:rsid w:val="007026FD"/>
    <w:rsid w:val="00703D16"/>
    <w:rsid w:val="00711F2E"/>
    <w:rsid w:val="00721DB8"/>
    <w:rsid w:val="00723C10"/>
    <w:rsid w:val="00723DD0"/>
    <w:rsid w:val="00726C3B"/>
    <w:rsid w:val="0078146E"/>
    <w:rsid w:val="0078232D"/>
    <w:rsid w:val="00787DED"/>
    <w:rsid w:val="00792B26"/>
    <w:rsid w:val="00797764"/>
    <w:rsid w:val="007A327C"/>
    <w:rsid w:val="007C2BDB"/>
    <w:rsid w:val="007D4053"/>
    <w:rsid w:val="0081753E"/>
    <w:rsid w:val="00820B85"/>
    <w:rsid w:val="00822388"/>
    <w:rsid w:val="00827461"/>
    <w:rsid w:val="008357F3"/>
    <w:rsid w:val="008434C1"/>
    <w:rsid w:val="008557FA"/>
    <w:rsid w:val="00855D4E"/>
    <w:rsid w:val="008571EA"/>
    <w:rsid w:val="00861DDD"/>
    <w:rsid w:val="00871230"/>
    <w:rsid w:val="00894188"/>
    <w:rsid w:val="00894D40"/>
    <w:rsid w:val="008C2D0B"/>
    <w:rsid w:val="008D1752"/>
    <w:rsid w:val="00901669"/>
    <w:rsid w:val="00912575"/>
    <w:rsid w:val="00916634"/>
    <w:rsid w:val="00940F4E"/>
    <w:rsid w:val="00946978"/>
    <w:rsid w:val="00973D8B"/>
    <w:rsid w:val="009800E4"/>
    <w:rsid w:val="009E1625"/>
    <w:rsid w:val="00A0486E"/>
    <w:rsid w:val="00A05767"/>
    <w:rsid w:val="00A119D6"/>
    <w:rsid w:val="00A51C20"/>
    <w:rsid w:val="00A5427F"/>
    <w:rsid w:val="00A55283"/>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71AD"/>
    <w:rsid w:val="00B74FAF"/>
    <w:rsid w:val="00B75E0D"/>
    <w:rsid w:val="00BB778C"/>
    <w:rsid w:val="00C0607C"/>
    <w:rsid w:val="00C12C24"/>
    <w:rsid w:val="00C150F4"/>
    <w:rsid w:val="00C30522"/>
    <w:rsid w:val="00C45E21"/>
    <w:rsid w:val="00C8434B"/>
    <w:rsid w:val="00C850D4"/>
    <w:rsid w:val="00C94625"/>
    <w:rsid w:val="00C9784D"/>
    <w:rsid w:val="00CA31D0"/>
    <w:rsid w:val="00CA4971"/>
    <w:rsid w:val="00CA5BCE"/>
    <w:rsid w:val="00CB2353"/>
    <w:rsid w:val="00CB4DAF"/>
    <w:rsid w:val="00CB5A24"/>
    <w:rsid w:val="00CC72FB"/>
    <w:rsid w:val="00CD2EF3"/>
    <w:rsid w:val="00CD3B87"/>
    <w:rsid w:val="00CE3987"/>
    <w:rsid w:val="00D21B05"/>
    <w:rsid w:val="00D360B4"/>
    <w:rsid w:val="00D409A3"/>
    <w:rsid w:val="00D54317"/>
    <w:rsid w:val="00D90D9B"/>
    <w:rsid w:val="00DC42D6"/>
    <w:rsid w:val="00DC4D41"/>
    <w:rsid w:val="00DD0831"/>
    <w:rsid w:val="00DD270A"/>
    <w:rsid w:val="00DE1C47"/>
    <w:rsid w:val="00DE6176"/>
    <w:rsid w:val="00DF2C5A"/>
    <w:rsid w:val="00E24A87"/>
    <w:rsid w:val="00E55E38"/>
    <w:rsid w:val="00E7686B"/>
    <w:rsid w:val="00EA1929"/>
    <w:rsid w:val="00EB3E50"/>
    <w:rsid w:val="00EB6861"/>
    <w:rsid w:val="00ED28CD"/>
    <w:rsid w:val="00ED3389"/>
    <w:rsid w:val="00F2328F"/>
    <w:rsid w:val="00F357B8"/>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26750440">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60268967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CAE9D-7303-44A0-A166-5E16EE41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856</Words>
  <Characters>6106</Characters>
  <Application>Microsoft Office Word</Application>
  <DocSecurity>4</DocSecurity>
  <Lines>1221</Lines>
  <Paragraphs>204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2018-05-09T09:13:00Z</cp:lastPrinted>
  <dcterms:created xsi:type="dcterms:W3CDTF">2018-05-15T13:15:00Z</dcterms:created>
  <dcterms:modified xsi:type="dcterms:W3CDTF">2018-05-15T13:15:00Z</dcterms:modified>
</cp:coreProperties>
</file>